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التقیة فی فقه أهل البیت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77647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6877649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877651_1280447820">
            <w:r>
              <w:rPr>
                <w:webHidden/>
                <w:rStyle w:val="IndexLink"/>
                <w:rtl w:val="true"/>
              </w:rPr>
              <w:t>کلمة الشیخ الاستاد دام الظله</w:t>
            </w:r>
            <w:r>
              <w:rPr>
                <w:rStyle w:val="IndexLink"/>
                <w:rtl w:val="true"/>
              </w:rPr>
              <w:tab/>
            </w:r>
            <w:r>
              <w:rPr>
                <w:rStyle w:val="IndexLink"/>
              </w:rPr>
              <w:t>10</w:t>
            </w:r>
          </w:hyperlink>
        </w:p>
        <w:p>
          <w:pPr>
            <w:pStyle w:val="Contents2"/>
            <w:tabs>
              <w:tab w:val="clear" w:pos="8743"/>
              <w:tab w:val="right" w:pos="9026" w:leader="dot"/>
            </w:tabs>
            <w:rPr/>
          </w:pPr>
          <w:hyperlink w:anchor="__RefHeading___Toc6877653_1280447820">
            <w:r>
              <w:rPr>
                <w:webHidden/>
                <w:rStyle w:val="IndexLink"/>
                <w:rtl w:val="true"/>
              </w:rPr>
              <w:t>توطئة</w:t>
            </w:r>
            <w:r>
              <w:rPr>
                <w:rStyle w:val="IndexLink"/>
                <w:rtl w:val="true"/>
              </w:rPr>
              <w:tab/>
            </w:r>
            <w:r>
              <w:rPr>
                <w:rStyle w:val="IndexLink"/>
              </w:rPr>
              <w:t>12</w:t>
            </w:r>
          </w:hyperlink>
        </w:p>
        <w:p>
          <w:pPr>
            <w:pStyle w:val="Contents2"/>
            <w:tabs>
              <w:tab w:val="clear" w:pos="8743"/>
              <w:tab w:val="right" w:pos="9026" w:leader="dot"/>
            </w:tabs>
            <w:rPr/>
          </w:pPr>
          <w:hyperlink w:anchor="__RefHeading___Toc6877655_1280447820">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6877657_1280447820">
            <w:r>
              <w:rPr>
                <w:webHidden/>
                <w:rStyle w:val="IndexLink"/>
                <w:rtl w:val="true"/>
              </w:rPr>
              <w:t>التقية في التاريخ</w:t>
            </w:r>
            <w:r>
              <w:rPr>
                <w:rStyle w:val="IndexLink"/>
                <w:rtl w:val="true"/>
              </w:rPr>
              <w:t>:</w:t>
              <w:tab/>
            </w:r>
            <w:r>
              <w:rPr>
                <w:rStyle w:val="IndexLink"/>
              </w:rPr>
              <w:t>14</w:t>
            </w:r>
          </w:hyperlink>
        </w:p>
        <w:p>
          <w:pPr>
            <w:pStyle w:val="Contents3"/>
            <w:tabs>
              <w:tab w:val="clear" w:pos="8459"/>
              <w:tab w:val="right" w:pos="9026" w:leader="dot"/>
            </w:tabs>
            <w:rPr/>
          </w:pPr>
          <w:hyperlink w:anchor="__RefHeading___Toc6877659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877661_1280447820">
            <w:r>
              <w:rPr>
                <w:webHidden/>
                <w:rStyle w:val="IndexLink"/>
                <w:rtl w:val="true"/>
              </w:rPr>
              <w:t>القسم الأول</w:t>
            </w:r>
            <w:r>
              <w:rPr>
                <w:rStyle w:val="IndexLink"/>
                <w:rtl w:val="true"/>
              </w:rPr>
              <w:t xml:space="preserve">: </w:t>
            </w:r>
            <w:r>
              <w:rPr>
                <w:rStyle w:val="IndexLink"/>
                <w:rtl w:val="true"/>
              </w:rPr>
              <w:t>التقية قبل الإسلام</w:t>
            </w:r>
            <w:r>
              <w:rPr>
                <w:rStyle w:val="IndexLink"/>
                <w:rtl w:val="true"/>
              </w:rPr>
              <w:t>:</w:t>
              <w:tab/>
            </w:r>
            <w:r>
              <w:rPr>
                <w:rStyle w:val="IndexLink"/>
              </w:rPr>
              <w:t>16</w:t>
            </w:r>
          </w:hyperlink>
        </w:p>
        <w:p>
          <w:pPr>
            <w:pStyle w:val="Contents4"/>
            <w:tabs>
              <w:tab w:val="clear" w:pos="8176"/>
              <w:tab w:val="right" w:pos="9026" w:leader="dot"/>
            </w:tabs>
            <w:rPr/>
          </w:pPr>
          <w:hyperlink w:anchor="__RefHeading___Toc6877663_128044782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6877665_1280447820">
            <w:r>
              <w:rPr>
                <w:webHidden/>
                <w:rStyle w:val="IndexLink"/>
              </w:rPr>
              <w:t>1</w:t>
            </w:r>
            <w:r>
              <w:rPr>
                <w:rStyle w:val="IndexLink"/>
                <w:rtl w:val="true"/>
              </w:rPr>
              <w:t xml:space="preserve"> - </w:t>
            </w:r>
            <w:r>
              <w:rPr>
                <w:rStyle w:val="IndexLink"/>
                <w:rtl w:val="true"/>
              </w:rPr>
              <w:t>التقية في زمان آدم</w:t>
            </w:r>
            <w:r>
              <w:rPr>
                <w:rStyle w:val="IndexLink"/>
                <w:rtl w:val="true"/>
              </w:rPr>
              <w:t>(</w:t>
            </w:r>
            <w:r>
              <w:rPr>
                <w:rStyle w:val="IndexLink"/>
                <w:rtl w:val="true"/>
              </w:rPr>
              <w:t>علیه السلام</w:t>
            </w:r>
            <w:r>
              <w:rPr>
                <w:rStyle w:val="IndexLink"/>
                <w:rtl w:val="true"/>
              </w:rPr>
              <w:t>):</w:t>
              <w:tab/>
            </w:r>
            <w:r>
              <w:rPr>
                <w:rStyle w:val="IndexLink"/>
              </w:rPr>
              <w:t>16</w:t>
            </w:r>
          </w:hyperlink>
        </w:p>
        <w:p>
          <w:pPr>
            <w:pStyle w:val="Contents4"/>
            <w:tabs>
              <w:tab w:val="clear" w:pos="8176"/>
              <w:tab w:val="right" w:pos="9026" w:leader="dot"/>
            </w:tabs>
            <w:rPr/>
          </w:pPr>
          <w:hyperlink w:anchor="__RefHeading___Toc6877667_1280447820">
            <w:r>
              <w:rPr>
                <w:webHidden/>
                <w:rStyle w:val="IndexLink"/>
              </w:rPr>
              <w:t>2</w:t>
            </w:r>
            <w:r>
              <w:rPr>
                <w:rStyle w:val="IndexLink"/>
                <w:rtl w:val="true"/>
              </w:rPr>
              <w:t xml:space="preserve"> - </w:t>
            </w:r>
            <w:r>
              <w:rPr>
                <w:rStyle w:val="IndexLink"/>
                <w:rtl w:val="true"/>
              </w:rPr>
              <w:t xml:space="preserve">التقية في زمان إبراهيم الخليل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4"/>
            <w:tabs>
              <w:tab w:val="clear" w:pos="8176"/>
              <w:tab w:val="right" w:pos="9026" w:leader="dot"/>
            </w:tabs>
            <w:rPr/>
          </w:pPr>
          <w:hyperlink w:anchor="__RefHeading___Toc6877669_1280447820">
            <w:r>
              <w:rPr>
                <w:webHidden/>
                <w:rStyle w:val="IndexLink"/>
              </w:rPr>
              <w:t>3</w:t>
            </w:r>
            <w:r>
              <w:rPr>
                <w:rStyle w:val="IndexLink"/>
                <w:rtl w:val="true"/>
              </w:rPr>
              <w:t xml:space="preserve"> - </w:t>
            </w:r>
            <w:r>
              <w:rPr>
                <w:rStyle w:val="IndexLink"/>
                <w:rtl w:val="true"/>
              </w:rPr>
              <w:t xml:space="preserve">التقية في زمان يوسف الصديق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4"/>
            <w:tabs>
              <w:tab w:val="clear" w:pos="8176"/>
              <w:tab w:val="right" w:pos="9026" w:leader="dot"/>
            </w:tabs>
            <w:rPr/>
          </w:pPr>
          <w:hyperlink w:anchor="__RefHeading___Toc6877671_1280447820">
            <w:r>
              <w:rPr>
                <w:webHidden/>
                <w:rStyle w:val="IndexLink"/>
              </w:rPr>
              <w:t>4</w:t>
            </w:r>
            <w:r>
              <w:rPr>
                <w:rStyle w:val="IndexLink"/>
                <w:rtl w:val="true"/>
              </w:rPr>
              <w:t xml:space="preserve"> - </w:t>
            </w:r>
            <w:r>
              <w:rPr>
                <w:rStyle w:val="IndexLink"/>
                <w:rtl w:val="true"/>
              </w:rPr>
              <w:t>التقية في زمان موسى الكليم</w:t>
            </w:r>
            <w:r>
              <w:rPr>
                <w:rStyle w:val="IndexLink"/>
                <w:rtl w:val="true"/>
              </w:rPr>
              <w:t>:</w:t>
              <w:tab/>
            </w:r>
            <w:r>
              <w:rPr>
                <w:rStyle w:val="IndexLink"/>
              </w:rPr>
              <w:t>25</w:t>
            </w:r>
          </w:hyperlink>
        </w:p>
        <w:p>
          <w:pPr>
            <w:pStyle w:val="Contents4"/>
            <w:tabs>
              <w:tab w:val="clear" w:pos="8176"/>
              <w:tab w:val="right" w:pos="9026" w:leader="dot"/>
            </w:tabs>
            <w:rPr/>
          </w:pPr>
          <w:hyperlink w:anchor="__RefHeading___Toc6877673_1280447820">
            <w:r>
              <w:rPr>
                <w:webHidden/>
                <w:rStyle w:val="IndexLink"/>
              </w:rPr>
              <w:t>5</w:t>
            </w:r>
            <w:r>
              <w:rPr>
                <w:rStyle w:val="IndexLink"/>
                <w:rtl w:val="true"/>
              </w:rPr>
              <w:t xml:space="preserve"> - </w:t>
            </w:r>
            <w:r>
              <w:rPr>
                <w:rStyle w:val="IndexLink"/>
                <w:rtl w:val="true"/>
              </w:rPr>
              <w:t>مؤمن آل فرعون</w:t>
            </w:r>
            <w:r>
              <w:rPr>
                <w:rStyle w:val="IndexLink"/>
                <w:rtl w:val="true"/>
              </w:rPr>
              <w:t>:</w:t>
              <w:tab/>
            </w:r>
            <w:r>
              <w:rPr>
                <w:rStyle w:val="IndexLink"/>
              </w:rPr>
              <w:t>27</w:t>
            </w:r>
          </w:hyperlink>
        </w:p>
        <w:p>
          <w:pPr>
            <w:pStyle w:val="Contents4"/>
            <w:tabs>
              <w:tab w:val="clear" w:pos="8176"/>
              <w:tab w:val="right" w:pos="9026" w:leader="dot"/>
            </w:tabs>
            <w:rPr/>
          </w:pPr>
          <w:hyperlink w:anchor="__RefHeading___Toc6877675_1280447820">
            <w:r>
              <w:rPr>
                <w:webHidden/>
                <w:rStyle w:val="IndexLink"/>
              </w:rPr>
              <w:t>6</w:t>
            </w:r>
            <w:r>
              <w:rPr>
                <w:rStyle w:val="IndexLink"/>
                <w:rtl w:val="true"/>
              </w:rPr>
              <w:t xml:space="preserve"> - </w:t>
            </w:r>
            <w:r>
              <w:rPr>
                <w:rStyle w:val="IndexLink"/>
                <w:rtl w:val="true"/>
              </w:rPr>
              <w:t>ومنهم امرأة مؤمن آل فرعون</w:t>
            </w:r>
            <w:r>
              <w:rPr>
                <w:rStyle w:val="IndexLink"/>
                <w:rtl w:val="true"/>
              </w:rPr>
              <w:t>:</w:t>
              <w:tab/>
            </w:r>
            <w:r>
              <w:rPr>
                <w:rStyle w:val="IndexLink"/>
              </w:rPr>
              <w:t>28</w:t>
            </w:r>
          </w:hyperlink>
        </w:p>
        <w:p>
          <w:pPr>
            <w:pStyle w:val="Contents4"/>
            <w:tabs>
              <w:tab w:val="clear" w:pos="8176"/>
              <w:tab w:val="right" w:pos="9026" w:leader="dot"/>
            </w:tabs>
            <w:rPr/>
          </w:pPr>
          <w:hyperlink w:anchor="__RefHeading___Toc6877677_1280447820">
            <w:r>
              <w:rPr>
                <w:webHidden/>
                <w:rStyle w:val="IndexLink"/>
              </w:rPr>
              <w:t>7</w:t>
            </w:r>
            <w:r>
              <w:rPr>
                <w:rStyle w:val="IndexLink"/>
                <w:rtl w:val="true"/>
              </w:rPr>
              <w:t xml:space="preserve"> - </w:t>
            </w:r>
            <w:r>
              <w:rPr>
                <w:rStyle w:val="IndexLink"/>
                <w:rtl w:val="true"/>
              </w:rPr>
              <w:t>ومنهم آسية بنت مزاحم</w:t>
            </w:r>
            <w:r>
              <w:rPr>
                <w:rStyle w:val="IndexLink"/>
                <w:rtl w:val="true"/>
              </w:rPr>
              <w:t>:</w:t>
              <w:tab/>
            </w:r>
            <w:r>
              <w:rPr>
                <w:rStyle w:val="IndexLink"/>
              </w:rPr>
              <w:t>28</w:t>
            </w:r>
          </w:hyperlink>
        </w:p>
        <w:p>
          <w:pPr>
            <w:pStyle w:val="Contents4"/>
            <w:tabs>
              <w:tab w:val="clear" w:pos="8176"/>
              <w:tab w:val="right" w:pos="9026" w:leader="dot"/>
            </w:tabs>
            <w:rPr/>
          </w:pPr>
          <w:hyperlink w:anchor="__RefHeading___Toc6877679_1280447820">
            <w:r>
              <w:rPr>
                <w:webHidden/>
                <w:rStyle w:val="IndexLink"/>
              </w:rPr>
              <w:t>8</w:t>
            </w:r>
            <w:r>
              <w:rPr>
                <w:rStyle w:val="IndexLink"/>
                <w:rtl w:val="true"/>
              </w:rPr>
              <w:t xml:space="preserve"> - </w:t>
            </w:r>
            <w:r>
              <w:rPr>
                <w:rStyle w:val="IndexLink"/>
                <w:rtl w:val="true"/>
              </w:rPr>
              <w:t>ومنهم مؤمن آخر من بني إسرائيل</w:t>
            </w:r>
            <w:r>
              <w:rPr>
                <w:rStyle w:val="IndexLink"/>
                <w:rtl w:val="true"/>
              </w:rPr>
              <w:t>:</w:t>
              <w:tab/>
            </w:r>
            <w:r>
              <w:rPr>
                <w:rStyle w:val="IndexLink"/>
              </w:rPr>
              <w:t>29</w:t>
            </w:r>
          </w:hyperlink>
        </w:p>
        <w:p>
          <w:pPr>
            <w:pStyle w:val="Contents4"/>
            <w:tabs>
              <w:tab w:val="clear" w:pos="8176"/>
              <w:tab w:val="right" w:pos="9026" w:leader="dot"/>
            </w:tabs>
            <w:rPr/>
          </w:pPr>
          <w:hyperlink w:anchor="__RefHeading___Toc6877681_1280447820">
            <w:r>
              <w:rPr>
                <w:webHidden/>
                <w:rStyle w:val="IndexLink"/>
              </w:rPr>
              <w:t>9</w:t>
            </w:r>
            <w:r>
              <w:rPr>
                <w:rStyle w:val="IndexLink"/>
                <w:rtl w:val="true"/>
              </w:rPr>
              <w:t xml:space="preserve"> - </w:t>
            </w:r>
            <w:r>
              <w:rPr>
                <w:rStyle w:val="IndexLink"/>
                <w:rtl w:val="true"/>
              </w:rPr>
              <w:t xml:space="preserve">ومنهم الخضر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4"/>
            <w:tabs>
              <w:tab w:val="clear" w:pos="8176"/>
              <w:tab w:val="right" w:pos="9026" w:leader="dot"/>
            </w:tabs>
            <w:rPr/>
          </w:pPr>
          <w:hyperlink w:anchor="__RefHeading___Toc6877683_1280447820">
            <w:r>
              <w:rPr>
                <w:webHidden/>
                <w:rStyle w:val="IndexLink"/>
              </w:rPr>
              <w:t>10</w:t>
            </w:r>
            <w:r>
              <w:rPr>
                <w:rStyle w:val="IndexLink"/>
                <w:rtl w:val="true"/>
              </w:rPr>
              <w:t xml:space="preserve"> - </w:t>
            </w:r>
            <w:r>
              <w:rPr>
                <w:rStyle w:val="IndexLink"/>
                <w:rtl w:val="true"/>
              </w:rPr>
              <w:t>التقية وأصحاب الكهف</w:t>
            </w:r>
            <w:r>
              <w:rPr>
                <w:rStyle w:val="IndexLink"/>
                <w:rtl w:val="true"/>
              </w:rPr>
              <w:t>:</w:t>
              <w:tab/>
            </w:r>
            <w:r>
              <w:rPr>
                <w:rStyle w:val="IndexLink"/>
              </w:rPr>
              <w:t>30</w:t>
            </w:r>
          </w:hyperlink>
        </w:p>
        <w:p>
          <w:pPr>
            <w:pStyle w:val="Contents4"/>
            <w:tabs>
              <w:tab w:val="clear" w:pos="8176"/>
              <w:tab w:val="right" w:pos="9026" w:leader="dot"/>
            </w:tabs>
            <w:rPr/>
          </w:pPr>
          <w:hyperlink w:anchor="__RefHeading___Toc6877685_1280447820">
            <w:r>
              <w:rPr>
                <w:webHidden/>
                <w:rStyle w:val="IndexLink"/>
              </w:rPr>
              <w:t>11</w:t>
            </w:r>
            <w:r>
              <w:rPr>
                <w:rStyle w:val="IndexLink"/>
                <w:rtl w:val="true"/>
              </w:rPr>
              <w:t xml:space="preserve"> - </w:t>
            </w:r>
            <w:r>
              <w:rPr>
                <w:rStyle w:val="IndexLink"/>
                <w:rtl w:val="true"/>
              </w:rPr>
              <w:t xml:space="preserve">التقية في زمان عيسى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6877687_1280447820">
            <w:r>
              <w:rPr>
                <w:webHidden/>
                <w:rStyle w:val="IndexLink"/>
                <w:rtl w:val="true"/>
              </w:rPr>
              <w:t>القسم الثاني</w:t>
            </w:r>
            <w:r>
              <w:rPr>
                <w:rStyle w:val="IndexLink"/>
                <w:rtl w:val="true"/>
              </w:rPr>
              <w:t xml:space="preserve">: </w:t>
            </w:r>
            <w:r>
              <w:rPr>
                <w:rStyle w:val="IndexLink"/>
                <w:rtl w:val="true"/>
              </w:rPr>
              <w:t>التقية بعد الإسلام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6877689_128044782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6877691_1280447820">
            <w:r>
              <w:rPr>
                <w:webHidden/>
                <w:rStyle w:val="IndexLink"/>
                <w:rtl w:val="true"/>
              </w:rPr>
              <w:t>المرحلة الاُولى</w:t>
            </w:r>
            <w:r>
              <w:rPr>
                <w:rStyle w:val="IndexLink"/>
                <w:rtl w:val="true"/>
              </w:rPr>
              <w:t xml:space="preserve">: </w:t>
            </w:r>
            <w:r>
              <w:rPr>
                <w:rStyle w:val="IndexLink"/>
                <w:rtl w:val="true"/>
              </w:rPr>
              <w:t xml:space="preserve">التقية في زمان النبيّ </w:t>
            </w:r>
            <w:r>
              <w:rPr>
                <w:rStyle w:val="IndexLink"/>
                <w:rtl w:val="true"/>
              </w:rPr>
              <w:t>(</w:t>
            </w:r>
            <w:r>
              <w:rPr>
                <w:rStyle w:val="IndexLink"/>
                <w:rtl w:val="true"/>
              </w:rPr>
              <w:t>صلی الله علیه و آله و سلم</w:t>
            </w:r>
            <w:r>
              <w:rPr>
                <w:rStyle w:val="IndexLink"/>
                <w:rtl w:val="true"/>
              </w:rPr>
              <w:t>):</w:t>
              <w:tab/>
            </w:r>
            <w:r>
              <w:rPr>
                <w:rStyle w:val="IndexLink"/>
              </w:rPr>
              <w:t>36</w:t>
            </w:r>
          </w:hyperlink>
        </w:p>
        <w:p>
          <w:pPr>
            <w:pStyle w:val="Contents5"/>
            <w:tabs>
              <w:tab w:val="clear" w:pos="7892"/>
              <w:tab w:val="right" w:pos="9026" w:leader="dot"/>
            </w:tabs>
            <w:rPr/>
          </w:pPr>
          <w:hyperlink w:anchor="__RefHeading___Toc6877693_12804478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6877695_1280447820">
            <w:r>
              <w:rPr>
                <w:webHidden/>
                <w:rStyle w:val="IndexLink"/>
              </w:rPr>
              <w:t>12</w:t>
            </w:r>
            <w:r>
              <w:rPr>
                <w:rStyle w:val="IndexLink"/>
                <w:rtl w:val="true"/>
              </w:rPr>
              <w:t xml:space="preserve"> - </w:t>
            </w:r>
            <w:r>
              <w:rPr>
                <w:rStyle w:val="IndexLink"/>
                <w:rtl w:val="true"/>
              </w:rPr>
              <w:t>أبو طالب في التاريخ</w:t>
            </w:r>
            <w:r>
              <w:rPr>
                <w:rStyle w:val="IndexLink"/>
                <w:rtl w:val="true"/>
              </w:rPr>
              <w:t>:</w:t>
              <w:tab/>
            </w:r>
            <w:r>
              <w:rPr>
                <w:rStyle w:val="IndexLink"/>
              </w:rPr>
              <w:t>37</w:t>
            </w:r>
          </w:hyperlink>
        </w:p>
        <w:p>
          <w:pPr>
            <w:pStyle w:val="Contents6"/>
            <w:tabs>
              <w:tab w:val="clear" w:pos="7609"/>
              <w:tab w:val="right" w:pos="9026" w:leader="dot"/>
            </w:tabs>
            <w:rPr/>
          </w:pPr>
          <w:hyperlink w:anchor="__RefHeading___Toc6877697_1280447820">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6877699_1280447820">
            <w:r>
              <w:rPr>
                <w:webHidden/>
                <w:rStyle w:val="IndexLink"/>
                <w:rtl w:val="true"/>
              </w:rPr>
              <w:t>أقوال العلماء في إيمان أبي طالب</w:t>
            </w:r>
            <w:r>
              <w:rPr>
                <w:rStyle w:val="IndexLink"/>
                <w:rtl w:val="true"/>
              </w:rPr>
              <w:t>:</w:t>
              <w:tab/>
            </w:r>
            <w:r>
              <w:rPr>
                <w:rStyle w:val="IndexLink"/>
              </w:rPr>
              <w:t>44</w:t>
            </w:r>
          </w:hyperlink>
        </w:p>
        <w:p>
          <w:pPr>
            <w:pStyle w:val="Contents5"/>
            <w:tabs>
              <w:tab w:val="clear" w:pos="7892"/>
              <w:tab w:val="right" w:pos="9026" w:leader="dot"/>
            </w:tabs>
            <w:rPr/>
          </w:pPr>
          <w:hyperlink w:anchor="__RefHeading___Toc6877701_1280447820">
            <w:r>
              <w:rPr>
                <w:webHidden/>
                <w:rStyle w:val="IndexLink"/>
              </w:rPr>
              <w:t>13</w:t>
            </w:r>
            <w:r>
              <w:rPr>
                <w:rStyle w:val="IndexLink"/>
                <w:rtl w:val="true"/>
              </w:rPr>
              <w:t xml:space="preserve"> - </w:t>
            </w:r>
            <w:r>
              <w:rPr>
                <w:rStyle w:val="IndexLink"/>
                <w:rtl w:val="true"/>
              </w:rPr>
              <w:t>عمار بن ياسر والتقية</w:t>
            </w:r>
            <w:r>
              <w:rPr>
                <w:rStyle w:val="IndexLink"/>
                <w:rtl w:val="true"/>
              </w:rPr>
              <w:t>:</w:t>
              <w:tab/>
            </w:r>
            <w:r>
              <w:rPr>
                <w:rStyle w:val="IndexLink"/>
              </w:rPr>
              <w:t>45</w:t>
            </w:r>
          </w:hyperlink>
        </w:p>
        <w:p>
          <w:pPr>
            <w:pStyle w:val="Contents4"/>
            <w:tabs>
              <w:tab w:val="clear" w:pos="8176"/>
              <w:tab w:val="right" w:pos="9026" w:leader="dot"/>
            </w:tabs>
            <w:rPr/>
          </w:pPr>
          <w:hyperlink w:anchor="__RefHeading___Toc6877703_1280447820">
            <w:r>
              <w:rPr>
                <w:webHidden/>
                <w:rStyle w:val="IndexLink"/>
                <w:rtl w:val="true"/>
              </w:rPr>
              <w:t>المرحلة الثانية</w:t>
            </w:r>
            <w:r>
              <w:rPr>
                <w:rStyle w:val="IndexLink"/>
                <w:rtl w:val="true"/>
              </w:rPr>
              <w:t xml:space="preserve">: </w:t>
            </w:r>
            <w:r>
              <w:rPr>
                <w:rStyle w:val="IndexLink"/>
                <w:rtl w:val="true"/>
              </w:rPr>
              <w:t xml:space="preserve">التقية بعد وفاة النبيّ </w:t>
            </w:r>
            <w:r>
              <w:rPr>
                <w:rStyle w:val="IndexLink"/>
                <w:rtl w:val="true"/>
              </w:rPr>
              <w:t>(</w:t>
            </w:r>
            <w:r>
              <w:rPr>
                <w:rStyle w:val="IndexLink"/>
                <w:rtl w:val="true"/>
              </w:rPr>
              <w:t>صلی الله علیه و آله و سلم</w:t>
            </w:r>
            <w:r>
              <w:rPr>
                <w:rStyle w:val="IndexLink"/>
                <w:rtl w:val="true"/>
              </w:rPr>
              <w:t>):</w:t>
              <w:tab/>
            </w:r>
            <w:r>
              <w:rPr>
                <w:rStyle w:val="IndexLink"/>
              </w:rPr>
              <w:t>47</w:t>
            </w:r>
          </w:hyperlink>
        </w:p>
        <w:p>
          <w:pPr>
            <w:pStyle w:val="Contents5"/>
            <w:tabs>
              <w:tab w:val="clear" w:pos="7892"/>
              <w:tab w:val="right" w:pos="9026" w:leader="dot"/>
            </w:tabs>
            <w:rPr/>
          </w:pPr>
          <w:hyperlink w:anchor="__RefHeading___Toc6877705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6877707_1280447820">
            <w:r>
              <w:rPr>
                <w:webHidden/>
                <w:rStyle w:val="IndexLink"/>
                <w:rtl w:val="true"/>
              </w:rPr>
              <w:t>صور من الظلم والمعاناة</w:t>
            </w:r>
            <w:r>
              <w:rPr>
                <w:rStyle w:val="IndexLink"/>
                <w:rtl w:val="true"/>
              </w:rPr>
              <w:t>:</w:t>
              <w:tab/>
            </w:r>
            <w:r>
              <w:rPr>
                <w:rStyle w:val="IndexLink"/>
              </w:rPr>
              <w:t>50</w:t>
            </w:r>
          </w:hyperlink>
        </w:p>
        <w:p>
          <w:pPr>
            <w:pStyle w:val="Contents5"/>
            <w:tabs>
              <w:tab w:val="clear" w:pos="7892"/>
              <w:tab w:val="right" w:pos="9026" w:leader="dot"/>
            </w:tabs>
            <w:rPr/>
          </w:pPr>
          <w:hyperlink w:anchor="__RefHeading___Toc6877709_1280447820">
            <w:r>
              <w:rPr>
                <w:webHidden/>
                <w:rStyle w:val="IndexLink"/>
                <w:rtl w:val="true"/>
              </w:rPr>
              <w:t>شبهات مغرضة</w:t>
            </w:r>
            <w:r>
              <w:rPr>
                <w:rStyle w:val="IndexLink"/>
                <w:rtl w:val="true"/>
              </w:rPr>
              <w:t>:</w:t>
              <w:tab/>
            </w:r>
            <w:r>
              <w:rPr>
                <w:rStyle w:val="IndexLink"/>
              </w:rPr>
              <w:t>57</w:t>
            </w:r>
          </w:hyperlink>
        </w:p>
        <w:p>
          <w:pPr>
            <w:pStyle w:val="Contents5"/>
            <w:tabs>
              <w:tab w:val="clear" w:pos="7892"/>
              <w:tab w:val="right" w:pos="9026" w:leader="dot"/>
            </w:tabs>
            <w:rPr/>
          </w:pPr>
          <w:hyperlink w:anchor="__RefHeading___Toc6877711_1280447820">
            <w:r>
              <w:rPr>
                <w:webHidden/>
                <w:rStyle w:val="IndexLink"/>
                <w:rtl w:val="true"/>
              </w:rPr>
              <w:t>التقية في الفقه الإمامي</w:t>
            </w:r>
            <w:r>
              <w:rPr>
                <w:rStyle w:val="IndexLink"/>
                <w:rtl w:val="true"/>
              </w:rPr>
              <w:t>:</w:t>
              <w:tab/>
            </w:r>
            <w:r>
              <w:rPr>
                <w:rStyle w:val="IndexLink"/>
              </w:rPr>
              <w:t>58</w:t>
            </w:r>
          </w:hyperlink>
        </w:p>
        <w:p>
          <w:pPr>
            <w:pStyle w:val="Contents5"/>
            <w:tabs>
              <w:tab w:val="clear" w:pos="7892"/>
              <w:tab w:val="right" w:pos="9026" w:leader="dot"/>
            </w:tabs>
            <w:rPr/>
          </w:pPr>
          <w:hyperlink w:anchor="__RefHeading___Toc6877713_1280447820">
            <w:r>
              <w:rPr>
                <w:webHidden/>
                <w:rStyle w:val="IndexLink"/>
                <w:rtl w:val="true"/>
              </w:rPr>
              <w:t>المدخل التقية وأدلتها</w:t>
            </w:r>
            <w:r>
              <w:rPr>
                <w:rStyle w:val="IndexLink"/>
                <w:rtl w:val="true"/>
              </w:rPr>
              <w:tab/>
            </w:r>
            <w:r>
              <w:rPr>
                <w:rStyle w:val="IndexLink"/>
              </w:rPr>
              <w:t>62</w:t>
            </w:r>
          </w:hyperlink>
        </w:p>
        <w:p>
          <w:pPr>
            <w:pStyle w:val="Contents5"/>
            <w:tabs>
              <w:tab w:val="clear" w:pos="7892"/>
              <w:tab w:val="right" w:pos="9026" w:leader="dot"/>
            </w:tabs>
            <w:rPr/>
          </w:pPr>
          <w:hyperlink w:anchor="__RefHeading___Toc6877715_1280447820">
            <w:r>
              <w:rPr>
                <w:webHidden/>
                <w:rStyle w:val="IndexLink"/>
                <w:rtl w:val="true"/>
              </w:rPr>
              <w:t>التقية في اللغة والاصطلاح</w:t>
            </w:r>
            <w:r>
              <w:rPr>
                <w:rStyle w:val="IndexLink"/>
                <w:rtl w:val="true"/>
              </w:rPr>
              <w:t>:</w:t>
              <w:tab/>
            </w:r>
            <w:r>
              <w:rPr>
                <w:rStyle w:val="IndexLink"/>
              </w:rPr>
              <w:t>64</w:t>
            </w:r>
          </w:hyperlink>
        </w:p>
        <w:p>
          <w:pPr>
            <w:pStyle w:val="Contents5"/>
            <w:tabs>
              <w:tab w:val="clear" w:pos="7892"/>
              <w:tab w:val="right" w:pos="9026" w:leader="dot"/>
            </w:tabs>
            <w:rPr/>
          </w:pPr>
          <w:hyperlink w:anchor="__RefHeading___Toc6877717_1280447820">
            <w:r>
              <w:rPr>
                <w:webHidden/>
                <w:rStyle w:val="IndexLink"/>
                <w:rtl w:val="true"/>
              </w:rPr>
              <w:t>أدلة التقية</w:t>
            </w:r>
            <w:r>
              <w:rPr>
                <w:rStyle w:val="IndexLink"/>
                <w:rtl w:val="true"/>
              </w:rPr>
              <w:t>:</w:t>
              <w:tab/>
            </w:r>
            <w:r>
              <w:rPr>
                <w:rStyle w:val="IndexLink"/>
              </w:rPr>
              <w:t>66</w:t>
            </w:r>
          </w:hyperlink>
        </w:p>
        <w:p>
          <w:pPr>
            <w:pStyle w:val="Contents6"/>
            <w:tabs>
              <w:tab w:val="clear" w:pos="7609"/>
              <w:tab w:val="right" w:pos="9026" w:leader="dot"/>
            </w:tabs>
            <w:rPr/>
          </w:pPr>
          <w:hyperlink w:anchor="__RefHeading___Toc6877719_1280447820">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6877721_1280447820">
            <w:r>
              <w:rPr>
                <w:webHidden/>
                <w:rStyle w:val="IndexLink"/>
                <w:rtl w:val="true"/>
              </w:rPr>
              <w:t>الدليل الأول</w:t>
            </w:r>
            <w:r>
              <w:rPr>
                <w:rStyle w:val="IndexLink"/>
                <w:rtl w:val="true"/>
              </w:rPr>
              <w:t xml:space="preserve">: </w:t>
            </w:r>
            <w:r>
              <w:rPr>
                <w:rStyle w:val="IndexLink"/>
                <w:rtl w:val="true"/>
              </w:rPr>
              <w:t>من الكتاب</w:t>
            </w:r>
            <w:r>
              <w:rPr>
                <w:rStyle w:val="IndexLink"/>
                <w:rtl w:val="true"/>
              </w:rPr>
              <w:t>:</w:t>
              <w:tab/>
            </w:r>
            <w:r>
              <w:rPr>
                <w:rStyle w:val="IndexLink"/>
              </w:rPr>
              <w:t>66</w:t>
            </w:r>
          </w:hyperlink>
        </w:p>
        <w:p>
          <w:pPr>
            <w:pStyle w:val="Contents6"/>
            <w:tabs>
              <w:tab w:val="clear" w:pos="7609"/>
              <w:tab w:val="right" w:pos="9026" w:leader="dot"/>
            </w:tabs>
            <w:rPr/>
          </w:pPr>
          <w:hyperlink w:anchor="__RefHeading___Toc6877723_1280447820">
            <w:r>
              <w:rPr>
                <w:webHidden/>
                <w:rStyle w:val="IndexLink"/>
                <w:rtl w:val="true"/>
              </w:rPr>
              <w:t>الدليل الثاني</w:t>
            </w:r>
            <w:r>
              <w:rPr>
                <w:rStyle w:val="IndexLink"/>
                <w:rtl w:val="true"/>
              </w:rPr>
              <w:t xml:space="preserve">: </w:t>
            </w:r>
            <w:r>
              <w:rPr>
                <w:rStyle w:val="IndexLink"/>
                <w:rtl w:val="true"/>
              </w:rPr>
              <w:t>من السنة</w:t>
            </w:r>
            <w:r>
              <w:rPr>
                <w:rStyle w:val="IndexLink"/>
                <w:rtl w:val="true"/>
              </w:rPr>
              <w:t>:</w:t>
              <w:tab/>
            </w:r>
            <w:r>
              <w:rPr>
                <w:rStyle w:val="IndexLink"/>
              </w:rPr>
              <w:t>68</w:t>
            </w:r>
          </w:hyperlink>
        </w:p>
        <w:p>
          <w:pPr>
            <w:pStyle w:val="Contents6"/>
            <w:tabs>
              <w:tab w:val="clear" w:pos="7609"/>
              <w:tab w:val="right" w:pos="9026" w:leader="dot"/>
            </w:tabs>
            <w:rPr/>
          </w:pPr>
          <w:hyperlink w:anchor="__RefHeading___Toc6877725_1280447820">
            <w:r>
              <w:rPr>
                <w:webHidden/>
                <w:rStyle w:val="IndexLink"/>
                <w:rtl w:val="true"/>
              </w:rPr>
              <w:t>الدليل الثالث</w:t>
            </w:r>
            <w:r>
              <w:rPr>
                <w:rStyle w:val="IndexLink"/>
                <w:rtl w:val="true"/>
              </w:rPr>
              <w:t xml:space="preserve">: </w:t>
            </w:r>
            <w:r>
              <w:rPr>
                <w:rStyle w:val="IndexLink"/>
                <w:rtl w:val="true"/>
              </w:rPr>
              <w:t>الإجماع منقولاً ومحصّلاً، قولاً وعملاً</w:t>
            </w:r>
            <w:r>
              <w:rPr>
                <w:rStyle w:val="IndexLink"/>
                <w:rtl w:val="true"/>
              </w:rPr>
              <w:t>:</w:t>
              <w:tab/>
            </w:r>
            <w:r>
              <w:rPr>
                <w:rStyle w:val="IndexLink"/>
              </w:rPr>
              <w:t>70</w:t>
            </w:r>
          </w:hyperlink>
        </w:p>
        <w:p>
          <w:pPr>
            <w:pStyle w:val="Contents6"/>
            <w:tabs>
              <w:tab w:val="clear" w:pos="7609"/>
              <w:tab w:val="right" w:pos="9026" w:leader="dot"/>
            </w:tabs>
            <w:rPr/>
          </w:pPr>
          <w:hyperlink w:anchor="__RefHeading___Toc6877727_1280447820">
            <w:r>
              <w:rPr>
                <w:webHidden/>
                <w:rStyle w:val="IndexLink"/>
                <w:rtl w:val="true"/>
              </w:rPr>
              <w:t>الدليل الرابع</w:t>
            </w:r>
            <w:r>
              <w:rPr>
                <w:rStyle w:val="IndexLink"/>
                <w:rtl w:val="true"/>
              </w:rPr>
              <w:t xml:space="preserve">: </w:t>
            </w:r>
            <w:r>
              <w:rPr>
                <w:rStyle w:val="IndexLink"/>
                <w:rtl w:val="true"/>
              </w:rPr>
              <w:t>العقل</w:t>
            </w:r>
            <w:r>
              <w:rPr>
                <w:rStyle w:val="IndexLink"/>
                <w:rtl w:val="true"/>
              </w:rPr>
              <w:t>:</w:t>
              <w:tab/>
            </w:r>
            <w:r>
              <w:rPr>
                <w:rStyle w:val="IndexLink"/>
              </w:rPr>
              <w:t>71</w:t>
            </w:r>
          </w:hyperlink>
        </w:p>
        <w:p>
          <w:pPr>
            <w:pStyle w:val="Contents2"/>
            <w:tabs>
              <w:tab w:val="clear" w:pos="8743"/>
              <w:tab w:val="right" w:pos="9026" w:leader="dot"/>
            </w:tabs>
            <w:rPr/>
          </w:pPr>
          <w:hyperlink w:anchor="__RefHeading___Toc6877729_1280447820">
            <w:r>
              <w:rPr>
                <w:webHidden/>
                <w:rStyle w:val="IndexLink"/>
                <w:rtl w:val="true"/>
              </w:rPr>
              <w:t>الفصل الأول</w:t>
            </w:r>
            <w:r>
              <w:rPr>
                <w:rStyle w:val="IndexLink"/>
                <w:rtl w:val="true"/>
              </w:rPr>
              <w:t xml:space="preserve">: </w:t>
            </w:r>
            <w:r>
              <w:rPr>
                <w:rStyle w:val="IndexLink"/>
                <w:rtl w:val="true"/>
              </w:rPr>
              <w:t>التقية في أصول الدين</w:t>
            </w:r>
            <w:r>
              <w:rPr>
                <w:rStyle w:val="IndexLink"/>
                <w:rtl w:val="true"/>
              </w:rPr>
              <w:tab/>
            </w:r>
            <w:r>
              <w:rPr>
                <w:rStyle w:val="IndexLink"/>
              </w:rPr>
              <w:t>80</w:t>
            </w:r>
          </w:hyperlink>
        </w:p>
        <w:p>
          <w:pPr>
            <w:pStyle w:val="Contents3"/>
            <w:tabs>
              <w:tab w:val="clear" w:pos="8459"/>
              <w:tab w:val="right" w:pos="9026" w:leader="dot"/>
            </w:tabs>
            <w:rPr/>
          </w:pPr>
          <w:hyperlink w:anchor="__RefHeading___Toc6877731_1280447820">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6877733_1280447820">
            <w:r>
              <w:rPr>
                <w:webHidden/>
                <w:rStyle w:val="IndexLink"/>
                <w:rtl w:val="true"/>
              </w:rPr>
              <w:t>المقام الاول</w:t>
            </w:r>
            <w:r>
              <w:rPr>
                <w:rStyle w:val="IndexLink"/>
                <w:rtl w:val="true"/>
              </w:rPr>
              <w:t xml:space="preserve">: </w:t>
            </w:r>
            <w:r>
              <w:rPr>
                <w:rStyle w:val="IndexLink"/>
                <w:rtl w:val="true"/>
              </w:rPr>
              <w:t>في الأدلة علی القول بالجواز</w:t>
            </w:r>
            <w:r>
              <w:rPr>
                <w:rStyle w:val="IndexLink"/>
                <w:rtl w:val="true"/>
              </w:rPr>
              <w:tab/>
            </w:r>
            <w:r>
              <w:rPr>
                <w:rStyle w:val="IndexLink"/>
              </w:rPr>
              <w:t>82</w:t>
            </w:r>
          </w:hyperlink>
        </w:p>
        <w:p>
          <w:pPr>
            <w:pStyle w:val="Contents3"/>
            <w:tabs>
              <w:tab w:val="clear" w:pos="8459"/>
              <w:tab w:val="right" w:pos="9026" w:leader="dot"/>
            </w:tabs>
            <w:rPr/>
          </w:pPr>
          <w:hyperlink w:anchor="__RefHeading___Toc6877735_1280447820">
            <w:r>
              <w:rPr>
                <w:webHidden/>
                <w:rStyle w:val="IndexLink"/>
                <w:rtl w:val="true"/>
              </w:rPr>
              <w:t>المقام الثاني</w:t>
            </w:r>
            <w:r>
              <w:rPr>
                <w:rStyle w:val="IndexLink"/>
                <w:rtl w:val="true"/>
              </w:rPr>
              <w:t xml:space="preserve">: </w:t>
            </w:r>
            <w:r>
              <w:rPr>
                <w:rStyle w:val="IndexLink"/>
                <w:rtl w:val="true"/>
              </w:rPr>
              <w:t>في حكم التقية في أصول الدين</w:t>
            </w:r>
            <w:r>
              <w:rPr>
                <w:rStyle w:val="IndexLink"/>
                <w:rtl w:val="true"/>
              </w:rPr>
              <w:t>:</w:t>
              <w:tab/>
            </w:r>
            <w:r>
              <w:rPr>
                <w:rStyle w:val="IndexLink"/>
              </w:rPr>
              <w:t>86</w:t>
            </w:r>
          </w:hyperlink>
        </w:p>
        <w:p>
          <w:pPr>
            <w:pStyle w:val="Contents3"/>
            <w:tabs>
              <w:tab w:val="clear" w:pos="8459"/>
              <w:tab w:val="right" w:pos="9026" w:leader="dot"/>
            </w:tabs>
            <w:rPr/>
          </w:pPr>
          <w:hyperlink w:anchor="__RefHeading___Toc6877737_1280447820">
            <w:r>
              <w:rPr>
                <w:webHidden/>
                <w:rStyle w:val="IndexLink"/>
                <w:rtl w:val="true"/>
              </w:rPr>
              <w:t>المقام الثالث في البراءة</w:t>
            </w:r>
            <w:r>
              <w:rPr>
                <w:rStyle w:val="IndexLink"/>
                <w:rtl w:val="true"/>
              </w:rPr>
              <w:t>:</w:t>
              <w:tab/>
            </w:r>
            <w:r>
              <w:rPr>
                <w:rStyle w:val="IndexLink"/>
              </w:rPr>
              <w:t>88</w:t>
            </w:r>
          </w:hyperlink>
        </w:p>
        <w:p>
          <w:pPr>
            <w:pStyle w:val="Contents3"/>
            <w:tabs>
              <w:tab w:val="clear" w:pos="8459"/>
              <w:tab w:val="right" w:pos="9026" w:leader="dot"/>
            </w:tabs>
            <w:rPr/>
          </w:pPr>
          <w:hyperlink w:anchor="__RefHeading___Toc6877739_1280447820">
            <w:r>
              <w:rPr>
                <w:webHidden/>
                <w:rStyle w:val="IndexLink"/>
                <w:rtl w:val="true"/>
              </w:rPr>
              <w:t>المقام الرابع</w:t>
            </w:r>
            <w:r>
              <w:rPr>
                <w:rStyle w:val="IndexLink"/>
                <w:rtl w:val="true"/>
              </w:rPr>
              <w:t xml:space="preserve">: </w:t>
            </w:r>
            <w:r>
              <w:rPr>
                <w:rStyle w:val="IndexLink"/>
                <w:rtl w:val="true"/>
              </w:rPr>
              <w:t>في حكم التقية في البراءة</w:t>
            </w:r>
            <w:r>
              <w:rPr>
                <w:rStyle w:val="IndexLink"/>
                <w:rtl w:val="true"/>
              </w:rPr>
              <w:t>:</w:t>
              <w:tab/>
            </w:r>
            <w:r>
              <w:rPr>
                <w:rStyle w:val="IndexLink"/>
              </w:rPr>
              <w:t>94</w:t>
            </w:r>
          </w:hyperlink>
        </w:p>
        <w:p>
          <w:pPr>
            <w:pStyle w:val="Contents4"/>
            <w:tabs>
              <w:tab w:val="clear" w:pos="8176"/>
              <w:tab w:val="right" w:pos="9026" w:leader="dot"/>
            </w:tabs>
            <w:rPr/>
          </w:pPr>
          <w:hyperlink w:anchor="__RefHeading___Toc6877741_1280447820">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6877743_1280447820">
            <w:r>
              <w:rPr>
                <w:webHidden/>
                <w:rStyle w:val="IndexLink"/>
                <w:rtl w:val="true"/>
              </w:rPr>
              <w:t>بقي أمران</w:t>
            </w:r>
            <w:r>
              <w:rPr>
                <w:rStyle w:val="IndexLink"/>
                <w:rtl w:val="true"/>
              </w:rPr>
              <w:t>:</w:t>
              <w:tab/>
            </w:r>
            <w:r>
              <w:rPr>
                <w:rStyle w:val="IndexLink"/>
              </w:rPr>
              <w:t>97</w:t>
            </w:r>
          </w:hyperlink>
        </w:p>
        <w:p>
          <w:pPr>
            <w:pStyle w:val="Contents4"/>
            <w:tabs>
              <w:tab w:val="clear" w:pos="8176"/>
              <w:tab w:val="right" w:pos="9026" w:leader="dot"/>
            </w:tabs>
            <w:rPr/>
          </w:pPr>
          <w:hyperlink w:anchor="__RefHeading___Toc6877745_1280447820">
            <w:r>
              <w:rPr>
                <w:webHidden/>
                <w:rStyle w:val="IndexLink"/>
                <w:rtl w:val="true"/>
              </w:rPr>
              <w:t>وها هنا مسألتان</w:t>
            </w:r>
            <w:r>
              <w:rPr>
                <w:rStyle w:val="IndexLink"/>
                <w:rtl w:val="true"/>
              </w:rPr>
              <w:t>:</w:t>
              <w:tab/>
            </w:r>
            <w:r>
              <w:rPr>
                <w:rStyle w:val="IndexLink"/>
              </w:rPr>
              <w:t>99</w:t>
            </w:r>
          </w:hyperlink>
        </w:p>
        <w:p>
          <w:pPr>
            <w:pStyle w:val="Contents2"/>
            <w:tabs>
              <w:tab w:val="clear" w:pos="8743"/>
              <w:tab w:val="right" w:pos="9026" w:leader="dot"/>
            </w:tabs>
            <w:rPr/>
          </w:pPr>
          <w:hyperlink w:anchor="__RefHeading___Toc6877747_1280447820">
            <w:r>
              <w:rPr>
                <w:webHidden/>
                <w:rStyle w:val="IndexLink"/>
                <w:rtl w:val="true"/>
              </w:rPr>
              <w:t>الفصل الثاني</w:t>
            </w:r>
            <w:r>
              <w:rPr>
                <w:rStyle w:val="IndexLink"/>
                <w:rtl w:val="true"/>
              </w:rPr>
              <w:tab/>
            </w:r>
            <w:r>
              <w:rPr>
                <w:rStyle w:val="IndexLink"/>
              </w:rPr>
              <w:t>102</w:t>
            </w:r>
          </w:hyperlink>
        </w:p>
        <w:p>
          <w:pPr>
            <w:pStyle w:val="Contents3"/>
            <w:tabs>
              <w:tab w:val="clear" w:pos="8459"/>
              <w:tab w:val="right" w:pos="9026" w:leader="dot"/>
            </w:tabs>
            <w:rPr/>
          </w:pPr>
          <w:hyperlink w:anchor="__RefHeading___Toc6877749_128044782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6877751_1280447820">
            <w:r>
              <w:rPr>
                <w:webHidden/>
                <w:rStyle w:val="IndexLink"/>
                <w:rtl w:val="true"/>
              </w:rPr>
              <w:t>المورد الأول</w:t>
            </w:r>
            <w:r>
              <w:rPr>
                <w:rStyle w:val="IndexLink"/>
                <w:rtl w:val="true"/>
              </w:rPr>
              <w:t xml:space="preserve">: </w:t>
            </w:r>
            <w:r>
              <w:rPr>
                <w:rStyle w:val="IndexLink"/>
                <w:rtl w:val="true"/>
              </w:rPr>
              <w:t>اتخاذ الكافرين أولياء</w:t>
            </w:r>
            <w:r>
              <w:rPr>
                <w:rStyle w:val="IndexLink"/>
                <w:rtl w:val="true"/>
              </w:rPr>
              <w:t>:</w:t>
              <w:tab/>
            </w:r>
            <w:r>
              <w:rPr>
                <w:rStyle w:val="IndexLink"/>
              </w:rPr>
              <w:t>105</w:t>
            </w:r>
          </w:hyperlink>
        </w:p>
        <w:p>
          <w:pPr>
            <w:pStyle w:val="Contents3"/>
            <w:tabs>
              <w:tab w:val="clear" w:pos="8459"/>
              <w:tab w:val="right" w:pos="9026" w:leader="dot"/>
            </w:tabs>
            <w:rPr/>
          </w:pPr>
          <w:hyperlink w:anchor="__RefHeading___Toc6877753_1280447820">
            <w:r>
              <w:rPr>
                <w:webHidden/>
                <w:rStyle w:val="IndexLink"/>
                <w:rtl w:val="true"/>
              </w:rPr>
              <w:t>المورد الثاني</w:t>
            </w:r>
            <w:r>
              <w:rPr>
                <w:rStyle w:val="IndexLink"/>
                <w:rtl w:val="true"/>
              </w:rPr>
              <w:t xml:space="preserve">: </w:t>
            </w:r>
            <w:r>
              <w:rPr>
                <w:rStyle w:val="IndexLink"/>
                <w:rtl w:val="true"/>
              </w:rPr>
              <w:t>في التسليم على الكفار ابتداء</w:t>
            </w:r>
            <w:r>
              <w:rPr>
                <w:rStyle w:val="IndexLink"/>
                <w:rtl w:val="true"/>
              </w:rPr>
              <w:t>:</w:t>
              <w:tab/>
            </w:r>
            <w:r>
              <w:rPr>
                <w:rStyle w:val="IndexLink"/>
              </w:rPr>
              <w:t>114</w:t>
            </w:r>
          </w:hyperlink>
        </w:p>
        <w:p>
          <w:pPr>
            <w:pStyle w:val="Contents3"/>
            <w:tabs>
              <w:tab w:val="clear" w:pos="8459"/>
              <w:tab w:val="right" w:pos="9026" w:leader="dot"/>
            </w:tabs>
            <w:rPr/>
          </w:pPr>
          <w:hyperlink w:anchor="__RefHeading___Toc6877755_1280447820">
            <w:r>
              <w:rPr>
                <w:webHidden/>
                <w:rStyle w:val="IndexLink"/>
                <w:rtl w:val="true"/>
              </w:rPr>
              <w:t>المورد الثالث</w:t>
            </w:r>
            <w:r>
              <w:rPr>
                <w:rStyle w:val="IndexLink"/>
                <w:rtl w:val="true"/>
              </w:rPr>
              <w:t xml:space="preserve">: </w:t>
            </w:r>
            <w:r>
              <w:rPr>
                <w:rStyle w:val="IndexLink"/>
                <w:rtl w:val="true"/>
              </w:rPr>
              <w:t>في إطعام الكفار</w:t>
            </w:r>
            <w:r>
              <w:rPr>
                <w:rStyle w:val="IndexLink"/>
                <w:rtl w:val="true"/>
              </w:rPr>
              <w:t>:</w:t>
              <w:tab/>
            </w:r>
            <w:r>
              <w:rPr>
                <w:rStyle w:val="IndexLink"/>
              </w:rPr>
              <w:t>117</w:t>
            </w:r>
          </w:hyperlink>
        </w:p>
        <w:p>
          <w:pPr>
            <w:pStyle w:val="Contents3"/>
            <w:tabs>
              <w:tab w:val="clear" w:pos="8459"/>
              <w:tab w:val="right" w:pos="9026" w:leader="dot"/>
            </w:tabs>
            <w:rPr/>
          </w:pPr>
          <w:hyperlink w:anchor="__RefHeading___Toc6877757_1280447820">
            <w:r>
              <w:rPr>
                <w:webHidden/>
                <w:rStyle w:val="IndexLink"/>
                <w:rtl w:val="true"/>
              </w:rPr>
              <w:t>المورد الرابع</w:t>
            </w:r>
            <w:r>
              <w:rPr>
                <w:rStyle w:val="IndexLink"/>
                <w:rtl w:val="true"/>
              </w:rPr>
              <w:t xml:space="preserve">: </w:t>
            </w:r>
            <w:r>
              <w:rPr>
                <w:rStyle w:val="IndexLink"/>
                <w:rtl w:val="true"/>
              </w:rPr>
              <w:t>في دخول الكفار إلى المساجد</w:t>
            </w:r>
            <w:r>
              <w:rPr>
                <w:rStyle w:val="IndexLink"/>
                <w:rtl w:val="true"/>
              </w:rPr>
              <w:t>:</w:t>
              <w:tab/>
            </w:r>
            <w:r>
              <w:rPr>
                <w:rStyle w:val="IndexLink"/>
              </w:rPr>
              <w:t>119</w:t>
            </w:r>
          </w:hyperlink>
        </w:p>
        <w:p>
          <w:pPr>
            <w:pStyle w:val="Contents4"/>
            <w:tabs>
              <w:tab w:val="clear" w:pos="8176"/>
              <w:tab w:val="right" w:pos="9026" w:leader="dot"/>
            </w:tabs>
            <w:rPr/>
          </w:pPr>
          <w:hyperlink w:anchor="__RefHeading___Toc6877759_128044782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6877761_1280447820">
            <w:r>
              <w:rPr>
                <w:webHidden/>
                <w:rStyle w:val="IndexLink"/>
                <w:rtl w:val="true"/>
              </w:rPr>
              <w:t>مسائل</w:t>
            </w:r>
            <w:r>
              <w:rPr>
                <w:rStyle w:val="IndexLink"/>
                <w:rtl w:val="true"/>
              </w:rPr>
              <w:t>:</w:t>
              <w:tab/>
            </w:r>
            <w:r>
              <w:rPr>
                <w:rStyle w:val="IndexLink"/>
              </w:rPr>
              <w:t>125</w:t>
            </w:r>
          </w:hyperlink>
        </w:p>
        <w:p>
          <w:pPr>
            <w:pStyle w:val="Contents5"/>
            <w:tabs>
              <w:tab w:val="clear" w:pos="7892"/>
              <w:tab w:val="right" w:pos="9026" w:leader="dot"/>
            </w:tabs>
            <w:rPr/>
          </w:pPr>
          <w:hyperlink w:anchor="__RefHeading___Toc6877763_1280447820">
            <w:r>
              <w:rPr>
                <w:webHidden/>
                <w:rStyle w:val="IndexLink"/>
                <w:rtl w:val="true"/>
              </w:rPr>
              <w:t>المسألة الأولى</w:t>
            </w:r>
            <w:r>
              <w:rPr>
                <w:rStyle w:val="IndexLink"/>
                <w:rtl w:val="true"/>
              </w:rPr>
              <w:t>:</w:t>
              <w:tab/>
            </w:r>
            <w:r>
              <w:rPr>
                <w:rStyle w:val="IndexLink"/>
              </w:rPr>
              <w:t>125</w:t>
            </w:r>
          </w:hyperlink>
        </w:p>
        <w:p>
          <w:pPr>
            <w:pStyle w:val="Contents6"/>
            <w:tabs>
              <w:tab w:val="clear" w:pos="7609"/>
              <w:tab w:val="right" w:pos="9026" w:leader="dot"/>
            </w:tabs>
            <w:rPr/>
          </w:pPr>
          <w:hyperlink w:anchor="__RefHeading___Toc6877765_1280447820">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6877767_1280447820">
            <w:r>
              <w:rPr>
                <w:webHidden/>
                <w:rStyle w:val="IndexLink"/>
                <w:rtl w:val="true"/>
              </w:rPr>
              <w:t>أدلة الخاصة</w:t>
            </w:r>
            <w:r>
              <w:rPr>
                <w:rStyle w:val="IndexLink"/>
                <w:rtl w:val="true"/>
              </w:rPr>
              <w:t>:</w:t>
              <w:tab/>
            </w:r>
            <w:r>
              <w:rPr>
                <w:rStyle w:val="IndexLink"/>
              </w:rPr>
              <w:t>127</w:t>
            </w:r>
          </w:hyperlink>
        </w:p>
        <w:p>
          <w:pPr>
            <w:pStyle w:val="Contents6"/>
            <w:tabs>
              <w:tab w:val="clear" w:pos="7609"/>
              <w:tab w:val="right" w:pos="9026" w:leader="dot"/>
            </w:tabs>
            <w:rPr/>
          </w:pPr>
          <w:hyperlink w:anchor="__RefHeading___Toc6877769_1280447820">
            <w:r>
              <w:rPr>
                <w:webHidden/>
                <w:rStyle w:val="IndexLink"/>
                <w:rtl w:val="true"/>
              </w:rPr>
              <w:t>الجمع بين الروايات</w:t>
            </w:r>
            <w:r>
              <w:rPr>
                <w:rStyle w:val="IndexLink"/>
                <w:rtl w:val="true"/>
              </w:rPr>
              <w:t>:</w:t>
              <w:tab/>
            </w:r>
            <w:r>
              <w:rPr>
                <w:rStyle w:val="IndexLink"/>
              </w:rPr>
              <w:t>172</w:t>
            </w:r>
          </w:hyperlink>
        </w:p>
        <w:p>
          <w:pPr>
            <w:pStyle w:val="Contents5"/>
            <w:tabs>
              <w:tab w:val="clear" w:pos="7892"/>
              <w:tab w:val="right" w:pos="9026" w:leader="dot"/>
            </w:tabs>
            <w:rPr/>
          </w:pPr>
          <w:hyperlink w:anchor="__RefHeading___Toc6877771_1280447820">
            <w:r>
              <w:rPr>
                <w:webHidden/>
                <w:rStyle w:val="IndexLink"/>
                <w:rtl w:val="true"/>
              </w:rPr>
              <w:t>المسألة الثانية</w:t>
            </w:r>
            <w:r>
              <w:rPr>
                <w:rStyle w:val="IndexLink"/>
                <w:rtl w:val="true"/>
              </w:rPr>
              <w:t>:</w:t>
              <w:tab/>
            </w:r>
            <w:r>
              <w:rPr>
                <w:rStyle w:val="IndexLink"/>
              </w:rPr>
              <w:t>175</w:t>
            </w:r>
          </w:hyperlink>
        </w:p>
        <w:p>
          <w:pPr>
            <w:pStyle w:val="Contents5"/>
            <w:tabs>
              <w:tab w:val="clear" w:pos="7892"/>
              <w:tab w:val="right" w:pos="9026" w:leader="dot"/>
            </w:tabs>
            <w:rPr/>
          </w:pPr>
          <w:hyperlink w:anchor="__RefHeading___Toc6877773_1280447820">
            <w:r>
              <w:rPr>
                <w:webHidden/>
                <w:rStyle w:val="IndexLink"/>
                <w:rtl w:val="true"/>
              </w:rPr>
              <w:t>المسألة الثالثة</w:t>
            </w:r>
            <w:r>
              <w:rPr>
                <w:rStyle w:val="IndexLink"/>
                <w:rtl w:val="true"/>
              </w:rPr>
              <w:t>:</w:t>
              <w:tab/>
            </w:r>
            <w:r>
              <w:rPr>
                <w:rStyle w:val="IndexLink"/>
              </w:rPr>
              <w:t>176</w:t>
            </w:r>
          </w:hyperlink>
        </w:p>
        <w:p>
          <w:pPr>
            <w:pStyle w:val="Contents4"/>
            <w:tabs>
              <w:tab w:val="clear" w:pos="8176"/>
              <w:tab w:val="right" w:pos="9026" w:leader="dot"/>
            </w:tabs>
            <w:rPr/>
          </w:pPr>
          <w:hyperlink w:anchor="__RefHeading___Toc6877775_1280447820">
            <w:r>
              <w:rPr>
                <w:webHidden/>
                <w:rStyle w:val="IndexLink"/>
                <w:rtl w:val="true"/>
              </w:rPr>
              <w:t>التقية مع الكفار</w:t>
            </w:r>
            <w:r>
              <w:rPr>
                <w:rStyle w:val="IndexLink"/>
                <w:rtl w:val="true"/>
              </w:rPr>
              <w:t>:</w:t>
              <w:tab/>
            </w:r>
            <w:r>
              <w:rPr>
                <w:rStyle w:val="IndexLink"/>
              </w:rPr>
              <w:t>178</w:t>
            </w:r>
          </w:hyperlink>
        </w:p>
        <w:p>
          <w:pPr>
            <w:pStyle w:val="Contents4"/>
            <w:tabs>
              <w:tab w:val="clear" w:pos="8176"/>
              <w:tab w:val="right" w:pos="9026" w:leader="dot"/>
            </w:tabs>
            <w:rPr/>
          </w:pPr>
          <w:hyperlink w:anchor="__RefHeading___Toc6877777_1280447820">
            <w:r>
              <w:rPr>
                <w:webHidden/>
                <w:rStyle w:val="IndexLink"/>
                <w:rtl w:val="true"/>
              </w:rPr>
              <w:t>أقسام التقية مع الكافر والمخالف</w:t>
            </w:r>
            <w:r>
              <w:rPr>
                <w:rStyle w:val="IndexLink"/>
                <w:rtl w:val="true"/>
              </w:rPr>
              <w:t>:</w:t>
              <w:tab/>
            </w:r>
            <w:r>
              <w:rPr>
                <w:rStyle w:val="IndexLink"/>
              </w:rPr>
              <w:t>208</w:t>
            </w:r>
          </w:hyperlink>
        </w:p>
        <w:p>
          <w:pPr>
            <w:pStyle w:val="Contents4"/>
            <w:tabs>
              <w:tab w:val="clear" w:pos="8176"/>
              <w:tab w:val="right" w:pos="9026" w:leader="dot"/>
            </w:tabs>
            <w:rPr/>
          </w:pPr>
          <w:hyperlink w:anchor="__RefHeading___Toc6877779_1280447820">
            <w:r>
              <w:rPr>
                <w:webHidden/>
                <w:rStyle w:val="IndexLink"/>
                <w:rtl w:val="true"/>
              </w:rPr>
              <w:t>مسألتان</w:t>
            </w:r>
            <w:r>
              <w:rPr>
                <w:rStyle w:val="IndexLink"/>
                <w:rtl w:val="true"/>
              </w:rPr>
              <w:t>:</w:t>
              <w:tab/>
            </w:r>
            <w:r>
              <w:rPr>
                <w:rStyle w:val="IndexLink"/>
              </w:rPr>
              <w:t>217</w:t>
            </w:r>
          </w:hyperlink>
        </w:p>
        <w:p>
          <w:pPr>
            <w:pStyle w:val="Contents3"/>
            <w:tabs>
              <w:tab w:val="clear" w:pos="8459"/>
              <w:tab w:val="right" w:pos="9026" w:leader="dot"/>
            </w:tabs>
            <w:rPr/>
          </w:pPr>
          <w:hyperlink w:anchor="__RefHeading___Toc6877781_1280447820">
            <w:r>
              <w:rPr>
                <w:webHidden/>
                <w:rStyle w:val="IndexLink"/>
                <w:rtl w:val="true"/>
              </w:rPr>
              <w:t>المورد السادس</w:t>
            </w:r>
            <w:r>
              <w:rPr>
                <w:rStyle w:val="IndexLink"/>
                <w:rtl w:val="true"/>
              </w:rPr>
              <w:t xml:space="preserve">: </w:t>
            </w:r>
            <w:r>
              <w:rPr>
                <w:rStyle w:val="IndexLink"/>
                <w:rtl w:val="true"/>
              </w:rPr>
              <w:t xml:space="preserve">التقية في تسمية الحجة </w:t>
            </w:r>
            <w:r>
              <w:rPr>
                <w:rStyle w:val="IndexLink"/>
              </w:rPr>
              <w:t xml:space="preserve"> </w:t>
            </w:r>
            <w:r>
              <w:rPr>
                <w:rStyle w:val="IndexLink"/>
              </w:rPr>
              <w:t>:</w:t>
            </w:r>
            <w:r>
              <w:rPr>
                <w:rStyle w:val="IndexLink"/>
                <w:rtl w:val="true"/>
              </w:rPr>
              <w:tab/>
            </w:r>
            <w:r>
              <w:rPr>
                <w:rStyle w:val="IndexLink"/>
              </w:rPr>
              <w:t>220</w:t>
            </w:r>
          </w:hyperlink>
        </w:p>
        <w:p>
          <w:pPr>
            <w:pStyle w:val="Contents4"/>
            <w:tabs>
              <w:tab w:val="clear" w:pos="8176"/>
              <w:tab w:val="right" w:pos="9026" w:leader="dot"/>
            </w:tabs>
            <w:rPr/>
          </w:pPr>
          <w:hyperlink w:anchor="__RefHeading___Toc6877783_12804478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6877785_1280447820">
            <w:r>
              <w:rPr>
                <w:webHidden/>
                <w:rStyle w:val="IndexLink"/>
                <w:rtl w:val="true"/>
              </w:rPr>
              <w:t>فروع</w:t>
            </w:r>
            <w:r>
              <w:rPr>
                <w:rStyle w:val="IndexLink"/>
                <w:rtl w:val="true"/>
              </w:rPr>
              <w:t>:</w:t>
              <w:tab/>
            </w:r>
            <w:r>
              <w:rPr>
                <w:rStyle w:val="IndexLink"/>
              </w:rPr>
              <w:t>234</w:t>
            </w:r>
          </w:hyperlink>
        </w:p>
        <w:p>
          <w:pPr>
            <w:pStyle w:val="Contents2"/>
            <w:tabs>
              <w:tab w:val="clear" w:pos="8743"/>
              <w:tab w:val="right" w:pos="9026" w:leader="dot"/>
            </w:tabs>
            <w:rPr/>
          </w:pPr>
          <w:hyperlink w:anchor="__RefHeading___Toc6877787_1280447820">
            <w:r>
              <w:rPr>
                <w:webHidden/>
                <w:rStyle w:val="IndexLink"/>
                <w:rtl w:val="true"/>
              </w:rPr>
              <w:t>الفصل الثالث</w:t>
            </w:r>
            <w:r>
              <w:rPr>
                <w:rStyle w:val="IndexLink"/>
                <w:rtl w:val="true"/>
              </w:rPr>
              <w:tab/>
            </w:r>
            <w:r>
              <w:rPr>
                <w:rStyle w:val="IndexLink"/>
              </w:rPr>
              <w:t>244</w:t>
            </w:r>
          </w:hyperlink>
        </w:p>
        <w:p>
          <w:pPr>
            <w:pStyle w:val="Contents3"/>
            <w:tabs>
              <w:tab w:val="clear" w:pos="8459"/>
              <w:tab w:val="right" w:pos="9026" w:leader="dot"/>
            </w:tabs>
            <w:rPr/>
          </w:pPr>
          <w:hyperlink w:anchor="__RefHeading___Toc6877789_1280447820">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6877791_1280447820">
            <w:r>
              <w:rPr>
                <w:webHidden/>
                <w:rStyle w:val="IndexLink"/>
                <w:rtl w:val="true"/>
              </w:rPr>
              <w:t>التقية في الوضوء</w:t>
            </w:r>
            <w:r>
              <w:rPr>
                <w:rStyle w:val="IndexLink"/>
                <w:rtl w:val="true"/>
              </w:rPr>
              <w:t>:</w:t>
              <w:tab/>
            </w:r>
            <w:r>
              <w:rPr>
                <w:rStyle w:val="IndexLink"/>
              </w:rPr>
              <w:t>246</w:t>
            </w:r>
          </w:hyperlink>
        </w:p>
        <w:p>
          <w:pPr>
            <w:pStyle w:val="Contents3"/>
            <w:tabs>
              <w:tab w:val="clear" w:pos="8459"/>
              <w:tab w:val="right" w:pos="9026" w:leader="dot"/>
            </w:tabs>
            <w:rPr/>
          </w:pPr>
          <w:hyperlink w:anchor="__RefHeading___Toc6877793_1280447820">
            <w:r>
              <w:rPr>
                <w:webHidden/>
                <w:rStyle w:val="IndexLink"/>
                <w:rtl w:val="true"/>
              </w:rPr>
              <w:t>التحقيق في المقام</w:t>
            </w:r>
            <w:r>
              <w:rPr>
                <w:rStyle w:val="IndexLink"/>
                <w:rtl w:val="true"/>
              </w:rPr>
              <w:t>:</w:t>
              <w:tab/>
            </w:r>
            <w:r>
              <w:rPr>
                <w:rStyle w:val="IndexLink"/>
              </w:rPr>
              <w:t>259</w:t>
            </w:r>
          </w:hyperlink>
        </w:p>
        <w:p>
          <w:pPr>
            <w:pStyle w:val="Contents3"/>
            <w:tabs>
              <w:tab w:val="clear" w:pos="8459"/>
              <w:tab w:val="right" w:pos="9026" w:leader="dot"/>
            </w:tabs>
            <w:rPr/>
          </w:pPr>
          <w:hyperlink w:anchor="__RefHeading___Toc6877795_1280447820">
            <w:r>
              <w:rPr>
                <w:webHidden/>
                <w:rStyle w:val="IndexLink"/>
                <w:rtl w:val="true"/>
              </w:rPr>
              <w:t>الجهة الثانية</w:t>
            </w:r>
            <w:r>
              <w:rPr>
                <w:rStyle w:val="IndexLink"/>
                <w:rtl w:val="true"/>
              </w:rPr>
              <w:t xml:space="preserve">: </w:t>
            </w:r>
            <w:r>
              <w:rPr>
                <w:rStyle w:val="IndexLink"/>
                <w:rtl w:val="true"/>
              </w:rPr>
              <w:t>في الغسلة الثالثة</w:t>
            </w:r>
            <w:r>
              <w:rPr>
                <w:rStyle w:val="IndexLink"/>
                <w:rtl w:val="true"/>
              </w:rPr>
              <w:t>:</w:t>
              <w:tab/>
            </w:r>
            <w:r>
              <w:rPr>
                <w:rStyle w:val="IndexLink"/>
              </w:rPr>
              <w:t>261</w:t>
            </w:r>
          </w:hyperlink>
        </w:p>
        <w:p>
          <w:pPr>
            <w:pStyle w:val="Contents3"/>
            <w:tabs>
              <w:tab w:val="clear" w:pos="8459"/>
              <w:tab w:val="right" w:pos="9026" w:leader="dot"/>
            </w:tabs>
            <w:rPr/>
          </w:pPr>
          <w:hyperlink w:anchor="__RefHeading___Toc6877797_1280447820">
            <w:r>
              <w:rPr>
                <w:webHidden/>
                <w:rStyle w:val="IndexLink"/>
                <w:rtl w:val="true"/>
              </w:rPr>
              <w:t>الجهة الثالثة</w:t>
            </w:r>
            <w:r>
              <w:rPr>
                <w:rStyle w:val="IndexLink"/>
                <w:rtl w:val="true"/>
              </w:rPr>
              <w:t xml:space="preserve">: </w:t>
            </w:r>
            <w:r>
              <w:rPr>
                <w:rStyle w:val="IndexLink"/>
                <w:rtl w:val="true"/>
              </w:rPr>
              <w:t>في ما يستفاد من الروايات</w:t>
            </w:r>
            <w:r>
              <w:rPr>
                <w:rStyle w:val="IndexLink"/>
                <w:rtl w:val="true"/>
              </w:rPr>
              <w:tab/>
            </w:r>
            <w:r>
              <w:rPr>
                <w:rStyle w:val="IndexLink"/>
              </w:rPr>
              <w:t>262</w:t>
            </w:r>
          </w:hyperlink>
        </w:p>
        <w:p>
          <w:pPr>
            <w:pStyle w:val="Contents3"/>
            <w:tabs>
              <w:tab w:val="clear" w:pos="8459"/>
              <w:tab w:val="right" w:pos="9026" w:leader="dot"/>
            </w:tabs>
            <w:rPr/>
          </w:pPr>
          <w:hyperlink w:anchor="__RefHeading___Toc6877799_1280447820">
            <w:r>
              <w:rPr>
                <w:webHidden/>
                <w:rStyle w:val="IndexLink"/>
                <w:rtl w:val="true"/>
              </w:rPr>
              <w:t>الجهة الرابعة</w:t>
            </w:r>
            <w:r>
              <w:rPr>
                <w:rStyle w:val="IndexLink"/>
                <w:rtl w:val="true"/>
              </w:rPr>
              <w:t xml:space="preserve">: </w:t>
            </w:r>
            <w:r>
              <w:rPr>
                <w:rStyle w:val="IndexLink"/>
                <w:rtl w:val="true"/>
              </w:rPr>
              <w:t>في حكم المسألة حال التقية</w:t>
            </w:r>
            <w:r>
              <w:rPr>
                <w:rStyle w:val="IndexLink"/>
                <w:rtl w:val="true"/>
              </w:rPr>
              <w:t>:</w:t>
              <w:tab/>
            </w:r>
            <w:r>
              <w:rPr>
                <w:rStyle w:val="IndexLink"/>
              </w:rPr>
              <w:t>270</w:t>
            </w:r>
          </w:hyperlink>
        </w:p>
        <w:p>
          <w:pPr>
            <w:pStyle w:val="Contents3"/>
            <w:tabs>
              <w:tab w:val="clear" w:pos="8459"/>
              <w:tab w:val="right" w:pos="9026" w:leader="dot"/>
            </w:tabs>
            <w:rPr/>
          </w:pPr>
          <w:hyperlink w:anchor="__RefHeading___Toc6877801_1280447820">
            <w:r>
              <w:rPr>
                <w:webHidden/>
                <w:rStyle w:val="IndexLink"/>
                <w:rtl w:val="true"/>
              </w:rPr>
              <w:t>المورد الثاني</w:t>
            </w:r>
            <w:r>
              <w:rPr>
                <w:rStyle w:val="IndexLink"/>
                <w:rtl w:val="true"/>
              </w:rPr>
              <w:t>:</w:t>
              <w:tab/>
            </w:r>
            <w:r>
              <w:rPr>
                <w:rStyle w:val="IndexLink"/>
              </w:rPr>
              <w:t>274</w:t>
            </w:r>
          </w:hyperlink>
        </w:p>
        <w:p>
          <w:pPr>
            <w:pStyle w:val="Contents3"/>
            <w:tabs>
              <w:tab w:val="clear" w:pos="8459"/>
              <w:tab w:val="right" w:pos="9026" w:leader="dot"/>
            </w:tabs>
            <w:rPr/>
          </w:pPr>
          <w:hyperlink w:anchor="__RefHeading___Toc6877803_1280447820">
            <w:r>
              <w:rPr>
                <w:webHidden/>
                <w:rStyle w:val="IndexLink"/>
                <w:rtl w:val="true"/>
              </w:rPr>
              <w:t>الجهة الثانية</w:t>
            </w:r>
            <w:r>
              <w:rPr>
                <w:rStyle w:val="IndexLink"/>
                <w:rtl w:val="true"/>
              </w:rPr>
              <w:t xml:space="preserve">: </w:t>
            </w:r>
            <w:r>
              <w:rPr>
                <w:rStyle w:val="IndexLink"/>
                <w:rtl w:val="true"/>
              </w:rPr>
              <w:t>في حكم المسألة حال التقية</w:t>
            </w:r>
            <w:r>
              <w:rPr>
                <w:rStyle w:val="IndexLink"/>
                <w:rtl w:val="true"/>
              </w:rPr>
              <w:t>:</w:t>
              <w:tab/>
            </w:r>
            <w:r>
              <w:rPr>
                <w:rStyle w:val="IndexLink"/>
              </w:rPr>
              <w:t>286</w:t>
            </w:r>
          </w:hyperlink>
        </w:p>
        <w:p>
          <w:pPr>
            <w:pStyle w:val="Contents3"/>
            <w:tabs>
              <w:tab w:val="clear" w:pos="8459"/>
              <w:tab w:val="right" w:pos="9026" w:leader="dot"/>
            </w:tabs>
            <w:rPr/>
          </w:pPr>
          <w:hyperlink w:anchor="__RefHeading___Toc6877805_1280447820">
            <w:r>
              <w:rPr>
                <w:webHidden/>
                <w:rStyle w:val="IndexLink"/>
                <w:rtl w:val="true"/>
              </w:rPr>
              <w:t>المورد الثالث</w:t>
            </w:r>
            <w:r>
              <w:rPr>
                <w:rStyle w:val="IndexLink"/>
                <w:rtl w:val="true"/>
              </w:rPr>
              <w:t xml:space="preserve">: </w:t>
            </w:r>
            <w:r>
              <w:rPr>
                <w:rStyle w:val="IndexLink"/>
                <w:rtl w:val="true"/>
              </w:rPr>
              <w:t>في مسح الرأس كلاًّ أو بعضاً مع الأذنين أو بدونهما</w:t>
            </w:r>
            <w:r>
              <w:rPr>
                <w:rStyle w:val="IndexLink"/>
                <w:rtl w:val="true"/>
              </w:rPr>
              <w:t>:</w:t>
              <w:tab/>
            </w:r>
            <w:r>
              <w:rPr>
                <w:rStyle w:val="IndexLink"/>
              </w:rPr>
              <w:t>287</w:t>
            </w:r>
          </w:hyperlink>
        </w:p>
        <w:p>
          <w:pPr>
            <w:pStyle w:val="Contents3"/>
            <w:tabs>
              <w:tab w:val="clear" w:pos="8459"/>
              <w:tab w:val="right" w:pos="9026" w:leader="dot"/>
            </w:tabs>
            <w:rPr/>
          </w:pPr>
          <w:hyperlink w:anchor="__RefHeading___Toc6877807_1280447820">
            <w:r>
              <w:rPr>
                <w:webHidden/>
                <w:rStyle w:val="IndexLink"/>
                <w:rtl w:val="true"/>
              </w:rPr>
              <w:t>الجهة الأولى</w:t>
            </w:r>
            <w:r>
              <w:rPr>
                <w:rStyle w:val="IndexLink"/>
                <w:rtl w:val="true"/>
              </w:rPr>
              <w:t xml:space="preserve">: </w:t>
            </w:r>
            <w:r>
              <w:rPr>
                <w:rStyle w:val="IndexLink"/>
                <w:rtl w:val="true"/>
              </w:rPr>
              <w:t>في المسح على الرأس</w:t>
            </w:r>
            <w:r>
              <w:rPr>
                <w:rStyle w:val="IndexLink"/>
                <w:rtl w:val="true"/>
              </w:rPr>
              <w:t>:</w:t>
              <w:tab/>
            </w:r>
            <w:r>
              <w:rPr>
                <w:rStyle w:val="IndexLink"/>
              </w:rPr>
              <w:t>287</w:t>
            </w:r>
          </w:hyperlink>
        </w:p>
        <w:p>
          <w:pPr>
            <w:pStyle w:val="Contents3"/>
            <w:tabs>
              <w:tab w:val="clear" w:pos="8459"/>
              <w:tab w:val="right" w:pos="9026" w:leader="dot"/>
            </w:tabs>
            <w:rPr/>
          </w:pPr>
          <w:hyperlink w:anchor="__RefHeading___Toc6877809_1280447820">
            <w:r>
              <w:rPr>
                <w:webHidden/>
                <w:rStyle w:val="IndexLink"/>
                <w:rtl w:val="true"/>
              </w:rPr>
              <w:t>الجهة الثانية</w:t>
            </w:r>
            <w:r>
              <w:rPr>
                <w:rStyle w:val="IndexLink"/>
                <w:rtl w:val="true"/>
              </w:rPr>
              <w:t xml:space="preserve">: </w:t>
            </w:r>
            <w:r>
              <w:rPr>
                <w:rStyle w:val="IndexLink"/>
                <w:rtl w:val="true"/>
              </w:rPr>
              <w:t>في الإتيان بالمسح على جميع الرأس</w:t>
            </w:r>
            <w:r>
              <w:rPr>
                <w:rStyle w:val="IndexLink"/>
                <w:rtl w:val="true"/>
              </w:rPr>
              <w:t>:</w:t>
              <w:tab/>
            </w:r>
            <w:r>
              <w:rPr>
                <w:rStyle w:val="IndexLink"/>
              </w:rPr>
              <w:t>290</w:t>
            </w:r>
          </w:hyperlink>
        </w:p>
        <w:p>
          <w:pPr>
            <w:pStyle w:val="Contents3"/>
            <w:tabs>
              <w:tab w:val="clear" w:pos="8459"/>
              <w:tab w:val="right" w:pos="9026" w:leader="dot"/>
            </w:tabs>
            <w:rPr/>
          </w:pPr>
          <w:hyperlink w:anchor="__RefHeading___Toc6877811_1280447820">
            <w:r>
              <w:rPr>
                <w:webHidden/>
                <w:rStyle w:val="IndexLink"/>
                <w:rtl w:val="true"/>
              </w:rPr>
              <w:t>الجهة الثالثة</w:t>
            </w:r>
            <w:r>
              <w:rPr>
                <w:rStyle w:val="IndexLink"/>
                <w:rtl w:val="true"/>
              </w:rPr>
              <w:t xml:space="preserve">: </w:t>
            </w:r>
            <w:r>
              <w:rPr>
                <w:rStyle w:val="IndexLink"/>
                <w:rtl w:val="true"/>
              </w:rPr>
              <w:t>في مسح الأذنين</w:t>
            </w:r>
            <w:r>
              <w:rPr>
                <w:rStyle w:val="IndexLink"/>
                <w:rtl w:val="true"/>
              </w:rPr>
              <w:t>:</w:t>
              <w:tab/>
            </w:r>
            <w:r>
              <w:rPr>
                <w:rStyle w:val="IndexLink"/>
              </w:rPr>
              <w:t>291</w:t>
            </w:r>
          </w:hyperlink>
        </w:p>
        <w:p>
          <w:pPr>
            <w:pStyle w:val="Contents3"/>
            <w:tabs>
              <w:tab w:val="clear" w:pos="8459"/>
              <w:tab w:val="right" w:pos="9026" w:leader="dot"/>
            </w:tabs>
            <w:rPr/>
          </w:pPr>
          <w:hyperlink w:anchor="__RefHeading___Toc6877813_1280447820">
            <w:r>
              <w:rPr>
                <w:webHidden/>
                <w:rStyle w:val="IndexLink"/>
                <w:rtl w:val="true"/>
              </w:rPr>
              <w:t>الجهة الرابعة</w:t>
            </w:r>
            <w:r>
              <w:rPr>
                <w:rStyle w:val="IndexLink"/>
                <w:rtl w:val="true"/>
              </w:rPr>
              <w:t xml:space="preserve">: </w:t>
            </w:r>
            <w:r>
              <w:rPr>
                <w:rStyle w:val="IndexLink"/>
                <w:rtl w:val="true"/>
              </w:rPr>
              <w:t>في حكم المسألة حال التقية</w:t>
            </w:r>
            <w:r>
              <w:rPr>
                <w:rStyle w:val="IndexLink"/>
                <w:rtl w:val="true"/>
              </w:rPr>
              <w:t>:</w:t>
              <w:tab/>
            </w:r>
            <w:r>
              <w:rPr>
                <w:rStyle w:val="IndexLink"/>
              </w:rPr>
              <w:t>293</w:t>
            </w:r>
          </w:hyperlink>
        </w:p>
        <w:p>
          <w:pPr>
            <w:pStyle w:val="Contents3"/>
            <w:tabs>
              <w:tab w:val="clear" w:pos="8459"/>
              <w:tab w:val="right" w:pos="9026" w:leader="dot"/>
            </w:tabs>
            <w:rPr/>
          </w:pPr>
          <w:hyperlink w:anchor="__RefHeading___Toc6877815_1280447820">
            <w:r>
              <w:rPr>
                <w:webHidden/>
                <w:rStyle w:val="IndexLink"/>
                <w:rtl w:val="true"/>
              </w:rPr>
              <w:t>المورد الرابع</w:t>
            </w:r>
            <w:r>
              <w:rPr>
                <w:rStyle w:val="IndexLink"/>
                <w:rtl w:val="true"/>
              </w:rPr>
              <w:t xml:space="preserve">: </w:t>
            </w:r>
            <w:r>
              <w:rPr>
                <w:rStyle w:val="IndexLink"/>
                <w:rtl w:val="true"/>
              </w:rPr>
              <w:t>في غسل الرجلين أو مسحهما</w:t>
            </w:r>
            <w:r>
              <w:rPr>
                <w:rStyle w:val="IndexLink"/>
                <w:rtl w:val="true"/>
              </w:rPr>
              <w:t>:</w:t>
              <w:tab/>
            </w:r>
            <w:r>
              <w:rPr>
                <w:rStyle w:val="IndexLink"/>
              </w:rPr>
              <w:t>293</w:t>
            </w:r>
          </w:hyperlink>
        </w:p>
        <w:p>
          <w:pPr>
            <w:pStyle w:val="Contents3"/>
            <w:tabs>
              <w:tab w:val="clear" w:pos="8459"/>
              <w:tab w:val="right" w:pos="9026" w:leader="dot"/>
            </w:tabs>
            <w:rPr/>
          </w:pPr>
          <w:hyperlink w:anchor="__RefHeading___Toc6877817_1280447820">
            <w:r>
              <w:rPr>
                <w:webHidden/>
                <w:rStyle w:val="IndexLink"/>
                <w:rtl w:val="true"/>
              </w:rPr>
              <w:t>الجهة الأولى</w:t>
            </w:r>
            <w:r>
              <w:rPr>
                <w:rStyle w:val="IndexLink"/>
                <w:rtl w:val="true"/>
              </w:rPr>
              <w:t>:</w:t>
              <w:tab/>
            </w:r>
            <w:r>
              <w:rPr>
                <w:rStyle w:val="IndexLink"/>
              </w:rPr>
              <w:t>294</w:t>
            </w:r>
          </w:hyperlink>
        </w:p>
        <w:p>
          <w:pPr>
            <w:pStyle w:val="Contents4"/>
            <w:tabs>
              <w:tab w:val="clear" w:pos="8176"/>
              <w:tab w:val="right" w:pos="9026" w:leader="dot"/>
            </w:tabs>
            <w:rPr/>
          </w:pPr>
          <w:hyperlink w:anchor="__RefHeading___Toc6877819_1280447820">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6877821_1280447820">
            <w:r>
              <w:rPr>
                <w:webHidden/>
                <w:rStyle w:val="IndexLink"/>
                <w:rtl w:val="true"/>
              </w:rPr>
              <w:t>تنبيهان</w:t>
            </w:r>
            <w:r>
              <w:rPr>
                <w:rStyle w:val="IndexLink"/>
                <w:rtl w:val="true"/>
              </w:rPr>
              <w:t>:</w:t>
              <w:tab/>
            </w:r>
            <w:r>
              <w:rPr>
                <w:rStyle w:val="IndexLink"/>
              </w:rPr>
              <w:t>296</w:t>
            </w:r>
          </w:hyperlink>
        </w:p>
        <w:p>
          <w:pPr>
            <w:pStyle w:val="Contents3"/>
            <w:tabs>
              <w:tab w:val="clear" w:pos="8459"/>
              <w:tab w:val="right" w:pos="9026" w:leader="dot"/>
            </w:tabs>
            <w:rPr/>
          </w:pPr>
          <w:hyperlink w:anchor="__RefHeading___Toc6877823_1280447820">
            <w:r>
              <w:rPr>
                <w:webHidden/>
                <w:rStyle w:val="IndexLink"/>
                <w:rtl w:val="true"/>
              </w:rPr>
              <w:t>الجهة الثانية</w:t>
            </w:r>
            <w:r>
              <w:rPr>
                <w:rStyle w:val="IndexLink"/>
                <w:rtl w:val="true"/>
              </w:rPr>
              <w:t xml:space="preserve">: </w:t>
            </w:r>
            <w:r>
              <w:rPr>
                <w:rStyle w:val="IndexLink"/>
                <w:rtl w:val="true"/>
              </w:rPr>
              <w:t>في حكم المسألة حال التقية</w:t>
            </w:r>
            <w:r>
              <w:rPr>
                <w:rStyle w:val="IndexLink"/>
                <w:rtl w:val="true"/>
              </w:rPr>
              <w:t>:</w:t>
              <w:tab/>
            </w:r>
            <w:r>
              <w:rPr>
                <w:rStyle w:val="IndexLink"/>
              </w:rPr>
              <w:t>299</w:t>
            </w:r>
          </w:hyperlink>
        </w:p>
        <w:p>
          <w:pPr>
            <w:pStyle w:val="Contents3"/>
            <w:tabs>
              <w:tab w:val="clear" w:pos="8459"/>
              <w:tab w:val="right" w:pos="9026" w:leader="dot"/>
            </w:tabs>
            <w:rPr/>
          </w:pPr>
          <w:hyperlink w:anchor="__RefHeading___Toc6877825_1280447820">
            <w:r>
              <w:rPr>
                <w:webHidden/>
                <w:rStyle w:val="IndexLink"/>
                <w:rtl w:val="true"/>
              </w:rPr>
              <w:t>المورد الخامس</w:t>
            </w:r>
            <w:r>
              <w:rPr>
                <w:rStyle w:val="IndexLink"/>
                <w:rtl w:val="true"/>
              </w:rPr>
              <w:t xml:space="preserve">: </w:t>
            </w:r>
            <w:r>
              <w:rPr>
                <w:rStyle w:val="IndexLink"/>
                <w:rtl w:val="true"/>
              </w:rPr>
              <w:t>في مسح الرأس والرجلين بنفس ماء الوضوء أو بماء مستأنف</w:t>
            </w:r>
            <w:r>
              <w:rPr>
                <w:rStyle w:val="IndexLink"/>
                <w:rtl w:val="true"/>
              </w:rPr>
              <w:t>:</w:t>
              <w:tab/>
            </w:r>
            <w:r>
              <w:rPr>
                <w:rStyle w:val="IndexLink"/>
              </w:rPr>
              <w:t>300</w:t>
            </w:r>
          </w:hyperlink>
        </w:p>
        <w:p>
          <w:pPr>
            <w:pStyle w:val="Contents3"/>
            <w:tabs>
              <w:tab w:val="clear" w:pos="8459"/>
              <w:tab w:val="right" w:pos="9026" w:leader="dot"/>
            </w:tabs>
            <w:rPr/>
          </w:pPr>
          <w:hyperlink w:anchor="__RefHeading___Toc6877827_1280447820">
            <w:r>
              <w:rPr>
                <w:webHidden/>
                <w:rStyle w:val="IndexLink"/>
                <w:rtl w:val="true"/>
              </w:rPr>
              <w:t>الجهة الثانية</w:t>
            </w:r>
            <w:r>
              <w:rPr>
                <w:rStyle w:val="IndexLink"/>
                <w:rtl w:val="true"/>
              </w:rPr>
              <w:t xml:space="preserve">: </w:t>
            </w:r>
            <w:r>
              <w:rPr>
                <w:rStyle w:val="IndexLink"/>
                <w:rtl w:val="true"/>
              </w:rPr>
              <w:t>في حكم المسألة حال التقية</w:t>
            </w:r>
            <w:r>
              <w:rPr>
                <w:rStyle w:val="IndexLink"/>
                <w:rtl w:val="true"/>
              </w:rPr>
              <w:t>:</w:t>
              <w:tab/>
            </w:r>
            <w:r>
              <w:rPr>
                <w:rStyle w:val="IndexLink"/>
              </w:rPr>
              <w:t>309</w:t>
            </w:r>
          </w:hyperlink>
        </w:p>
        <w:p>
          <w:pPr>
            <w:pStyle w:val="Contents3"/>
            <w:tabs>
              <w:tab w:val="clear" w:pos="8459"/>
              <w:tab w:val="right" w:pos="9026" w:leader="dot"/>
            </w:tabs>
            <w:rPr/>
          </w:pPr>
          <w:hyperlink w:anchor="__RefHeading___Toc6877829_1280447820">
            <w:r>
              <w:rPr>
                <w:webHidden/>
                <w:rStyle w:val="IndexLink"/>
                <w:rtl w:val="true"/>
              </w:rPr>
              <w:t>المورد السادس</w:t>
            </w:r>
            <w:r>
              <w:rPr>
                <w:rStyle w:val="IndexLink"/>
                <w:rtl w:val="true"/>
              </w:rPr>
              <w:t xml:space="preserve">: </w:t>
            </w:r>
            <w:r>
              <w:rPr>
                <w:rStyle w:val="IndexLink"/>
                <w:rtl w:val="true"/>
              </w:rPr>
              <w:t>في المسح على البشرة وجوازه على الحائل خفاً كان أو غيره وعدمه</w:t>
            </w:r>
            <w:r>
              <w:rPr>
                <w:rStyle w:val="IndexLink"/>
                <w:rtl w:val="true"/>
              </w:rPr>
              <w:t>:</w:t>
              <w:tab/>
            </w:r>
            <w:r>
              <w:rPr>
                <w:rStyle w:val="IndexLink"/>
              </w:rPr>
              <w:t>310</w:t>
            </w:r>
          </w:hyperlink>
        </w:p>
        <w:p>
          <w:pPr>
            <w:pStyle w:val="Contents3"/>
            <w:tabs>
              <w:tab w:val="clear" w:pos="8459"/>
              <w:tab w:val="right" w:pos="9026" w:leader="dot"/>
            </w:tabs>
            <w:rPr/>
          </w:pPr>
          <w:hyperlink w:anchor="__RefHeading___Toc6877831_1280447820">
            <w:r>
              <w:rPr>
                <w:webHidden/>
                <w:rStyle w:val="IndexLink"/>
                <w:rtl w:val="true"/>
              </w:rPr>
              <w:t>تنبيه</w:t>
            </w:r>
            <w:r>
              <w:rPr>
                <w:rStyle w:val="IndexLink"/>
                <w:rtl w:val="true"/>
              </w:rPr>
              <w:t>:</w:t>
              <w:tab/>
            </w:r>
            <w:r>
              <w:rPr>
                <w:rStyle w:val="IndexLink"/>
              </w:rPr>
              <w:t>322</w:t>
            </w:r>
          </w:hyperlink>
        </w:p>
        <w:p>
          <w:pPr>
            <w:pStyle w:val="Contents3"/>
            <w:tabs>
              <w:tab w:val="clear" w:pos="8459"/>
              <w:tab w:val="right" w:pos="9026" w:leader="dot"/>
            </w:tabs>
            <w:rPr/>
          </w:pPr>
          <w:hyperlink w:anchor="__RefHeading___Toc6877833_1280447820">
            <w:r>
              <w:rPr>
                <w:webHidden/>
                <w:rStyle w:val="IndexLink"/>
                <w:rtl w:val="true"/>
              </w:rPr>
              <w:t>الجهة الثانية</w:t>
            </w:r>
            <w:r>
              <w:rPr>
                <w:rStyle w:val="IndexLink"/>
                <w:rtl w:val="true"/>
              </w:rPr>
              <w:t xml:space="preserve">: </w:t>
            </w:r>
            <w:r>
              <w:rPr>
                <w:rStyle w:val="IndexLink"/>
                <w:rtl w:val="true"/>
              </w:rPr>
              <w:t>في حكم المسألة حال التقية</w:t>
            </w:r>
            <w:r>
              <w:rPr>
                <w:rStyle w:val="IndexLink"/>
                <w:rtl w:val="true"/>
              </w:rPr>
              <w:t>:</w:t>
              <w:tab/>
            </w:r>
            <w:r>
              <w:rPr>
                <w:rStyle w:val="IndexLink"/>
              </w:rPr>
              <w:t>323</w:t>
            </w:r>
          </w:hyperlink>
        </w:p>
        <w:p>
          <w:pPr>
            <w:pStyle w:val="Contents3"/>
            <w:tabs>
              <w:tab w:val="clear" w:pos="8459"/>
              <w:tab w:val="right" w:pos="9026" w:leader="dot"/>
            </w:tabs>
            <w:rPr/>
          </w:pPr>
          <w:hyperlink w:anchor="__RefHeading___Toc6877835_1280447820">
            <w:r>
              <w:rPr>
                <w:webHidden/>
                <w:rStyle w:val="IndexLink"/>
                <w:rtl w:val="true"/>
              </w:rPr>
              <w:t>مسألتان</w:t>
            </w:r>
            <w:r>
              <w:rPr>
                <w:rStyle w:val="IndexLink"/>
                <w:rtl w:val="true"/>
              </w:rPr>
              <w:t>:</w:t>
              <w:tab/>
            </w:r>
            <w:r>
              <w:rPr>
                <w:rStyle w:val="IndexLink"/>
              </w:rPr>
              <w:t>329</w:t>
            </w:r>
          </w:hyperlink>
        </w:p>
        <w:p>
          <w:pPr>
            <w:pStyle w:val="Contents2"/>
            <w:tabs>
              <w:tab w:val="clear" w:pos="8743"/>
              <w:tab w:val="right" w:pos="9026" w:leader="dot"/>
            </w:tabs>
            <w:rPr/>
          </w:pPr>
          <w:hyperlink w:anchor="__RefHeading___Toc6877837_1280447820">
            <w:r>
              <w:rPr>
                <w:webHidden/>
                <w:rStyle w:val="IndexLink"/>
                <w:rtl w:val="true"/>
              </w:rPr>
              <w:t>الفصل الرابع</w:t>
            </w:r>
            <w:r>
              <w:rPr>
                <w:rStyle w:val="IndexLink"/>
                <w:rtl w:val="true"/>
              </w:rPr>
              <w:t xml:space="preserve">: </w:t>
            </w:r>
            <w:r>
              <w:rPr>
                <w:rStyle w:val="IndexLink"/>
                <w:rtl w:val="true"/>
              </w:rPr>
              <w:t>التقية في الوقت</w:t>
            </w:r>
            <w:r>
              <w:rPr>
                <w:rStyle w:val="IndexLink"/>
                <w:rtl w:val="true"/>
              </w:rPr>
              <w:tab/>
            </w:r>
            <w:r>
              <w:rPr>
                <w:rStyle w:val="IndexLink"/>
              </w:rPr>
              <w:t>332</w:t>
            </w:r>
          </w:hyperlink>
        </w:p>
        <w:p>
          <w:pPr>
            <w:pStyle w:val="Contents3"/>
            <w:tabs>
              <w:tab w:val="clear" w:pos="8459"/>
              <w:tab w:val="right" w:pos="9026" w:leader="dot"/>
            </w:tabs>
            <w:rPr/>
          </w:pPr>
          <w:hyperlink w:anchor="__RefHeading___Toc6877839_1280447820">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6877841_1280447820">
            <w:r>
              <w:rPr>
                <w:webHidden/>
                <w:rStyle w:val="IndexLink"/>
                <w:rtl w:val="true"/>
              </w:rPr>
              <w:t>التقية في الوقت</w:t>
            </w:r>
            <w:r>
              <w:rPr>
                <w:rStyle w:val="IndexLink"/>
                <w:rtl w:val="true"/>
              </w:rPr>
              <w:t>:</w:t>
              <w:tab/>
            </w:r>
            <w:r>
              <w:rPr>
                <w:rStyle w:val="IndexLink"/>
              </w:rPr>
              <w:t>334</w:t>
            </w:r>
          </w:hyperlink>
        </w:p>
        <w:p>
          <w:pPr>
            <w:pStyle w:val="Contents3"/>
            <w:tabs>
              <w:tab w:val="clear" w:pos="8459"/>
              <w:tab w:val="right" w:pos="9026" w:leader="dot"/>
            </w:tabs>
            <w:rPr/>
          </w:pPr>
          <w:hyperlink w:anchor="__RefHeading___Toc6877843_1280447820">
            <w:r>
              <w:rPr>
                <w:webHidden/>
                <w:rStyle w:val="IndexLink"/>
                <w:rtl w:val="true"/>
              </w:rPr>
              <w:t>الأولى</w:t>
            </w:r>
            <w:r>
              <w:rPr>
                <w:rStyle w:val="IndexLink"/>
                <w:rtl w:val="true"/>
              </w:rPr>
              <w:t xml:space="preserve">: </w:t>
            </w:r>
            <w:r>
              <w:rPr>
                <w:rStyle w:val="IndexLink"/>
                <w:rtl w:val="true"/>
              </w:rPr>
              <w:t>في ما تقتضيه الأدلة من الكتاب والسنة</w:t>
            </w:r>
            <w:r>
              <w:rPr>
                <w:rStyle w:val="IndexLink"/>
                <w:rtl w:val="true"/>
              </w:rPr>
              <w:t>:</w:t>
              <w:tab/>
            </w:r>
            <w:r>
              <w:rPr>
                <w:rStyle w:val="IndexLink"/>
              </w:rPr>
              <w:t>336</w:t>
            </w:r>
          </w:hyperlink>
        </w:p>
        <w:p>
          <w:pPr>
            <w:pStyle w:val="Contents3"/>
            <w:tabs>
              <w:tab w:val="clear" w:pos="8459"/>
              <w:tab w:val="right" w:pos="9026" w:leader="dot"/>
            </w:tabs>
            <w:rPr/>
          </w:pPr>
          <w:hyperlink w:anchor="__RefHeading___Toc6877845_1280447820">
            <w:r>
              <w:rPr>
                <w:webHidden/>
                <w:rStyle w:val="IndexLink"/>
                <w:rtl w:val="true"/>
              </w:rPr>
              <w:t>الجمع بين الروايات</w:t>
            </w:r>
            <w:r>
              <w:rPr>
                <w:rStyle w:val="IndexLink"/>
                <w:rtl w:val="true"/>
              </w:rPr>
              <w:t>:</w:t>
              <w:tab/>
            </w:r>
            <w:r>
              <w:rPr>
                <w:rStyle w:val="IndexLink"/>
              </w:rPr>
              <w:t>372</w:t>
            </w:r>
          </w:hyperlink>
        </w:p>
        <w:p>
          <w:pPr>
            <w:pStyle w:val="Contents3"/>
            <w:tabs>
              <w:tab w:val="clear" w:pos="8459"/>
              <w:tab w:val="right" w:pos="9026" w:leader="dot"/>
            </w:tabs>
            <w:rPr/>
          </w:pPr>
          <w:hyperlink w:anchor="__RefHeading___Toc6877847_1280447820">
            <w:r>
              <w:rPr>
                <w:webHidden/>
                <w:rStyle w:val="IndexLink"/>
                <w:rtl w:val="true"/>
              </w:rPr>
              <w:t>تنبيهان</w:t>
            </w:r>
            <w:r>
              <w:rPr>
                <w:rStyle w:val="IndexLink"/>
                <w:rtl w:val="true"/>
              </w:rPr>
              <w:t>:</w:t>
              <w:tab/>
            </w:r>
            <w:r>
              <w:rPr>
                <w:rStyle w:val="IndexLink"/>
              </w:rPr>
              <w:t>379</w:t>
            </w:r>
          </w:hyperlink>
        </w:p>
        <w:p>
          <w:pPr>
            <w:pStyle w:val="Contents2"/>
            <w:tabs>
              <w:tab w:val="clear" w:pos="8743"/>
              <w:tab w:val="right" w:pos="9026" w:leader="dot"/>
            </w:tabs>
            <w:rPr/>
          </w:pPr>
          <w:hyperlink w:anchor="__RefHeading___Toc6877849_1280447820">
            <w:r>
              <w:rPr>
                <w:webHidden/>
                <w:rStyle w:val="IndexLink"/>
                <w:rtl w:val="true"/>
              </w:rPr>
              <w:t>الفصل الخامس</w:t>
            </w:r>
            <w:r>
              <w:rPr>
                <w:rStyle w:val="IndexLink"/>
                <w:rtl w:val="true"/>
              </w:rPr>
              <w:tab/>
            </w:r>
            <w:r>
              <w:rPr>
                <w:rStyle w:val="IndexLink"/>
              </w:rPr>
              <w:t>386</w:t>
            </w:r>
          </w:hyperlink>
        </w:p>
        <w:p>
          <w:pPr>
            <w:pStyle w:val="Contents3"/>
            <w:tabs>
              <w:tab w:val="clear" w:pos="8459"/>
              <w:tab w:val="right" w:pos="9026" w:leader="dot"/>
            </w:tabs>
            <w:rPr/>
          </w:pPr>
          <w:hyperlink w:anchor="__RefHeading___Toc6877851_1280447820">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6877853_1280447820">
            <w:r>
              <w:rPr>
                <w:webHidden/>
                <w:rStyle w:val="IndexLink"/>
                <w:rtl w:val="true"/>
              </w:rPr>
              <w:t>التقية في الصلاة خلف المخالف</w:t>
            </w:r>
            <w:r>
              <w:rPr>
                <w:rStyle w:val="IndexLink"/>
                <w:rtl w:val="true"/>
              </w:rPr>
              <w:t>:</w:t>
              <w:tab/>
            </w:r>
            <w:r>
              <w:rPr>
                <w:rStyle w:val="IndexLink"/>
              </w:rPr>
              <w:t>388</w:t>
            </w:r>
          </w:hyperlink>
        </w:p>
        <w:p>
          <w:pPr>
            <w:pStyle w:val="Contents3"/>
            <w:tabs>
              <w:tab w:val="clear" w:pos="8459"/>
              <w:tab w:val="right" w:pos="9026" w:leader="dot"/>
            </w:tabs>
            <w:rPr/>
          </w:pPr>
          <w:hyperlink w:anchor="__RefHeading___Toc6877855_1280447820">
            <w:r>
              <w:rPr>
                <w:webHidden/>
                <w:rStyle w:val="IndexLink"/>
                <w:rtl w:val="true"/>
              </w:rPr>
              <w:t>الجمع بين الروايات</w:t>
            </w:r>
            <w:r>
              <w:rPr>
                <w:rStyle w:val="IndexLink"/>
                <w:rtl w:val="true"/>
              </w:rPr>
              <w:t>:</w:t>
              <w:tab/>
            </w:r>
            <w:r>
              <w:rPr>
                <w:rStyle w:val="IndexLink"/>
              </w:rPr>
              <w:t>403</w:t>
            </w:r>
          </w:hyperlink>
        </w:p>
        <w:p>
          <w:pPr>
            <w:pStyle w:val="Contents3"/>
            <w:tabs>
              <w:tab w:val="clear" w:pos="8459"/>
              <w:tab w:val="right" w:pos="9026" w:leader="dot"/>
            </w:tabs>
            <w:rPr/>
          </w:pPr>
          <w:hyperlink w:anchor="__RefHeading___Toc6877857_1280447820">
            <w:r>
              <w:rPr>
                <w:webHidden/>
                <w:rStyle w:val="IndexLink"/>
                <w:rtl w:val="true"/>
              </w:rPr>
              <w:t>فروع</w:t>
            </w:r>
            <w:r>
              <w:rPr>
                <w:rStyle w:val="IndexLink"/>
                <w:rtl w:val="true"/>
              </w:rPr>
              <w:t>:</w:t>
              <w:tab/>
            </w:r>
            <w:r>
              <w:rPr>
                <w:rStyle w:val="IndexLink"/>
              </w:rPr>
              <w:t>413</w:t>
            </w:r>
          </w:hyperlink>
        </w:p>
        <w:p>
          <w:pPr>
            <w:pStyle w:val="Contents3"/>
            <w:tabs>
              <w:tab w:val="clear" w:pos="8459"/>
              <w:tab w:val="right" w:pos="9026" w:leader="dot"/>
            </w:tabs>
            <w:rPr/>
          </w:pPr>
          <w:hyperlink w:anchor="__RefHeading___Toc6877859_1280447820">
            <w:r>
              <w:rPr>
                <w:webHidden/>
                <w:rStyle w:val="IndexLink"/>
                <w:rtl w:val="true"/>
              </w:rPr>
              <w:t>مسائل</w:t>
            </w:r>
            <w:r>
              <w:rPr>
                <w:rStyle w:val="IndexLink"/>
                <w:rtl w:val="true"/>
              </w:rPr>
              <w:t xml:space="preserve">: </w:t>
            </w:r>
            <w:r>
              <w:rPr>
                <w:rStyle w:val="IndexLink"/>
                <w:rtl w:val="true"/>
              </w:rPr>
              <w:t>التقية في الصلاة</w:t>
            </w:r>
            <w:r>
              <w:rPr>
                <w:rStyle w:val="IndexLink"/>
                <w:rtl w:val="true"/>
              </w:rPr>
              <w:tab/>
            </w:r>
            <w:r>
              <w:rPr>
                <w:rStyle w:val="IndexLink"/>
              </w:rPr>
              <w:t>423</w:t>
            </w:r>
          </w:hyperlink>
        </w:p>
        <w:p>
          <w:pPr>
            <w:pStyle w:val="Contents4"/>
            <w:tabs>
              <w:tab w:val="clear" w:pos="8176"/>
              <w:tab w:val="right" w:pos="9026" w:leader="dot"/>
            </w:tabs>
            <w:rPr/>
          </w:pPr>
          <w:hyperlink w:anchor="__RefHeading___Toc6877861_1280447820">
            <w:r>
              <w:rPr>
                <w:webHidden/>
                <w:rStyle w:val="IndexLink"/>
                <w:rtl w:val="true"/>
              </w:rPr>
              <w:t>الأولى</w:t>
            </w:r>
            <w:r>
              <w:rPr>
                <w:rStyle w:val="IndexLink"/>
                <w:rtl w:val="true"/>
              </w:rPr>
              <w:t xml:space="preserve">: </w:t>
            </w:r>
            <w:r>
              <w:rPr>
                <w:rStyle w:val="IndexLink"/>
                <w:rtl w:val="true"/>
              </w:rPr>
              <w:t>الجهر بالبسملة في الصلاة</w:t>
            </w:r>
            <w:r>
              <w:rPr>
                <w:rStyle w:val="IndexLink"/>
                <w:rtl w:val="true"/>
              </w:rPr>
              <w:t>:</w:t>
              <w:tab/>
            </w:r>
            <w:r>
              <w:rPr>
                <w:rStyle w:val="IndexLink"/>
              </w:rPr>
              <w:t>423</w:t>
            </w:r>
          </w:hyperlink>
        </w:p>
        <w:p>
          <w:pPr>
            <w:pStyle w:val="Contents4"/>
            <w:tabs>
              <w:tab w:val="clear" w:pos="8176"/>
              <w:tab w:val="right" w:pos="9026" w:leader="dot"/>
            </w:tabs>
            <w:rPr/>
          </w:pPr>
          <w:hyperlink w:anchor="__RefHeading___Toc6877863_1280447820">
            <w:r>
              <w:rPr>
                <w:webHidden/>
                <w:rStyle w:val="IndexLink"/>
                <w:rtl w:val="true"/>
              </w:rPr>
              <w:t>المسألة الثانية</w:t>
            </w:r>
            <w:r>
              <w:rPr>
                <w:rStyle w:val="IndexLink"/>
                <w:rtl w:val="true"/>
              </w:rPr>
              <w:t>:</w:t>
              <w:tab/>
            </w:r>
            <w:r>
              <w:rPr>
                <w:rStyle w:val="IndexLink"/>
              </w:rPr>
              <w:t>434</w:t>
            </w:r>
          </w:hyperlink>
        </w:p>
        <w:p>
          <w:pPr>
            <w:pStyle w:val="Contents4"/>
            <w:tabs>
              <w:tab w:val="clear" w:pos="8176"/>
              <w:tab w:val="right" w:pos="9026" w:leader="dot"/>
            </w:tabs>
            <w:rPr/>
          </w:pPr>
          <w:hyperlink w:anchor="__RefHeading___Toc6877865_1280447820">
            <w:r>
              <w:rPr>
                <w:webHidden/>
                <w:rStyle w:val="IndexLink"/>
                <w:rtl w:val="true"/>
              </w:rPr>
              <w:t>المسالة الثالثة</w:t>
            </w:r>
            <w:r>
              <w:rPr>
                <w:rStyle w:val="IndexLink"/>
                <w:rtl w:val="true"/>
              </w:rPr>
              <w:t>:</w:t>
              <w:tab/>
            </w:r>
            <w:r>
              <w:rPr>
                <w:rStyle w:val="IndexLink"/>
              </w:rPr>
              <w:t>442</w:t>
            </w:r>
          </w:hyperlink>
        </w:p>
        <w:p>
          <w:pPr>
            <w:pStyle w:val="Contents4"/>
            <w:tabs>
              <w:tab w:val="clear" w:pos="8176"/>
              <w:tab w:val="right" w:pos="9026" w:leader="dot"/>
            </w:tabs>
            <w:rPr/>
          </w:pPr>
          <w:hyperlink w:anchor="__RefHeading___Toc6877867_1280447820">
            <w:r>
              <w:rPr>
                <w:webHidden/>
                <w:rStyle w:val="IndexLink"/>
                <w:rtl w:val="true"/>
              </w:rPr>
              <w:t>المسألة الرابعة</w:t>
            </w:r>
            <w:r>
              <w:rPr>
                <w:rStyle w:val="IndexLink"/>
                <w:rtl w:val="true"/>
              </w:rPr>
              <w:t>:</w:t>
              <w:tab/>
            </w:r>
            <w:r>
              <w:rPr>
                <w:rStyle w:val="IndexLink"/>
              </w:rPr>
              <w:t>450</w:t>
            </w:r>
          </w:hyperlink>
        </w:p>
        <w:p>
          <w:pPr>
            <w:pStyle w:val="Contents2"/>
            <w:tabs>
              <w:tab w:val="clear" w:pos="8743"/>
              <w:tab w:val="right" w:pos="9026" w:leader="dot"/>
            </w:tabs>
            <w:rPr/>
          </w:pPr>
          <w:hyperlink w:anchor="__RefHeading___Toc6877869_1280447820">
            <w:r>
              <w:rPr>
                <w:webHidden/>
                <w:rStyle w:val="IndexLink"/>
                <w:rtl w:val="true"/>
              </w:rPr>
              <w:t>الفصل السادس</w:t>
            </w:r>
            <w:r>
              <w:rPr>
                <w:rStyle w:val="IndexLink"/>
                <w:rtl w:val="true"/>
              </w:rPr>
              <w:tab/>
            </w:r>
            <w:r>
              <w:rPr>
                <w:rStyle w:val="IndexLink"/>
              </w:rPr>
              <w:t>472</w:t>
            </w:r>
          </w:hyperlink>
        </w:p>
        <w:p>
          <w:pPr>
            <w:pStyle w:val="Contents3"/>
            <w:tabs>
              <w:tab w:val="clear" w:pos="8459"/>
              <w:tab w:val="right" w:pos="9026" w:leader="dot"/>
            </w:tabs>
            <w:rPr/>
          </w:pPr>
          <w:hyperlink w:anchor="__RefHeading___Toc6877871_1280447820">
            <w:r>
              <w:rPr>
                <w:webHidden/>
                <w:rStyle w:val="IndexLink"/>
                <w:rtl w:val="true"/>
              </w:rPr>
              <w:t>اشارة</w:t>
            </w:r>
            <w:r>
              <w:rPr>
                <w:rStyle w:val="IndexLink"/>
                <w:rtl w:val="true"/>
              </w:rPr>
              <w:tab/>
            </w:r>
            <w:r>
              <w:rPr>
                <w:rStyle w:val="IndexLink"/>
              </w:rPr>
              <w:t>472</w:t>
            </w:r>
          </w:hyperlink>
        </w:p>
        <w:p>
          <w:pPr>
            <w:pStyle w:val="Contents3"/>
            <w:tabs>
              <w:tab w:val="clear" w:pos="8459"/>
              <w:tab w:val="right" w:pos="9026" w:leader="dot"/>
            </w:tabs>
            <w:rPr/>
          </w:pPr>
          <w:hyperlink w:anchor="__RefHeading___Toc6877873_1280447820">
            <w:r>
              <w:rPr>
                <w:webHidden/>
                <w:rStyle w:val="IndexLink"/>
                <w:rtl w:val="true"/>
              </w:rPr>
              <w:t>التقية في الصوم</w:t>
            </w:r>
            <w:r>
              <w:rPr>
                <w:rStyle w:val="IndexLink"/>
                <w:rtl w:val="true"/>
              </w:rPr>
              <w:tab/>
            </w:r>
            <w:r>
              <w:rPr>
                <w:rStyle w:val="IndexLink"/>
              </w:rPr>
              <w:t>474</w:t>
            </w:r>
          </w:hyperlink>
        </w:p>
        <w:p>
          <w:pPr>
            <w:pStyle w:val="Contents3"/>
            <w:tabs>
              <w:tab w:val="clear" w:pos="8459"/>
              <w:tab w:val="right" w:pos="9026" w:leader="dot"/>
            </w:tabs>
            <w:rPr/>
          </w:pPr>
          <w:hyperlink w:anchor="__RefHeading___Toc6877875_1280447820">
            <w:r>
              <w:rPr>
                <w:webHidden/>
                <w:rStyle w:val="IndexLink"/>
                <w:rtl w:val="true"/>
              </w:rPr>
              <w:t>المستفاد من الروايات</w:t>
            </w:r>
            <w:r>
              <w:rPr>
                <w:rStyle w:val="IndexLink"/>
                <w:rtl w:val="true"/>
              </w:rPr>
              <w:t>:</w:t>
              <w:tab/>
            </w:r>
            <w:r>
              <w:rPr>
                <w:rStyle w:val="IndexLink"/>
              </w:rPr>
              <w:t>480</w:t>
            </w:r>
          </w:hyperlink>
        </w:p>
        <w:p>
          <w:pPr>
            <w:pStyle w:val="Contents4"/>
            <w:tabs>
              <w:tab w:val="clear" w:pos="8176"/>
              <w:tab w:val="right" w:pos="9026" w:leader="dot"/>
            </w:tabs>
            <w:rPr/>
          </w:pPr>
          <w:hyperlink w:anchor="__RefHeading___Toc6877877_1280447820">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6877879_1280447820">
            <w:r>
              <w:rPr>
                <w:webHidden/>
                <w:rStyle w:val="IndexLink"/>
                <w:rtl w:val="true"/>
              </w:rPr>
              <w:t>فروع</w:t>
            </w:r>
            <w:r>
              <w:rPr>
                <w:rStyle w:val="IndexLink"/>
                <w:rtl w:val="true"/>
              </w:rPr>
              <w:t>:</w:t>
              <w:tab/>
            </w:r>
            <w:r>
              <w:rPr>
                <w:rStyle w:val="IndexLink"/>
              </w:rPr>
              <w:t>487</w:t>
            </w:r>
          </w:hyperlink>
        </w:p>
        <w:p>
          <w:pPr>
            <w:pStyle w:val="Contents2"/>
            <w:tabs>
              <w:tab w:val="clear" w:pos="8743"/>
              <w:tab w:val="right" w:pos="9026" w:leader="dot"/>
            </w:tabs>
            <w:rPr/>
          </w:pPr>
          <w:hyperlink w:anchor="__RefHeading___Toc6877881_1280447820">
            <w:r>
              <w:rPr>
                <w:webHidden/>
                <w:rStyle w:val="IndexLink"/>
                <w:rtl w:val="true"/>
              </w:rPr>
              <w:t>الفصل السابع</w:t>
            </w:r>
            <w:r>
              <w:rPr>
                <w:rStyle w:val="IndexLink"/>
                <w:rtl w:val="true"/>
              </w:rPr>
              <w:tab/>
            </w:r>
            <w:r>
              <w:rPr>
                <w:rStyle w:val="IndexLink"/>
              </w:rPr>
              <w:t>490</w:t>
            </w:r>
          </w:hyperlink>
        </w:p>
        <w:p>
          <w:pPr>
            <w:pStyle w:val="Contents3"/>
            <w:tabs>
              <w:tab w:val="clear" w:pos="8459"/>
              <w:tab w:val="right" w:pos="9026" w:leader="dot"/>
            </w:tabs>
            <w:rPr/>
          </w:pPr>
          <w:hyperlink w:anchor="__RefHeading___Toc6877883_1280447820">
            <w:r>
              <w:rPr>
                <w:webHidden/>
                <w:rStyle w:val="IndexLink"/>
                <w:rtl w:val="true"/>
              </w:rPr>
              <w:t>اشارة</w:t>
            </w:r>
            <w:r>
              <w:rPr>
                <w:rStyle w:val="IndexLink"/>
                <w:rtl w:val="true"/>
              </w:rPr>
              <w:tab/>
            </w:r>
            <w:r>
              <w:rPr>
                <w:rStyle w:val="IndexLink"/>
              </w:rPr>
              <w:t>490</w:t>
            </w:r>
          </w:hyperlink>
        </w:p>
        <w:p>
          <w:pPr>
            <w:pStyle w:val="Contents3"/>
            <w:tabs>
              <w:tab w:val="clear" w:pos="8459"/>
              <w:tab w:val="right" w:pos="9026" w:leader="dot"/>
            </w:tabs>
            <w:rPr/>
          </w:pPr>
          <w:hyperlink w:anchor="__RefHeading___Toc6877885_1280447820">
            <w:r>
              <w:rPr>
                <w:webHidden/>
                <w:rStyle w:val="IndexLink"/>
                <w:rtl w:val="true"/>
              </w:rPr>
              <w:t>التقية في الحج</w:t>
            </w:r>
            <w:r>
              <w:rPr>
                <w:rStyle w:val="IndexLink"/>
                <w:rtl w:val="true"/>
              </w:rPr>
              <w:tab/>
            </w:r>
            <w:r>
              <w:rPr>
                <w:rStyle w:val="IndexLink"/>
              </w:rPr>
              <w:t>492</w:t>
            </w:r>
          </w:hyperlink>
        </w:p>
        <w:p>
          <w:pPr>
            <w:pStyle w:val="Contents4"/>
            <w:tabs>
              <w:tab w:val="clear" w:pos="8176"/>
              <w:tab w:val="right" w:pos="9026" w:leader="dot"/>
            </w:tabs>
            <w:rPr/>
          </w:pPr>
          <w:hyperlink w:anchor="__RefHeading___Toc6877887_1280447820">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6877889_1280447820">
            <w:r>
              <w:rPr>
                <w:webHidden/>
                <w:rStyle w:val="IndexLink"/>
                <w:rtl w:val="true"/>
              </w:rPr>
              <w:t>الأولى</w:t>
            </w:r>
            <w:r>
              <w:rPr>
                <w:rStyle w:val="IndexLink"/>
                <w:rtl w:val="true"/>
              </w:rPr>
              <w:t xml:space="preserve">: </w:t>
            </w:r>
            <w:r>
              <w:rPr>
                <w:rStyle w:val="IndexLink"/>
                <w:rtl w:val="true"/>
              </w:rPr>
              <w:t>في التظليل</w:t>
            </w:r>
            <w:r>
              <w:rPr>
                <w:rStyle w:val="IndexLink"/>
                <w:rtl w:val="true"/>
              </w:rPr>
              <w:t>:</w:t>
              <w:tab/>
            </w:r>
            <w:r>
              <w:rPr>
                <w:rStyle w:val="IndexLink"/>
              </w:rPr>
              <w:t>492</w:t>
            </w:r>
          </w:hyperlink>
        </w:p>
        <w:p>
          <w:pPr>
            <w:pStyle w:val="Contents5"/>
            <w:tabs>
              <w:tab w:val="clear" w:pos="7892"/>
              <w:tab w:val="right" w:pos="9026" w:leader="dot"/>
            </w:tabs>
            <w:rPr/>
          </w:pPr>
          <w:hyperlink w:anchor="__RefHeading___Toc6877891_1280447820">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6877893_1280447820">
            <w:r>
              <w:rPr>
                <w:webHidden/>
                <w:rStyle w:val="IndexLink"/>
                <w:rtl w:val="true"/>
              </w:rPr>
              <w:t>المقام الأول</w:t>
            </w:r>
            <w:r>
              <w:rPr>
                <w:rStyle w:val="IndexLink"/>
                <w:rtl w:val="true"/>
              </w:rPr>
              <w:t xml:space="preserve">: </w:t>
            </w:r>
            <w:r>
              <w:rPr>
                <w:rStyle w:val="IndexLink"/>
                <w:rtl w:val="true"/>
              </w:rPr>
              <w:t>في حكم التظليل حال الإحرام</w:t>
            </w:r>
            <w:r>
              <w:rPr>
                <w:rStyle w:val="IndexLink"/>
                <w:rtl w:val="true"/>
              </w:rPr>
              <w:t>:</w:t>
              <w:tab/>
            </w:r>
            <w:r>
              <w:rPr>
                <w:rStyle w:val="IndexLink"/>
              </w:rPr>
              <w:t>492</w:t>
            </w:r>
          </w:hyperlink>
        </w:p>
        <w:p>
          <w:pPr>
            <w:pStyle w:val="Contents5"/>
            <w:tabs>
              <w:tab w:val="clear" w:pos="7892"/>
              <w:tab w:val="right" w:pos="9026" w:leader="dot"/>
            </w:tabs>
            <w:rPr/>
          </w:pPr>
          <w:hyperlink w:anchor="__RefHeading___Toc6877895_1280447820">
            <w:r>
              <w:rPr>
                <w:webHidden/>
                <w:rStyle w:val="IndexLink"/>
                <w:rtl w:val="true"/>
              </w:rPr>
              <w:t>المقام الثاني</w:t>
            </w:r>
            <w:r>
              <w:rPr>
                <w:rStyle w:val="IndexLink"/>
                <w:rtl w:val="true"/>
              </w:rPr>
              <w:t xml:space="preserve">: </w:t>
            </w:r>
            <w:r>
              <w:rPr>
                <w:rStyle w:val="IndexLink"/>
                <w:rtl w:val="true"/>
              </w:rPr>
              <w:t>في تعيين الكفارة</w:t>
            </w:r>
            <w:r>
              <w:rPr>
                <w:rStyle w:val="IndexLink"/>
                <w:rtl w:val="true"/>
              </w:rPr>
              <w:t>:</w:t>
              <w:tab/>
            </w:r>
            <w:r>
              <w:rPr>
                <w:rStyle w:val="IndexLink"/>
              </w:rPr>
              <w:t>494</w:t>
            </w:r>
          </w:hyperlink>
        </w:p>
        <w:p>
          <w:pPr>
            <w:pStyle w:val="Contents5"/>
            <w:tabs>
              <w:tab w:val="clear" w:pos="7892"/>
              <w:tab w:val="right" w:pos="9026" w:leader="dot"/>
            </w:tabs>
            <w:rPr/>
          </w:pPr>
          <w:hyperlink w:anchor="__RefHeading___Toc6877897_1280447820">
            <w:r>
              <w:rPr>
                <w:webHidden/>
                <w:rStyle w:val="IndexLink"/>
                <w:rtl w:val="true"/>
              </w:rPr>
              <w:t>المقام الثالث</w:t>
            </w:r>
            <w:r>
              <w:rPr>
                <w:rStyle w:val="IndexLink"/>
                <w:rtl w:val="true"/>
              </w:rPr>
              <w:t>:</w:t>
              <w:tab/>
            </w:r>
            <w:r>
              <w:rPr>
                <w:rStyle w:val="IndexLink"/>
              </w:rPr>
              <w:t>497</w:t>
            </w:r>
          </w:hyperlink>
        </w:p>
        <w:p>
          <w:pPr>
            <w:pStyle w:val="Contents4"/>
            <w:tabs>
              <w:tab w:val="clear" w:pos="8176"/>
              <w:tab w:val="right" w:pos="9026" w:leader="dot"/>
            </w:tabs>
            <w:rPr/>
          </w:pPr>
          <w:hyperlink w:anchor="__RefHeading___Toc6877899_1280447820">
            <w:r>
              <w:rPr>
                <w:webHidden/>
                <w:rStyle w:val="IndexLink"/>
                <w:rtl w:val="true"/>
              </w:rPr>
              <w:t>المسألة الثانية</w:t>
            </w:r>
            <w:r>
              <w:rPr>
                <w:rStyle w:val="IndexLink"/>
                <w:rtl w:val="true"/>
              </w:rPr>
              <w:t xml:space="preserve">: </w:t>
            </w:r>
            <w:r>
              <w:rPr>
                <w:rStyle w:val="IndexLink"/>
                <w:rtl w:val="true"/>
              </w:rPr>
              <w:t>في التقية في عرفات والمشعر ومنى وأحكامها</w:t>
            </w:r>
            <w:r>
              <w:rPr>
                <w:rStyle w:val="IndexLink"/>
                <w:rtl w:val="true"/>
              </w:rPr>
              <w:t>:</w:t>
              <w:tab/>
            </w:r>
            <w:r>
              <w:rPr>
                <w:rStyle w:val="IndexLink"/>
              </w:rPr>
              <w:t>498</w:t>
            </w:r>
          </w:hyperlink>
        </w:p>
        <w:p>
          <w:pPr>
            <w:pStyle w:val="Contents5"/>
            <w:tabs>
              <w:tab w:val="clear" w:pos="7892"/>
              <w:tab w:val="right" w:pos="9026" w:leader="dot"/>
            </w:tabs>
            <w:rPr/>
          </w:pPr>
          <w:hyperlink w:anchor="__RefHeading___Toc6877901_1280447820">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6877903_1280447820">
            <w:r>
              <w:rPr>
                <w:webHidden/>
                <w:rStyle w:val="IndexLink"/>
                <w:rtl w:val="true"/>
              </w:rPr>
              <w:t>المقام الثاني</w:t>
            </w:r>
            <w:r>
              <w:rPr>
                <w:rStyle w:val="IndexLink"/>
                <w:rtl w:val="true"/>
              </w:rPr>
              <w:t>:</w:t>
              <w:tab/>
            </w:r>
            <w:r>
              <w:rPr>
                <w:rStyle w:val="IndexLink"/>
              </w:rPr>
              <w:t>509</w:t>
            </w:r>
          </w:hyperlink>
        </w:p>
        <w:p>
          <w:pPr>
            <w:pStyle w:val="Contents6"/>
            <w:tabs>
              <w:tab w:val="clear" w:pos="7609"/>
              <w:tab w:val="right" w:pos="9026" w:leader="dot"/>
            </w:tabs>
            <w:rPr/>
          </w:pPr>
          <w:hyperlink w:anchor="__RefHeading___Toc6877905_1280447820">
            <w:r>
              <w:rPr>
                <w:webHidden/>
                <w:rStyle w:val="IndexLink"/>
                <w:rtl w:val="true"/>
              </w:rPr>
              <w:t>اشارة</w:t>
            </w:r>
            <w:r>
              <w:rPr>
                <w:rStyle w:val="IndexLink"/>
                <w:rtl w:val="true"/>
              </w:rPr>
              <w:tab/>
            </w:r>
            <w:r>
              <w:rPr>
                <w:rStyle w:val="IndexLink"/>
              </w:rPr>
              <w:t>509</w:t>
            </w:r>
          </w:hyperlink>
        </w:p>
        <w:p>
          <w:pPr>
            <w:pStyle w:val="Contents6"/>
            <w:tabs>
              <w:tab w:val="clear" w:pos="7609"/>
              <w:tab w:val="right" w:pos="9026" w:leader="dot"/>
            </w:tabs>
            <w:rPr/>
          </w:pPr>
          <w:hyperlink w:anchor="__RefHeading___Toc6877907_1280447820">
            <w:r>
              <w:rPr>
                <w:webHidden/>
                <w:rStyle w:val="IndexLink"/>
                <w:rtl w:val="true"/>
              </w:rPr>
              <w:t>الفرع الأول</w:t>
            </w:r>
            <w:r>
              <w:rPr>
                <w:rStyle w:val="IndexLink"/>
                <w:rtl w:val="true"/>
              </w:rPr>
              <w:t>:</w:t>
              <w:tab/>
            </w:r>
            <w:r>
              <w:rPr>
                <w:rStyle w:val="IndexLink"/>
              </w:rPr>
              <w:t>523</w:t>
            </w:r>
          </w:hyperlink>
        </w:p>
        <w:p>
          <w:pPr>
            <w:pStyle w:val="Contents6"/>
            <w:tabs>
              <w:tab w:val="clear" w:pos="7609"/>
              <w:tab w:val="right" w:pos="9026" w:leader="dot"/>
            </w:tabs>
            <w:rPr/>
          </w:pPr>
          <w:hyperlink w:anchor="__RefHeading___Toc6877909_1280447820">
            <w:r>
              <w:rPr>
                <w:webHidden/>
                <w:rStyle w:val="IndexLink"/>
                <w:rtl w:val="true"/>
              </w:rPr>
              <w:t>اشارة</w:t>
            </w:r>
            <w:r>
              <w:rPr>
                <w:rStyle w:val="IndexLink"/>
                <w:rtl w:val="true"/>
              </w:rPr>
              <w:tab/>
            </w:r>
            <w:r>
              <w:rPr>
                <w:rStyle w:val="IndexLink"/>
              </w:rPr>
              <w:t>523</w:t>
            </w:r>
          </w:hyperlink>
        </w:p>
        <w:p>
          <w:pPr>
            <w:pStyle w:val="Contents6"/>
            <w:tabs>
              <w:tab w:val="clear" w:pos="7609"/>
              <w:tab w:val="right" w:pos="9026" w:leader="dot"/>
            </w:tabs>
            <w:rPr/>
          </w:pPr>
          <w:hyperlink w:anchor="__RefHeading___Toc6877911_1280447820">
            <w:r>
              <w:rPr>
                <w:webHidden/>
                <w:rStyle w:val="IndexLink"/>
                <w:rtl w:val="true"/>
              </w:rPr>
              <w:t>بقي شيء</w:t>
            </w:r>
            <w:r>
              <w:rPr>
                <w:rStyle w:val="IndexLink"/>
                <w:rtl w:val="true"/>
              </w:rPr>
              <w:t>:</w:t>
              <w:tab/>
            </w:r>
            <w:r>
              <w:rPr>
                <w:rStyle w:val="IndexLink"/>
              </w:rPr>
              <w:t>531</w:t>
            </w:r>
          </w:hyperlink>
        </w:p>
        <w:p>
          <w:pPr>
            <w:pStyle w:val="Contents6"/>
            <w:tabs>
              <w:tab w:val="clear" w:pos="7609"/>
              <w:tab w:val="right" w:pos="9026" w:leader="dot"/>
            </w:tabs>
            <w:rPr/>
          </w:pPr>
          <w:hyperlink w:anchor="__RefHeading___Toc6877913_1280447820">
            <w:r>
              <w:rPr>
                <w:webHidden/>
                <w:rStyle w:val="IndexLink"/>
                <w:rtl w:val="true"/>
              </w:rPr>
              <w:t>الفرع الثاني</w:t>
            </w:r>
            <w:r>
              <w:rPr>
                <w:rStyle w:val="IndexLink"/>
                <w:rtl w:val="true"/>
              </w:rPr>
              <w:t>:</w:t>
              <w:tab/>
            </w:r>
            <w:r>
              <w:rPr>
                <w:rStyle w:val="IndexLink"/>
              </w:rPr>
              <w:t>531</w:t>
            </w:r>
          </w:hyperlink>
        </w:p>
        <w:p>
          <w:pPr>
            <w:pStyle w:val="Contents2"/>
            <w:tabs>
              <w:tab w:val="clear" w:pos="8743"/>
              <w:tab w:val="right" w:pos="9026" w:leader="dot"/>
            </w:tabs>
            <w:rPr/>
          </w:pPr>
          <w:hyperlink w:anchor="__RefHeading___Toc6877915_1280447820">
            <w:r>
              <w:rPr>
                <w:webHidden/>
                <w:rStyle w:val="IndexLink"/>
                <w:rtl w:val="true"/>
              </w:rPr>
              <w:t>الفصل الثامن</w:t>
            </w:r>
            <w:r>
              <w:rPr>
                <w:rStyle w:val="IndexLink"/>
                <w:rtl w:val="true"/>
              </w:rPr>
              <w:tab/>
            </w:r>
            <w:r>
              <w:rPr>
                <w:rStyle w:val="IndexLink"/>
              </w:rPr>
              <w:t>534</w:t>
            </w:r>
          </w:hyperlink>
        </w:p>
        <w:p>
          <w:pPr>
            <w:pStyle w:val="Contents3"/>
            <w:tabs>
              <w:tab w:val="clear" w:pos="8459"/>
              <w:tab w:val="right" w:pos="9026" w:leader="dot"/>
            </w:tabs>
            <w:rPr/>
          </w:pPr>
          <w:hyperlink w:anchor="__RefHeading___Toc6877917_1280447820">
            <w:r>
              <w:rPr>
                <w:webHidden/>
                <w:rStyle w:val="IndexLink"/>
                <w:rtl w:val="true"/>
              </w:rPr>
              <w:t>اشارة</w:t>
            </w:r>
            <w:r>
              <w:rPr>
                <w:rStyle w:val="IndexLink"/>
                <w:rtl w:val="true"/>
              </w:rPr>
              <w:tab/>
            </w:r>
            <w:r>
              <w:rPr>
                <w:rStyle w:val="IndexLink"/>
              </w:rPr>
              <w:t>534</w:t>
            </w:r>
          </w:hyperlink>
        </w:p>
        <w:p>
          <w:pPr>
            <w:pStyle w:val="Contents3"/>
            <w:tabs>
              <w:tab w:val="clear" w:pos="8459"/>
              <w:tab w:val="right" w:pos="9026" w:leader="dot"/>
            </w:tabs>
            <w:rPr/>
          </w:pPr>
          <w:hyperlink w:anchor="__RefHeading___Toc6877919_1280447820">
            <w:r>
              <w:rPr>
                <w:webHidden/>
                <w:rStyle w:val="IndexLink"/>
                <w:rtl w:val="true"/>
              </w:rPr>
              <w:t>التقية في الزكاة</w:t>
            </w:r>
            <w:r>
              <w:rPr>
                <w:rStyle w:val="IndexLink"/>
                <w:rtl w:val="true"/>
              </w:rPr>
              <w:tab/>
            </w:r>
            <w:r>
              <w:rPr>
                <w:rStyle w:val="IndexLink"/>
              </w:rPr>
              <w:t>536</w:t>
            </w:r>
          </w:hyperlink>
        </w:p>
        <w:p>
          <w:pPr>
            <w:pStyle w:val="Contents4"/>
            <w:tabs>
              <w:tab w:val="clear" w:pos="8176"/>
              <w:tab w:val="right" w:pos="9026" w:leader="dot"/>
            </w:tabs>
            <w:rPr/>
          </w:pPr>
          <w:hyperlink w:anchor="__RefHeading___Toc6877921_1280447820">
            <w:r>
              <w:rPr>
                <w:webHidden/>
                <w:rStyle w:val="IndexLink"/>
                <w:rtl w:val="true"/>
              </w:rPr>
              <w:t>اشارة</w:t>
            </w:r>
            <w:r>
              <w:rPr>
                <w:rStyle w:val="IndexLink"/>
                <w:rtl w:val="true"/>
              </w:rPr>
              <w:tab/>
            </w:r>
            <w:r>
              <w:rPr>
                <w:rStyle w:val="IndexLink"/>
              </w:rPr>
              <w:t>536</w:t>
            </w:r>
          </w:hyperlink>
        </w:p>
        <w:p>
          <w:pPr>
            <w:pStyle w:val="Contents4"/>
            <w:tabs>
              <w:tab w:val="clear" w:pos="8176"/>
              <w:tab w:val="right" w:pos="9026" w:leader="dot"/>
            </w:tabs>
            <w:rPr/>
          </w:pPr>
          <w:hyperlink w:anchor="__RefHeading___Toc6877923_1280447820">
            <w:r>
              <w:rPr>
                <w:webHidden/>
                <w:rStyle w:val="IndexLink"/>
                <w:rtl w:val="true"/>
              </w:rPr>
              <w:t>الأول</w:t>
            </w:r>
            <w:r>
              <w:rPr>
                <w:rStyle w:val="IndexLink"/>
                <w:rtl w:val="true"/>
              </w:rPr>
              <w:t xml:space="preserve">: </w:t>
            </w:r>
            <w:r>
              <w:rPr>
                <w:rStyle w:val="IndexLink"/>
                <w:rtl w:val="true"/>
              </w:rPr>
              <w:t>الإيمان بالمعنى الأخص</w:t>
            </w:r>
            <w:r>
              <w:rPr>
                <w:rStyle w:val="IndexLink"/>
                <w:rtl w:val="true"/>
              </w:rPr>
              <w:t>:</w:t>
              <w:tab/>
            </w:r>
            <w:r>
              <w:rPr>
                <w:rStyle w:val="IndexLink"/>
              </w:rPr>
              <w:t>536</w:t>
            </w:r>
          </w:hyperlink>
        </w:p>
        <w:p>
          <w:pPr>
            <w:pStyle w:val="Contents4"/>
            <w:tabs>
              <w:tab w:val="clear" w:pos="8176"/>
              <w:tab w:val="right" w:pos="9026" w:leader="dot"/>
            </w:tabs>
            <w:rPr/>
          </w:pPr>
          <w:hyperlink w:anchor="__RefHeading___Toc6877925_1280447820">
            <w:r>
              <w:rPr>
                <w:webHidden/>
                <w:rStyle w:val="IndexLink"/>
                <w:rtl w:val="true"/>
              </w:rPr>
              <w:t>الثاني</w:t>
            </w:r>
            <w:r>
              <w:rPr>
                <w:rStyle w:val="IndexLink"/>
                <w:rtl w:val="true"/>
              </w:rPr>
              <w:t xml:space="preserve">: </w:t>
            </w:r>
            <w:r>
              <w:rPr>
                <w:rStyle w:val="IndexLink"/>
                <w:rtl w:val="true"/>
              </w:rPr>
              <w:t>العدالة</w:t>
            </w:r>
            <w:r>
              <w:rPr>
                <w:rStyle w:val="IndexLink"/>
                <w:rtl w:val="true"/>
              </w:rPr>
              <w:t>:</w:t>
              <w:tab/>
            </w:r>
            <w:r>
              <w:rPr>
                <w:rStyle w:val="IndexLink"/>
              </w:rPr>
              <w:t>541</w:t>
            </w:r>
          </w:hyperlink>
        </w:p>
        <w:p>
          <w:pPr>
            <w:pStyle w:val="Contents3"/>
            <w:tabs>
              <w:tab w:val="clear" w:pos="8459"/>
              <w:tab w:val="right" w:pos="9026" w:leader="dot"/>
            </w:tabs>
            <w:rPr/>
          </w:pPr>
          <w:hyperlink w:anchor="__RefHeading___Toc6877927_1280447820">
            <w:r>
              <w:rPr>
                <w:webHidden/>
                <w:rStyle w:val="IndexLink"/>
                <w:rtl w:val="true"/>
              </w:rPr>
              <w:t>الجهة الثانية</w:t>
            </w:r>
            <w:r>
              <w:rPr>
                <w:rStyle w:val="IndexLink"/>
                <w:rtl w:val="true"/>
              </w:rPr>
              <w:t>:</w:t>
              <w:tab/>
            </w:r>
            <w:r>
              <w:rPr>
                <w:rStyle w:val="IndexLink"/>
              </w:rPr>
              <w:t>551</w:t>
            </w:r>
          </w:hyperlink>
        </w:p>
        <w:p>
          <w:pPr>
            <w:pStyle w:val="Contents2"/>
            <w:tabs>
              <w:tab w:val="clear" w:pos="8743"/>
              <w:tab w:val="right" w:pos="9026" w:leader="dot"/>
            </w:tabs>
            <w:rPr/>
          </w:pPr>
          <w:hyperlink w:anchor="__RefHeading___Toc6877929_1280447820">
            <w:r>
              <w:rPr>
                <w:webHidden/>
                <w:rStyle w:val="IndexLink"/>
                <w:rtl w:val="true"/>
              </w:rPr>
              <w:t>الفهرس</w:t>
            </w:r>
            <w:r>
              <w:rPr>
                <w:rStyle w:val="IndexLink"/>
                <w:rtl w:val="true"/>
              </w:rPr>
              <w:tab/>
            </w:r>
            <w:r>
              <w:rPr>
                <w:rStyle w:val="IndexLink"/>
              </w:rPr>
              <w:t>556</w:t>
            </w:r>
          </w:hyperlink>
        </w:p>
        <w:p>
          <w:pPr>
            <w:pStyle w:val="Contents2"/>
            <w:tabs>
              <w:tab w:val="clear" w:pos="8743"/>
              <w:tab w:val="right" w:pos="9026" w:leader="dot"/>
            </w:tabs>
            <w:rPr/>
          </w:pPr>
          <w:hyperlink w:anchor="__RefHeading___Toc6877931_1280447820">
            <w:r>
              <w:rPr>
                <w:webHidden/>
                <w:rStyle w:val="IndexLink"/>
                <w:rtl w:val="true"/>
              </w:rPr>
              <w:t>مصادر الكتاب</w:t>
            </w:r>
            <w:r>
              <w:rPr>
                <w:rStyle w:val="IndexLink"/>
                <w:rtl w:val="true"/>
              </w:rPr>
              <w:tab/>
            </w:r>
            <w:r>
              <w:rPr>
                <w:rStyle w:val="IndexLink"/>
              </w:rPr>
              <w:t>558</w:t>
            </w:r>
          </w:hyperlink>
        </w:p>
        <w:p>
          <w:pPr>
            <w:pStyle w:val="Contents2"/>
            <w:tabs>
              <w:tab w:val="clear" w:pos="8743"/>
              <w:tab w:val="right" w:pos="9026" w:leader="dot"/>
            </w:tabs>
            <w:rPr/>
          </w:pPr>
          <w:hyperlink w:anchor="__RefHeading___Toc6877933_1280447820">
            <w:r>
              <w:rPr>
                <w:webHidden/>
                <w:rStyle w:val="IndexLink"/>
                <w:rtl w:val="true"/>
              </w:rPr>
              <w:t>فهرس المحتويات الکتاب</w:t>
            </w:r>
            <w:r>
              <w:rPr>
                <w:rStyle w:val="IndexLink"/>
                <w:rtl w:val="true"/>
              </w:rPr>
              <w:tab/>
            </w:r>
            <w:r>
              <w:rPr>
                <w:rStyle w:val="IndexLink"/>
              </w:rPr>
              <w:t>572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87_188058"/>
      <w:bookmarkStart w:id="1" w:name="pg16387_188058"/>
      <w:bookmarkEnd w:id="1"/>
    </w:p>
    <w:p>
      <w:pPr>
        <w:pStyle w:val="Heading2"/>
        <w:numPr>
          <w:ilvl w:val="1"/>
          <w:numId w:val="1"/>
        </w:numPr>
        <w:rPr/>
      </w:pPr>
      <w:bookmarkStart w:id="2" w:name="pg16387_188058"/>
      <w:bookmarkStart w:id="3" w:name="__RefHeading___Toc6877647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التقية في فقه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 لبحث</w:t>
      </w:r>
    </w:p>
    <w:p>
      <w:pPr>
        <w:pStyle w:val="BookText"/>
        <w:rPr/>
      </w:pPr>
      <w:r>
        <w:rPr>
          <w:rFonts w:ascii="Amiri" w:hAnsi="Amiri" w:eastAsia="Amiri" w:cs="Amiri"/>
          <w:color w:val="111111"/>
          <w:sz w:val="28"/>
          <w:sz w:val="28"/>
          <w:szCs w:val="28"/>
          <w:rtl w:val="true"/>
          <w:lang w:bidi="ar-SA"/>
        </w:rPr>
        <w:t>سماحة آية الله</w:t>
      </w:r>
    </w:p>
    <w:p>
      <w:pPr>
        <w:pStyle w:val="BookText"/>
        <w:rPr/>
      </w:pPr>
      <w:r>
        <w:rPr>
          <w:rFonts w:ascii="Amiri" w:hAnsi="Amiri" w:eastAsia="Amiri" w:cs="Amiri"/>
          <w:color w:val="111111"/>
          <w:sz w:val="28"/>
          <w:sz w:val="28"/>
          <w:szCs w:val="28"/>
          <w:rtl w:val="true"/>
          <w:lang w:bidi="ar-SA"/>
        </w:rPr>
        <w:t>الحاج الشيخ مسلم الداوري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محمّد علي المعلّم</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77649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التقية في فقه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 لبحث</w:t>
      </w:r>
    </w:p>
    <w:p>
      <w:pPr>
        <w:pStyle w:val="BookText"/>
        <w:rPr/>
      </w:pPr>
      <w:r>
        <w:rPr>
          <w:rFonts w:ascii="Amiri" w:hAnsi="Amiri" w:eastAsia="Amiri" w:cs="Amiri"/>
          <w:color w:val="111111"/>
          <w:sz w:val="28"/>
          <w:sz w:val="28"/>
          <w:szCs w:val="28"/>
          <w:rtl w:val="true"/>
          <w:lang w:bidi="ar-SA"/>
        </w:rPr>
        <w:t>سماحة آية الله</w:t>
      </w:r>
    </w:p>
    <w:p>
      <w:pPr>
        <w:pStyle w:val="BookText"/>
        <w:rPr/>
      </w:pPr>
      <w:r>
        <w:rPr>
          <w:rFonts w:ascii="Amiri" w:hAnsi="Amiri" w:eastAsia="Amiri" w:cs="Amiri"/>
          <w:color w:val="111111"/>
          <w:sz w:val="28"/>
          <w:sz w:val="28"/>
          <w:szCs w:val="28"/>
          <w:rtl w:val="true"/>
          <w:lang w:bidi="ar-SA"/>
        </w:rPr>
        <w:t>الحاج الشيخ مسلم الداوري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المعلّم </w:t>
      </w:r>
    </w:p>
    <w:p>
      <w:pPr>
        <w:pStyle w:val="BookText"/>
        <w:rPr/>
      </w:pPr>
      <w:r>
        <w:rPr>
          <w:rFonts w:ascii="Amiri" w:hAnsi="Amiri" w:eastAsia="Amiri" w:cs="Amiri"/>
          <w:color w:val="111111"/>
          <w:sz w:val="28"/>
          <w:sz w:val="28"/>
          <w:szCs w:val="28"/>
          <w:rtl w:val="true"/>
          <w:lang w:bidi="ar-SA"/>
        </w:rPr>
        <w:t>التقية في فقه أهل البيت عليهم السلام ج</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تقريراً لبحث سماحة آية الله الشيخ مسلم الداوري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صالح المعلم</w:t>
      </w:r>
    </w:p>
    <w:p>
      <w:pPr>
        <w:pStyle w:val="BookText"/>
        <w:rPr/>
      </w:pPr>
      <w:r>
        <w:rPr>
          <w:rFonts w:ascii="Amiri" w:hAnsi="Amiri" w:eastAsia="Amiri" w:cs="Amiri"/>
          <w:color w:val="111111"/>
          <w:sz w:val="28"/>
          <w:sz w:val="28"/>
          <w:szCs w:val="28"/>
          <w:rtl w:val="true"/>
          <w:lang w:bidi="ar-SA"/>
        </w:rPr>
        <w:t>الاخراج الفني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16387_188062"/>
    </w:p>
    <w:p>
      <w:pPr>
        <w:pStyle w:val="Heading2"/>
        <w:numPr>
          <w:ilvl w:val="1"/>
          <w:numId w:val="1"/>
        </w:numPr>
        <w:rPr/>
      </w:pPr>
      <w:bookmarkStart w:id="8" w:name="__RefHeading___Toc6877651_1280447820"/>
      <w:bookmarkStart w:id="9" w:name="_Toc3"/>
      <w:bookmarkEnd w:id="7"/>
      <w:bookmarkEnd w:id="8"/>
      <w:r>
        <w:rPr>
          <w:rtl w:val="true"/>
        </w:rPr>
        <w:t>کلمة الشیخ الاستاد دام الظله</w:t>
      </w:r>
      <w:bookmarkEnd w:id="9"/>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387_188064"/>
      <w:bookmarkStart w:id="11" w:name="pg16387_188064"/>
      <w:bookmarkEnd w:id="11"/>
    </w:p>
    <w:p>
      <w:pPr>
        <w:pStyle w:val="Heading2"/>
        <w:numPr>
          <w:ilvl w:val="1"/>
          <w:numId w:val="1"/>
        </w:numPr>
        <w:rPr/>
      </w:pPr>
      <w:bookmarkStart w:id="12" w:name="pg16387_188064"/>
      <w:bookmarkStart w:id="13" w:name="__RefHeading___Toc6877653_1280447820"/>
      <w:bookmarkStart w:id="14" w:name="_Toc4"/>
      <w:bookmarkEnd w:id="12"/>
      <w:bookmarkEnd w:id="13"/>
      <w:r>
        <w:rPr>
          <w:rtl w:val="true"/>
        </w:rPr>
        <w:t>توطئة</w:t>
      </w:r>
      <w:bookmarkEnd w:id="14"/>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وآله الغر الميامين واللعن الدائم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بحث فقهي استدلالي لإحدى المسائل التي يكثر الابتلاء بها، انتزعناه من المحاضرات الفقهية المفصّلة، والتي كان يتفضّل بها سماحة العلامة الاُستاذ آية الله الشيخ مسلم الداوري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طلابه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اتسع البحث وامتد ليشمل جميع موارد التقية في جميع أبواب الفقه الواردة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وآثرنا إفراده في كتاب مستقل؛ نظراً لأهمية موضوعه ولتشعّب فروعه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الدخول في موضوع البحث نمهّد له بحديث يتناول التقية عبر التاريخ؛ للتأكيد على أنّها إحدى السمات البارزة في الشرائع السماوية السابقة، ونؤيّد ذلك بذكر الشواهد التاريخية من حياة الأنبياء والأولياء والمصلحين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تبارك وتعالى أن يمدّنا بالعون والتوفيق وأن يجعله عملاً خالصاً لوجهه الكريم، ومحلّاً لرضاه، بحق محمّد وآله الطاهرين صلوات الله عليهم أجمعين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387_188066"/>
      <w:bookmarkStart w:id="16" w:name="pg16387_188066"/>
      <w:bookmarkEnd w:id="16"/>
    </w:p>
    <w:p>
      <w:pPr>
        <w:pStyle w:val="Heading2"/>
        <w:numPr>
          <w:ilvl w:val="1"/>
          <w:numId w:val="1"/>
        </w:numPr>
        <w:rPr/>
      </w:pPr>
      <w:bookmarkStart w:id="17" w:name="pg16387_188066"/>
      <w:bookmarkStart w:id="18" w:name="__RefHeading___Toc6877655_1280447820"/>
      <w:bookmarkStart w:id="19" w:name="_Toc5"/>
      <w:bookmarkEnd w:id="17"/>
      <w:bookmarkEnd w:id="18"/>
      <w:r>
        <w:rPr>
          <w:rtl w:val="true"/>
        </w:rPr>
        <w:t>المقدمة</w:t>
      </w:r>
      <w:bookmarkEnd w:id="19"/>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واللعنة الدائمة على أعدائهم أجمعين إلى قيام يوم الدين</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6877657_1280447820"/>
      <w:bookmarkStart w:id="21" w:name="_Toc6"/>
      <w:bookmarkEnd w:id="20"/>
      <w:r>
        <w:rPr>
          <w:rtl w:val="true"/>
        </w:rPr>
        <w:t>التقية في التاريخ</w:t>
      </w:r>
      <w:r>
        <w:rPr>
          <w:rtl w:val="true"/>
        </w:rPr>
        <w:t>:</w:t>
      </w:r>
      <w:bookmarkEnd w:id="21"/>
    </w:p>
    <w:p>
      <w:pPr>
        <w:pStyle w:val="Heading3"/>
        <w:numPr>
          <w:ilvl w:val="2"/>
          <w:numId w:val="1"/>
        </w:numPr>
        <w:rPr/>
      </w:pPr>
      <w:bookmarkStart w:id="22" w:name="__RefHeading___Toc6877659_1280447820"/>
      <w:bookmarkStart w:id="23" w:name="_Toc7"/>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يعود تاريخ التقية إلى اللحظة التي أحسّ فيها الإنسان بعجزه عن درء الخطر عن نفسه أو عن معتقده، ولم يكن ثمّة ما يبرّر مواجهة الخطر أو مقاومته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فترة موغلة في القدم بقدم وجود الإنسان على الأرض؛ ذلك لأنّ للإنسان حالات طبيعية تعتريه ومنها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الحالات التي جبلت عليها فطرة الإنسان، ويستوي فيها جميع بني البشر لا يشذّ عنها أحد، إلاّ اُولئك الذين زوُّدوا بطاقات خاصة وكفاءات معيّنة أمكنتهم من الوقوف على أسرار الكون والعلم بحقائق الأشياء، وكانوا في كل حركاتهم وسكناتهم مع الله تعالى، وهؤلاء لا يعتريهم ما يعتري سائر البشر من الاضطراب النفسي والقلق وعدم الاطمئنان، وإذا كان هؤلاء يخافون فإنما يخافون على اُمور اُخر تعود إلى ما يحملون من مبادىء وقيم يخشون عليها من أن تقع في غير مواضعها فيساء استغلالها، ويتمثّل هذا المعنى في الصفوة المنتجبة من البشر، وهم السفراء بين الحق والخلق؛ فإنّ شأن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شأن سائر الناس، وإن كانوا يجرون على مقتضى السنن الطبيعية لحكم ومصالح وأسرار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تقدير فالخوف هو المنشأ الطبيعي للتقية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التقية بمفهومها الواسع لا تقتصر على جانب من جوانب الحياة دون </w:t>
      </w:r>
    </w:p>
    <w:p>
      <w:pPr>
        <w:pStyle w:val="BookText"/>
        <w:rPr/>
      </w:pPr>
      <w:r>
        <w:rPr>
          <w:rFonts w:ascii="Amiri" w:hAnsi="Amiri" w:eastAsia="Amiri" w:cs="Amiri"/>
          <w:color w:val="111111"/>
          <w:sz w:val="28"/>
          <w:sz w:val="28"/>
          <w:szCs w:val="28"/>
          <w:rtl w:val="true"/>
          <w:lang w:bidi="ar-SA"/>
        </w:rPr>
        <w:t>آخر، بل تعم جميع ما يتّخذه الإنسان من الأساليب المتاحة له لدفع الأخطار عن نفسه أو عن من يهمه أمره، سواء كانت الأخطار طبيعية أو غير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يلجأ إلى دفع ما يتهدده من أخطار الطبيعة من حرّ أو قرّ أو جوع أو مرض أو سبع أو نحو ذلك، ويتوسل بأساليب شتّى لئلّا يقع ضحيتها، بل قد يتخذ الأساليب الوقائية عن الأخطار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كانت هذه الاُمور الطبيعية لا جدال فيها ولا نقاش؛ لاتفاق البشر وغير البشر عليها، اتخذ البحث عن التقية منحى آخر، وهو ما يواجهه الإنسان من أخطار غير طبيعية ناشئة عن ظلم الإنسان لأخيه الإنسان في ظل ظروف اجتماعية أو سياسية معينة، كما أنّها قد تكونإحدى الوسائل لإيصال المعارف الإلهيّة إلى من يصعب إفهامه إياها بصورة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فالتقية حالة علاجية مؤقتة قد يتوسل بها الإنسان لدفع الخطر بإظهار الموافقة وكتمان المخالفة في ظروفه 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يتوصل بها لتهيئة الأذهان وإعداد النفوس لتقبّل الحقائق، نظير ملاطفة الأطفال والتصابي لهم ومداراتهم، وهي إحدى الركائز الفطرية التي يستند إليها الإنسان، وكان دور الدين فيها هو الإمضاء والتقرير، بل عدّها من صميم الدين وسنة من سنن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وأكّدها القرآن الكريم في نصوصه الصريحة، وحدّدت كيفيتها ومواضعها الآثار الدينية الاُخرى</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أقسى ما يواجهه الإنسان أن تكبّل حريته فلا يسعه البوح بما يرى ويعتقد، في الوقت الذي يكون اعتقاده حقاً ورأيه صواباً، فيضطر إلى الكتمان إبقاء على نفسه وحفاظاً على حياته، الأمر الذي يمكن معه الجزم بأنّ كثيراً من الحقائق قد ضاعت أو اُهملت؛ لأنّها لم تعط الفرصة للظهور، ولو لم يكن الأمر كذلك لتغيّر وجه التاريخ، ولكانت الإنسانية تعيش ظروفاً أفضل ممّا هي عليه</w:t>
      </w:r>
      <w:r>
        <w:rPr>
          <w:rFonts w:eastAsia="Amiri" w:cs="Amiri" w:ascii="Amiri" w:hAnsi="Amiri"/>
          <w:color w:val="111111"/>
          <w:sz w:val="28"/>
          <w:szCs w:val="28"/>
          <w:rtl w:val="true"/>
          <w:lang w:bidi="ar-SA"/>
        </w:rPr>
        <w:t xml:space="preserve">. </w:t>
      </w:r>
      <w:bookmarkStart w:id="24" w:name="pg16387_188068"/>
    </w:p>
    <w:p>
      <w:pPr>
        <w:pStyle w:val="BookText"/>
        <w:rPr/>
      </w:pPr>
      <w:bookmarkEnd w:id="24"/>
      <w:r>
        <w:rPr>
          <w:rFonts w:ascii="IRNazanin" w:hAnsi="IRNazanin" w:eastAsia="IRNazanin"/>
          <w:color w:val="111111"/>
          <w:sz w:val="28"/>
          <w:sz w:val="28"/>
          <w:szCs w:val="28"/>
          <w:rtl w:val="true"/>
          <w:lang w:bidi="fa-IR"/>
        </w:rPr>
        <w:t xml:space="preserve">ولمّا كان موضوع التقية يتسع للكثير من القول، آثرنا الحديث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وجهتها التاريخية؛ لأنّ هذا الجانب هو أقوى ما تثبت به السيرة 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خلال سيرة الأنبياء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التي هي أحد الأدلة المسلّمة والمتّفق عليها عند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الغرض إلّا التأكيد على صحة ما هو ثابت من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التقية، وإقامة الحجة على من خالفهم واتهمهم زوراً وبهتاناً؛ إمّا لقصور في الإدراك أو لاعوجاج في السليقة، وعدم الفهم الصحيح لاُصول الدين وأحكامه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ويمكننا تقسيم البحث إلى قسمين رئيسين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بعد الإسلام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877661_1280447820"/>
      <w:bookmarkStart w:id="26" w:name="_Toc8"/>
      <w:bookmarkEnd w:id="25"/>
      <w:r>
        <w:rPr>
          <w:rtl w:val="true"/>
        </w:rPr>
        <w:t>القسم الأول</w:t>
      </w:r>
      <w:r>
        <w:rPr>
          <w:rtl w:val="true"/>
        </w:rPr>
        <w:t xml:space="preserve">: </w:t>
      </w:r>
      <w:r>
        <w:rPr>
          <w:rtl w:val="true"/>
        </w:rPr>
        <w:t>التقية قبل الإسلام</w:t>
      </w:r>
      <w:r>
        <w:rPr>
          <w:rtl w:val="true"/>
        </w:rPr>
        <w:t>:</w:t>
      </w:r>
      <w:bookmarkEnd w:id="26"/>
    </w:p>
    <w:p>
      <w:pPr>
        <w:pStyle w:val="Heading4"/>
        <w:numPr>
          <w:ilvl w:val="3"/>
          <w:numId w:val="1"/>
        </w:numPr>
        <w:rPr/>
      </w:pPr>
      <w:bookmarkStart w:id="27" w:name="__RefHeading___Toc6877663_1280447820"/>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ذكرنا أن التقية تعود إلى فترة موغلة في القدم وأنها بدأت مع شعور الإنسان بعجزه عن مواجهة الخطر، ولإثبات هذا الأمر نستعرض جملة من النصوص الدينية والتاريخية تؤكد هذه الحقيقة، وسنعتمد فيما نذكر من الأدلة والشواهد على الآيات القرآنية، وعلى ما اُثر من الروايات،والحوادث التاريخية الواردة من طرق الشيعة والسنة حتى لا يبقى مجال للتوهم والإرتياب في حقيقة التقية ثبوتاً وإثباتاً</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6877665_1280447820"/>
      <w:bookmarkStart w:id="30" w:name="_Toc10"/>
      <w:bookmarkEnd w:id="29"/>
      <w:r>
        <w:rPr/>
        <w:t>1</w:t>
      </w:r>
      <w:r>
        <w:rPr>
          <w:rtl w:val="true"/>
        </w:rPr>
        <w:t xml:space="preserve"> - </w:t>
      </w:r>
      <w:r>
        <w:rPr>
          <w:rtl w:val="true"/>
        </w:rPr>
        <w:t>التقية في زمان آدم</w:t>
      </w:r>
      <w:r>
        <w:rPr>
          <w:rtl w:val="true"/>
        </w:rPr>
        <w:t>(</w:t>
      </w:r>
      <w:r>
        <w:rPr>
          <w:rtl w:val="true"/>
        </w:rPr>
        <w:t>علیه السلام</w:t>
      </w:r>
      <w:r>
        <w:rPr>
          <w:rtl w:val="true"/>
        </w:rPr>
        <w:t>):</w:t>
      </w:r>
      <w:bookmarkEnd w:id="3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جريمة قتل سُفِك فيها الدم الحرام هي الجريمة النكراء التي قتل الأخ فيها أخاه حسداً وعدواناً، وقد تحدّث القرآن الكريم عن تلك الواقعة فقال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قَالَ لأَقْتُلَنَّكَ قَالَ إِنَّمَا يَتَقَبَّلُ اللهُ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وَإِثْمِكَ فَتَكُونَ مِنْ أَصْحَابِ النَّارِ وَذَلِكَ جَزَاءُ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أَخِيهِ فَقَتَلَهُ فَأَصْبَحَ مِنْ الْخَاسِرِينَ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تحدّث التاريخ عن هذا الحدث، وكشفت الروايات عن كثير من ملابساته، وقد نصّت على أن هابيل كان وصياً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شهادته انتقلت الوصية إلى أخيه شيث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وتفسيره هبة الله</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هذا الأخير أول من مارس التقية خوفاً من بطش قابيل وعدوانه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القطب الراوندي في قصص الأنبياء بإسناده عن محمّد بن سنان عن إسماعيل بن جابر عن عبد الحميد بن أبي الديلم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قابيل أتى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قد أعطاك العلم الذي كان عنده، وأنا كنت أكبر منك وأحق به منك، ولكن قتلت ابنه فغضب علي فآثرك بذلك العلم عليّ، وإنك والله إن ذكرت شيئاً مما عندك من العلم الذي ورثك أبوك لتكبر به عليّ وتفتخر عليّ لأقتلنّك كما قتلت أخاك، فاستخفى هبة الله بما كان عنده من العلم لتنقضي دولة قابيل، ولذلك يسعنا في قومنا التقية لأن لنا في ابن آدم أسوة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ورواها صاحب البحار عن قصص الأنبياء بسند صحيح إلى هشام بن الحكم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هبة الله بالميثاق سراً، فجرت السنة والله بالوصية من هبة الله في ولده يتوارثونها عالم بعد عالم، فكانوا يفتحون الوصية كلسنة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وفي رواية اُخرى عن قصص الأنبياء أيضاً بإسناده عن زرارة مثله،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بيده إلى فمه فأمسكه، يعلمنا أي هكذا أنا ساكت، فلا تلقوا بأيديكم إلى التهلكة معشر شيعتنا فتمكّنوا عدوكم من رقابكم فتكونوا عبيداً لهم بعد إذ أنتم أربابهم وساداتهم، فإن في التقية منهم لكم ردّاً عما قد أصبحوا فيه من الفضائح بأعمالهم الخبيثة علانية، وما يرون منكم من تورعكم عن المحارم وتنزهكم عن الأشربة السوء والمعاصي وكثرة الحج والصلاة وترك كلامهم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كتاب مختصر بصائر الدرجات بسند صحيح إلى 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آدم إلى هابيل فحسده قابيل فقتله، ووهب الله له هبة الله وأمره أن يوصي إليه وأن يسرّ ذلك، فجرت السنة في ذلك بالكتمان والوصية، فأوصى إليه وأسر ذلك، فقال قابيل لهبة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علمت أن أباك قد أوصى إليك، وأنا اُعطي الله عهداً لئن أظهرت ذلك أو تكلمت لأقتلنك كما قتلت أخاك </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في كتابه المحتضر عن كتاب الشفاء والجلاء بإسناده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آدم مفصلة،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انقضت نبوتك وفنيت أيامك، فانظر إلى اسم الله الأعظم وما علّمتك من الأسماء كلها وأثرة النبوة وما تحتاج الناس إليه فادفعه إلى شيث، وأمره أن يقبله بكتمان وتقية عن أخيه لئلاّ يقتله كما قتل هابيل، فإنه سبق في علمي أن لا أخلي الأرض من عالم يعرف به ديني ويكون فيه نجاة لمن تولاه فيما بينه وبين العالم الذي آمره بإظهار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قابيل على شيث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الذي دفعه إليك أبوك مما كان دفعه إلى هابيل؟ فأنكر ذلك وعلم أنّه إن أقرّ قتله، فلم يزل شيث يخبر </w:t>
      </w:r>
    </w:p>
    <w:p>
      <w:pPr>
        <w:pStyle w:val="BookText"/>
        <w:rPr/>
      </w:pPr>
      <w:r>
        <w:rPr>
          <w:rFonts w:ascii="Amiri" w:hAnsi="Amiri" w:eastAsia="Amiri" w:cs="Amiri"/>
          <w:color w:val="111111"/>
          <w:sz w:val="28"/>
          <w:sz w:val="28"/>
          <w:szCs w:val="28"/>
          <w:rtl w:val="true"/>
          <w:lang w:bidi="ar-SA"/>
        </w:rPr>
        <w:t xml:space="preserve">العقب من ذريته ويبشرهم ببعثة نوح ويأمرهم بالكتمان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ونستفيد من هذه النصوص أنّ التقية وليدة العجز عن مقاومة الظالم أو اقتضاء المصلحة عدم مقاومته، وأنها أمر فطري مركوز في نفس الإنسان فإن التواصي بالكتمان، وفي التهديد بالقتل، وفي إنكار شيث أن يكون عنده شيء من الإرث، شواهد على أن حفظ الحق عن غير أهله،والإبقاء على النفس وحمايتها من شر المعتدي قد يقتضي مسايرة الظالم وإظهار موافقته وإن انعقد القلب على خلافه، وهذه سنة جرى عليها الأنبياء والأولياء والمصلحون، فقد روى الصدوق بسند معتبر عن أبي حمزة 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مفصلة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 هبة الله والعقب منه مستخفين بما عندهم من العلم والإيمان والاسم الأكبر وميراث العلم وآثار النبوة حتى بعث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جرى حتى بعث الله تبارك وتعالى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ما بين آدم ونوح من الأنبياء مستخفين ومستعلنين ولذلك خفي ذكرهم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بين نوح وهود الأنبياء مستخفين ومستعلنين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فجرى بين كل نبي ونبي عشرة آباء وتسعة آباء وثمانية آباء كلهم أنبياء، وجرى لكل نبي ما جرى لنوح، وكما جرى لآدم وهود وصالح وشعيب وإبراهيم حتى انتهى إلى يوسف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عيسى إلى بني إسرائيل خاصة فكانت نبوّته ببيت المقدس، وكان من بعده من الحواريين اثنا عشر، فلم يزل الإيمان يستتر في بقية أهله منذ رفع الله عزوجل عيسى وأرسل الله عزوجل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الجن والإنس الحديث</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الطبري في تاريخه هذا المعنى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داود عن يعقوب عن جعفر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قبل موته أحد عشر يوماً، وأوصى إلى ابنه شيث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وصيته، ثمّ دفع كتاب وصيّته </w:t>
      </w:r>
      <w:bookmarkStart w:id="31" w:name="pg16387_188072"/>
    </w:p>
    <w:p>
      <w:pPr>
        <w:pStyle w:val="BookText"/>
        <w:rPr/>
      </w:pPr>
      <w:bookmarkEnd w:id="31"/>
      <w:r>
        <w:rPr>
          <w:rFonts w:ascii="Amiri" w:hAnsi="Amiri" w:eastAsia="Amiri" w:cs="Amiri"/>
          <w:color w:val="111111"/>
          <w:sz w:val="28"/>
          <w:sz w:val="28"/>
          <w:szCs w:val="28"/>
          <w:rtl w:val="true"/>
          <w:lang w:bidi="ar-SA"/>
        </w:rPr>
        <w:t>إلى شيث، وأمره أن يخفيه عن قابيل وولده لأن قابيل قد كان قتل هابيل حسداً منه حين خصّه آدم بالعلم، فاستخفى شيث وولده بما عندهم من العلم ولم يكن عند قابيل وولده علم ينتفعون به</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ونقله أبو الفرج ابن الجوزي في كتابه المنتظم في تاريخ الأمم والملوك</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وقال ابن الأثير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آدم مرض أحد عشر يوماً وأوصى إلى ابنه شيث، وأمره أن يُخفي علمه عن قابيل وولده لأنه قتل هابيل حسداً منه له حين خصّه آدم بالعلم، فأخفى شيث وولده ما عندهممن العلم، ولم يكن عند قابيل وولده علم ينتفعون به</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وفي ذلك دلالة على أن ممارسة التقية أمر خاضع للظروف الدائرة بين المد والجزر والشدة والضعف، ولذلك كان الاستخفاء من بعض الأنبياء والاستعلان من آخرين</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6877667_1280447820"/>
      <w:bookmarkStart w:id="33" w:name="_Toc11"/>
      <w:bookmarkEnd w:id="32"/>
      <w:r>
        <w:rPr/>
        <w:t>2</w:t>
      </w:r>
      <w:r>
        <w:rPr>
          <w:rtl w:val="true"/>
        </w:rPr>
        <w:t xml:space="preserve"> - </w:t>
      </w:r>
      <w:r>
        <w:rPr>
          <w:rtl w:val="true"/>
        </w:rPr>
        <w:t xml:space="preserve">التقية في زمان إبراهيم الخليل </w:t>
      </w:r>
      <w:r>
        <w:rPr>
          <w:rtl w:val="true"/>
        </w:rPr>
        <w:t>(</w:t>
      </w:r>
      <w:r>
        <w:rPr>
          <w:rtl w:val="true"/>
        </w:rPr>
        <w:t>علیه السلام</w:t>
      </w:r>
      <w:r>
        <w:rPr>
          <w:rtl w:val="true"/>
        </w:rPr>
        <w:t>):</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خليل الرحمن وهو بطل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وقف يقارع الشرك ويفنّد مزاعم المشركين، كما أشار القرآن الكريم إلى بعض مواقفه العظيمة في جهاده ضد الكفر والكافرين حتى ضاق به قومه ذرعاً فتآمروا على إحراقه بالنار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إِبْرَاهِيمَ رُشْدَهُ مِنْ قَبْلُ وَكُنَّا بِهِ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وَقَوْمِهِ مَا هَذِهِ التَّمَاثِيلُ الَّتِي أَنْتُمْ لَهَا عَاكِفُونَ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كُنتُمْ أَنْتُمْ وَآبَاؤُكُمْ 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بِالْحَقِّ أَمْ أَنْتَ مِنْ اللاَّعِبِينَ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w:t>
      </w:r>
    </w:p>
    <w:p>
      <w:pPr>
        <w:pStyle w:val="BookText"/>
        <w:rPr/>
      </w:pPr>
      <w:r>
        <w:rPr>
          <w:rFonts w:ascii="Amiri" w:hAnsi="Amiri" w:eastAsia="Amiri" w:cs="Amiri"/>
          <w:color w:val="111111"/>
          <w:sz w:val="28"/>
          <w:sz w:val="28"/>
          <w:szCs w:val="28"/>
          <w:rtl w:val="true"/>
          <w:lang w:bidi="ar-SA"/>
        </w:rPr>
        <w:t xml:space="preserve">رَبُّكُمْ رَبُّ السَّمَوَاتِ وَالأَرْضِ الَّذِي فَطَرَهُنَّ وَأَنَا عَلَى ذَلِكُمْ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وَتَاللهِ لأَكِيدَنَّ أَصْنَامَكُمْ بَعْدَ أَنْ تُوَلُّوا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كَبِيراً لَهُمْ لَعَلَّهُمْ إِلَيْهِ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عَلَى أَعْيُنِ النَّاسِ لَعَلَّهُمْ يَشْهَدُونَ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أَأَنْتَ فَعَلْتَ هَذَا بِآلِهَتِنَا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كَبِيرُهُمْ هَذَا فَاسْأَلُوهُمْ إِنْ كَانُوا يَنطِقُونَ</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واجه في حياته من القضايا ما دفعه إلى التقية، إبقاء على حياته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يكذب إبراهيم عليه الصلاة والسلام إلاّ ثلاث كذبات، ثنتين منهن في ذات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ذات يوم وسارة إذ أتى على جبّار من الجبابرة،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رجلاً معه امرأة من أحسن الناس، فأرسل إليه وسأله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 فأتى 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سارة ليس على وجه الأرض مؤمن غيري وغيرك وإن هذا سألني عنك فأخبرته أنك اُختي فلا تكذّبيني</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وأوردها الثعلبي في قصصه وجاء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تخوّف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امرأتي أن يقتله</w:t>
      </w:r>
      <w:r>
        <w:rPr>
          <w:rStyle w:val="FootnoteAnchor"/>
          <w:rtl w:val="true"/>
        </w:rPr>
        <w:footnoteReference w:id="15"/>
      </w:r>
      <w:r>
        <w:rPr>
          <w:rFonts w:ascii="Amiri" w:hAnsi="Amiri" w:eastAsia="Amiri" w:cs="Amiri"/>
          <w:color w:val="111111"/>
          <w:sz w:val="28"/>
          <w:sz w:val="28"/>
          <w:szCs w:val="28"/>
          <w:rtl w:val="true"/>
          <w:lang w:bidi="ar-SA"/>
        </w:rPr>
        <w:t>، ورواها ابن كثير في قصص الأنبياء</w:t>
      </w:r>
      <w:r>
        <w:rPr>
          <w:rStyle w:val="FootnoteAnchor"/>
          <w:rtl w:val="true"/>
        </w:rPr>
        <w:footnoteReference w:id="16"/>
      </w:r>
      <w:r>
        <w:rPr>
          <w:rFonts w:ascii="Amiri" w:hAnsi="Amiri" w:eastAsia="Amiri" w:cs="Amiri"/>
          <w:color w:val="111111"/>
          <w:sz w:val="28"/>
          <w:sz w:val="28"/>
          <w:szCs w:val="28"/>
          <w:rtl w:val="true"/>
          <w:lang w:bidi="ar-SA"/>
        </w:rPr>
        <w:t>، ونقلها الطبري في تاريخه</w:t>
      </w:r>
      <w:r>
        <w:rPr>
          <w:rStyle w:val="FootnoteAnchor"/>
          <w:rtl w:val="true"/>
        </w:rPr>
        <w:footnoteReference w:id="1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وذكر نحوها أبو الفرج ابن الجوزي في المنتظم</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وقال الطبري في تاريخه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خرج إبراهيم مهاجراً إلى ربه، وخرج معه لوط مهاجراً، وتزوج سارة ابنة عمه، فخرج بها معه يلتمس الفرار بدينه والأمان على عبادة ربّه حتى نزل حرّان فمكث بها ما شاء الله أن يمكث، ثمّ خرج منها مهاجراً حتى قدم مصر وبها فرعون من الفراعنة الأولى، وكانت سارة من أحسن الناس فيما يقال فكانت لا تعصي إبراهيم شيئاً وبذلك أكرمها الله عزوجل، فلما وصفت لفرعون ووصف له حسنها وجمالها أرسل إلى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المرأة التي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أختي، وتخوّف إبراهيم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امرأتي أن يقتله عنها، فقال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زيّنها ثمّ أرسلها إليّ حتى أنظر إليها، فرجع إبراهيم إلى سارة وأمرها فتهيّأت ثمّ أرسلها إليه، فأقبلت حتى دخلت عليه، فلما قعدت إليه تناولها بيده فيبست إلى صدره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وقد جاء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إلى ذلك، فقد روى صاحب الوسائل في صحيحة أبي بصير،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من دين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من دين الله، ولقد 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العير إنكم لسارقون والله ما كانوا سرقوا شيئاً، ولقد 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سقيم، والله ما كان سقيماً</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تفسير ما ورد على لسان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سقيم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فعله كبيرهم وهكذا بالنسبة إلى قصة سارة بالتقية، فإنه أخفى دينه وعقيدته وحفظ نفسه بذلك وإن كان في صورة الإخبار بخلاف الواقع، وأما بالنسبة إلى </w:t>
      </w:r>
      <w:bookmarkStart w:id="34" w:name="pg16387_188075"/>
    </w:p>
    <w:p>
      <w:pPr>
        <w:pStyle w:val="BookText"/>
        <w:rPr/>
      </w:pPr>
      <w:bookmarkEnd w:id="34"/>
      <w:r>
        <w:rPr>
          <w:rFonts w:ascii="Amiri" w:hAnsi="Amiri" w:eastAsia="Amiri" w:cs="Amiri"/>
          <w:color w:val="111111"/>
          <w:sz w:val="28"/>
          <w:sz w:val="28"/>
          <w:szCs w:val="28"/>
          <w:rtl w:val="true"/>
          <w:lang w:bidi="ar-SA"/>
        </w:rPr>
        <w:t>يوسف فتفسير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العير إنكم لسارقون بالتقية غير واضح وسيأتي بعض التوضيح، نعم روى الثعلبي عن كعب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يمكنني حبسك إلاّ باشتهارك بأمر فظيع،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إفعل ما تريد،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أدس صاعي هذا في رحلك، ثمّ أنادي عليكم بالسرقة ليتهيّأ لي ردّك بعد تسريحك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وروى الصدوق في معاني الأخبار بسنده عن سفيان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بالتقية، فإنها سنة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إذا أراد سفراً دارى بغيره،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بمداراة الناس كما أمرني بإقامة الفرائض، ولقد ادّبه الله عزوجل بالتقية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جاءت بسند ضعيف إلاّ أن فيها تأييداً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التقية سنة إبراهيم الخليل وهو أحد اُولي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مواطن الخوف والدفاع عن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بغيره من سائر الناس؟ الأمر الذي يؤكد أن موضوع التقية يستوي فيه جميع بني البشر عند حدوث دواعيه</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6877669_1280447820"/>
      <w:bookmarkStart w:id="36" w:name="_Toc12"/>
      <w:bookmarkEnd w:id="35"/>
      <w:r>
        <w:rPr/>
        <w:t>3</w:t>
      </w:r>
      <w:r>
        <w:rPr>
          <w:rtl w:val="true"/>
        </w:rPr>
        <w:t xml:space="preserve"> - </w:t>
      </w:r>
      <w:r>
        <w:rPr>
          <w:rtl w:val="true"/>
        </w:rPr>
        <w:t xml:space="preserve">التقية في زمان يوسف الصديق </w:t>
      </w:r>
      <w:r>
        <w:rPr>
          <w:rtl w:val="true"/>
        </w:rPr>
        <w:t>(</w:t>
      </w:r>
      <w:r>
        <w:rPr>
          <w:rtl w:val="true"/>
        </w:rPr>
        <w:t>علیه السلام</w:t>
      </w:r>
      <w:r>
        <w:rPr>
          <w:rtl w:val="true"/>
        </w:rPr>
        <w:t>):</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مارس التقية وهو في أوج عزه وسلطانه وقد اُوتي الجمال والعلم والكمال وأصبح الآمر الناهي في دولة الفراعنة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وقد مني بحسد إخوته وابتلي بمحن شديدة كان السجن أحب إليه وأهون مما لاقاه، وقد تحدث القرآن الكريم عن ذلك </w:t>
      </w:r>
    </w:p>
    <w:p>
      <w:pPr>
        <w:pStyle w:val="BookText"/>
        <w:rPr/>
      </w:pPr>
      <w:r>
        <w:rPr>
          <w:rFonts w:ascii="Amiri" w:hAnsi="Amiri" w:eastAsia="Amiri" w:cs="Amiri"/>
          <w:color w:val="111111"/>
          <w:sz w:val="28"/>
          <w:sz w:val="28"/>
          <w:szCs w:val="28"/>
          <w:rtl w:val="true"/>
          <w:lang w:bidi="ar-SA"/>
        </w:rPr>
        <w:t>وأشارت إلى ذلك عدة من النصوص، ومنها ما رواه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العير إنكم لسارقون وما سرقوا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وفي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سندها جعفر بن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من دين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من دين الله لقد 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العير إنكم لسارقون والله ما كانوا سرقوا شيئاً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وذكرنا آنفاً رواية اُخرى تشير إلى هذا المعنى أيضاً، كما ذكرنا ما أورده الثعلبي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التقية في ذلك غير واضح</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 المحتمل أنّ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قادراً على إبقاء أخيه عنده بغير هذا التدبير، كما يشير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كِدْنَا لِيُوسُفَ مَا كَانَ لِيَأْخُذَ أَخَاهُ فِي دِينِ الْمَلِكِ إِلاَّ أَنْ يَشَاءَ الله</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 وكان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تحت قدرة الملك وسلطانه ودينه، غير أنّه بحكمته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سلوكه وتدبيره استطاع أن يجعل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يتراجع عن دينه ويعتنق دين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ويقرّ بنبوّته ويسير بسيرته في الناس وأصبح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الآمر الناهي والسيد المطاع، وقد ورد هذا المعنى في بعض النصوص، روى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الصحيح عن الحسن بن علي بن بنت إلياس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على جمع الطعام فجمع في السبع السنين المخصبة فكبسه في الخزائن، فلما مضت تلك السنون وأقبلت المجدبة، أقبل يوسف على بيع الطعام فباعهم في السنة الاُولى بالدراهم والدنانير حتى لم يبق بمصر وما حولها دينار ولا درهم إلاّ صار في مملكة يوسف، وباعهم في السنة الثانية بالحلي والجواهر حتى لم يبق بمصر وما حولها حلي ولا </w:t>
      </w:r>
      <w:bookmarkStart w:id="37" w:name="pg16387_188077"/>
    </w:p>
    <w:p>
      <w:pPr>
        <w:pStyle w:val="BookText"/>
        <w:rPr/>
      </w:pPr>
      <w:bookmarkEnd w:id="37"/>
      <w:r>
        <w:rPr>
          <w:rFonts w:ascii="Amiri" w:hAnsi="Amiri" w:eastAsia="Amiri" w:cs="Amiri"/>
          <w:color w:val="111111"/>
          <w:sz w:val="28"/>
          <w:sz w:val="28"/>
          <w:szCs w:val="28"/>
          <w:rtl w:val="true"/>
          <w:lang w:bidi="ar-SA"/>
        </w:rPr>
        <w:t xml:space="preserve">جوهر إلاّ صار في مملكته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وباعهم في السنة السابعة برقابهم حتى لم يبق بمصر وما حولها عبد ولا حر إلاّ صار عبد يوسف فملك أحرارهم وعبيدهم وأموالهم،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ولا سمعنا بملك أعطاه الله من الملك ما أعطاه هذا الملك حكماً وعلماً وتدبيراً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يوسف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ما ترى فيما خوّلني ربي من ملك مصر وأهلها، أشر علينا برأيك فإني لم أصلحهم لأفسدهم، ولم أنجهم من البلاء لأكون بلاءً عليهم، ولكن الله تعالى أنجاهم على يدي،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رأيك،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اُشهد الله واُشهدك أيها الملك أني قد أعتقت أهل مصر ورددت عليهم أموالهم وعبيدهم ورددت عليك أيها الملك خاتمك وسريرك وتاجك على أن لا تسير إلاّ بسيرتي ولا تحكم إلاّبحكمي،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لزيني وفخري أن لا أسير إلاّ بسيرتك ولا أحكم إلاّ بحكمك، ولولاك ما قويت عليه، ولا اهتديت له، ولقد جعلتك سلطاناً عزيزاً لا يرام، وأنا أشهد أن لا إله إلاّ الله وحده لا شريك له، وأنّك رسوله، فأقم على ما ولّيتك فإنك لدينا مكين أمين</w:t>
      </w:r>
      <w:r>
        <w:rPr>
          <w:rStyle w:val="FootnoteAnchor"/>
          <w:rtl w:val="true"/>
        </w:rPr>
        <w:footnoteReference w:id="27"/>
      </w:r>
    </w:p>
    <w:p>
      <w:pPr>
        <w:pStyle w:val="Heading4"/>
        <w:numPr>
          <w:ilvl w:val="3"/>
          <w:numId w:val="1"/>
        </w:numPr>
        <w:rPr/>
      </w:pPr>
      <w:bookmarkStart w:id="38" w:name="__RefHeading___Toc6877671_1280447820"/>
      <w:bookmarkStart w:id="39" w:name="_Toc13"/>
      <w:bookmarkEnd w:id="38"/>
      <w:r>
        <w:rPr/>
        <w:t>4</w:t>
      </w:r>
      <w:r>
        <w:rPr>
          <w:rtl w:val="true"/>
        </w:rPr>
        <w:t xml:space="preserve"> - </w:t>
      </w:r>
      <w:r>
        <w:rPr>
          <w:rtl w:val="true"/>
        </w:rPr>
        <w:t>التقية في زمان موسى الكليم</w:t>
      </w:r>
      <w:r>
        <w:rPr>
          <w:rtl w:val="true"/>
        </w:rPr>
        <w:t>:</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تحدث القرآن الكريم في العديد من الآيات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مواقفه الشجاعة في مواجهة فرعون، وأشاد بمقامه وفضّله على كثير من الرسل حيث اختصه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الرُّسُلُ فَضَّلْنَا بَعْضَهُمْ عَلَى بَعْضٍ مِنْهُمْ مَنْ كَلَّمَ اللهُ </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 إلاّ أنّه مع ذلك قد مارس التقية في بعض أدوار حياته في تبليغه الرسالة للناس وقد فسر ما ورد في الآيات التي ذكرت خوفه بأنه لم يكن يخاف على نفسه من القتل والإيذاء، وإنما كان يخاف من غلبة الباطل على الحق، وكان يتوارى </w:t>
      </w:r>
    </w:p>
    <w:p>
      <w:pPr>
        <w:pStyle w:val="BookText"/>
        <w:rPr/>
      </w:pPr>
      <w:r>
        <w:rPr>
          <w:rFonts w:ascii="Amiri" w:hAnsi="Amiri" w:eastAsia="Amiri" w:cs="Amiri"/>
          <w:color w:val="111111"/>
          <w:sz w:val="28"/>
          <w:sz w:val="28"/>
          <w:szCs w:val="28"/>
          <w:rtl w:val="true"/>
          <w:lang w:bidi="ar-SA"/>
        </w:rPr>
        <w:t>ويترقب لئلاّ يؤخذ ويقتل فيضيع الحق بقتله، وكان يجري في اُموره على مقتضى السنن الطبيعية كما هو شأن سائر الأنبياء، فإنهم لا يلجأون إلى الوسائل الغيبية والإعجازية إلاّ في ظروف معينة مذكورة في محلها من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مارس التقية ما ورد في صحيحة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شطر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قال لموسى وهارون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كنيّاه وقولا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مصعب</w:t>
      </w:r>
      <w:r>
        <w:rPr>
          <w:rStyle w:val="FootnoteAnchor"/>
          <w:rtl w:val="true"/>
        </w:rPr>
        <w:footnoteReference w:id="2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فالموقف اقتضى الملاينة في القول، لا إعلان الحرب عليه مع أن فرعون كان في أوج طغيانه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والمستفاد من الآية الكريمة أن التقية مع فرعون مداراتية لا خوفية ويراد بها ترقيق القلب وتليينه، هذا بالنسبة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القرآن الكريم إلى أن زمان فرعون كان زمان رهبة وبطش وقهر، ولم يكن الناس آمنين فيهعلى أرواحهم وأعراضهم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وتمادى فرعون في غيّه وضلاله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فَحَشَرَ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رَبُّكُمْ الأَعْلَى</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فِرْعَوْنُ يَا أَيُّهَا الْمَلأ مَا عَلِمْتُ لَكُمْ مِنْ إِلَهٍ غَيْرِي فَأَوْقِدْ لِي يَا هَامَانُ عَلَى الطِّينِ فَاجْعَل لِي صَرْحاً لَعَلِّي أَطَّلِعُ إِلَى إِلَهِ مُوسَى وَإِنِّي لأَظُنُّهُ مِنْ الْكَاذِبِينَ</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 وكان الخوف مهيمناً على الناس، وفي قصة ولادة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تحدث عنها القرآن الكريم </w:t>
      </w:r>
      <w:r>
        <w:rPr>
          <w:rFonts w:eastAsia="IRNazanin" w:cs="IRNazanin"/>
          <w:color w:val="111111"/>
          <w:sz w:val="28"/>
          <w:szCs w:val="28"/>
          <w:rtl w:val="true"/>
          <w:lang w:bidi="fa-IR"/>
        </w:rPr>
        <w:t xml:space="preserve">- </w:t>
      </w:r>
      <w:bookmarkStart w:id="40" w:name="pg16387_188079"/>
    </w:p>
    <w:p>
      <w:pPr>
        <w:pStyle w:val="BookText"/>
        <w:rPr/>
      </w:pPr>
      <w:bookmarkEnd w:id="40"/>
      <w:r>
        <w:rPr>
          <w:rFonts w:ascii="Amiri" w:hAnsi="Amiri" w:eastAsia="Amiri" w:cs="Amiri"/>
          <w:color w:val="111111"/>
          <w:sz w:val="28"/>
          <w:sz w:val="28"/>
          <w:szCs w:val="28"/>
          <w:rtl w:val="true"/>
          <w:lang w:bidi="ar-SA"/>
        </w:rPr>
        <w:t>ما يكشف عن معاناتهم إلى حد لم يتمكن أحد من البوح بما في نفسه فضلاً عن إظهار المخالفة، فلما ظهر موسى بدعوته آمن به من آمن وكان إيمانهم في طي الكتمان، وقد حفظ لنا التاريخ أسماء بعض المؤمنين واشار القرآن إلى بعضهم فمنهم</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6877673_1280447820"/>
      <w:bookmarkStart w:id="42" w:name="_Toc14"/>
      <w:bookmarkEnd w:id="41"/>
      <w:r>
        <w:rPr/>
        <w:t>5</w:t>
      </w:r>
      <w:r>
        <w:rPr>
          <w:rtl w:val="true"/>
        </w:rPr>
        <w:t xml:space="preserve"> - </w:t>
      </w:r>
      <w:r>
        <w:rPr>
          <w:rtl w:val="true"/>
        </w:rPr>
        <w:t>مؤمن آل فرعون</w:t>
      </w:r>
      <w:r>
        <w:rPr>
          <w:rtl w:val="true"/>
        </w:rPr>
        <w:t>:</w:t>
      </w:r>
      <w:bookmarkEnd w:id="42"/>
    </w:p>
    <w:p>
      <w:pPr>
        <w:pStyle w:val="BookText"/>
        <w:rPr/>
      </w:pPr>
      <w:r>
        <w:rPr>
          <w:rFonts w:ascii="Amiri" w:hAnsi="Amiri" w:eastAsia="Amiri" w:cs="Amiri"/>
          <w:color w:val="111111"/>
          <w:sz w:val="28"/>
          <w:sz w:val="28"/>
          <w:szCs w:val="28"/>
          <w:rtl w:val="true"/>
          <w:lang w:bidi="ar-SA"/>
        </w:rPr>
        <w:t>كما تحدث عنه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يَكْتُمُ إِيمَانَهُ</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وذكر ابن كثير في قصصه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الرجل هو ابن عم فرعون وكان يكتم إيمانه من قومه خوفاً منهم على نفسه، وزعم بعض الناس أنّه كان إسرائيلياً وهو بعيد ومخالف لسياق الكلام لفظاً ومعنى</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واختلف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شمعان،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من اسمه شمعان بالشين المعجمة إلاّ مؤمن آل فرعون، حكاه السهيلي، وفي تاريخ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خير</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والغرض أن هذا الرجل كان يكتم إيمانه، فلما همّ فرعون بقتل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 على ذلك وشاور ملأه فيه، خاف هذا المؤمن على موسى فتلطّف في ردّ فرعون بكلام جمع فيه الترغيب والترهيب، فقال على وجه المشورة والرأي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أَتَقْتُلُونَ رَجُلاً أَنْ يَقُولَ رَبِّي اللهُ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وقال فرعون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أُرِيكُمْ إِلاَّ مَا أَرَى </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الثعلبي أنّه كان حزقيل وهو من أصحاب فرعون وكان نجاراً، وهو الذي صنع لأم موسى التابوت حين ولدته وألقته في البحر،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خازناً لفرعون قد خزن له مائة سنة، وكان مؤمناً مخلصاً يكتم إيمانه، إلى أن ظهر موسى </w:t>
      </w:r>
      <w:bookmarkStart w:id="43" w:name="pg16387_188080"/>
    </w:p>
    <w:p>
      <w:pPr>
        <w:pStyle w:val="BookText"/>
        <w:rPr/>
      </w:pPr>
      <w:bookmarkEnd w:id="43"/>
      <w:r>
        <w:rPr>
          <w:rFonts w:ascii="Amiri" w:hAnsi="Amiri" w:eastAsia="Amiri" w:cs="Amiri"/>
          <w:color w:val="111111"/>
          <w:sz w:val="28"/>
          <w:sz w:val="28"/>
          <w:szCs w:val="28"/>
          <w:rtl w:val="true"/>
          <w:lang w:bidi="ar-SA"/>
        </w:rPr>
        <w:t>على السحرة فأظهر حزقيل أمره</w:t>
      </w:r>
      <w:r>
        <w:rPr>
          <w:rStyle w:val="FootnoteAnchor"/>
          <w:rtl w:val="true"/>
        </w:rPr>
        <w:footnoteReference w:id="38"/>
      </w:r>
      <w:r>
        <w:rPr>
          <w:rFonts w:ascii="IRNazanin" w:hAnsi="IRNazanin" w:eastAsia="IRNazanin"/>
          <w:color w:val="111111"/>
          <w:sz w:val="28"/>
          <w:sz w:val="28"/>
          <w:szCs w:val="28"/>
          <w:rtl w:val="true"/>
          <w:lang w:bidi="fa-IR"/>
        </w:rPr>
        <w:t xml:space="preserve">وجاء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أبي طالب في إيمانه وكتمانه بمؤمن آل فرعون، فقد روى فخار بن معد الموسوي بإسناده عن ابن بابويه عن محمّد بن القاسم المفسر عن يوسف بن محمّد بن زياد عن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كمؤمن آل فرعون يكتم إيمانه</w:t>
      </w:r>
      <w:r>
        <w:rPr>
          <w:rStyle w:val="FootnoteAnchor"/>
          <w:rtl w:val="true"/>
        </w:rPr>
        <w:footnoteReference w:id="39"/>
      </w:r>
      <w:r>
        <w:rPr>
          <w:rFonts w:ascii="IRNazanin" w:hAnsi="IRNazanin" w:eastAsia="IRNazanin"/>
          <w:color w:val="111111"/>
          <w:sz w:val="28"/>
          <w:sz w:val="28"/>
          <w:szCs w:val="28"/>
          <w:rtl w:val="true"/>
          <w:lang w:bidi="fa-IR"/>
        </w:rPr>
        <w:t xml:space="preserve">وسيأتي تشبيهه بأصحاب الكهف كما سيأتي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في تفسير الثعلبي بالإسناد عن عبد الرحمن بن أبي ليلى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سبّاق الاُمم ثلاثة لم يكفروا بالله طرفة عين أبداً، علي بن أبي طالب، وصاحب يس، ومؤمن آل فرعون، فهم الصديقون، وعليّ أفضلهم</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وقد روى السيوطي في الدرّ المنثور روايات قريبة من هذا المضمون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6877675_1280447820"/>
      <w:bookmarkStart w:id="45" w:name="_Toc15"/>
      <w:bookmarkEnd w:id="44"/>
      <w:r>
        <w:rPr/>
        <w:t>6</w:t>
      </w:r>
      <w:r>
        <w:rPr>
          <w:rtl w:val="true"/>
        </w:rPr>
        <w:t xml:space="preserve"> - </w:t>
      </w:r>
      <w:r>
        <w:rPr>
          <w:rtl w:val="true"/>
        </w:rPr>
        <w:t>ومنهم امرأة مؤمن آل فرعون</w:t>
      </w:r>
      <w:r>
        <w:rPr>
          <w:rtl w:val="true"/>
        </w:rPr>
        <w:t>:</w:t>
      </w:r>
      <w:bookmarkEnd w:id="45"/>
    </w:p>
    <w:p>
      <w:pPr>
        <w:pStyle w:val="BookText"/>
        <w:rPr/>
      </w:pPr>
      <w:r>
        <w:rPr>
          <w:rFonts w:ascii="Amiri" w:hAnsi="Amiri" w:eastAsia="Amiri" w:cs="Amiri"/>
          <w:color w:val="111111"/>
          <w:sz w:val="28"/>
          <w:sz w:val="28"/>
          <w:szCs w:val="28"/>
          <w:rtl w:val="true"/>
          <w:lang w:bidi="ar-SA"/>
        </w:rPr>
        <w:t>وكانت مؤمنة من إماء الله الصالحات، إلاّ أنها كانت مع بنات فرعون تخدمهن، ولها في إيمانها قصة معروفة ذكرها الثعلبي في قصص الأنبياء</w:t>
      </w:r>
      <w:r>
        <w:rPr>
          <w:rStyle w:val="FootnoteAnchor"/>
          <w:rtl w:val="true"/>
        </w:rPr>
        <w:footnoteReference w:id="42"/>
      </w:r>
    </w:p>
    <w:p>
      <w:pPr>
        <w:pStyle w:val="Heading4"/>
        <w:numPr>
          <w:ilvl w:val="3"/>
          <w:numId w:val="1"/>
        </w:numPr>
        <w:rPr/>
      </w:pPr>
      <w:bookmarkStart w:id="46" w:name="__RefHeading___Toc6877677_1280447820"/>
      <w:bookmarkStart w:id="47" w:name="_Toc16"/>
      <w:bookmarkEnd w:id="46"/>
      <w:r>
        <w:rPr/>
        <w:t>7</w:t>
      </w:r>
      <w:r>
        <w:rPr>
          <w:rtl w:val="true"/>
        </w:rPr>
        <w:t xml:space="preserve"> - </w:t>
      </w:r>
      <w:r>
        <w:rPr>
          <w:rtl w:val="true"/>
        </w:rPr>
        <w:t>ومنهم آسية بنت مزاحم</w:t>
      </w:r>
      <w:r>
        <w:rPr>
          <w:rtl w:val="true"/>
        </w:rPr>
        <w:t>:</w:t>
      </w:r>
      <w:bookmarkEnd w:id="4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امرأة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لِلَّذِينَ آمَنُوا اِمْرَأَةَ فِرْعَوْنَ إِذْ قَالَتْ رَبِّ ابْنِ لِي عِنْدَكَ بَيْتاً فِي الْجَنَّةِ وَنَجِّنِي مِنْ فِرْعَوْنَ وَعَمَلِهِ وَنَجِّنِيمِنْ الْقَوْمِ الظَّالِمِينَ</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 وقد جاء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48" w:name="pg16387_188081"/>
    </w:p>
    <w:p>
      <w:pPr>
        <w:pStyle w:val="BookText"/>
        <w:rPr/>
      </w:pPr>
      <w:bookmarkEnd w:id="48"/>
      <w:r>
        <w:rPr>
          <w:rFonts w:ascii="Amiri" w:hAnsi="Amiri" w:eastAsia="Amiri" w:cs="Amiri"/>
          <w:color w:val="111111"/>
          <w:sz w:val="28"/>
          <w:sz w:val="28"/>
          <w:szCs w:val="28"/>
          <w:rtl w:val="true"/>
          <w:lang w:bidi="ar-SA"/>
        </w:rPr>
        <w:t>في الجنة</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فرعون آسية، كانت من بني إسرائيل، وكانت مؤمنة مخلصة، وكانت تعبد الله سراً حتى إنها كانت لتتعلّل في قضاء حاجتها فتبرز فتصلي يومها في مبرزها خوفاً من فرعون، وكانت على تلك الحالة إلى أن قتل فرعون امرأة حزقيل </w:t>
      </w:r>
      <w:r>
        <w:rPr>
          <w:rFonts w:eastAsia="Amiri" w:cs="Amiri" w:ascii="Amiri" w:hAnsi="Amiri"/>
          <w:color w:val="111111"/>
          <w:sz w:val="28"/>
          <w:szCs w:val="28"/>
          <w:rtl w:val="true"/>
          <w:lang w:bidi="ar-SA"/>
        </w:rPr>
        <w:t>...</w:t>
      </w:r>
      <w:r>
        <w:rPr>
          <w:rStyle w:val="FootnoteAnchor"/>
          <w:rtl w:val="true"/>
        </w:rPr>
        <w:footnoteReference w:id="45"/>
      </w:r>
    </w:p>
    <w:p>
      <w:pPr>
        <w:pStyle w:val="Heading4"/>
        <w:numPr>
          <w:ilvl w:val="3"/>
          <w:numId w:val="1"/>
        </w:numPr>
        <w:rPr/>
      </w:pPr>
      <w:bookmarkStart w:id="49" w:name="__RefHeading___Toc6877679_1280447820"/>
      <w:bookmarkStart w:id="50" w:name="_Toc17"/>
      <w:bookmarkEnd w:id="49"/>
      <w:r>
        <w:rPr/>
        <w:t>8</w:t>
      </w:r>
      <w:r>
        <w:rPr>
          <w:rtl w:val="true"/>
        </w:rPr>
        <w:t xml:space="preserve"> - </w:t>
      </w:r>
      <w:r>
        <w:rPr>
          <w:rtl w:val="true"/>
        </w:rPr>
        <w:t>ومنهم مؤمن آخر من بني إسرائيل</w:t>
      </w:r>
      <w:r>
        <w:rPr>
          <w:rtl w:val="true"/>
        </w:rPr>
        <w:t>:</w:t>
      </w:r>
      <w:bookmarkEnd w:id="50"/>
    </w:p>
    <w:p>
      <w:pPr>
        <w:pStyle w:val="BookText"/>
        <w:rPr/>
      </w:pPr>
      <w:r>
        <w:rPr>
          <w:rFonts w:ascii="Amiri" w:hAnsi="Amiri" w:eastAsia="Amiri" w:cs="Amiri"/>
          <w:color w:val="111111"/>
          <w:sz w:val="28"/>
          <w:sz w:val="28"/>
          <w:szCs w:val="28"/>
          <w:rtl w:val="true"/>
          <w:lang w:bidi="ar-SA"/>
        </w:rPr>
        <w:t>فقد ذكر المؤرخون أنّ الملك لاجب وامرأته اربيل، وكان يستخلفها على رعيته إذا غاب عنهم، وهي تبرز للناس كما يبرز زوجها، وتركب كما يركب، وتجلس كما يجلس في مجلس القضاء، وتقضي بين الناس، وكانت قتّالة للأنبياء، وكان لها كانت مؤمن حكيم يكتم إيمانه وكان قد خلّص من بين يديها ثلاثمائة نبي كانت تريد قتلهم</w:t>
      </w:r>
      <w:r>
        <w:rPr>
          <w:rStyle w:val="FootnoteAnchor"/>
          <w:rtl w:val="true"/>
        </w:rPr>
        <w:footnoteReference w:id="46"/>
      </w:r>
    </w:p>
    <w:p>
      <w:pPr>
        <w:pStyle w:val="Heading4"/>
        <w:numPr>
          <w:ilvl w:val="3"/>
          <w:numId w:val="1"/>
        </w:numPr>
        <w:rPr/>
      </w:pPr>
      <w:bookmarkStart w:id="51" w:name="__RefHeading___Toc6877681_1280447820"/>
      <w:bookmarkStart w:id="52" w:name="_Toc18"/>
      <w:bookmarkEnd w:id="51"/>
      <w:r>
        <w:rPr/>
        <w:t>9</w:t>
      </w:r>
      <w:r>
        <w:rPr>
          <w:rtl w:val="true"/>
        </w:rPr>
        <w:t xml:space="preserve"> - </w:t>
      </w:r>
      <w:r>
        <w:rPr>
          <w:rtl w:val="true"/>
        </w:rPr>
        <w:t xml:space="preserve">ومنهم الخضر </w:t>
      </w:r>
      <w:r>
        <w:rPr>
          <w:rtl w:val="true"/>
        </w:rPr>
        <w:t>(</w:t>
      </w:r>
      <w:r>
        <w:rPr>
          <w:rtl w:val="true"/>
        </w:rPr>
        <w:t>علیه السلام</w:t>
      </w:r>
      <w:r>
        <w:rPr>
          <w:rtl w:val="true"/>
        </w:rPr>
        <w:t>):</w:t>
      </w:r>
      <w:bookmarkEnd w:id="5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صحبه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تحدث القرآن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واختلف في أنّه لا زال حياً وعلى ذلك كثير من الروايات، وذهب آخرون إلى أنّه توفي، وقد كان له من التقية نصيب، فقد جاء في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ابن الملك فسلمه إلى المؤدب يؤدبه، وكان يختلف إليه، وكان بين منزله ومؤدبه رجل عابد كان يمرّ به فأعجبه حاله فألفه، وكان يجلس عنده والمعلم يظنّ أنّه في المنزل </w:t>
      </w:r>
      <w:bookmarkStart w:id="53" w:name="pg16387_188082"/>
    </w:p>
    <w:p>
      <w:pPr>
        <w:pStyle w:val="BookText"/>
        <w:rPr/>
      </w:pPr>
      <w:bookmarkEnd w:id="53"/>
      <w:r>
        <w:rPr>
          <w:rFonts w:ascii="Amiri" w:hAnsi="Amiri" w:eastAsia="Amiri" w:cs="Amiri"/>
          <w:color w:val="111111"/>
          <w:sz w:val="28"/>
          <w:sz w:val="28"/>
          <w:szCs w:val="28"/>
          <w:rtl w:val="true"/>
          <w:lang w:bidi="ar-SA"/>
        </w:rPr>
        <w:t xml:space="preserve">وأبوه يظن أنّه عند المعلم حتى شبّ ونشأ فزوجه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مخبرك بأمر إن أنت سمعته صرف الله عنك شرّ الدنيا وعذاب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مسلم لست على دين أبي وليست النساء من حاجتي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الحافظ ابن عساكر بإسناده إلى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الخضر وإلياس كانا أخوين، كان أبوهما ملكاً، فقال إلياس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أخيالخضر لا رغبة له في الملك فلو أنك زوجته لعله يجيء منه ولد يكون الملك له، فزوجه أبوه بامرأة حسناء بكر، فقال لها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لي في النساء، فإن شئت أطلقت سراحك وإن شئت أقمت معي تعبدين الله عزوجل وتكتمين عليّ سرّي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وأقامت معه سنة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هذا ولا يبعد أن يكون هناك آخرون آمنوا بالله وبموسى وكتموا إيمانهم وعاشوا بالتقية آنذاك ولم تصل إلينا أنباؤهم</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877683_1280447820"/>
      <w:bookmarkStart w:id="55" w:name="_Toc19"/>
      <w:bookmarkEnd w:id="54"/>
      <w:r>
        <w:rPr/>
        <w:t>10</w:t>
      </w:r>
      <w:r>
        <w:rPr>
          <w:rtl w:val="true"/>
        </w:rPr>
        <w:t xml:space="preserve"> - </w:t>
      </w:r>
      <w:r>
        <w:rPr>
          <w:rtl w:val="true"/>
        </w:rPr>
        <w:t>التقية وأصحاب الكهف</w:t>
      </w:r>
      <w:r>
        <w:rPr>
          <w:rtl w:val="true"/>
        </w:rPr>
        <w:t>:</w:t>
      </w:r>
      <w:bookmarkEnd w:id="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 القرآن الكريم عن أصحاب الكهف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وأشار إلى ما لاقاه هؤلاء في حياتهم، وأن الله تعالى أرجعهم إلى الحياة بعد أن أماتهم مدة من الزمن بلغت أكثر من ثلاثمائة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وَرَبَطْنَا عَلَى قُلُوبِهِمْ إِذْ قَامُوا فَقَالُوا رَبُّنَا رَبُّ السَّمَوَاتِ وَالأَرْضِ لَنْ نَدْعُوَ مِنْ دُونِهِ إِلَهاً لَقَدْ قُلْنَا إِذاً شَطَطاً</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أنهم آمنوا بالله أولاً وربط الله على قلوبهم، ثمّ قاموا في مجلس الملك أو فيما بينهم وأعلنوا إيمانهم، وقد كشفت </w:t>
      </w:r>
    </w:p>
    <w:p>
      <w:pPr>
        <w:pStyle w:val="BookText"/>
        <w:rPr/>
      </w:pPr>
      <w:r>
        <w:rPr>
          <w:rFonts w:ascii="IRNazanin" w:hAnsi="IRNazanin" w:eastAsia="IRNazanin"/>
          <w:color w:val="111111"/>
          <w:sz w:val="28"/>
          <w:sz w:val="28"/>
          <w:szCs w:val="28"/>
          <w:rtl w:val="true"/>
          <w:lang w:bidi="fa-IR"/>
        </w:rPr>
        <w:t>روايات الخاصة والعامة عن بعض التفاصيل التي أشار إليها القرآن حول أصحاب الكهف، فمن الخاصة ما جاء في موثقة درست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بلغت تقية أحد تقية أصحاب الكهف أن كانوا يشهدون الأعياد ويشدّون الزنانير، فأعطاهم الله أجرهم مرتين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وفي تفسير العياشي عن عبد الله بن يحيى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ذكر أصحاب الكهف،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كلّفكم قومكم ما كلّفهم قومهم،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كلّفهم قومهم؟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كلّفوهم الشرك بالله العظيم، فأظهروا الشرك وأسروا الإيمان حتى جاءهم الفرج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وفي إرشاد القلوب في حديث الجاثليق والأساقفة مع أبي بكر ثمّ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الإسلام بدأ غريباً وسيعود غريباً، وكونوا في أهل ملتكم كأصحاب الكهف، وإيّاكم أن تفشوا أمركم إلى أهل أو ولد أوحميم أو قريب، فإن دين الله عزوجل الذي أوجب له التقية لأوليائه الحديث</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وروى الكاهلي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الكهف أسرّوا الإيمان وأظهروا الكفر، وكانوا على إجهار الكفر أعظم أجراً منهم على إسرار الإيمان</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وفي صحيحة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أبي طالب مثل أصحاب الكهف، أسرّوا الإيمان وأظهروا الشرك فآتاهم أجرهم مرتين</w:t>
      </w:r>
      <w:r>
        <w:rPr>
          <w:rStyle w:val="FootnoteAnchor"/>
          <w:rtl w:val="true"/>
        </w:rPr>
        <w:footnoteReference w:id="5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فخار بن معد الموسوي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على الذاهب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الرحمن بن كثير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إن جبرئيل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الكهف </w:t>
      </w:r>
    </w:p>
    <w:p>
      <w:pPr>
        <w:pStyle w:val="BookText"/>
        <w:rPr/>
      </w:pPr>
      <w:r>
        <w:rPr>
          <w:rFonts w:ascii="Amiri" w:hAnsi="Amiri" w:eastAsia="Amiri" w:cs="Amiri"/>
          <w:color w:val="111111"/>
          <w:sz w:val="28"/>
          <w:sz w:val="28"/>
          <w:szCs w:val="28"/>
          <w:rtl w:val="true"/>
          <w:lang w:bidi="ar-SA"/>
        </w:rPr>
        <w:t>أسروا الإيمان وأظهروا الشرك فآتاهم الله أجرهم مرتين، وإن أبا طالب أسرّ الإيمان وأظهر الشرك فآتاه الله أجره مرتين، وما خرج من الدنيا حتى أتته البشارة من الله بالجنة</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ونقل الطبرسي في مجمع البيان اختلاف الأقوال في أحوالهم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الفتية قوم آمنوا بالله تعالى وكانوا يخفون الإسلام خوفاً من ملكهم، وكان اسم الملك دقيانوس واسم مدينتهم افسوس، وكان ملكهم يعبد الأصنام ويدعو إليها ويقتل من خالفه،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مجوسياً يدعو إلى دين المجوس والفتية كانوا على دين المسيح لما برح أهل الإنجيل،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من خواص الملك، وكان يسرّ كل واحد منهم إيمانه عن صاحبه، ثمّ اتفق أنهم اجتمعوا وأظهروا أمرهم فأووا إلى الكهف، عن عبيد بن عمير،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قبل بعث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وأما ما ورد عن طريق العامة فقد روى الثعلبي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فخرجوا في عيد عظيم في زي وموكب، وأخرجوا معهم آلهتهم التي كانوا يعبدونها من دون الله، فقذف الله في قلوبهم الإيمان، وكان أحدهم وزير الملك، فآمنوا وأخفى كل واحد منهم الإيمان عن صاحبه </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شيبة وابن المنذر وابن أبي حاتم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معاوية غزوة الضيق نحو الروم، فمررنا بالكهف الذي فيه أصحاب الكهف الذي ذكر الله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في مملكة ملك من الجبابرة فجعلوا يعبدون حتى عبدوا الأوثان، وهؤلاء الفتية في المدينة فلما رأوا ذلك خرجوا من تلك المدينة فجمعهم الله على غير ميعاد، فجعل بعضهم 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تريدون؟ أين تذهبون؟ فجعل بعضهم يخفي على بعض </w:t>
      </w:r>
      <w:bookmarkStart w:id="56" w:name="pg16387_188085"/>
    </w:p>
    <w:p>
      <w:pPr>
        <w:pStyle w:val="BookText"/>
        <w:rPr/>
      </w:pPr>
      <w:bookmarkEnd w:id="56"/>
      <w:r>
        <w:rPr>
          <w:rFonts w:ascii="Amiri" w:hAnsi="Amiri" w:eastAsia="Amiri" w:cs="Amiri"/>
          <w:color w:val="111111"/>
          <w:sz w:val="28"/>
          <w:sz w:val="28"/>
          <w:szCs w:val="28"/>
          <w:rtl w:val="true"/>
          <w:lang w:bidi="ar-SA"/>
        </w:rPr>
        <w:t>لأنه لا يدري هذا على ما خرج هذا، ولا يدري هذا، فأخذوا العهد والمواثيق أن يخبر بعضهم بعضاً، فإن اجتمعوا على شيء وإلاّ كتم بعضهم بعضاً، فاجتمعوا على كلمة واحدة،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رب السموات والأرض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ونقل السيوطي في تفسيره ما أخرجه ابن مردويه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الكهف أعوان المهدي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
      </w:r>
    </w:p>
    <w:p>
      <w:pPr>
        <w:pStyle w:val="Heading4"/>
        <w:numPr>
          <w:ilvl w:val="3"/>
          <w:numId w:val="1"/>
        </w:numPr>
        <w:rPr/>
      </w:pPr>
      <w:bookmarkStart w:id="57" w:name="__RefHeading___Toc6877685_1280447820"/>
      <w:bookmarkStart w:id="58" w:name="_Toc20"/>
      <w:bookmarkEnd w:id="57"/>
      <w:r>
        <w:rPr/>
        <w:t>11</w:t>
      </w:r>
      <w:r>
        <w:rPr>
          <w:rtl w:val="true"/>
        </w:rPr>
        <w:t xml:space="preserve"> - </w:t>
      </w:r>
      <w:r>
        <w:rPr>
          <w:rtl w:val="true"/>
        </w:rPr>
        <w:t xml:space="preserve">التقية في زمان عيسى </w:t>
      </w:r>
      <w:r>
        <w:rPr>
          <w:rtl w:val="true"/>
        </w:rPr>
        <w:t>(</w:t>
      </w:r>
      <w:r>
        <w:rPr>
          <w:rtl w:val="true"/>
        </w:rPr>
        <w:t>علیه السلام</w:t>
      </w:r>
      <w:r>
        <w:rPr>
          <w:rtl w:val="true"/>
        </w:rPr>
        <w:t>):</w:t>
      </w:r>
      <w:bookmarkEnd w:id="58"/>
    </w:p>
    <w:p>
      <w:pPr>
        <w:pStyle w:val="BookText"/>
        <w:rPr/>
      </w:pPr>
      <w:r>
        <w:rPr>
          <w:rFonts w:ascii="IRNazanin" w:hAnsi="IRNazanin" w:eastAsia="IRNazanin"/>
          <w:color w:val="111111"/>
          <w:sz w:val="28"/>
          <w:sz w:val="28"/>
          <w:szCs w:val="28"/>
          <w:rtl w:val="true"/>
          <w:lang w:bidi="fa-IR"/>
        </w:rPr>
        <w:t xml:space="preserve">لم نقف على شيء من الآثار ينص على أن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مارس التقية إلاّ أنّه ورد أن بعض حواريه قد مارسها، ومنهم صاحب يس، وتختلف الروايات في التعريف بهذه الشخصية ففي بعض الروايات أنّه حبيب النجار أحد سباق الاُمم، فقد روى الثعلبي بإسناده عن ابن أبي ليلى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سبّاق الاُمم ثلاثة لم يكفروا بالله طرفة عين، حزقيل مؤمن آل فرعون، وحبيب النجار مؤمن آل يس، وعلي بن أبي طالب كرم الله وجهه وهو أفضلهم</w:t>
      </w:r>
      <w:r>
        <w:rPr>
          <w:rStyle w:val="FootnoteAnchor"/>
          <w:rtl w:val="true"/>
        </w:rPr>
        <w:footnoteReference w:id="62"/>
      </w:r>
      <w:r>
        <w:rPr>
          <w:rFonts w:ascii="Amiri" w:hAnsi="Amiri" w:eastAsia="Amiri" w:cs="Amiri"/>
          <w:color w:val="111111"/>
          <w:sz w:val="28"/>
          <w:sz w:val="28"/>
          <w:szCs w:val="28"/>
          <w:rtl w:val="true"/>
          <w:lang w:bidi="ar-SA"/>
        </w:rPr>
        <w:t>، وفي بعضها أنّه شمعون الصفا رأس الحواريين</w:t>
      </w:r>
      <w:r>
        <w:rPr>
          <w:rStyle w:val="FootnoteAnchor"/>
          <w:rtl w:val="true"/>
        </w:rPr>
        <w:footnoteReference w:id="63"/>
      </w:r>
      <w:r>
        <w:rPr>
          <w:rFonts w:ascii="Amiri" w:hAnsi="Amiri" w:eastAsia="Amiri" w:cs="Amiri"/>
          <w:color w:val="111111"/>
          <w:sz w:val="28"/>
          <w:sz w:val="28"/>
          <w:szCs w:val="28"/>
          <w:rtl w:val="true"/>
          <w:lang w:bidi="ar-SA"/>
        </w:rPr>
        <w:t>، وقيل هو سمعان</w:t>
      </w:r>
      <w:r>
        <w:rPr>
          <w:rStyle w:val="FootnoteAnchor"/>
          <w:rtl w:val="true"/>
        </w:rPr>
        <w:footnoteReference w:id="6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شلوم</w:t>
      </w:r>
      <w:r>
        <w:rPr>
          <w:rStyle w:val="FootnoteAnchor"/>
          <w:rtl w:val="true"/>
        </w:rPr>
        <w:footnoteReference w:id="65"/>
      </w:r>
      <w:r>
        <w:rPr>
          <w:rFonts w:ascii="Amiri" w:hAnsi="Amiri" w:eastAsia="Amiri" w:cs="Amiri"/>
          <w:color w:val="111111"/>
          <w:sz w:val="28"/>
          <w:sz w:val="28"/>
          <w:szCs w:val="28"/>
          <w:rtl w:val="true"/>
          <w:lang w:bidi="ar-SA"/>
        </w:rPr>
        <w:t>، وأكثر المفسرين على أنّه شمعون الصفا</w:t>
      </w:r>
      <w:r>
        <w:rPr>
          <w:rStyle w:val="FootnoteAnchor"/>
          <w:rtl w:val="true"/>
        </w:rPr>
        <w:footnoteReference w:id="6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القرآن الكريم إلى قصة اشتملت على التظاهر بعبادة الأصنام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إِذْأَرْسَلْنَا إِلَيْهِمْ اثْنَيْنِ فَكَذَّبُوهُمَا فَعَزَّزْنَا بِثَالِثٍ فَقَالُوا إِنَّا إِلَيْكُمْ مُرْسَلُونَ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نقل الطبرسي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كذِّب الرسولان وضربا، بعث عيسى شمعون الصفا رأس الحواريين على أثرهما لينصرهما، فدخل شمعون البلد متنكراً، فجعل يعاشر حاشية الملك حتى أنسوا به، فرفعوا خبره إلى الملك، فدعاه ورضي عشرته وأنس به وأكرمه، ثمّ قال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أنك حبست رجلين في السجن وضربتهما حين دعواك إلى غير دينك، فهل سمعت قولهما؟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مثل ذلك العياشي بإسناده عن الثمالي وغيره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وأورد القمي في تفسيره القصة كاملة بسنده 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الثالث، فدخل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ارشدوني إلى باب الملك، فلما وقف على باب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كنت أتعبد في فلاة من الأرض وقد أحببت أن أعبد إله الملك، فأبلغوا كلامه الملك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 إلى بيت الآلهة، فأدخلوه فمكث سنة مع صاحبيه،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ينقل قوم من دين إلى دين بالحذق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أفلا رفقتما؟ 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تقرّا بمعرفتي، ثمّ أدخل على الملك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 تعبد إلهي فلم أزل وأنت أخي فاسألني حاجتك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أنّ الله تعالى أحيى ابن الملك بدعائهما، وأنّ الملك آمن بالله وآمن أهل مملكته</w:t>
      </w:r>
      <w:r>
        <w:rPr>
          <w:rStyle w:val="FootnoteAnchor"/>
          <w:rtl w:val="true"/>
        </w:rPr>
        <w:footnoteReference w:id="7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الثعلبي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فَكَذَّبُوهُمَا فَعَزَّزْنَا بِثَالِثٍ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فقوينا برسول ثالث، وهو شمعون الصفا رأس الحواريين،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شمعون إذا دخل الملك على الصنم يدخل لدخوله ويصلّي كثيراً ويتضرّع حتى ظنوا أنّه على ملّتهم</w:t>
      </w:r>
      <w:r>
        <w:rPr>
          <w:rStyle w:val="FootnoteAnchor"/>
          <w:rtl w:val="true"/>
        </w:rPr>
        <w:footnoteReference w:id="71"/>
      </w:r>
      <w:bookmarkStart w:id="59" w:name="pg16387_188087"/>
    </w:p>
    <w:p>
      <w:pPr>
        <w:pStyle w:val="BookText"/>
        <w:rPr/>
      </w:pPr>
      <w:bookmarkEnd w:id="59"/>
      <w:r>
        <w:rPr>
          <w:rFonts w:ascii="Amiri" w:hAnsi="Amiri" w:eastAsia="Amiri" w:cs="Amiri"/>
          <w:color w:val="111111"/>
          <w:sz w:val="28"/>
          <w:sz w:val="28"/>
          <w:szCs w:val="28"/>
          <w:rtl w:val="true"/>
          <w:lang w:bidi="ar-SA"/>
        </w:rPr>
        <w:t>هذا بعض ما وقفنا عليه مما ورد في التقية قبل الإسلام كما جاء في القرآن الكريم وكتب التفسير والتاريخ وروايات الشيعة والسنة، وليس الغرض من حشد هذا الكم من النصوص والشواهد التاريخية إلاّ التنبيه على أن التقية أمر ثابت في الشرائع السماوية السابقة، كما هو ثابت في شريعة الإسلام، وأنها أمر فطري وعلاج مؤقت يلجأ إليه الإنسان عندالحاجة دفاعاً عن نفسه وحفاظاً على معتقده واتقاء لشر الظالمين كما أنها قد تكون إحدى وسائل البلاغ، بل التقية هي إحدى السمات البارزة في حياة الصفوة من البشر وهم الأنبياء، كما لاحظنا من خلال ما ذكرناه من سيرة شيث وإبراهيم ويوسف وموسى وعيسى وغيرهم من الأنبياء والأولياء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ما ذكرنا ما ورد في تفسير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الأنبياء إنما فضلهم على خلقه أجمعين بشدة مداراتهم لأعداء دين الله، وحسن تقيّتهم لأجل إخوانهم في الله</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وسيوافيك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القارىء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التقية ما يكتمل به عقدها ويتسق به نظامها فانتظر وكن معي ولن يطول الانتظار</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6877687_1280447820"/>
      <w:bookmarkStart w:id="61" w:name="_Toc21"/>
      <w:bookmarkEnd w:id="60"/>
      <w:r>
        <w:rPr>
          <w:rtl w:val="true"/>
        </w:rPr>
        <w:t>القسم الثاني</w:t>
      </w:r>
      <w:r>
        <w:rPr>
          <w:rtl w:val="true"/>
        </w:rPr>
        <w:t xml:space="preserve">: </w:t>
      </w:r>
      <w:r>
        <w:rPr>
          <w:rtl w:val="true"/>
        </w:rPr>
        <w:t>التقية بعد الإسلام</w:t>
      </w:r>
      <w:r>
        <w:rPr>
          <w:rtl w:val="true"/>
        </w:rPr>
        <w:t>:</w:t>
      </w:r>
      <w:bookmarkEnd w:id="61"/>
    </w:p>
    <w:p>
      <w:pPr>
        <w:pStyle w:val="Heading4"/>
        <w:numPr>
          <w:ilvl w:val="3"/>
          <w:numId w:val="1"/>
        </w:numPr>
        <w:rPr/>
      </w:pPr>
      <w:bookmarkStart w:id="62" w:name="__RefHeading___Toc6877689_1280447820"/>
      <w:bookmarkStart w:id="63" w:name="_Toc22"/>
      <w:bookmarkEnd w:id="62"/>
      <w:r>
        <w:rPr>
          <w:rtl w:val="true"/>
        </w:rPr>
        <w:t>اشارة</w:t>
      </w:r>
      <w:bookmarkEnd w:id="6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فيها يتسع للكثير من القول إلاّ أنّه لما كانت التقية من الاُمور الفطرية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تخضع لزمان معيّن إلاّ زمان الداعي إليها، فإنها تابعة للظرف الذي يقتضيها، وحيث إنّنا في صدد البحث التاريخي للتقية فإعطاء الملامح والشواهد التاريخية لهذا الأمر يقتضي مراعاة المراحل الزمنية المختلفة وعلاقتها بالتقية، ومن خلال ذلك نستطيع تصنيف البحث حول التقية بعد الإسلام إلى مرحلتين </w:t>
      </w:r>
      <w:bookmarkStart w:id="64" w:name="pg16387_188088"/>
    </w:p>
    <w:p>
      <w:pPr>
        <w:pStyle w:val="BookText"/>
        <w:rPr/>
      </w:pPr>
      <w:bookmarkEnd w:id="64"/>
      <w:r>
        <w:rPr>
          <w:rFonts w:ascii="IRNazanin" w:hAnsi="IRNazanin" w:eastAsia="IRNazanin"/>
          <w:color w:val="111111"/>
          <w:sz w:val="28"/>
          <w:sz w:val="28"/>
          <w:szCs w:val="28"/>
          <w:rtl w:val="true"/>
          <w:lang w:bidi="fa-IR"/>
        </w:rPr>
        <w:t>زمنيتين مختلفتين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بعد زمانه </w:t>
      </w:r>
      <w:r>
        <w:rPr>
          <w:rFonts w:eastAsia="IRNazanin" w:cs="IRNazanin"/>
          <w:color w:val="111111"/>
          <w:sz w:val="28"/>
          <w:szCs w:val="28"/>
          <w:rtl w:val="true"/>
          <w:lang w:bidi="fa-IR"/>
        </w:rPr>
        <w:t>-.</w:t>
      </w:r>
    </w:p>
    <w:p>
      <w:pPr>
        <w:pStyle w:val="Heading4"/>
        <w:numPr>
          <w:ilvl w:val="3"/>
          <w:numId w:val="1"/>
        </w:numPr>
        <w:rPr/>
      </w:pPr>
      <w:bookmarkStart w:id="65" w:name="__RefHeading___Toc6877691_1280447820"/>
      <w:bookmarkStart w:id="66" w:name="_Toc23"/>
      <w:bookmarkEnd w:id="65"/>
      <w:r>
        <w:rPr>
          <w:rtl w:val="true"/>
        </w:rPr>
        <w:t>المرحلة الاُولى</w:t>
      </w:r>
      <w:r>
        <w:rPr>
          <w:rtl w:val="true"/>
        </w:rPr>
        <w:t xml:space="preserve">: </w:t>
      </w:r>
      <w:r>
        <w:rPr>
          <w:rtl w:val="true"/>
        </w:rPr>
        <w:t xml:space="preserve">التقية في زمان النبيّ </w:t>
      </w:r>
      <w:r>
        <w:rPr>
          <w:rtl w:val="true"/>
        </w:rPr>
        <w:t>(</w:t>
      </w:r>
      <w:r>
        <w:rPr>
          <w:rtl w:val="true"/>
        </w:rPr>
        <w:t>صلی الله علیه و آله و سلم</w:t>
      </w:r>
      <w:r>
        <w:rPr>
          <w:rtl w:val="true"/>
        </w:rPr>
        <w:t>):</w:t>
      </w:r>
      <w:bookmarkEnd w:id="66"/>
    </w:p>
    <w:p>
      <w:pPr>
        <w:pStyle w:val="Heading5"/>
        <w:numPr>
          <w:ilvl w:val="4"/>
          <w:numId w:val="1"/>
        </w:numPr>
        <w:rPr/>
      </w:pPr>
      <w:bookmarkStart w:id="67" w:name="__RefHeading___Toc6877693_1280447820"/>
      <w:bookmarkStart w:id="68" w:name="_Toc24"/>
      <w:bookmarkEnd w:id="67"/>
      <w:r>
        <w:rPr>
          <w:rtl w:val="true"/>
        </w:rPr>
        <w:t>اشارة</w:t>
      </w:r>
      <w:bookmarkEnd w:id="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 تاريخ تلك الحقبة أن الإسلام بدأ غريباً، ولم تكن نفوس الناس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مهيأة للاستضاءة بنور تعاليم الدين الجديد، فقد كانوا فريسة الأوهام والخرافات والضلالات، وقد أشار القرآن الكريم إلى المعاناة التي قاساها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لينقذ الناس ويخرجهم من الظلمات إلى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 بَيْنَقُلُوبِهِمْ لَوْ أَنفَقْتَ مَا فِي الأَرْضِ جَمِيعاً مَا أَلَّفْتَ بَيْنَ قُلُوبِهِمْ وَلَكِنَّ اللهَ أَلَّفَ بَيْنَهُمْ</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كُنْتَ فَظّاً غَلِيظَ الْقَلْبِ لانْفَضُّوا مِنْ حَوْلِكَ </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ثمّ إن من خصائص تعاليم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جاءت لترفع من كرامة الإنسان، وتضع عنه الأغلال التي كبل بها عقله ونفسه، وتجعل جميع بني البشر على قدم المساواة، وإن كان ثمة من تفاوت فإنما هو بما يكتسبه الإنسان من الفضائل والكمالات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وكان ذلك نذيراً للإطاحة بسلطان الجبابرة والظالمين الذين كانوا يعيشون على دماء المستضعفين من الفقراء والعبيد وغيرهم ممن لا حول لهم ولا قوة، فما كان من هؤلاء الذين لا يملكون إلاّ السيادة الوهمية التي قامت على أشلاء الضعفاء والمساكين إلاّ مقاومة هذه الرسالة الجديدة التي جاءت تهدد مصالحهم، لذلك بدأ الإسلام غريباً</w:t>
      </w:r>
      <w:r>
        <w:rPr>
          <w:rFonts w:eastAsia="Amiri" w:cs="Amiri" w:ascii="Amiri" w:hAnsi="Amiri"/>
          <w:color w:val="111111"/>
          <w:sz w:val="28"/>
          <w:szCs w:val="28"/>
          <w:rtl w:val="true"/>
          <w:lang w:bidi="ar-SA"/>
        </w:rPr>
        <w:t xml:space="preserve">. </w:t>
      </w:r>
      <w:bookmarkStart w:id="69" w:name="pg16387_188089"/>
    </w:p>
    <w:p>
      <w:pPr>
        <w:pStyle w:val="BookText"/>
        <w:rPr/>
      </w:pPr>
      <w:bookmarkEnd w:id="69"/>
      <w:r>
        <w:rPr>
          <w:rFonts w:ascii="IRNazanin" w:hAnsi="IRNazanin" w:eastAsia="IRNazanin"/>
          <w:color w:val="111111"/>
          <w:sz w:val="28"/>
          <w:sz w:val="28"/>
          <w:szCs w:val="28"/>
          <w:rtl w:val="true"/>
          <w:lang w:bidi="fa-IR"/>
        </w:rPr>
        <w:t xml:space="preserve">ولمّا كانت هذه الرسالة هي الخاتمة فلابد من معالجة مختلف القضايا بحكمة ورويّة لكسب الموقف لصالح الإسلام في أيامه الاُولى، فكانت المواقف البطولية الشجاعة التي وقفها من آمن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وبدعوته، وفي طليعة هؤلاء شيخ الأباطح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70" w:name="__RefHeading___Toc6877695_1280447820"/>
      <w:bookmarkStart w:id="71" w:name="_Toc25"/>
      <w:bookmarkEnd w:id="70"/>
      <w:r>
        <w:rPr/>
        <w:t>12</w:t>
      </w:r>
      <w:r>
        <w:rPr>
          <w:rtl w:val="true"/>
        </w:rPr>
        <w:t xml:space="preserve"> - </w:t>
      </w:r>
      <w:r>
        <w:rPr>
          <w:rtl w:val="true"/>
        </w:rPr>
        <w:t>أبو طالب في التاريخ</w:t>
      </w:r>
      <w:r>
        <w:rPr>
          <w:rtl w:val="true"/>
        </w:rPr>
        <w:t>:</w:t>
      </w:r>
      <w:bookmarkEnd w:id="71"/>
    </w:p>
    <w:p>
      <w:pPr>
        <w:pStyle w:val="Heading6"/>
        <w:numPr>
          <w:ilvl w:val="5"/>
          <w:numId w:val="1"/>
        </w:numPr>
        <w:rPr/>
      </w:pPr>
      <w:bookmarkStart w:id="72" w:name="__RefHeading___Toc6877697_1280447820"/>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إنّ ممّا مني به تاريخ المسلمين أن تحكّمت فيه الأهواء والرؤى الضيقة، وسيطرت شهوات النفس وحب الدنيا على بعض كتابه طمعاً في حفنة من دراهم، أو تزلّفاً لظالم، أو إرضاء لحقد وعداء، وكان من جرّاء ذلك أن أصبح بعض تاريخ المسلمين المكتوب موضع ريب أو 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عنصر الأمانة المفتقد في كتابة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عنصر 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أدّى إلى تلبيس وتدليس في صياغة الأحداث، فأشاد بمن لا يستحق الذكر، وأغفل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من يستحق التخليد والإكبار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أحد ضحايا هؤلاء المؤرخين أبا طالب فقد نسب إليه زوراً وبهتاناً أنّه مات وهو من المشركين، وكان في هذه الفرية تطاولٌ على كرامة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ومساس بمقام النبوة الأقدس من حيث لا يشعرون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أبا طالب في شخصيته وعظمته ومواقفه البطولية صفحة بيضاءفي تاريخ الإسلام، وإن له الشرف العظيم في حماية الإسلام بحماية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كيد قريش الذين خانهم سوء الحظ والفهم والتقدير فاجتمعت كلمتهم على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والقضاء على دعوته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كان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حماية الإسلام بحماية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لولا إيمانه العميق بالله تعالى ويقينه الصادق بدعوة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وهو القائل يخاطب </w:t>
      </w:r>
    </w:p>
    <w:p>
      <w:pPr>
        <w:pStyle w:val="BookText"/>
        <w:rPr/>
      </w:pPr>
      <w:r>
        <w:rPr>
          <w:rFonts w:ascii="IRNazanin" w:hAnsi="IRNazanin" w:eastAsia="IRNazanin"/>
          <w:color w:val="111111"/>
          <w:sz w:val="28"/>
          <w:sz w:val="28"/>
          <w:szCs w:val="28"/>
          <w:rtl w:val="true"/>
          <w:lang w:bidi="fa-IR"/>
        </w:rPr>
        <w:t xml:space="preserve">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 بذاك وقرّ منك عيونا</w:t>
      </w:r>
    </w:p>
    <w:p>
      <w:pPr>
        <w:pStyle w:val="BookText"/>
        <w:rPr/>
      </w:pPr>
      <w:r>
        <w:rPr>
          <w:rFonts w:ascii="Amiri" w:hAnsi="Amiri" w:eastAsia="Amiri" w:cs="Amiri"/>
          <w:color w:val="111111"/>
          <w:sz w:val="28"/>
          <w:sz w:val="28"/>
          <w:szCs w:val="28"/>
          <w:rtl w:val="true"/>
          <w:lang w:bidi="ar-SA"/>
        </w:rPr>
        <w:t xml:space="preserve">ودعوتني وعلمت أنك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دعوت وكنت ثمّ أمينا</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لم يكن أبو طالب أغنى بني هاشم وأكثرهم مالاً ليكون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حمايته، وما كان لتحركه العصبية القبلية لحماية ابن أخيه، بيد أنّه كان المؤمن الصادق بما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ولذاك تفانى في حب النبيّ ورعايته وخدمته وكان يوصي أبناءه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المتيقّن من سيرة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ما كانوا ليحابون أحداً على حساب الدين، وشاهده أنهم يبرؤن من كل مشرك لم يؤمن بالله وبالرسول ولو كان من أقرب الناس إليهم وهذا 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ينزل فيه قرآن يُتلى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تَبَّتْ يَدَا أَبِي لَهَبٍ وَتَبَّ </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إخباراً من الله تعالى بأنه لن يؤمن وأن مصيره بئس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وأمّا أبو طالب فقد شهد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بإيمانه وأن الله أتاه أجره مرتين حيث بذل وجوده في خدمة نبي الإسلام بل والدعوة إلى الإسلام</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والكُرَبِ</w:t>
      </w:r>
    </w:p>
    <w:p>
      <w:pPr>
        <w:pStyle w:val="BookText"/>
        <w:rPr/>
      </w:pPr>
      <w:r>
        <w:rPr>
          <w:rFonts w:ascii="Amiri" w:hAnsi="Amiri" w:eastAsia="Amiri" w:cs="Amiri"/>
          <w:color w:val="111111"/>
          <w:sz w:val="28"/>
          <w:sz w:val="28"/>
          <w:szCs w:val="28"/>
          <w:rtl w:val="true"/>
          <w:lang w:bidi="ar-SA"/>
        </w:rPr>
        <w:t xml:space="preserve">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ذوي حسب</w:t>
      </w:r>
    </w:p>
    <w:p>
      <w:pPr>
        <w:pStyle w:val="BookText"/>
        <w:rPr/>
      </w:pPr>
      <w:r>
        <w:rPr>
          <w:rFonts w:ascii="Amiri" w:hAnsi="Amiri" w:eastAsia="Amiri" w:cs="Amiri"/>
          <w:color w:val="111111"/>
          <w:sz w:val="28"/>
          <w:sz w:val="28"/>
          <w:szCs w:val="28"/>
          <w:rtl w:val="true"/>
          <w:lang w:bidi="ar-SA"/>
        </w:rPr>
        <w:t xml:space="preserve">لا 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وأبي</w:t>
      </w:r>
    </w:p>
    <w:p>
      <w:pPr>
        <w:pStyle w:val="BookText"/>
        <w:rPr/>
      </w:pPr>
      <w:r>
        <w:rPr>
          <w:rFonts w:ascii="Amiri" w:hAnsi="Amiri" w:eastAsia="Amiri" w:cs="Amiri"/>
          <w:color w:val="111111"/>
          <w:sz w:val="28"/>
          <w:sz w:val="28"/>
          <w:szCs w:val="28"/>
          <w:rtl w:val="true"/>
          <w:lang w:bidi="ar-SA"/>
        </w:rPr>
        <w:t>لاحظ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ولولا أبو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 xml:space="preserve">فهذا بمكة آوى وحامى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بيثرب جسّ الحماما</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ولم يكن ليتسنى لأبي طالب حماية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مجتمع الوحوش إلاّ أن يسلك طريقاً يضمن من خلاله أن يوفر الحماية الكاملة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أناس يتربصون به الدوائر لزعمهم أنّه جاء يسفه أحلامهم ويسخر بآلهتهم، فكان السبيل الأقوم والطريقة المثلى لأبي طالب أن يتقي من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رميه بالكفر وأنه مات على الشرك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شنشنة أعرفها من أخزم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ولنضرب عنها صفحاً ونكتفي بالإشارة إلى أن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أباً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سيداً من سادات المسلمين ومن السابقين الأولين بلا منازع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الأدلة على إيمان أبي طالب فنحن وإن كنا في غنى عن ذكرها ويكفينا الوقوف على سيرته وأقواله وأفعاله إلاّ أننا نذكر بعضها رغبة في إظهار الحق وتفنيداً لمزاعم المغرضين، وأداءاً لبعض حقوق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على إيمان أبي طالب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إيمانه، وقد ادعاه الشيخ المفيد والشيخ الطوسي والطبرسي والسيد فخار بن معد الموسوي والفتال النيسابوري والسيد ابن طاووس والعلامة المجلسي وغيرهم</w:t>
      </w:r>
      <w:r>
        <w:rPr>
          <w:rStyle w:val="FootnoteAnchor"/>
          <w:rtl w:val="true"/>
        </w:rPr>
        <w:footnoteReference w:id="82"/>
      </w:r>
      <w:r>
        <w:rPr>
          <w:rFonts w:ascii="Amiri" w:hAnsi="Amiri" w:eastAsia="Amiri" w:cs="Amiri"/>
          <w:color w:val="111111"/>
          <w:sz w:val="28"/>
          <w:sz w:val="28"/>
          <w:szCs w:val="28"/>
          <w:rtl w:val="true"/>
          <w:lang w:bidi="ar-SA"/>
        </w:rPr>
        <w:t>، ونقل ابن أبي الحديد إجماع الشيعة وأكثر الزيدية وجملة من أعاظم المعتزلة على ذلك</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وقد تقدم بعضها وأنه شبيه مؤمن آل فرعون وأصحاب الكهف وأنّ الله أتاه أجره مرتين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ورد أيضاً ما رواه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ميلاد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أبو طالب إلى مكة،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يقولون إن أبا طالب مات كافراً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الله أعلم بالغيب، لما كانت الليلة التي اُسري بي فيها إلى السماء انتهيت إلى العرش، فرأيت أربعة أنوار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هذه الأنوار؟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عبد المطلب، وهذا أبو طالب، وهذا أبوك عبد الله، وهذا أخوه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إلهيوسيدي فبم نالوا هذه الدرجة؟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بكتمانهم الإيمان وإظهارهم الكفر وصبرهم على ذلك حتى ماتوا</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وروى الكراجكي في كنز الفوائد بسنده عن مفضّل بن عمر عن جعفر بن محمّد عن أبيه عن علي بن الحسين عن أبيه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جالساً في الرحبة، والناس حوله،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إنك بالمكان الذي أنزلك الله، وأبوك معذب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فضّ الله فاك، والذي بعث محمداً بالحق نبياً لو شفع أبي في كل مذنب على وجه الأرض لشفّعه الله، أأبي معذب في النار وابنه قسيم الجنة والنار؟ والذي بعث محمداً بالحق إن نور أبي طالب يوم القيامة ليطفي أنوار الخلائق إلاّ خمسة أنوار، نور محمّد ونور فاطمة ونور الحسن والحسين ونور ولده من الأئمة إلاّ أن نوره من نورنا، خلقه الله من قبل خلق آدم بألفي عام</w:t>
      </w:r>
      <w:r>
        <w:rPr>
          <w:rStyle w:val="FootnoteAnchor"/>
          <w:rtl w:val="true"/>
        </w:rPr>
        <w:footnoteReference w:id="8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السيد فخار بن معد الموسوي بسنده عن أبي بصير ليث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في ضحضاح من نار يغلي منه دماغه،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والله، إن إيمان أبي طالب لو وضع في كفة ميزان وإيمان هذا الخلق في كفة ميزان لرجح إيمان أبي طالب على إيمانهم،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والله أمير المؤمنين يأمر أن يحج عن أب النبيّ واُمه، وعن أبي طالب، أيام </w:t>
      </w:r>
    </w:p>
    <w:p>
      <w:pPr>
        <w:pStyle w:val="BookText"/>
        <w:rPr/>
      </w:pPr>
      <w:r>
        <w:rPr>
          <w:rFonts w:ascii="Amiri" w:hAnsi="Amiri" w:eastAsia="Amiri" w:cs="Amiri"/>
          <w:color w:val="111111"/>
          <w:sz w:val="28"/>
          <w:sz w:val="28"/>
          <w:szCs w:val="28"/>
          <w:rtl w:val="true"/>
          <w:lang w:bidi="ar-SA"/>
        </w:rPr>
        <w:t>حياته، ولقد أوصى في وصيته بالحج عنهم بعد مماته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وروى الكراجكي بإسناده عن يونس بن نباتة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ما يقول الناس في أبي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ضحضاح من نار يغلي منها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أعداء الله، إن أبا طالب من رفقاء النبيين والصديقين والشهداء والصالحين وحسن أولئك رفيقاً</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وروى أيضاً بإسناده عن أبان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الإمام الرضا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شككت في إيمان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يبتغ غير سبيل المؤمنين نولّهما تولى، إنك إن لم تقرّ بإيمان أبي طالب كان مصيرك إلى النار</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وأما الروايات الواردة من طرق العامة فقد استقصاها العلامة الأميني في الجزء السابع من كتابه الغدير فراجع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الثابت في شريعة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مقرّر في محلّه من كتب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نكاح الكافر من المرأة المسلمة، ولذا فرّق الإسلام بين زينب وبين أبي العاص بن ربيعة حين أسلمت إلى أن أسلم أبو العاص فردها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بنكاح جديد أو بالنكاح الأول</w:t>
      </w:r>
      <w:r>
        <w:rPr>
          <w:rStyle w:val="FootnoteAnchor"/>
          <w:rtl w:val="true"/>
        </w:rPr>
        <w:footnoteReference w:id="89"/>
      </w:r>
      <w:r>
        <w:rPr>
          <w:rFonts w:ascii="IRNazanin" w:hAnsi="IRNazanin" w:eastAsia="IRNazanin"/>
          <w:color w:val="111111"/>
          <w:sz w:val="28"/>
          <w:sz w:val="28"/>
          <w:szCs w:val="28"/>
          <w:rtl w:val="true"/>
          <w:lang w:bidi="fa-IR"/>
        </w:rPr>
        <w:t xml:space="preserve">، ولاشك أن فاطمة بنت أسد من السابقات وهي أول امرأة هاجرت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المدينة على قدميها، وكانت من أبرّ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ولما ماتت جاء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يبكي،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يبكيك؟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أمي فاطمة،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 والله، وقام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حتى دخل فنظر إليها وبكى، وفعل النبيّ أشياء معها لم يفعلها مع أحد من قبل، وسأله المسلمون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فقدت برّ أبي طالب، إن كانت لتكون عندها الشيء فتؤثرني به على نفسها وولدها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فإذا كانت فاطمة بنت أسد بهذه المثابة من الإيمان، وبهذا المقام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يبقيها في عصمة أبي طالب لو كان كافراً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يتصور في حق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يعطل حكماً من أحكام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استدل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في رواية أبي علي الموضح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تواترت الأخبار بهذه الرواية وغيرها عن علي بن الحسين أنّه سئل عن أبي طالب أكان مؤمناً؟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قوماً يزعمون أنّه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واعجباه أيطعنون على أبي طالب، أو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نهاه الله أن يقرّ مؤمنة مع كافر في غير آية من القرآن، ولايشك أحد أن بنت أسد من المؤمنات السابقات، وإنها لم تزل تحت أبي طالب حتى مات أبو طالب رضي الله عنه</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هذا ومما يؤيد أن إيمان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ثابتة لا يتطرق إليها ريب أمران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أبي بكر نفسه بإسلام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ذكر المؤرخون أن أبا بكر جاء بأبي قحافة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الفتح يقوده، وهو شيخ كبير أعمى، </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تركت الشيخ حتى نأتيه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يا رسول الله أن يأجره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بعثك بالحق لأنا كنت أشد فرحاً بإسلام عمك أبي طالب مني بإسلام أبي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استنتجه الكاتب المصري عبد الفتاح عبد المقصود من خلال عرضه لصورة من صور بغي معاوية بن أبي سفيان على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سياسة ابن هند كما هو معلوم، وكما هي سياسة مثله من البغاة الطغاة، كانت تقوم على تزييف الحقائق، وابتداع الادعاءات، ثمّ ترديد ما زيف وابتدع ترديداً يضمن لزوره أن يظل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كوسوسة الشيطان الخنّاس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يملأ الأسماع، ويحشو الأرواع، ويلتوى بالأذهان فينال من قدر علي ويمسخ صورته في مدارك الناس فبذلك وحده يلتوي بالحق باطله، ويبدو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لظالم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كأنه مظلوم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ركب الرجل إلى غرضه هذا كل مطاياه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هي صفحات تاريخه تسربت في تحديثنا بادعاءاته على الإمام، وبفراه الغالية في البهتان، وبقدحه في بنيه وذويه، وبخوضه بالباطل في سير صحابته الأبرار، فأي نصيب كان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الأراجيف</w:t>
      </w:r>
      <w:r>
        <w:rPr>
          <w:rStyle w:val="FootnoteAnchor"/>
          <w:rtl w:val="true"/>
        </w:rPr>
        <w:footnoteReference w:id="9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جانب آخر كان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منتهى الصراحة في كشف واقع ابن أبي سفيان وأسلافه ومصيرهم المنتظر، وأنهم أحقر من أن يُقرنوا ببني هاشم، وقد استعرض الكاتب مقاطع من المكاتبات التي دارتبين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معاوية وكان من بينها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جوابه على كتاب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بنو عبد مناف، فكذلك نحن، ولكن ليس أميّة كهاشم، ولا حرب كعبد المطلب، ولا أبو سفيان كأبي طالب، ولا المهاجر كالطليق، ولا الصّريح كاللصيق، ولا المحقّ كالمبطل، ولا المؤمن كالمدغل، ولبئس الخلف خلف يتبع سلفاً هوى في نار </w:t>
      </w:r>
      <w:bookmarkStart w:id="74" w:name="pg16387_188096"/>
    </w:p>
    <w:p>
      <w:pPr>
        <w:pStyle w:val="BookText"/>
        <w:rPr/>
      </w:pPr>
      <w:bookmarkEnd w:id="74"/>
      <w:r>
        <w:rPr>
          <w:rFonts w:ascii="IRNazanin" w:hAnsi="IRNazanin" w:eastAsia="IRNazanin"/>
          <w:color w:val="111111"/>
          <w:sz w:val="28"/>
          <w:sz w:val="28"/>
          <w:szCs w:val="28"/>
          <w:rtl w:val="true"/>
          <w:lang w:bidi="fa-IR"/>
        </w:rPr>
        <w:t>جهنم</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نسمع معاوية يرد هذا الاتهام، ولا رأيناه يحاول الكيل لعلي صاعاً بصاع، فيخوض في إيمان أبي طالب زاعماً أنّه مات على غير الإسلام لو وسعه لفعل فأفحش في القول، وأوفى 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وقد كف ادعاءه، وابتلع خيلاءه، فذلك لأنه لم يكن يملك في إيمان أبي طالب اثارة شبهة أو دليل ينفد من خلالها إلى نقض هذا الإيمان، سواء أكانت هذه الاثارة رأي شانىء معاصر عايش شيخ بني عبد مناف، أم رواية لاحق آثر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 يشاء أن يحاج في هذا الذي نراه، فليأتنا من رسائل ابن أبي سفيان إلى الإمام، أو في أحاديثه التي ملأ بها آذان مناصريه، بكلمة تشير من قريب أو من بعيد، إلى ما يخدش إيمان أبي طالب وينال من صدق إسلامه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 w:name="__RefHeading___Toc6877699_1280447820"/>
      <w:bookmarkStart w:id="76" w:name="_Toc27"/>
      <w:bookmarkEnd w:id="75"/>
      <w:r>
        <w:rPr>
          <w:rtl w:val="true"/>
        </w:rPr>
        <w:t>أقوال العلماء في إيمان أبي طالب</w:t>
      </w:r>
      <w:r>
        <w:rPr>
          <w:rtl w:val="true"/>
        </w:rPr>
        <w:t>:</w:t>
      </w:r>
      <w:bookmarkEnd w:id="76"/>
    </w:p>
    <w:p>
      <w:pPr>
        <w:pStyle w:val="BookText"/>
        <w:rPr/>
      </w:pPr>
      <w:r>
        <w:rPr>
          <w:rFonts w:ascii="IRNazanin" w:hAnsi="IRNazanin" w:eastAsia="IRNazanin"/>
          <w:color w:val="111111"/>
          <w:sz w:val="28"/>
          <w:sz w:val="28"/>
          <w:szCs w:val="28"/>
          <w:rtl w:val="true"/>
          <w:lang w:bidi="fa-IR"/>
        </w:rPr>
        <w:t xml:space="preserve">ذكرنا فيما تقدم إجماع الشيعة على إيمان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ونكتفي هنا بذكر أقوال بعض علماء السنة تأييداً لهذه الحقيقة فمن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الأثير في 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أسلم من أعمام النبيّ غير حمزة والعباس وأبي طالب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البرزنجي بعد استشهاده بأبيات أبي طالب واثبات إيمانه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نطق بالوحي قبل صدوره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أخبر بذلك بعد مدة من قول أبي طالب، والحديث وحي كالقرآن، فثبت بهذه الأخبار والأشعار أن أبا طالب كان مصدقاً بنبوة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كاف في نجاته</w:t>
      </w:r>
      <w:r>
        <w:rPr>
          <w:rStyle w:val="FootnoteAnchor"/>
          <w:rtl w:val="true"/>
        </w:rPr>
        <w:footnoteReference w:id="98"/>
      </w:r>
      <w:bookmarkStart w:id="77" w:name="pg16387_188097"/>
    </w:p>
    <w:p>
      <w:pPr>
        <w:pStyle w:val="BookText"/>
        <w:rPr/>
      </w:pPr>
      <w:bookmarkEnd w:id="77"/>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وقف على ما ذكره العلماء في ترجمته علم يقيناً أنّه كان على التوحيد، وهكذا بقية آبائه إلى آدم، وبهذا يعلم أن قول أبي طالب هو على ملة عبد المطلب إشارة إلى أنّه على التوحيد ومكارم الأخلاق، ولو لم يصدر من أبي طالب من الاشارات الدالة على توحيده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ملة عبد المطلب كان ذلك كافياً</w:t>
      </w:r>
      <w:r>
        <w:rPr>
          <w:rStyle w:val="FootnoteAnchor"/>
          <w:rtl w:val="true"/>
        </w:rPr>
        <w:footnoteReference w:id="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التلمساني في حاشيته على الشفاء عند ذكر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أن يذكر إلاّ بحماية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حماه ونصره بقوله وفعله، وفي ذكره بمكروه أذية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ومؤذي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والكافر يقتل</w:t>
      </w:r>
      <w:r>
        <w:rPr>
          <w:rStyle w:val="FootnoteAnchor"/>
          <w:rtl w:val="true"/>
        </w:rPr>
        <w:footnoteReference w:id="10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أبا طالب فهو كافر</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هذا ومن شاء الوقوف على المزيد من الأقوال فليرجع إلى الجزء السابع من الغدير وإلى كتاب منية الراغب في إيمان أبي طالب وكتاب الحجة على الذاهب إلى تكفير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هناك جوانب اُخرى في حياة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جديرة بالإكبار إلاّ أن لها مقاماً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القول إن إيمان أبي طالب حقيقة ثابتة لا يرتاب فيها إلاّ مريض القلب والإيمان</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6877701_1280447820"/>
      <w:bookmarkStart w:id="79" w:name="_Toc28"/>
      <w:bookmarkEnd w:id="78"/>
      <w:r>
        <w:rPr/>
        <w:t>13</w:t>
      </w:r>
      <w:r>
        <w:rPr>
          <w:rtl w:val="true"/>
        </w:rPr>
        <w:t xml:space="preserve"> - </w:t>
      </w:r>
      <w:r>
        <w:rPr>
          <w:rtl w:val="true"/>
        </w:rPr>
        <w:t>عمار بن ياسر والتقية</w:t>
      </w:r>
      <w:r>
        <w:rPr>
          <w:rtl w:val="true"/>
        </w:rPr>
        <w:t>:</w:t>
      </w:r>
      <w:bookmarkEnd w:id="7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أحد السابقين الأولين، ومن الذين واكبوا مسيرة الإسلام منذ أيامها الاُولى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وختم حياته شهيداً في معركة الحق والباطل يوم صفين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وبلغ من المقام أن قال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عمار جلدة ما بين العين والأنف</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بل جعله مقياساً للحق،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الأمر الذي جعل بعضهم ينتظر شهادة عمار ليحدد موقفه يوم صفين</w:t>
      </w:r>
      <w:r>
        <w:rPr>
          <w:rStyle w:val="FootnoteAnchor"/>
          <w:rtl w:val="true"/>
        </w:rPr>
        <w:footnoteReference w:id="104"/>
      </w:r>
      <w:r>
        <w:rPr>
          <w:rFonts w:ascii="IRNazanin" w:hAnsi="IRNazanin" w:eastAsia="IRNazanin"/>
          <w:color w:val="111111"/>
          <w:sz w:val="28"/>
          <w:sz w:val="28"/>
          <w:szCs w:val="28"/>
          <w:rtl w:val="true"/>
          <w:lang w:bidi="fa-IR"/>
        </w:rPr>
        <w:t xml:space="preserve">، وقد علّل بعض الكتّاب انصراف الزبير يوم الجمل عن محاربة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بأنهرأى عماراً في صفوف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 المعركة خوفاً من قتله</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وليس غريباً أن يكون عماراً كذلك، بل الغريب أن لا يكون، فهو الذي مُلىء حباً للحق وأهله وبذل حياته في سبيل الحق والدفاع عنه والموت دونه، وقد لاقى من الشدائد والمحن ما اضطره إلى إعلان كلمة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 في كشافه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اُناساً من أهل مكة فتنوا، فارتدوا عن الإسلام بعد دخولهم فيه، وكان فيهم من اُكره وأجرى كلمة الكفر على لسانه وهو معتقد بالإيمان، منهم عمار بن ياسر وأبواه ياسر وسميّة وصهيب وبلال وخباب وسالم عذبوا،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عمار فأعطاهم ما أرادوا بلسانه مكرهاً</w:t>
      </w:r>
      <w:r>
        <w:rPr>
          <w:rStyle w:val="FootnoteAnchor"/>
          <w:rtl w:val="true"/>
        </w:rPr>
        <w:footnoteReference w:id="10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المراغي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نطق بكلمة الكفر وقاية لنفسه من الهلاك وقلبه مطمئن بالإيمان لا يكون كافراً، بل يعذر كما فعل عمار بن ياسر حين أكرهته قريش على الكفر فوافقها مكرهاً وقلبه مُليء بالإيمان، وفيه نزلت 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كَفَرَ بِاللهِ مِنْ بَعْدِ إِيمَانِهِ إِلاَّ مَنْ أُكْرِهَ وَقَلْبُهُ مُطْمَئِنٌّ بِالإِيمَانِ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ويدخل في التقية مداراة الكفرة والظلمة والفسقة وإلانة الكلام لهم والتبسم في وجوههم وبذل المال لهم </w:t>
      </w:r>
      <w:bookmarkStart w:id="80" w:name="pg16387_188099"/>
    </w:p>
    <w:p>
      <w:pPr>
        <w:pStyle w:val="BookText"/>
        <w:rPr/>
      </w:pPr>
      <w:bookmarkEnd w:id="80"/>
      <w:r>
        <w:rPr>
          <w:rFonts w:ascii="Amiri" w:hAnsi="Amiri" w:eastAsia="Amiri" w:cs="Amiri"/>
          <w:color w:val="111111"/>
          <w:sz w:val="28"/>
          <w:sz w:val="28"/>
          <w:szCs w:val="28"/>
          <w:rtl w:val="true"/>
          <w:lang w:bidi="ar-SA"/>
        </w:rPr>
        <w:t xml:space="preserve">لكفّ أذاهم وصيانة العرض منهم، ولا يعدّ هذا من الموالاة المنهي عنها، بل هو مشروع، فقد أخرج الطبراني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وقى به المؤمن عرضه فهو صدقة</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وقد ورد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جاء به عمار بن ياسر هو عين الصواب، ففي موثقة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ذلك عليه، وما له إلاّ ما مضى عليه عمار بن ياسر حيث أكرهه أهل مكة وقلبه مطمئن بالإيمان،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إن عادوا فعد، فقد أنزل الله عذرك وأمرك أن تعود إن عادوا</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وفي موثقة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ميثم رحمه الله من التقية، فوالله لقد علم أن هذه الآية نزلت في عمار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وهناك روايات اُخرى بهذا المضمون وسيأتي ذكر بعضها في مباحث الكتاب</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6877703_1280447820"/>
      <w:bookmarkStart w:id="82" w:name="_Toc29"/>
      <w:bookmarkEnd w:id="81"/>
      <w:r>
        <w:rPr>
          <w:rtl w:val="true"/>
        </w:rPr>
        <w:t>المرحلة الثانية</w:t>
      </w:r>
      <w:r>
        <w:rPr>
          <w:rtl w:val="true"/>
        </w:rPr>
        <w:t xml:space="preserve">: </w:t>
      </w:r>
      <w:r>
        <w:rPr>
          <w:rtl w:val="true"/>
        </w:rPr>
        <w:t xml:space="preserve">التقية بعد وفاة النبيّ </w:t>
      </w:r>
      <w:r>
        <w:rPr>
          <w:rtl w:val="true"/>
        </w:rPr>
        <w:t>(</w:t>
      </w:r>
      <w:r>
        <w:rPr>
          <w:rtl w:val="true"/>
        </w:rPr>
        <w:t>صلی الله علیه و آله و سلم</w:t>
      </w:r>
      <w:r>
        <w:rPr>
          <w:rtl w:val="true"/>
        </w:rPr>
        <w:t>):</w:t>
      </w:r>
      <w:bookmarkEnd w:id="82"/>
    </w:p>
    <w:p>
      <w:pPr>
        <w:pStyle w:val="Heading5"/>
        <w:numPr>
          <w:ilvl w:val="4"/>
          <w:numId w:val="1"/>
        </w:numPr>
        <w:rPr/>
      </w:pPr>
      <w:bookmarkStart w:id="83" w:name="__RefHeading___Toc6877705_1280447820"/>
      <w:bookmarkStart w:id="84" w:name="_Toc30"/>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التقية لا تخضع لزمن معين إلاّ أنها اقترنت بعد رحيل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إلى يوم الناس هذا، ولا تحصى شواهدها كثرة، حتى أن أغلب الأزمنة التي عاشها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وشيعتهم كانت على التقية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نؤكد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التقية لم تكن وليدة فكرة مذهبية </w:t>
      </w:r>
    </w:p>
    <w:p>
      <w:pPr>
        <w:pStyle w:val="BookText"/>
        <w:rPr/>
      </w:pPr>
      <w:r>
        <w:rPr>
          <w:rFonts w:ascii="Amiri" w:hAnsi="Amiri" w:eastAsia="Amiri" w:cs="Amiri"/>
          <w:color w:val="111111"/>
          <w:sz w:val="28"/>
          <w:sz w:val="28"/>
          <w:szCs w:val="28"/>
          <w:rtl w:val="true"/>
          <w:lang w:bidi="ar-SA"/>
        </w:rPr>
        <w:t>انبثقت عن الخلاف القائم بين مذاهب المسلمين كما يحلو للبعض أن ينعتها بذلك، وليست هي غطاءً يخفي وراءه تنظيماً سرّياً يهدف إلى هدم الدين وتقويض دعائمه كما يرجف بذلك آخرون أو يحاول الإرجاف، بل هي أمر فطري أكّده القرآن وأيّده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كانت التقية قد اقترنت باسم الشيعة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فليس لأن الشيعة هي الأساس فيها، وإنما هي إحدى الضحايا التي اضطرتها الظروف العصيبة لممارسة التقية على مرّ الزمان، كنتيجة طبيعية لما لاقاه الشيعة في سبيل الحفاظ على منهجها عبر التاريخ، وهناك عوامل عديدة ساهمت بصورة مباشرة وغير مباشرة في اقتران التقية باسم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الشيعة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الفئة المؤمنة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انتهجت طريقاً رسمه لها قادتها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طريقاً صعباً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أرادت الحفاظ على السير قدماً فيه لتقطعه إلى نهايته، فاستسهلت فيه كل عسير، واسترخصت من أجله كل ثمين، لأن غايته أشرف الغايات، ونهايته أسعد النهايات، وكان لزاماً عليها أن تدفع ضريبة ولائها لأهل البيت الطاهر، وتتحمل في سبيل ذلك كلّ مشقّة وعناء، ولم يكن ذلك نتيجة جبر أو إكراه، بل كان بمحض القناعة والرضا والإرادة، اقتداء بمسيرة أئمةالهدى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سيرتهم واستجابة لنداء القرآن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تاريخ الشيعة كما هو حافل بالعطاء في مجالات الفكر والعلم والعمل كذلك هو حافل بالمآسي والآلام، فقد صبّ أعداؤهم عليهم العذاب صبّاً، ولم يألوا جهداً في التنكيل بهم، قتلاً وسجناً وتشريداً، حتى اصطبغت صفحات التاريخ بدمائهم الزاكية، وضاقت بهم غياهب المعتقلات، وشتتوا لا يلجأون إلى مأوى، في محاولات مسعورة من أعدائهم لمحو كل أثر لهم في الوجود، لا لشيء إلاّ لأنّهم قالوا ربنا الله ثمّ استقاموا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الشرارة التي أذكت نارالتقية، وأصبحت بعد ذلك مقترنة بالشيعة بدأت برحيل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ولقائه بالرفيق الأعلى، حينما اُقصي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منصب قيادة الاُمة بالحق ومع الحق وإلى الحق فالتزم الصمت عن المطالبة بحقه إبقاءاً على الدين، وحفاظاً على مبادىء السماء، وإلاّ فقد كان بمقدوره أن يشعلها حرباً لا هوادة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الفارس المهاب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لتكون بعد ذلك فتنة لا ينجو منها أحد، بيد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تزاحم المقتضيات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 السكوت وإن جُهل قدره ومقامه أو سُلب حقه المشروع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في ذلك شيئاً، فما كانت الخلافة لتضيف إلى مقامه شأناً، أو ترفع من قدره مقداراً، فهو علي وكفى به تعريفاً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وقع الخسران على الناس، حيث حرموا أنفسهم وأضاعوا حظهم،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التّالون غبّ ما أسسه الأولون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وتوالت الأحداث مؤلمة، على علي وأولاد علي، وشيعة علي، وكأنما لم يكن علي أخا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ونفسه وقرين بضعته وباب مدينة علمه وحامل لوائه، وكأنما لم يكن أولاد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والقربى الذين أمر الله بمودتهم ومحبتهم</w:t>
      </w:r>
      <w:r>
        <w:rPr>
          <w:rStyle w:val="FootnoteAnchor"/>
          <w:rtl w:val="true"/>
        </w:rPr>
        <w:footnoteReference w:id="113"/>
      </w:r>
      <w:r>
        <w:rPr>
          <w:rFonts w:ascii="IRNazanin" w:hAnsi="IRNazanin" w:eastAsia="IRNazanin"/>
          <w:color w:val="111111"/>
          <w:sz w:val="28"/>
          <w:sz w:val="28"/>
          <w:szCs w:val="28"/>
          <w:rtl w:val="true"/>
          <w:lang w:bidi="fa-IR"/>
        </w:rPr>
        <w:t xml:space="preserve">، وكأنما لم يكن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صدّقوا الرسول فيما قال اتّبعوه فيما أمر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وتمخضت تلك الأحداث المؤلمة عن مصرع علي في محرابه، وقتل أولاده غيلة وصبراً، وتشريد شيعته في الآفاق</w:t>
      </w:r>
      <w:r>
        <w:rPr>
          <w:rFonts w:eastAsia="Amiri" w:cs="Amiri" w:ascii="Amiri" w:hAnsi="Amiri"/>
          <w:color w:val="111111"/>
          <w:sz w:val="28"/>
          <w:szCs w:val="28"/>
          <w:rtl w:val="true"/>
          <w:lang w:bidi="ar-SA"/>
        </w:rPr>
        <w:t xml:space="preserve">. </w:t>
      </w:r>
      <w:bookmarkStart w:id="85" w:name="pg16387_188102"/>
    </w:p>
    <w:p>
      <w:pPr>
        <w:pStyle w:val="Heading5"/>
        <w:numPr>
          <w:ilvl w:val="4"/>
          <w:numId w:val="1"/>
        </w:numPr>
        <w:rPr/>
      </w:pPr>
      <w:bookmarkStart w:id="86" w:name="__RefHeading___Toc6877707_1280447820"/>
      <w:bookmarkStart w:id="87" w:name="_Toc31"/>
      <w:bookmarkEnd w:id="85"/>
      <w:bookmarkEnd w:id="86"/>
      <w:r>
        <w:rPr>
          <w:rtl w:val="true"/>
        </w:rPr>
        <w:t>صور من الظلم والمعاناة</w:t>
      </w:r>
      <w:r>
        <w:rPr>
          <w:rtl w:val="true"/>
        </w:rPr>
        <w:t>:</w:t>
      </w:r>
      <w:bookmarkEnd w:id="87"/>
    </w:p>
    <w:p>
      <w:pPr>
        <w:pStyle w:val="BookText"/>
        <w:rPr/>
      </w:pPr>
      <w:r>
        <w:rPr>
          <w:rFonts w:ascii="Amiri" w:hAnsi="Amiri" w:eastAsia="Amiri" w:cs="Amiri"/>
          <w:color w:val="111111"/>
          <w:sz w:val="28"/>
          <w:sz w:val="28"/>
          <w:szCs w:val="28"/>
          <w:rtl w:val="true"/>
          <w:lang w:bidi="ar-SA"/>
        </w:rPr>
        <w:t xml:space="preserve">ويحدثنا التاريخ عن فجائع مروعة، لولا أنها وصلت إلينا عن طرق الثقات لكانت ضروباً من الخيال والأساطير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بلغت الاُمور حداً استقرّت فيه قناعة عامة لدى الأكثرية بأن الرافضة ويعنون بهم الشيعة هم من مذهب خارج عن الإسلام، وبالتالي فليس ثمة أيّة حرمة لنفوسهم وأعراضهم وأموالهم، وعلى أثر هذه القناعة المجحفة والاعتقاد الظالم هدرت دماء مئات الآلاف من الأبرياء حتى بات من الصعب أن تجد بقعة وإن كانت في أطراف العالم الإسلامي لم تلطخ بدماء الشيعة</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ويرسم لنا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عما لاقاه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من الأذى والاضطهاد، 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أن أبا جعفر محمّد بن علي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ما لقينا من ظلم قريش إيانا وتظاهرهم علينا، وما لقي شيعتنا ومحبّونا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وقد أخبر أنّا أولى الناس بالناس، فتمالأت علينا قريش، حتى أخرجت الأمر من معدنه، واحتجت على الأنصار بحقنا وحجتنا، ثمّ تداولتها قريش واحد بعد واحد، حتى رجعت إلينا فنكثت بيعتنا ونصبت الحرب لنا، ولم يزل صاحب الأمر في صعود كئود حتى قتل، فبويع الحسن ابنه وعوهد ثمّ غدر به، وأسلم، ووثب عليه أهل العراق، حتى طعن بخنجر في جنبه، ونهبت عسكره، وعولجت خلاخيل أمهات أولاده، فوادع معاوية وحقن دمه ودماء أهل بيته، وهم قليل حق قليل، ثمّ بايع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عشرون ألفاً، ثمّ غدروا به، وخرجوا عليه، وبيعته في أعناقهم وقتلوه ثمّ لم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نُستَذَل ونُستظام، ونقصَى ونُمتهن، ونُحرم ونُقتل، ونخاف، ولا نأمن على دمائنا ودماء أوليائنا، ووجد الكاذبون </w:t>
      </w:r>
    </w:p>
    <w:p>
      <w:pPr>
        <w:pStyle w:val="BookText"/>
        <w:rPr/>
      </w:pPr>
      <w:r>
        <w:rPr>
          <w:rFonts w:ascii="IRNazanin" w:hAnsi="IRNazanin" w:eastAsia="IRNazanin"/>
          <w:color w:val="111111"/>
          <w:sz w:val="28"/>
          <w:sz w:val="28"/>
          <w:szCs w:val="28"/>
          <w:rtl w:val="true"/>
          <w:lang w:bidi="fa-IR"/>
        </w:rPr>
        <w:t xml:space="preserve">الجاحدون لكذبهم وجحودهم موضعاً يتقربون به إلى أوليائهم وقضاة السوء وعمّال السوء في كل بلدة، فحدثوهم بالأحاديث الموضوعة المكذوبة، ورووا عنّا ما لم نقله، وما لم نفعله، ليبغّضونا إلى الناس، وكان عظم ذلك وكبره زمن معاوية بعد 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فقتلت شيعتنا بكل بلدة، وقطعت الأيدي والأرجل على الظنّة، وكان من يذكر بحبنا والانقطاع إلينا سجن، أو نهب ماله، أو هدمت داره، ثمّ لم يزل البلاء يشتد ويزداد إلى زمان عبيد الله بن زياد،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جاء الحجاج فقتلهم كل قتلة، وأخذهم بكل ظِنّة وتهمة، حتى إن الرجل ليقالله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أو كافر، أحبّ إليه من أن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علي، وحتى صار الرجل الذي يذكر بالخير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يكون ورعاً صدوقاً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 بأحاديث عظيمة عجيبة، من تفضيل بعض من قد سلف من الولاة، ولم يخلق الله تعالى شيئاً منها، ولا كانت ولا وقعت وهو يحسب أنها حق لكثرة من قد رواها ممن لم يعرف بكذب ولا بقلة ورع</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ولقد حوت صفحات التاريخ من الأحداث ما يندى له جبين الشرف والإنسانية خجلاً، وإن منها لما تعفّ المروءة حياء من ذكره، وإن منها لما يفتت الأكباد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وتكاد تتفق كلمة المتسلطين على رقاب الاُمة على مناهضة الشيعة والسعي الحثيث لطمس معالمهم يتوارثه الأجيال جيل بعد جيل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ينبغي إلفات الأنظار إليه أن الشيعة الإمامية وإن كانت تُعدّ أقلّية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إلى بعض من عداها، إلاّ أن ذلك لا يعني شيئاً في مقياس تقييم الحقائق والأشخاص، فليست الأقلّية عنصر ضعف في الحجة والبرهان، كما أن الأكثرية ليست دليلاً على الأحقية والصواب، بل قد يكون الأمر على العكس تماماً، وفي النصوص الدينية ما يؤكد هذا المعنى، فقد ورد في العديد من الآيات </w:t>
      </w:r>
    </w:p>
    <w:p>
      <w:pPr>
        <w:pStyle w:val="BookText"/>
        <w:rPr/>
      </w:pPr>
      <w:r>
        <w:rPr>
          <w:rFonts w:ascii="Amiri" w:hAnsi="Amiri" w:eastAsia="Amiri" w:cs="Amiri"/>
          <w:color w:val="111111"/>
          <w:sz w:val="28"/>
          <w:sz w:val="28"/>
          <w:szCs w:val="28"/>
          <w:rtl w:val="true"/>
          <w:lang w:bidi="ar-SA"/>
        </w:rPr>
        <w:t>القرآنية مدح الأقلّية</w:t>
      </w:r>
      <w:r>
        <w:rPr>
          <w:rStyle w:val="FootnoteAnchor"/>
          <w:rtl w:val="true"/>
        </w:rPr>
        <w:footnoteReference w:id="116"/>
      </w:r>
      <w:r>
        <w:rPr>
          <w:rFonts w:ascii="Amiri" w:hAnsi="Amiri" w:eastAsia="Amiri" w:cs="Amiri"/>
          <w:color w:val="111111"/>
          <w:sz w:val="28"/>
          <w:sz w:val="28"/>
          <w:szCs w:val="28"/>
          <w:rtl w:val="true"/>
          <w:lang w:bidi="ar-SA"/>
        </w:rPr>
        <w:t>والثناء عليهم، بينما جاء الذم للأكثرية</w:t>
      </w:r>
      <w:r>
        <w:rPr>
          <w:rStyle w:val="FootnoteAnchor"/>
          <w:rtl w:val="true"/>
        </w:rPr>
        <w:footnoteReference w:id="117"/>
      </w:r>
      <w:r>
        <w:rPr>
          <w:rFonts w:ascii="IRNazanin" w:hAnsi="IRNazanin" w:eastAsia="IRNazanin"/>
          <w:color w:val="111111"/>
          <w:sz w:val="28"/>
          <w:sz w:val="28"/>
          <w:szCs w:val="28"/>
          <w:rtl w:val="true"/>
          <w:lang w:bidi="fa-IR"/>
        </w:rPr>
        <w:t xml:space="preserve">، مضافاً إلى أن ما تمخض عن الوقائع والأحداث يؤيد هذه الحقيقة، فإن الأكثرية هي التي حاربت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وهضمت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الأكثرية هي التي اعتدت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الأكثرية هي التي شرّدت أهل البيت وأذاقتهم الويلات، وارجع إلى ما سطره التاريخ لتقف على هذه الحقيقة في كل زمان ومكان، وهي أن الأكثرية ما كانت ولن تكون المقياس في التقييم والترجيح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الفئات التي أحكمت القبضة على زمام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اتخاذ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وشيعته أعداء أدّى إلى اتّباع مختلف الوسائل والأساليب في القهر والبطش والاضطهاد، وعلى مر العصور ابتداء من قضية مالك بن نويرة</w:t>
      </w:r>
      <w:r>
        <w:rPr>
          <w:rStyle w:val="FootnoteAnchor"/>
          <w:rtl w:val="true"/>
        </w:rPr>
        <w:footnoteReference w:id="118"/>
      </w:r>
      <w:r>
        <w:rPr>
          <w:rFonts w:ascii="Amiri" w:hAnsi="Amiri" w:eastAsia="Amiri" w:cs="Amiri"/>
          <w:color w:val="111111"/>
          <w:sz w:val="28"/>
          <w:sz w:val="28"/>
          <w:szCs w:val="28"/>
          <w:rtl w:val="true"/>
          <w:lang w:bidi="ar-SA"/>
        </w:rPr>
        <w:t>، وما سبقها، وما أعقبها من أحداث وإلى يومنا هذا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يحدثنا به التاريخ في العهد 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بن أبي سفيان دعا بُسر بن أرطأة وكان قاسي القلب سفّاكاً للدماء، لا رأفة عنده، ولا رحمة، فوجهه إلى اليمن وأمره أن يأخذ طريق الحجاز والمدينة ومكة، حتى ينتهي إلى اليمن،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 على بلد أهله على طاعة عليّ إلاّ بسطت عليهم لسانك، حتى يروا أنهم لا نجاة لهم منك، وأنك محيط بهم، ثمّ اكفف عنهم وادعهم إلى البيعة لي فمن </w:t>
      </w:r>
    </w:p>
    <w:p>
      <w:pPr>
        <w:pStyle w:val="BookText"/>
        <w:rPr/>
      </w:pPr>
      <w:r>
        <w:rPr>
          <w:rFonts w:ascii="Amiri" w:hAnsi="Amiri" w:eastAsia="Amiri" w:cs="Amiri"/>
          <w:color w:val="111111"/>
          <w:sz w:val="28"/>
          <w:sz w:val="28"/>
          <w:szCs w:val="28"/>
          <w:rtl w:val="true"/>
          <w:lang w:bidi="ar-SA"/>
        </w:rPr>
        <w:t>أبى فاقتله، واقتل شيعة علي حيث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بسر بن أرطأة حتى دخل المدينة فخطب الناس وشتمهم وتهدّدهم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شتم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وأبناء العبيد بني زريق، وبني النجار، وبني سالم، وبني عبد الأشهل، أما والله لأوقعنّ بكم وقعة تشفي غليل صدور المؤمنين وآل عثمان، أما والله لأدعنّكم أحاديث كالأمم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طريقه إلى مكة قتل رجالاً، وأخذ أموالاً، حتى إذا دخل مكة أدخل في قلوب أهلها الرعب والخوف، وتركهم متوجهاً بجيشه نحو اليمن حيث شيعة أمير المؤمنين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ويتفق المؤرخون على أن بُسر بن أرطأة عاث في اليمن فساداً وأهلك الحرث والنسل، فقد غار على همدان وسبى نساءهم، فكن أول مسلمات سبين في الإسلام، وقتل أحياء من بني سعيد، وروى أبو عمر الشيباني بإسناده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وتعوّذ في صلاة صلاها، أطال قيامها وركوعها وسجودها، فسئل ممّ تعوّذت وفيم دعوت؟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تعوذت بالله من يوم البلاء يدركني، ويوم العورة أن أدركه،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يوم البلاء فتلتقي فئتان من المسلمين فيقتل بعضهم بعضاً، وأما يوم العورة فإن نساءً من المسلمات يُسبين فيكشف عن سوقهن، فأيتهن كانت أعظم ساقاً اشتُريت على عظم ساقها، فدعوت الله أن لا يدركني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معاوية بُسر بن أرطأة إلى اليمن فسبى نساء مسلماتفأقمن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ابنين لعبيد الله بن العباس صبيّين، فأخذهما بُسر لعنه الله وذبحهما بيده بمدية كانت معه، فأصاب أم حكيم بنت قارظ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على ابنيها، فكانت لا تعقل ولا تصغي إلاّ إلى قول من أعلمها أنهما قد قتلا، ولا تزال تطوف في المواسم تنشد الناس ابنيها بهذه الأبيات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تشظّى عنهما الصّدف</w:t>
      </w:r>
    </w:p>
    <w:p>
      <w:pPr>
        <w:pStyle w:val="BookText"/>
        <w:rPr/>
      </w:pPr>
      <w:r>
        <w:rPr>
          <w:rFonts w:ascii="Amiri" w:hAnsi="Amiri" w:eastAsia="Amiri" w:cs="Amiri"/>
          <w:color w:val="111111"/>
          <w:sz w:val="28"/>
          <w:sz w:val="28"/>
          <w:szCs w:val="28"/>
          <w:rtl w:val="true"/>
          <w:lang w:bidi="ar-SA"/>
        </w:rPr>
        <w:t xml:space="preserve">يامن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وقلبي فقلبي اليوم مردهف</w:t>
      </w:r>
    </w:p>
    <w:p>
      <w:pPr>
        <w:pStyle w:val="BookText"/>
        <w:rPr/>
      </w:pPr>
      <w:r>
        <w:rPr>
          <w:rFonts w:ascii="Amiri" w:hAnsi="Amiri" w:eastAsia="Amiri" w:cs="Amiri"/>
          <w:color w:val="111111"/>
          <w:sz w:val="28"/>
          <w:sz w:val="28"/>
          <w:szCs w:val="28"/>
          <w:rtl w:val="true"/>
          <w:lang w:bidi="ar-SA"/>
        </w:rPr>
        <w:t xml:space="preserve">يامن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العظام فمخي اليوم مختطف</w:t>
      </w:r>
    </w:p>
    <w:p>
      <w:pPr>
        <w:pStyle w:val="BookText"/>
        <w:rPr/>
      </w:pPr>
      <w:r>
        <w:rPr>
          <w:rFonts w:ascii="Amiri" w:hAnsi="Amiri" w:eastAsia="Amiri" w:cs="Amiri"/>
          <w:color w:val="111111"/>
          <w:sz w:val="28"/>
          <w:sz w:val="28"/>
          <w:szCs w:val="28"/>
          <w:rtl w:val="true"/>
          <w:lang w:bidi="ar-SA"/>
        </w:rPr>
        <w:t xml:space="preserve">نبّئت بُسراً وما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ومن الإفك الذي اقترفوا</w:t>
      </w:r>
    </w:p>
    <w:p>
      <w:pPr>
        <w:pStyle w:val="BookText"/>
        <w:rPr/>
      </w:pPr>
      <w:r>
        <w:rPr>
          <w:rFonts w:ascii="Amiri" w:hAnsi="Amiri" w:eastAsia="Amiri" w:cs="Amiri"/>
          <w:color w:val="111111"/>
          <w:sz w:val="28"/>
          <w:sz w:val="28"/>
          <w:szCs w:val="28"/>
          <w:rtl w:val="true"/>
          <w:lang w:bidi="ar-SA"/>
        </w:rPr>
        <w:t xml:space="preserve">أنحى على ودجَي ابنيّ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مشخوذة وكذاك الافك يقترف</w:t>
      </w:r>
    </w:p>
    <w:p>
      <w:pPr>
        <w:pStyle w:val="BookText"/>
        <w:rPr/>
      </w:pPr>
      <w:r>
        <w:rPr>
          <w:rFonts w:ascii="Amiri" w:hAnsi="Amiri" w:eastAsia="Amiri" w:cs="Amiri"/>
          <w:color w:val="111111"/>
          <w:sz w:val="28"/>
          <w:sz w:val="28"/>
          <w:szCs w:val="28"/>
          <w:rtl w:val="true"/>
          <w:lang w:bidi="ar-SA"/>
        </w:rPr>
        <w:t xml:space="preserve">حتى لقيت رجالاً من أُرومته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لهم في قومهم شرف</w:t>
      </w:r>
    </w:p>
    <w:p>
      <w:pPr>
        <w:pStyle w:val="BookText"/>
        <w:rPr/>
      </w:pPr>
      <w:r>
        <w:rPr>
          <w:rFonts w:ascii="Amiri" w:hAnsi="Amiri" w:eastAsia="Amiri" w:cs="Amiri"/>
          <w:color w:val="111111"/>
          <w:sz w:val="28"/>
          <w:sz w:val="28"/>
          <w:szCs w:val="28"/>
          <w:rtl w:val="true"/>
          <w:lang w:bidi="ar-SA"/>
        </w:rPr>
        <w:t xml:space="preserve">فالآن ألعن بُسراً حقّ لعنته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أبي بسر هو السرف</w:t>
      </w:r>
    </w:p>
    <w:p>
      <w:pPr>
        <w:pStyle w:val="BookText"/>
        <w:rPr/>
      </w:pPr>
      <w:r>
        <w:rPr>
          <w:rFonts w:ascii="Amiri" w:hAnsi="Amiri" w:eastAsia="Amiri" w:cs="Amiri"/>
          <w:color w:val="111111"/>
          <w:sz w:val="28"/>
          <w:sz w:val="28"/>
          <w:szCs w:val="28"/>
          <w:rtl w:val="true"/>
          <w:lang w:bidi="ar-SA"/>
        </w:rPr>
        <w:t xml:space="preserve">من دلّ والهة حرّى مولهة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صبيين ضلاّ إذ غدا السّلف</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بسر الصبيين جزع لذلك جزعاً شديداً ودعا على بسر لعنه الله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هذه صورة تنبئك عما تلاها من أحداث، فإذا كان هذا بعض ما فعله سيد الأمويين معاوية فما ظنك بمن جاء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يحدّث به التاريخ في العهد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المنصور لما بنى الأبنية ببغداد جعل يطلب العلوية طلباً شديداً، ويجعل من ظفر به منهم في الاسطوانات المجوّفة المبنية من الجص والآجر، فظفر ذات يوم بغلام منهم حسن الوجه، عليه شعر أسود من ولد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فسلّمه إلى البنّاء الذي كان يبني له وأمره أن يجعله في جوف اسطوانة بمشهده، فجعله البناء في جوف اسطوانة فدخلته رقة عليه ورحمة له، فترك في الاسطوانة فرجة يدخل منها الروح، وقال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عليك، فاصبر فإني سأخرجك من جوف هذه الاسطوانة إذا جنّ الليل، ولما جنّ الليل جاء البنّاء في ظلمته وأخرج ذلك العلوي من جوف تلك الاسطوانة،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الله في دمي ودم الفعلة الذين معي، وغيّب شخصك، </w:t>
      </w:r>
    </w:p>
    <w:p>
      <w:pPr>
        <w:pStyle w:val="BookText"/>
        <w:rPr/>
      </w:pPr>
      <w:r>
        <w:rPr>
          <w:rFonts w:ascii="IRNazanin" w:hAnsi="IRNazanin" w:eastAsia="IRNazanin"/>
          <w:color w:val="111111"/>
          <w:sz w:val="28"/>
          <w:sz w:val="28"/>
          <w:szCs w:val="28"/>
          <w:rtl w:val="true"/>
          <w:lang w:bidi="fa-IR"/>
        </w:rPr>
        <w:t xml:space="preserve">فإني إنما أخرجتك في ظلمة هذه الليلة من جوف هذه الاسطوانة لأنّي خفت إنتركتك في جوفها أن يكون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خصمي بين يدي الله عزوجل، ثمّ أخذ شعره بآلات الجصّاصين كما أمكن،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شخصك وانجُ بنفسك، ولا ترجع إلى اُمك،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هذا هكذا فعرّف اُمي أني قد نجوت وهربت لتطيب نفسها، ويقلّ جزعها وبكاؤها إن لم يكن لعودي إليها وجه، فهرب الغلام ولا يُدرى أين قصد من أرض الله، ولا إلى أي بلد وقع، قال ذلك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الغلام عرّفني مكان اُمه وأعطاني العلامة شعره، فانتهيت إليها في الموضع الذي كان دلّني عليه، فسمعت دويّاً كدويّ النحل من البكاء، فعلمت أنها اُمّه فدونت منها وعرّفتها خبر ابنها وأعطيتها شعره وانصرفت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وغيرها من الفجائع التي عاناها العلويون إبّان الحكم العباسي، وقد ذاق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ألواناً من القهر والاضطهاد حتى استشهد ستة منهم على أيدي حكام بني العباس، وكانت شهادة بعضهم في غياهب السجون، وهكذا كان بنو العباس مع بني عمهم آل أبي طالب، وقد وضع أبو الفرج الاصفهاني كتاباً سمّاه مقاتل الطالبيين ذكر فيه أسماء العشرات ممن قتل أيام بني العباس من العلويين، وأما من قتل من شيعتهم فحدّث عن ذلك ولا حرج</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يحدّث به التاريخ أيضاً في العهد العثماني</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السلطان سليم كان شديد التعصب على أهل الشيعة، ولا سيما أنّه كان في تلك الأيام قد انتشرت بين رعاياه تعاليم شيعية تتنافى مع مذهب أهل السنة، وكان قد تمسك بها جماعة من الأهالي، فأمر السلطان سليم بقتل كل من يدخل في هذه الشيعة فقتلوا نحو أربعين ألف رجل، </w:t>
      </w:r>
    </w:p>
    <w:p>
      <w:pPr>
        <w:pStyle w:val="BookText"/>
        <w:rPr/>
      </w:pPr>
      <w:r>
        <w:rPr>
          <w:rFonts w:ascii="Amiri" w:hAnsi="Amiri" w:eastAsia="Amiri" w:cs="Amiri"/>
          <w:color w:val="111111"/>
          <w:sz w:val="28"/>
          <w:sz w:val="28"/>
          <w:szCs w:val="28"/>
          <w:rtl w:val="true"/>
          <w:lang w:bidi="ar-SA"/>
        </w:rPr>
        <w:t>وأخرج فتوى شيخ الإسلام بأنه يؤجر على قتل الشيعة وإشهار الحرب ضدهم</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ويقول الشيخ المظفّر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تسل عما لقيته الشيعة من ذريع الفتك عندما استلبه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العثمانيون في هذه 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النكبة الكبرى إحدى النكبات الفظيعة التي شاهدهاالشيعة في أدوار حياتهم من جرّاء المذهب وما أكثرها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ويستعرض جملة من النكبات التي ذهب ضحيتها الآلاف من الشيعة في مناطق أخرى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استمر التشيع في حلب رفيع البناء، لم تقلعه تلك الهزّات العنيفة، ولم تردمه تلك العواصف الشديدة، إلى أن أفتى الشيخ نوح الحنفي في كفر الشيعة واستباحة دمائهم وأموالهم تابوا أو لم يتوبوا، فزحفوا على شيعة حلب وأبادوا منهم أربعين ألفاً أو يزيدون، وانتهبت أموالهم، وأخرج الباقون منهم من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واختبأ الشيعة في أطراف حلب في هذه القرى والبلدان، ولم يبق في حلب شيعي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اليوم في حلب قليل من الشيعة سكنوها بعد تلك الحادثة المؤلمة، وهذه إحدى الوقائع الممضّة التي شاهدها الشيعة من أجل ولائهم لأهل البيت وتمسكهم بعرى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وهاجم الأمير ملحم بن الأمير حيدر بسبب هذه الفتوى جبال عاملة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فانتهك الحرمات واستباح المحرمات يوم وقعة قرية أنصار فلا تسل عما أراق من دماء، واستلب من أموال، وانتهك من حريم، فقد قتل ألفاً وخمسمائة، وأسر ألفاً وأربعمائة، فلم يرجعوا حتى هلك في الكنيف ببيروت</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وأما الجرائم البشعة التي أحدثها الجزّار في لبنان وأهلك فيها الحرث والنسل فقد سود فيها صفحات من التاريخ</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تكاد تقف على حقبة زمنية مرت على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بقعة </w:t>
      </w:r>
      <w:bookmarkStart w:id="88" w:name="pg16387_188109"/>
    </w:p>
    <w:p>
      <w:pPr>
        <w:pStyle w:val="BookText"/>
        <w:rPr/>
      </w:pPr>
      <w:bookmarkEnd w:id="88"/>
      <w:r>
        <w:rPr>
          <w:rFonts w:ascii="Amiri" w:hAnsi="Amiri" w:eastAsia="Amiri" w:cs="Amiri"/>
          <w:color w:val="111111"/>
          <w:sz w:val="28"/>
          <w:sz w:val="28"/>
          <w:szCs w:val="28"/>
          <w:rtl w:val="true"/>
          <w:lang w:bidi="ar-SA"/>
        </w:rPr>
        <w:t>من بقاع الأرض إلاّ وقد اصطبغت بدمائهم وكانوا فيها ضحايا البطش والقهر والاضطهاد، فإذا كان هذا حال الشيعة عبر التاريخ فماذا تراهم فاعلين؟؟</w:t>
      </w:r>
    </w:p>
    <w:p>
      <w:pPr>
        <w:pStyle w:val="BookText"/>
        <w:rPr/>
      </w:pPr>
      <w:r>
        <w:rPr>
          <w:rFonts w:ascii="Amiri" w:hAnsi="Amiri" w:eastAsia="Amiri" w:cs="Amiri"/>
          <w:color w:val="111111"/>
          <w:sz w:val="28"/>
          <w:sz w:val="28"/>
          <w:szCs w:val="28"/>
          <w:rtl w:val="true"/>
          <w:lang w:bidi="ar-SA"/>
        </w:rPr>
        <w:t>لقد كانت التقية أنجع وسيلة لحفاظ الشيعة على عقائدهم وأرواحهم بالقدر الممكن حيث استطاعوا من خلالها الإبقاء على أنفسهم، ولم يكن ثمّة مناص عنها إذا ما أرادوا أن يعيشوا كسائر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التقية أمر فرضته الظروف القاسية والأجواء الرهيبة التي مر بها الشيعة عبر التاريخ، وقد دفعوا إليها دفعاً اضطرهم إلى مسايرة الجائرين في الظاهر إبقاءً على أنفسهم وحفاظاً على أرواحهم وأعراضهم، وقلوبهم مطمئنة بالإيمان، ولم يكن ذلك بدعاً من الفعل، ولا تنكّراً للفطرة ولا خلافاً لقوانين الإسلام وتعاليمه، ولعمر الحق إن قضية التقية أمر لا مراءفيه غير أن المغرضين أرادوا نبز الشيعة بها فكان مآلهم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لم تكن هناك مصلحة أهم من الإبقاء على النفس، وغاية أسمى يسترخص من أجلها كل ثمين، الأمر الذي يفسر لنا إقدام البعض على معانقة الموت واستقبال أهواله في عمليات فدائية حدّدها الشارع الحكيم وعيّن مواطنها</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6877709_1280447820"/>
      <w:bookmarkStart w:id="90" w:name="_Toc32"/>
      <w:bookmarkEnd w:id="89"/>
      <w:r>
        <w:rPr>
          <w:rtl w:val="true"/>
        </w:rPr>
        <w:t>شبهات مغرضة</w:t>
      </w:r>
      <w:r>
        <w:rPr>
          <w:rtl w:val="true"/>
        </w:rPr>
        <w:t>:</w:t>
      </w:r>
      <w:bookmarkEnd w:id="9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قد نجد بعض من لا يبصر أبعد من أنفه يتّخذ من التقية موضوع نبز وافتراء، فيتّهم الشيعة بالنفاق لقولهم بالتقية، لأن ملاكها إظهار خلاف ما انطوت عليه النفس وانعقد عليه القلب، وهو عبارة اُخرى عن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فات هذا القائل أن معنى النفاق هو عبارة عن إظهار الإيمان وإخفاء الكفر</w:t>
      </w:r>
      <w:r>
        <w:rPr>
          <w:rStyle w:val="FootnoteAnchor"/>
          <w:rtl w:val="true"/>
        </w:rPr>
        <w:footnoteReference w:id="125"/>
      </w:r>
      <w:r>
        <w:rPr>
          <w:rFonts w:ascii="Amiri" w:hAnsi="Amiri" w:eastAsia="Amiri" w:cs="Amiri"/>
          <w:color w:val="111111"/>
          <w:sz w:val="28"/>
          <w:sz w:val="28"/>
          <w:szCs w:val="28"/>
          <w:rtl w:val="true"/>
          <w:lang w:bidi="ar-SA"/>
        </w:rPr>
        <w:t xml:space="preserve">، وأما التقية فهي وسيلة اتقاء مع اطمئنان القلب بالإيمان، وقد تضطر الإنسان لإظهار الكفر ومجاراة من يخافه ويخشاه في القول والعمل، على أن </w:t>
      </w:r>
      <w:bookmarkStart w:id="91" w:name="pg16387_188110"/>
    </w:p>
    <w:p>
      <w:pPr>
        <w:pStyle w:val="BookText"/>
        <w:rPr/>
      </w:pPr>
      <w:bookmarkEnd w:id="91"/>
      <w:r>
        <w:rPr>
          <w:rFonts w:ascii="Amiri" w:hAnsi="Amiri" w:eastAsia="Amiri" w:cs="Amiri"/>
          <w:color w:val="111111"/>
          <w:sz w:val="28"/>
          <w:sz w:val="28"/>
          <w:szCs w:val="28"/>
          <w:rtl w:val="true"/>
          <w:lang w:bidi="ar-SA"/>
        </w:rPr>
        <w:t xml:space="preserve">القرآن الكريم قد تحدّث عن النفاق والمنافقين ووعدهم بالدرك الأسفل من النار، بينما تحدّث عن أولئك الذين مارسوا التقية فأثنى عليهم وآتاهم أجرهم مرتين، فليست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ومصداقاً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تلتقي مع النفاق في 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يحلو للبعض أن يصم التقية بأنها تنطوي على تنظيم سرّي يهدف إلى تقويض الدين وزعزعة أركانه ببث الأفكار الهدّامة للدين في الخفاء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الإمامية أتقى وأبرّ من أن تدنّس شرف ولائها لأهل البيت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فإنها قد اعتصمت بحبل الله المتين، واستسهلت في سبيله كل عسير، وما فتىء تاريخها حافلاً بمواقف التضحية والفداء دفاعاً عن حريم الدين والمعتقد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وتتهاوى كل الافتراءات التي تلصق بالشيعة في ممارستهم لهذا المبدأ، فإنها ما مارست التقية في سيرتها العملية في بعض الظروف إلاّ لأجل الإبقاء على نفوسها حيث دفعت إلى ذلك دفعاً، واضطرها إليها جور الجائرين واستبداد الظالمين، ولو أن هؤلاء الذين يحلو لهم هذا النوع من العبث السخيف لاقوا بعض ما لاقاه الشيعة في حياتهم عبر تاريخهم المرير لعرفوا وعلموا أن ما يفعله الشيعة لا يعدو الحق ولا يحيد عن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التقية حافظت على قيم الإسلام وتعاليمه، واستطاع رجال الشيعة في تاريخهم أن يساهموا في صيانة الدين والدفاع عنه والمحافظة عليه من عبث العابثين، وتكون التقية بذلك قد أسدت للدين خدمة جُلّى ستبقى آثارها حيّة إلى أن يرث الله الأرض ومن عليها</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6877711_1280447820"/>
      <w:bookmarkStart w:id="93" w:name="_Toc33"/>
      <w:bookmarkEnd w:id="92"/>
      <w:r>
        <w:rPr>
          <w:rtl w:val="true"/>
        </w:rPr>
        <w:t>التقية في الفقه الإمامي</w:t>
      </w:r>
      <w:r>
        <w:rPr>
          <w:rtl w:val="true"/>
        </w:rPr>
        <w:t>:</w:t>
      </w:r>
      <w:bookmarkEnd w:id="93"/>
    </w:p>
    <w:p>
      <w:pPr>
        <w:pStyle w:val="BookText"/>
        <w:rPr/>
      </w:pPr>
      <w:r>
        <w:rPr>
          <w:rFonts w:ascii="IRNazanin" w:hAnsi="IRNazanin" w:eastAsia="IRNazanin"/>
          <w:color w:val="111111"/>
          <w:sz w:val="28"/>
          <w:sz w:val="28"/>
          <w:szCs w:val="28"/>
          <w:rtl w:val="true"/>
          <w:lang w:bidi="fa-IR"/>
        </w:rPr>
        <w:t xml:space="preserve">إنّ المعاناة الروحية والجسدية التي واجهها الشيعة في تاريخهم المظلوم دفعت بأئمتهم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الحفاظ على شيعتهم إلى بيان الأحكام في صورتين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بيانها في الصورة الصريحة الواضحة، كما جاء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 </w:t>
      </w:r>
    </w:p>
    <w:p>
      <w:pPr>
        <w:pStyle w:val="BookText"/>
        <w:rPr/>
      </w:pPr>
      <w:r>
        <w:rPr>
          <w:rFonts w:ascii="IRNazanin" w:hAnsi="IRNazanin" w:eastAsia="IRNazanin"/>
          <w:color w:val="111111"/>
          <w:sz w:val="28"/>
          <w:sz w:val="28"/>
          <w:szCs w:val="28"/>
          <w:rtl w:val="true"/>
          <w:lang w:bidi="fa-IR"/>
        </w:rPr>
        <w:t>هي في القرآن الكريم، وهي المعبر عنها بالأحكام الأوّلية، وذلك في حالات الأمن من العدو والاطمئنان من تربّصه أو انشغاله بغيرهم، وهذا ما نجده في الموسوعات الشيعية الروائية، فإنها زاخرة ببيانات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مختلف شؤون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بيانها وقد ارتدت لباس التقية وهي المعبّر عنها بالأحكام الثانوية في بعض وجوهها، وذلك في حالات الخوف والتربّص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وقد امتزجت الروايات في التبويب والتصنيف مما أدّى إلى ظهور التعارض البدوي بينها في بعض جهاته، الأمر الذي احتاج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عملية الفصل بين الصورتين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مهارة فقهية وتضلع راسخ في معرفة ما يتناسب ومذهب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غيره، ورد كل حكم إلى منشئه، ويحتاج إلى قدرة علمية فائقة وذوقاً فقهياً رفيعاً لمعرفة الضوابط وعمليات الجمع بين الروايات مما جعل البحث في ذلك شاقاً وعسيراً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بحث فقهاء الإمامية قدس الله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 تاريخهم المعطاء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التقية بجميع أبعادها في جميع أبواب الفقه إلاّ أن أبحاثهم جاءت بحسب اقتضاء المناسبة فكانت مبعثرة في جميع أبواب الفقه ولم تنتظم في سلك عقد واحد، ومن هنا جاء هذا الكتاب ليكون نواة في هذا المجال، ورائد السبق في هذا المضمار حيث يقوم بحصر جميع موارد التقية في الفقه الإمامي الواردة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استدلالي لوحظت فيه جميع الأدلة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ويمكننا إيجاز منهجية الكتاب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أصل الحكم الأولي والدليل عليه في المسألة المبحوث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جهات الاختلاف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عليه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أغلب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جهة اختلافهم مع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الحكم عند عروض التقية وما يترتب عليه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مواطن ذلك في صفحات هذا الكتاب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الجزء الأول من هذا الكتاب ويتناول موضوع التقية في أصول الدين والتقية في بعض الفروع وهي الطهارة والصلاة والصوم والحج والزكاة، </w:t>
      </w:r>
    </w:p>
    <w:p>
      <w:pPr>
        <w:pStyle w:val="BookText"/>
        <w:rPr/>
      </w:pPr>
      <w:r>
        <w:rPr>
          <w:rFonts w:ascii="Amiri" w:hAnsi="Amiri" w:eastAsia="Amiri" w:cs="Amiri"/>
          <w:color w:val="111111"/>
          <w:sz w:val="28"/>
          <w:sz w:val="28"/>
          <w:szCs w:val="28"/>
          <w:rtl w:val="true"/>
          <w:lang w:bidi="ar-SA"/>
        </w:rPr>
        <w:t>وأما بقية الفروع وما يتعلق بها من المسائل والأحكام ففي ما سيليه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الكتاب هو مجموعة المحاضرات الفقهية التي كان سماحة العلامة الأستاذ آية الله الحاج الشيخ مسلم الداوري دام ظلّه، يتفضّل بها في مجلس بحثه اليومي في الحوزة العلمية في 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من ألطاف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حالفني التوفيق للتشرف بالحضور في مجلس البحث وتدوين هذه المحاضرات تحت إشرافه ورعايته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حظيت من قبل بشرف تدوين محاضراته في علم الرجال وكان من ثمراتها المباركة كتاب أصول علم الرجال بين النظرية والتطبيق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وكنت قد ذكرت في مقدمته طرفاً من حياة شيخنا الأستاذ دام ظله، والتي كانت أنموذجاً يحتذى في الدأب والجد في العلم والعمل، وهو مصداق من أعطي العلم كلّه، ورهن حياته في خدمة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 الله الكريم المنّان أن يديم ظله وارفاً، وأن ينفع ببركاته أبناء الحوزات العلمية المقدسة، كما أسأله تعالى أن يشمل بعين رعايته هذا الجهد وينظر إليه نظرة القبول والرضا، وأن يكون موضعاً لعناية السادة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بقية الله في أرضه إمام العصر وصاحب الزمان أرواحنا فداه، وأن يجعله عملاً خالصاً لوجهه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الطاهرين</w:t>
      </w:r>
    </w:p>
    <w:p>
      <w:pPr>
        <w:pStyle w:val="BookText"/>
        <w:rPr/>
      </w:pPr>
      <w:r>
        <w:rPr>
          <w:rFonts w:ascii="Amiri" w:hAnsi="Amiri" w:eastAsia="Amiri" w:cs="Amiri"/>
          <w:color w:val="111111"/>
          <w:sz w:val="28"/>
          <w:sz w:val="28"/>
          <w:szCs w:val="28"/>
          <w:rtl w:val="true"/>
          <w:lang w:bidi="ar-SA"/>
        </w:rPr>
        <w:t>محمّد علي المعلم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6387_188114"/>
      <w:bookmarkStart w:id="95" w:name="pg16387_188114"/>
      <w:bookmarkEnd w:id="95"/>
    </w:p>
    <w:p>
      <w:pPr>
        <w:pStyle w:val="Heading5"/>
        <w:numPr>
          <w:ilvl w:val="4"/>
          <w:numId w:val="1"/>
        </w:numPr>
        <w:rPr/>
      </w:pPr>
      <w:bookmarkStart w:id="96" w:name="pg16387_188114"/>
      <w:bookmarkStart w:id="97" w:name="__RefHeading___Toc6877713_1280447820"/>
      <w:bookmarkStart w:id="98" w:name="_Toc34"/>
      <w:bookmarkEnd w:id="96"/>
      <w:bookmarkEnd w:id="97"/>
      <w:r>
        <w:rPr>
          <w:rtl w:val="true"/>
        </w:rPr>
        <w:t>المدخل التقية وأدلتها</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اللغوي والاصطلاحي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الأربعة على مشروعية التقية بل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حريم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إجمالية لفصول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المستثناة من حكم التقية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البحث في هذا الكتاب</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6387_188116"/>
      <w:bookmarkStart w:id="100" w:name="pg16387_188116"/>
      <w:bookmarkEnd w:id="100"/>
    </w:p>
    <w:p>
      <w:pPr>
        <w:pStyle w:val="BookText"/>
        <w:rPr/>
      </w:pPr>
      <w:bookmarkStart w:id="101" w:name="pg16387_188116"/>
      <w:bookmarkEnd w:id="101"/>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خلقه محمّد وآله الطاهرين</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6877715_1280447820"/>
      <w:bookmarkStart w:id="103" w:name="_Toc35"/>
      <w:bookmarkEnd w:id="102"/>
      <w:r>
        <w:rPr>
          <w:rtl w:val="true"/>
        </w:rPr>
        <w:t>التقية في اللغة والاصطلاح</w:t>
      </w:r>
      <w:r>
        <w:rPr>
          <w:rtl w:val="true"/>
        </w:rPr>
        <w:t>:</w:t>
      </w:r>
      <w:bookmarkEnd w:id="103"/>
    </w:p>
    <w:p>
      <w:pPr>
        <w:pStyle w:val="BookText"/>
        <w:rPr/>
      </w:pPr>
      <w:r>
        <w:rPr>
          <w:rFonts w:ascii="Amiri" w:hAnsi="Amiri" w:eastAsia="Amiri" w:cs="Amiri"/>
          <w:color w:val="111111"/>
          <w:sz w:val="28"/>
          <w:sz w:val="28"/>
          <w:szCs w:val="28"/>
          <w:rtl w:val="true"/>
          <w:lang w:bidi="ar-SA"/>
        </w:rPr>
        <w:t xml:space="preserve">اختلف في تحديد لفظ التقية، من جهة كونه مصدراً أو اسم مصدر، فالذي يظهر من شيخنا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اسم لاتقى يتقي</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والذي يذهب إليه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مصدر تقي يتقي والاسم التقوى، وهي مأخوذة من الوقاية وتاؤها بدل من الواو</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والمستفاد من المعاجم اللغوية أن التقية مصدر ثان لتقي أتقي، والاسم هو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واتَّقَيْتُ الشيءَ وَتَقيْتهُ أتَّقيه وأتْقِيه تُقىً وتَقِيّةً وتِقاءً ككساء حَذِرْتهُ، والاسم التَّقْوى</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وقال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توقَّيتُ واتَّقَيتُ الشيء وتَقَيْتهُ أتَّقيه واتْقِيه تُقىً وتَقِيّةً وتقاء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حذرته، الأخيرة عن اللحياني، والاسم التقوى، التاء بدل من الواو والواو بدل من الياء</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وجاء في بعض الكتب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مصدر اتقيت هو الإتقاء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اتقيت الله اتقاءً، والتقية، والتقوى اسم منه والتاء مبدلة من واو، والأصل وقوى من وقيت لكنه أبدل ولزمت التاء في تصاريف الكلمة، </w:t>
      </w:r>
    </w:p>
    <w:p>
      <w:pPr>
        <w:pStyle w:val="BookText"/>
        <w:rPr/>
      </w:pPr>
      <w:r>
        <w:rPr>
          <w:rFonts w:ascii="Amiri" w:hAnsi="Amiri" w:eastAsia="Amiri" w:cs="Amiri"/>
          <w:color w:val="111111"/>
          <w:sz w:val="28"/>
          <w:sz w:val="28"/>
          <w:szCs w:val="28"/>
          <w:rtl w:val="true"/>
          <w:lang w:bidi="ar-SA"/>
        </w:rPr>
        <w:t>والتقاة مثله وجمعها تُقى</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فَعْلَى كنجوى، والأصل فيه وقوى من وقيته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قلبت الواو تاء، وكذلك تقاة، والأصل وقاة،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إِلاَّأَنْ تَتَّقُوا مِنْهُمْ تُقَاةً</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أي اتقاءً مخافة القتل، وجمع التقاة تقى كطلى للاعناق وقرىء تقية، والتقية والتقاة اسمان موضوعان موضع الاتقاء</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ويقرّب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الوارد في كثير من الروايات أنسب بالاسم المصدري،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التقية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 ترس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 حرز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الموارد التي وردت محكوماً عليها بنحو الإخبارأو متعلقة للحكم كسائر المتعلقات مثل الصلاة والصوم والحج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تقدير فالتقوى أو التقية أو الإتقاء لها معنيان أحدهما عام، والآخر خاص، أما المعنى الأول فهو التحفّظ والحذر من الوقوع في المحرمات والإخلال بالواجبات،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الإنسان بينه وبين غضب الله حاجزاً، وهذا إنما يتم بالعمل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أسند هذا المعنى في الكتاب العزيز إلى الله تعالى في آيات كثيرة،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وَاتَّقُونِي يَا أُوْلِي الأَلْبَابِ</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وغيرها من الآيات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يشمل بمقتضى عمومه، التحفّظ عن كل ضرر، والإتّقاء من كلّ ما يخاف ويخشى، دينياً كان أو دنيوياً، وليس لهذا المعنى حكم شرعي </w:t>
      </w:r>
      <w:bookmarkStart w:id="104" w:name="pg16387_188118"/>
    </w:p>
    <w:p>
      <w:pPr>
        <w:pStyle w:val="BookText"/>
        <w:rPr/>
      </w:pPr>
      <w:bookmarkEnd w:id="104"/>
      <w:r>
        <w:rPr>
          <w:rFonts w:ascii="Amiri" w:hAnsi="Amiri" w:eastAsia="Amiri" w:cs="Amiri"/>
          <w:color w:val="111111"/>
          <w:sz w:val="28"/>
          <w:sz w:val="28"/>
          <w:szCs w:val="28"/>
          <w:rtl w:val="true"/>
          <w:lang w:bidi="ar-SA"/>
        </w:rPr>
        <w:t>مولوي بل حكمه الوجوب العقليّ، وما ورد من الأمر فهو محمول على الإرشاد إلى ما أدركه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الثاني فهو اصطلاحي خاص،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 عن ضرر الغير بموافقته في القول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معجم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وكسر القاف وتشديد الياء المفتوحة، مصدر وقي، الحذر والمخافة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غير ما يعتقد وقاية لنفسه من أذى قد يصيبها</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ولهذا المعنى حكم المولويّة، ويتّصف بالأحكام الشرعية الخمسة من الوجوب والحرمة والاستحباب والكراهة والإباحة، وهو محلّ البحثوالكلام</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6877717_1280447820"/>
      <w:bookmarkStart w:id="106" w:name="_Toc36"/>
      <w:bookmarkEnd w:id="105"/>
      <w:r>
        <w:rPr>
          <w:rtl w:val="true"/>
        </w:rPr>
        <w:t>أدلة التقية</w:t>
      </w:r>
      <w:r>
        <w:rPr>
          <w:rtl w:val="true"/>
        </w:rPr>
        <w:t>:</w:t>
      </w:r>
      <w:bookmarkEnd w:id="106"/>
    </w:p>
    <w:p>
      <w:pPr>
        <w:pStyle w:val="Heading6"/>
        <w:numPr>
          <w:ilvl w:val="5"/>
          <w:numId w:val="1"/>
        </w:numPr>
        <w:rPr/>
      </w:pPr>
      <w:bookmarkStart w:id="107" w:name="__RefHeading___Toc6877719_1280447820"/>
      <w:bookmarkStart w:id="108" w:name="_Toc37"/>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ويمكن الاستدلال على التقية بالأدلة الأربعة</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6877721_1280447820"/>
      <w:bookmarkStart w:id="110" w:name="_Toc38"/>
      <w:bookmarkEnd w:id="109"/>
      <w:r>
        <w:rPr>
          <w:rtl w:val="true"/>
        </w:rPr>
        <w:t>الدليل الأول</w:t>
      </w:r>
      <w:r>
        <w:rPr>
          <w:rtl w:val="true"/>
        </w:rPr>
        <w:t xml:space="preserve">: </w:t>
      </w:r>
      <w:r>
        <w:rPr>
          <w:rtl w:val="true"/>
        </w:rPr>
        <w:t>من الكتاب</w:t>
      </w:r>
      <w:r>
        <w:rPr>
          <w:rtl w:val="true"/>
        </w:rPr>
        <w:t>:</w:t>
      </w:r>
      <w:bookmarkEnd w:id="110"/>
    </w:p>
    <w:p>
      <w:pPr>
        <w:pStyle w:val="BookText"/>
        <w:rPr/>
      </w:pPr>
      <w:r>
        <w:rPr>
          <w:rFonts w:ascii="Amiri" w:hAnsi="Amiri" w:eastAsia="Amiri" w:cs="Amiri"/>
          <w:color w:val="111111"/>
          <w:sz w:val="28"/>
          <w:sz w:val="28"/>
          <w:szCs w:val="28"/>
          <w:rtl w:val="true"/>
          <w:lang w:bidi="ar-SA"/>
        </w:rPr>
        <w:t>وقد استدلّ بعدة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يَفْعَلْ ذَلِكَ فَلَيْسَ مِنْ اللهِ فِي شَيْءٍ إِلاَّ أَنْ تَتَّقُوا مِنْهُمْ تُقَاةً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والآيتان صريحتا الدلالة في التقية، وقد ذكر المفسرون أن الآية الثانية نزلت في شأن عمار بن ياسر في قصة مشهورة تقدم ذكرها</w:t>
      </w:r>
      <w:r>
        <w:rPr>
          <w:rStyle w:val="FootnoteAnchor"/>
          <w:rtl w:val="true"/>
        </w:rPr>
        <w:footnoteReference w:id="13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وَيَدْرَءُونَ بِالْحَسَنَةِ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الرواية أن </w:t>
      </w:r>
    </w:p>
    <w:p>
      <w:pPr>
        <w:pStyle w:val="BookText"/>
        <w:rPr/>
      </w:pPr>
      <w:r>
        <w:rPr>
          <w:rFonts w:ascii="Amiri" w:hAnsi="Amiri" w:eastAsia="Amiri" w:cs="Amiri"/>
          <w:color w:val="111111"/>
          <w:sz w:val="28"/>
          <w:sz w:val="28"/>
          <w:szCs w:val="28"/>
          <w:rtl w:val="true"/>
          <w:lang w:bidi="ar-SA"/>
        </w:rPr>
        <w:t>المراد من الحسنة هي التقية</w:t>
      </w:r>
      <w:r>
        <w:rPr>
          <w:rStyle w:val="FootnoteAnchor"/>
          <w:rtl w:val="true"/>
        </w:rPr>
        <w:footnoteReference w:id="140"/>
      </w:r>
      <w:r>
        <w:rPr>
          <w:rFonts w:ascii="Amiri" w:hAnsi="Amiri" w:eastAsia="Amiri" w:cs="Amiri"/>
          <w:color w:val="111111"/>
          <w:sz w:val="28"/>
          <w:sz w:val="28"/>
          <w:szCs w:val="28"/>
          <w:rtl w:val="true"/>
          <w:lang w:bidi="ar-SA"/>
        </w:rPr>
        <w:t>، وستأتي الرواية في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أشدّكم تقيّة، كما في صحيحة عبد الله بن حبيب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بَيْنَكُمْ وَبَيْنَهُمْ رَدْماً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رواية المفضل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التقية،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اسْطَاعُوا أَنْ يَظْهَرُوهُ وَمَا اسْتَطَاعُوا لَهُ نَقْباً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بالتقية لم يقدروا لك على حيلة، وهو الحصن الحصين، وصار بينك وبين أعداء الله سدّاً لا يستطيعون له نقبا</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عن حذيفة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التقية</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وردفي صحيحة هشام بن سالم،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صبروا على التقية</w:t>
      </w:r>
      <w:r>
        <w:rPr>
          <w:rStyle w:val="FootnoteAnchor"/>
          <w:rtl w:val="true"/>
        </w:rPr>
        <w:footnoteReference w:id="144"/>
      </w:r>
      <w:r>
        <w:rPr>
          <w:rFonts w:ascii="Amiri" w:hAnsi="Amiri" w:eastAsia="Amiri" w:cs="Amiri"/>
          <w:color w:val="111111"/>
          <w:sz w:val="28"/>
          <w:sz w:val="28"/>
          <w:szCs w:val="28"/>
          <w:rtl w:val="true"/>
          <w:lang w:bidi="ar-SA"/>
        </w:rPr>
        <w:t>، وسيأتي نصّ الرواية في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اصْبِرُوا وَصَابِرُوا وَرَابِطُوا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المصائب وصابروهم على التقية ورابطوا على من تقتدون به، واتقوا الله لعلكم تفلحون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الآيات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التقية ثابتة بالكتاب العزيز، وبعض الآيات وإن لم تكن </w:t>
      </w:r>
      <w:bookmarkStart w:id="111" w:name="pg16387_188120"/>
    </w:p>
    <w:p>
      <w:pPr>
        <w:pStyle w:val="BookText"/>
        <w:rPr/>
      </w:pPr>
      <w:bookmarkEnd w:id="111"/>
      <w:r>
        <w:rPr>
          <w:rFonts w:ascii="Amiri" w:hAnsi="Amiri" w:eastAsia="Amiri" w:cs="Amiri"/>
          <w:color w:val="111111"/>
          <w:sz w:val="28"/>
          <w:sz w:val="28"/>
          <w:szCs w:val="28"/>
          <w:rtl w:val="true"/>
          <w:lang w:bidi="ar-SA"/>
        </w:rPr>
        <w:t>صريحة في دلالتها، وإنما دلّت بمعونة الروايات التفسيرية، إلاّ أنّ بعضها الآخر صريح في دلالته كما هو بيّن</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6877723_1280447820"/>
      <w:bookmarkStart w:id="113" w:name="_Toc39"/>
      <w:bookmarkEnd w:id="112"/>
      <w:r>
        <w:rPr>
          <w:rtl w:val="true"/>
        </w:rPr>
        <w:t>الدليل الثاني</w:t>
      </w:r>
      <w:r>
        <w:rPr>
          <w:rtl w:val="true"/>
        </w:rPr>
        <w:t xml:space="preserve">: </w:t>
      </w:r>
      <w:r>
        <w:rPr>
          <w:rtl w:val="true"/>
        </w:rPr>
        <w:t>من السنة</w:t>
      </w:r>
      <w:r>
        <w:rPr>
          <w:rtl w:val="true"/>
        </w:rPr>
        <w:t>:</w:t>
      </w:r>
      <w:bookmarkEnd w:id="113"/>
    </w:p>
    <w:p>
      <w:pPr>
        <w:pStyle w:val="BookText"/>
        <w:rPr/>
      </w:pPr>
      <w:r>
        <w:rPr>
          <w:rFonts w:ascii="IRNazanin" w:hAnsi="IRNazanin" w:eastAsia="IRNazanin"/>
          <w:color w:val="111111"/>
          <w:sz w:val="28"/>
          <w:sz w:val="28"/>
          <w:szCs w:val="28"/>
          <w:rtl w:val="true"/>
          <w:lang w:bidi="fa-IR"/>
        </w:rPr>
        <w:t xml:space="preserve">والروايات الواردة في التقية كثيرة تبلغ أكثر من سبعين رواية، ولذا لا يبعد القول بأنها متواترة إجمالاً بحيث تطمئن النفس بصدورها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وبعض هذه الروايات ورد في بيان أصل مشروعية التقية، وبعضها الآخر في بيان الحكم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يستفاد منها المشروعية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في صحيحة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صبروا على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وَيَدْرَءُونَ بِالْحَسَنَةِ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التقية، والسيئة الإذاعة</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ترس الله بينه وبين خلقه</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ماعبد الله بشيء أحب إليه من الخباء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الخباء؟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في كل ضرورة، وصاحبها أعلم بها حين تنزل به</w:t>
      </w:r>
      <w:r>
        <w:rPr>
          <w:rStyle w:val="FootnoteAnchor"/>
          <w:rtl w:val="true"/>
        </w:rPr>
        <w:footnoteReference w:id="14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صحيحة إسماعيل الجعفي ومعمّر بن يحيى بن سالم، ومحمّد بن مسلم، وزرارة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التقية في كل شيء يضطر إليه ابن آدم </w:t>
      </w:r>
    </w:p>
    <w:p>
      <w:pPr>
        <w:pStyle w:val="BookText"/>
        <w:rPr/>
      </w:pPr>
      <w:r>
        <w:rPr>
          <w:rFonts w:ascii="IRNazanin" w:hAnsi="IRNazanin" w:eastAsia="IRNazanin"/>
          <w:color w:val="111111"/>
          <w:sz w:val="28"/>
          <w:sz w:val="28"/>
          <w:szCs w:val="28"/>
          <w:rtl w:val="true"/>
          <w:lang w:bidi="fa-IR"/>
        </w:rPr>
        <w:t>فقد أحلّه الله له</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مروان،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أقرّ لعيني من التقية، إنّ التقيّة جنّة المؤمن</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حبيب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على وجه الأرض شيء أحب إليّ من التقية، يا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كانت له تقية رفعه الله، يا حبيب من لم تكن له تقية وضعه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في هدنة فلو قد كان ذلك كان هذا</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إلى غير ذلك من الروايات الكثيرة الدالة على أنّ التقية أمر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يستفاد منها وجوب التقية فهي أيضاً روايات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على دينكم واحجبوه بالتقية، فإنه لا إيمان لمن لا تقيّة له، إنما أنتم في الناس كالنّحل في الطير، ولو أنّ الطير يعلم ما في أجواف النحل ما بقي منها شيء إلاّ أكلته، ولو أنّ الناس علموا ما في أجوافكم أنكم تحبونا أهل البيت لأكلوكم بألسنتهم ولنحلوكم في السرّ والعلانية، رحم الله عبداً منكم كان على ولايتنا</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هذه الرواية صريحة في الوجوب فإنّها تنفي الإيمان عمّن لا تقية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ومثلها في الدلالة صحيحة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القيام للولاة،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من ديني ودين آبائي، ولا إيمان لمن لا تقيّة له</w:t>
      </w:r>
      <w:r>
        <w:rPr>
          <w:rStyle w:val="FootnoteAnchor"/>
          <w:rtl w:val="true"/>
        </w:rPr>
        <w:footnoteReference w:id="15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صحيحة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bookmarkStart w:id="114" w:name="pg16387_188122"/>
    </w:p>
    <w:p>
      <w:pPr>
        <w:pStyle w:val="BookText"/>
        <w:rPr/>
      </w:pPr>
      <w:bookmarkEnd w:id="1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ترس المؤمن، والتقية حرز المؤمن، ولا إيمان لمن لا تقية له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ومعتبرة أبان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دين لمن لا تقية له، ولا إيمان لمن لا ورع له</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فيمن لا تقية له، ولا إيمان لمن لا تقية له</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وما أورده صاحب السرائر في خاتمة كتابه، نقلاً من كتاب مسائل الرجال ومكاتباتهم مولانا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تارك التقية كتارك الصلاة لكنت صادقاً</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ورواية الحسين بن خالد،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دين لمن لا ورع له، ولا إيمان لمن لا تقية له، وإن أكرمكم عند الله أعملكم بالتقية،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إلى متى؟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قيام القائم، فمن ترك التقية قبل خروج قائمنا فليس منّا</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إلى غير ذلك من الروايات الدالة على وجوب هذا الحكم، بل إنه من أعظم الواجبات، فاتصاف التقية بالوجوب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ذلك فسيأتي بيانه</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6877725_1280447820"/>
      <w:bookmarkStart w:id="116" w:name="_Toc40"/>
      <w:bookmarkEnd w:id="115"/>
      <w:r>
        <w:rPr>
          <w:rtl w:val="true"/>
        </w:rPr>
        <w:t>الدليل الثالث</w:t>
      </w:r>
      <w:r>
        <w:rPr>
          <w:rtl w:val="true"/>
        </w:rPr>
        <w:t xml:space="preserve">: </w:t>
      </w:r>
      <w:r>
        <w:rPr>
          <w:rtl w:val="true"/>
        </w:rPr>
        <w:t>الإجماع منقولاً ومحصّلاً، قولاً وعملاً</w:t>
      </w:r>
      <w:r>
        <w:rPr>
          <w:rtl w:val="true"/>
        </w:rPr>
        <w:t>:</w:t>
      </w:r>
      <w:bookmarkEnd w:id="11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المتسالم عليه عند الفقهاء، أنّ التقية واجبة، بل لا نظن أن أحداً منالفقهاء يخالف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المتيقن به أنها محلّ اتفاق في الجملة لا في كل مسألة مسألة، فلا خلاف فيها بين الفقهاء، بل قد تعدّ من ضروريات المذهب، وقد ذهب بعض العامة إلى القول </w:t>
      </w:r>
      <w:bookmarkStart w:id="117" w:name="pg16387_188123"/>
    </w:p>
    <w:p>
      <w:pPr>
        <w:pStyle w:val="BookText"/>
        <w:rPr/>
      </w:pPr>
      <w:bookmarkEnd w:id="117"/>
      <w:r>
        <w:rPr>
          <w:rFonts w:ascii="IRNazanin" w:hAnsi="IRNazanin" w:eastAsia="IRNazanin"/>
          <w:color w:val="111111"/>
          <w:sz w:val="28"/>
          <w:sz w:val="28"/>
          <w:szCs w:val="28"/>
          <w:rtl w:val="true"/>
          <w:lang w:bidi="fa-IR"/>
        </w:rPr>
        <w:t xml:space="preserve">بوجوبها، كما نسب ذلك إلى الشافعي وغيره، وهكذا سيرة العلماء والمتشرعة على ذلك، وهذه السيرة تنتهي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وإنها ممضاة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وهذا مما لا يعتريه ريب بل تتصل بالأنبياء والأوصياء السابقين قبل الإسلام، كما تقدم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التقية</w:t>
      </w:r>
      <w:r>
        <w:rPr>
          <w:rFonts w:eastAsia="IRNazanin" w:cs="IRNazanin"/>
          <w:color w:val="111111"/>
          <w:sz w:val="28"/>
          <w:szCs w:val="28"/>
          <w:rtl w:val="true"/>
          <w:lang w:bidi="fa-IR"/>
        </w:rPr>
        <w:t>.</w:t>
      </w:r>
    </w:p>
    <w:p>
      <w:pPr>
        <w:pStyle w:val="Heading6"/>
        <w:numPr>
          <w:ilvl w:val="5"/>
          <w:numId w:val="1"/>
        </w:numPr>
        <w:rPr/>
      </w:pPr>
      <w:bookmarkStart w:id="118" w:name="__RefHeading___Toc6877727_1280447820"/>
      <w:bookmarkStart w:id="119" w:name="_Toc41"/>
      <w:bookmarkEnd w:id="118"/>
      <w:r>
        <w:rPr>
          <w:rtl w:val="true"/>
        </w:rPr>
        <w:t>الدليل الرابع</w:t>
      </w:r>
      <w:r>
        <w:rPr>
          <w:rtl w:val="true"/>
        </w:rPr>
        <w:t xml:space="preserve">: </w:t>
      </w:r>
      <w:r>
        <w:rPr>
          <w:rtl w:val="true"/>
        </w:rPr>
        <w:t>العقل</w:t>
      </w:r>
      <w:r>
        <w:rPr>
          <w:rtl w:val="true"/>
        </w:rPr>
        <w:t>:</w:t>
      </w:r>
      <w:bookmarkEnd w:id="119"/>
    </w:p>
    <w:p>
      <w:pPr>
        <w:pStyle w:val="BookText"/>
        <w:rPr/>
      </w:pPr>
      <w:r>
        <w:rPr>
          <w:rFonts w:ascii="Amiri" w:hAnsi="Amiri" w:eastAsia="Amiri" w:cs="Amiri"/>
          <w:color w:val="111111"/>
          <w:sz w:val="28"/>
          <w:sz w:val="28"/>
          <w:szCs w:val="28"/>
          <w:rtl w:val="true"/>
          <w:lang w:bidi="ar-SA"/>
        </w:rPr>
        <w:t>فإنّ التقية موافقة لمقتضى حكم العقل، والاستدلال به على التقية على 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العقل بهذا الحكم،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يرى أن أحكام الدين إنما شرعت لسعادة الإنسان في حياته إلى الأبد، فإذا كانت هذه السعادة وإدامة الأحكام متوقفة على التقية والإخفاء عن الأعداء في فترة من الزمن، فالعقل يستقل بالحكم بحسن التقية تقديماً للأهم على المهم، نظير سكوت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حقه رعاية لبقاء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والشاهد على ذلك سيرة العقلاء في حياتهم العملية، فإنهم في حالات الخوف من الأعداء يخفون عقائدهم ويظهرون الموافقة لخصومهم تحفظاً على أنفسهم، وذلك أمر شايع بيّن، وقد تحدث القرآن عن ذلك في العديد من الآيات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الكهف فإنهم فتية آمنوا بربهم إلاّ أن الخوف على أنفسهم وإيمانهم دفعهم للتقية، فكانوا يشدون الزنانير ويشهدون أعياد الناس، فآتاهم الله أجرهم مرتين كما نطقت بذلك الروايات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تحدث القرآن عن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مارس التقية مع قومه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سقيم، وهكذا بالنسبة إلى موسى الكليم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عاش في بيت فرعون بالتقية إلى أن صار مأموراً بالتبليغ، ومثله يوسف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أصبح خازن </w:t>
      </w:r>
    </w:p>
    <w:p>
      <w:pPr>
        <w:pStyle w:val="BookText"/>
        <w:rPr/>
      </w:pPr>
      <w:r>
        <w:rPr>
          <w:rFonts w:ascii="IRNazanin" w:hAnsi="IRNazanin" w:eastAsia="IRNazanin"/>
          <w:color w:val="111111"/>
          <w:sz w:val="28"/>
          <w:sz w:val="28"/>
          <w:szCs w:val="28"/>
          <w:rtl w:val="true"/>
          <w:lang w:bidi="fa-IR"/>
        </w:rPr>
        <w:t xml:space="preserve">الملك الكافر وقد عاش في تلك الأجواء بالتقية، وكذلك تحدثت السيرة عن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وتمكنه من الدفاع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التقية وقد اشار القرآن الكريم إلى قضية عمار بن ياسر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وغيرهم من الأنبياء والأوصياء والأخيار والعقلاء الذين كانوا يمارسون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الأمر كذلك فلا ندري كيف ساغ للعامة الإنكار على الشيعةلقولهم بالتقية؟ وكيف اجترأوا على الشيعة بالتشنيع لذلك، وهل هذا إلاّ ضلال منهم عن الصراط المستقيم وانحراف عن الحق والهداية، حيث لم يدخلوا البيوت من أبوابها ولم يأخذوا الأحكام من معادنها ولم يتبعوا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 العصمة والطهارة الذين هم أحد الثقلين الذين أمرنا بالتمسك بهم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بالعقل غير المستقل،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الشارع المقدس في أحكامه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الضرر كالقتل والقطع وأمثالهما وبين حكم شرعي بوجوب شيء ما مثلاً فالعقل يحكم بتقديم الضرر على الحكم الشرعي، إذ لا ضرر ولا ضرار في الإسلام، وأحلّ الله ما اضطروا إليه، فتدخل المسألة بهذه المقدمة في الأدلة الحاكمة على الأحكام الأولية وحينئذ يرتفع الحكم الشرعي، وتجب التقية بحكم العقل لا مستقلاًّ بل بمعونة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أيضاً بالقواعد الكلية إذا تحققت صغريات بعض المسائل، كما إذا كان هناك ضرر راجع إلى النفس، أو العرض، أو المال الخطير، فيقدم على الحكم الشرعي، ولابد حينئذ من التقية، وإن كان هذا يرجع إلى النحو الأول كما لا يخفى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ليس في سرد بقيّة أحكام التقية من الحرمة والاستحباب والكراهة </w:t>
      </w:r>
    </w:p>
    <w:p>
      <w:pPr>
        <w:pStyle w:val="BookText"/>
        <w:rPr/>
      </w:pPr>
      <w:r>
        <w:rPr>
          <w:rFonts w:ascii="IRNazanin" w:hAnsi="IRNazanin" w:eastAsia="IRNazanin"/>
          <w:color w:val="111111"/>
          <w:sz w:val="28"/>
          <w:sz w:val="28"/>
          <w:szCs w:val="28"/>
          <w:rtl w:val="true"/>
          <w:lang w:bidi="fa-IR"/>
        </w:rPr>
        <w:t xml:space="preserve">والإباحة كثير فائدة، ولهذا نقتصر على الحكم الأول وهو الوجوب، وقد نتعرض لبعض هذه الأحكام تبعاً، ونعطف الكلام على ذكر ما هو المهم في المقام، وهو البحث حول موارد التقية المشهورة الواردة في الروايات في جميع أبواب الفقه كما ذكرنا آنفاً، والتحقيق في كل مورد بخصوصه بحسب ما تقتضيه طبيعة المورد نظراً لأهمية التقية في مجال التشريع ولعموم الابتلاء بمواردها واستمراره في مجالي العمل والتطبيق، فقد ورد في الاحتجاج عن أبي محمّد الحسن بن علي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حديث 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جماعة من الشيعة وحجبهم،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الجفاء العظيم، والاستخفاف بعد الحجاب الصعب؟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لدعواكم أنكم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وأنتم في أكثر أعمالكم مخالفون ومقصرون في كثير من الفرائض، وتتهاونون بعظيم حقوق إخوانكم في الله، وتتقون حيث لا تجب التقية، وتتركون التقية حيث لابدمن التقية</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وغيرها من الروايات الواردة في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تشخيص مواردها وبيان الوظيفة العملية فيها وكيفية التعامل معها في جهتي الموافقة والمخالفة من الأهمية بمكان، ولم نقف إلى الآن على كتاب جامع يخدم هذا الغرض وإن كان علماؤنا رضوان الله تعالى عليهم بحثوا موضوع التقية ووضعوا فيها كتباً ورسائل إلاّ أنها تناولت كليات مسائلها وبعضاً من مواردها، ولذلك انعقد العزم بتوفيق الله على التعرّض لموارد التقية المشهورة في جميع أبواب الفقه والتي صارت مورداً للبحث والكلام أو وردت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أولاً الإشارة إلى العناوين التي تنطبق عليها التقية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المستثناة التي لا يجوز فيها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بالنسبة للأمر الأول فقد أحصينا العناوين التي تتعلق بها التقية ووردت في الآيات والروايات فوجدناها تبلغ إلى أكثر من أربعين مورداً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أصول الدين وتتضمّن المباحث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الكفر أو إنكار أحد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 أحد الأنبياء 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فروع الدين وهي تارة تلاحظ بالإضافة إلى الكفار فقط وأخرى على نحو أعم، أما الأول فيتضمن المباحث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مودتهم واتخاذهم 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الابتداء بالتسليم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الحكم بطهارتهم أو نجاستهم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جواز إطعامهم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دخولهم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إلحاق أهل الكتاب والمخالفين بالكفار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بيع المصحف وما في حكمه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طعامهم وذبائحهم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مناكحتهم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آثار الحكم التكليفي والوضعي في حال التقية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تارة يكون في أمر غير مشروط بقصد القربة، وأخرى يكون في أمر مشروط بها، وثالثة في العقود والمعاملات، ورابعة في الإيقاعات، وخامسة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فيتضمن المباحث التالية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في كتمان الدين والولاية، والحديث عن الكفار والمخالفين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في تسمية الحجة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حكم الجمع بين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وكنيته في المولود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فهو يشمل المباحث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الوضوء وتتناول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غسل الوجه واليدين مرة أو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غسلهما من الأعلى أو من الأسفل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مسح الرأس كلاًّ أو بعضاً مع الأذنين أو بدونهما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مسح الرأس والرجلين بماء الوضوء أو بماء مستأنف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جواز المسح على الخفين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الوقت وتتناول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صلاة المغرب والإفطار من الصوم هل هو ذهاب الحمرة المشرقية أو سقوط قرص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الصلاة قبل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الصلاة وتتناول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الاقتداء والائتمام بالمخالف تقية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الاقتداء بسائر فرق الشيعة من غير الإمامية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الاقتداء بالموافق تقية مع عدم إحراز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الجهر بالبسملة وإخفائها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التأمين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التكفير في الصلاة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السجود على الأرض أو ما أنبتت من غير المأكول والملبوس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الصوم وتتناول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الإفطار في حال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وجوب القضاء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الحج وتتناول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التظليل حال الإحرام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الوقوف بعرفات والمشعر ومنى في 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الزكاة وتتناول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المستحق للزكاة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إعطاء الزكاة للمخالف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الجهاد وتتناول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أقسام 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اشتراط الجهاد الابتدائي بإذن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التحقيق حول الجهاد الابتدائي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التهمة بأن الإسلام دين الدم والسيف والجواب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فيتضمّن المباحث</w:t>
      </w:r>
    </w:p>
    <w:p>
      <w:pPr>
        <w:pStyle w:val="BookText"/>
        <w:rPr/>
      </w:pPr>
      <w:r>
        <w:rPr>
          <w:rFonts w:ascii="Amiri" w:hAnsi="Amiri" w:eastAsia="Amiri" w:cs="Amiri"/>
          <w:color w:val="111111"/>
          <w:sz w:val="28"/>
          <w:sz w:val="28"/>
          <w:szCs w:val="28"/>
          <w:rtl w:val="true"/>
          <w:lang w:bidi="ar-SA"/>
        </w:rPr>
        <w:t>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مع السلطان الجائر وتتناول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معاونة السلطان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قبول الولاية من قبل السلطان الجائر في القضاء والفتوى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قبول الولاية من قبله في السياسة وتدبير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التقية في الإضرار بالناس والتفصيل في أقسام الإضرار بالغير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جوائز السلطان وأقسامها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أموال السلطان بالنسبة إلى الورثة والمستحقين والحاكم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حدودها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الغناء ويتناول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الغناء وحدوده وحكمه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الآلات والأفعال اللهوية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الموارد المستثناة من الغناء والتحقيق حولها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الغناء 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النكاح ويتناول مناكحة أهل الكتاب والمخالفين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فهو يتضمن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في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الخامس فيتضمن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للأمر الثاني وهو الموارد التي لا يجوز فيها التقية فهي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في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في ما يوجب الفساد في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التقية في البراءة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في متعة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في المسح على الخفين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في شرب النبيذ</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الضابط في دخول المورد في التقية هو كل ما يكون الحكم الإلزامي فيه الثابت عند المخالف إجماعاً أو شهرة على خلاف ما هو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يمكن التقصي عنه أو علاجه إلاّ بالتقية، وأما الضابط في الموارد المستثناة فهو كل ما ثبت فيه الحكم الإلزامي ولم يرخص الشارع بمخالفته إلى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حول هذه الموارد من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حول الحكم الواقعي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الحكم الثانوي وهو العمل على طبق ما تقتضيه التقية، والآثار المترتبة عليها تكليفاً ووضعاً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حول ما إذا خالف المكلف وظيفته الفعلية وأتى بالواقع بدلاً من العمل على طبق التقية وبيان ما يترتب عليه من جرّاء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نلفت إليه أننا لن نتقيد بحرفية هذا الترتيب فقد تقتضي المناسبة تقديم بعض الموارد وتأخير بعضها عن مواقعها من هذا الترتيب، نعم نلتزم بالترتيب العام بجعل كل مورد في موقعه كما هو الحال في ترتيب أبواب الفقه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تفصيل الموارد والتحقيق حولها يتم في عدة فصول</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6387_188132"/>
      <w:bookmarkStart w:id="121" w:name="pg16387_188132"/>
      <w:bookmarkEnd w:id="121"/>
    </w:p>
    <w:p>
      <w:pPr>
        <w:pStyle w:val="Heading2"/>
        <w:numPr>
          <w:ilvl w:val="1"/>
          <w:numId w:val="1"/>
        </w:numPr>
        <w:rPr/>
      </w:pPr>
      <w:bookmarkStart w:id="122" w:name="pg16387_188132"/>
      <w:bookmarkStart w:id="123" w:name="__RefHeading___Toc6877729_1280447820"/>
      <w:bookmarkStart w:id="124" w:name="_Toc42"/>
      <w:bookmarkEnd w:id="122"/>
      <w:bookmarkEnd w:id="123"/>
      <w:r>
        <w:rPr>
          <w:rtl w:val="true"/>
        </w:rPr>
        <w:t>الفصل الأول</w:t>
      </w:r>
      <w:r>
        <w:rPr>
          <w:rtl w:val="true"/>
        </w:rPr>
        <w:t xml:space="preserve">: </w:t>
      </w:r>
      <w:r>
        <w:rPr>
          <w:rtl w:val="true"/>
        </w:rPr>
        <w:t>التقية في أصول الدين</w:t>
      </w:r>
      <w:bookmarkEnd w:id="124"/>
    </w:p>
    <w:p>
      <w:pPr>
        <w:pStyle w:val="Heading3"/>
        <w:numPr>
          <w:ilvl w:val="2"/>
          <w:numId w:val="1"/>
        </w:numPr>
        <w:rPr/>
      </w:pPr>
      <w:bookmarkStart w:id="125" w:name="__RefHeading___Toc6877731_1280447820"/>
      <w:bookmarkStart w:id="126" w:name="_Toc43"/>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إمكان التقية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البراءة والسب والفرق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تجوز التقية في البراءة أو لا؟</w:t>
      </w:r>
    </w:p>
    <w:p>
      <w:pPr>
        <w:pStyle w:val="BookText"/>
        <w:rPr/>
      </w:pPr>
      <w:r>
        <w:rPr>
          <w:rFonts w:ascii="Amiri" w:hAnsi="Amiri" w:eastAsia="Amiri" w:cs="Amiri"/>
          <w:color w:val="111111"/>
          <w:sz w:val="28"/>
          <w:sz w:val="28"/>
          <w:szCs w:val="28"/>
          <w:rtl w:val="true"/>
          <w:lang w:bidi="ar-SA"/>
        </w:rPr>
        <w:t>الجمع بين الروايات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الوجوه التي من أجلها لم يبرأ أصحاب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6387_188134"/>
      <w:bookmarkStart w:id="128" w:name="pg16387_188134"/>
      <w:bookmarkEnd w:id="128"/>
    </w:p>
    <w:p>
      <w:pPr>
        <w:pStyle w:val="BookText"/>
        <w:rPr/>
      </w:pPr>
      <w:bookmarkStart w:id="129" w:name="pg16387_188134"/>
      <w:bookmarkEnd w:id="129"/>
      <w:r>
        <w:rPr>
          <w:rFonts w:ascii="Amiri" w:hAnsi="Amiri" w:eastAsia="Amiri" w:cs="Amiri"/>
          <w:color w:val="111111"/>
          <w:sz w:val="28"/>
          <w:sz w:val="28"/>
          <w:szCs w:val="28"/>
          <w:rtl w:val="true"/>
          <w:lang w:bidi="ar-SA"/>
        </w:rPr>
        <w:t>التقية</w:t>
      </w:r>
    </w:p>
    <w:p>
      <w:pPr>
        <w:pStyle w:val="BookText"/>
        <w:rPr/>
      </w:pPr>
      <w:r>
        <w:rPr>
          <w:rFonts w:ascii="Amiri" w:hAnsi="Amiri" w:eastAsia="Amiri" w:cs="Amiri"/>
          <w:color w:val="111111"/>
          <w:sz w:val="28"/>
          <w:sz w:val="28"/>
          <w:szCs w:val="28"/>
          <w:rtl w:val="true"/>
          <w:lang w:bidi="ar-SA"/>
        </w:rPr>
        <w:t>في أصول الدين</w:t>
      </w:r>
    </w:p>
    <w:p>
      <w:pPr>
        <w:pStyle w:val="BookText"/>
        <w:rPr/>
      </w:pPr>
      <w:r>
        <w:rPr>
          <w:rFonts w:ascii="Amiri" w:hAnsi="Amiri" w:eastAsia="Amiri" w:cs="Amiri"/>
          <w:color w:val="111111"/>
          <w:sz w:val="28"/>
          <w:sz w:val="28"/>
          <w:szCs w:val="28"/>
          <w:rtl w:val="true"/>
          <w:lang w:bidi="ar-SA"/>
        </w:rPr>
        <w:t>وهي تشمل أموراً ثلاثة</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6877733_1280447820"/>
      <w:bookmarkStart w:id="131" w:name="_Toc44"/>
      <w:bookmarkEnd w:id="130"/>
      <w:r>
        <w:rPr>
          <w:rtl w:val="true"/>
        </w:rPr>
        <w:t>المقام الاول</w:t>
      </w:r>
      <w:r>
        <w:rPr>
          <w:rtl w:val="true"/>
        </w:rPr>
        <w:t xml:space="preserve">: </w:t>
      </w:r>
      <w:r>
        <w:rPr>
          <w:rtl w:val="true"/>
        </w:rPr>
        <w:t>في الأدلة علی القول بالجواز</w:t>
      </w:r>
      <w:bookmarkEnd w:id="13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الكفر أو إنكار أحد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أحد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قيل بجواز التقية في جميع هذه الأمور، ويقع الكلام فيها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 بالآيات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وقد وردت هذه الآية في قضية عمار بن ياسر كما ذكرنا سابقاً ، وغيرها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جملة منها في ادلة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طائفتين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العامّة، وهي متعددة، واشتملت على الصحاح، </w:t>
      </w:r>
    </w:p>
    <w:p>
      <w:pPr>
        <w:pStyle w:val="BookText"/>
        <w:rPr/>
      </w:pPr>
      <w:r>
        <w:rPr>
          <w:rFonts w:ascii="Amiri" w:hAnsi="Amiri" w:eastAsia="Amiri" w:cs="Amiri"/>
          <w:color w:val="111111"/>
          <w:sz w:val="28"/>
          <w:sz w:val="28"/>
          <w:szCs w:val="28"/>
          <w:rtl w:val="true"/>
          <w:lang w:bidi="ar-SA"/>
        </w:rPr>
        <w:t>وحاصلها أنّ التقية في كل ضرورة، ومن جملة الضرورات التقية في أصول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الخاصة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يحيى بن سالم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في كل ضرورة </w:t>
      </w:r>
      <w:r>
        <w:rPr>
          <w:rStyle w:val="FootnoteAnchor"/>
          <w:rtl w:val="true"/>
        </w:rPr>
        <w:footnoteReference w:id="165"/>
      </w:r>
      <w:r>
        <w:rPr>
          <w:rFonts w:ascii="IRNazanin" w:hAnsi="IRNazanin" w:eastAsia="IRNazanin"/>
          <w:color w:val="111111"/>
          <w:sz w:val="28"/>
          <w:sz w:val="28"/>
          <w:szCs w:val="28"/>
          <w:rtl w:val="true"/>
          <w:lang w:bidi="fa-IR"/>
        </w:rPr>
        <w:t xml:space="preserve">، وهذه الروايةوإن كان في سندها معمّر أو عمر وهما محل كلام إلاّ أن البرقي يرويها في المحاسن بسند صحيح عن الحارث بن المغيرة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ومنها صحيحة إسماعيل الجعفي، ومعمر بن يحيى بن سالم، ومحمّد بن مسلم، وزرارة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في كل شيء يضطر إليه ابن آدم فقد أحله الله له</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ومنها 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في كل ضرورة، وصاحبها أعلم بها حين تنزل به</w:t>
      </w:r>
      <w:r>
        <w:rPr>
          <w:rStyle w:val="FootnoteAnchor"/>
          <w:rtl w:val="true"/>
        </w:rPr>
        <w:footnoteReference w:id="16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وسئل عن إيمان من يلزمنا حقه وأخوته، كيف هو؟ وبما يثبت؟ وبما يبطل؟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الإيمان قد يتخذ على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أحدهما فهو الذي يظهر لك من صاحبك، فإذا ظهر لك مثل الذي تقول به أنت حقت ولايته وأخوته، إلاّ أن يجيء منه نقض للذي وصف من نفسه وأظهره لك فإن جاء منه ما تستدل به على نقض الذي أظهر لك خرج عندك مما وصف لك وأظهر وكان لما أظهر لك ناقضاً، إلاّ أن يدعي أنّه إنما عمل ذلك تقية، ومع ذلك ينظر فيه، فإن كان ليس مما يمكن أن تكون التقية في مثله، لم يقبل منه ذلك، لأنّ للتقية مواضع من أزالها عن مواضعها لم تستقم له، </w:t>
      </w:r>
    </w:p>
    <w:p>
      <w:pPr>
        <w:pStyle w:val="BookText"/>
        <w:rPr/>
      </w:pPr>
      <w:r>
        <w:rPr>
          <w:rFonts w:ascii="Amiri" w:hAnsi="Amiri" w:eastAsia="Amiri" w:cs="Amiri"/>
          <w:color w:val="111111"/>
          <w:sz w:val="28"/>
          <w:sz w:val="28"/>
          <w:szCs w:val="28"/>
          <w:rtl w:val="true"/>
          <w:lang w:bidi="ar-SA"/>
        </w:rPr>
        <w:t xml:space="preserve">وتفسير ما يتقى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سوء ظاهر حكمهم وفعلهم على غير حكم الحق وفعله، فكل شيء يعمل المؤمن بينهم لمكان التقية بما لا يؤدي إلى الفساد في الدين فإنه جائز</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أبي طالب مثل أصحاب الكهف، أسروا الإيمان وأظهروا الشرك فآتاهم الله أجرهم مرتين</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أخرى لمسعدة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يروون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منبر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ستدعونإلى سبّي فسبوني، ثمّ تدعون إلى البراءة مني فلا تبرؤا 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أكثر ما يكذب الناس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إنكم ستدعون إلى سبّي فسبوني، ثمّ تدعون إلى البراءة مني وإني لعلى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ولا تبرؤا مني، فقال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اختار القتل دون البراءة؟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ذلك عليه، وما له إلاّ ما مضى عليه عمار بن ياسر، حيث أكرهه أهل مكة وقلبه مطمئن بالإيمان فأنزل الله عزوجل فيه إلاّ من أكره وقلبه مطمئن بالإيمان،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إن عادوا فعد فقد أنزل الله عذرك وأمرك أن تعود إن عادوا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علم أنّ هذه الآية نزلت في عمار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وهذه الرواية وإن كان في سندها محمّد بن مروان وهو مشترك بين جماعة إلاّ أن الظاهر أن المراد به عند إطلاقه هو محمّد بن مروان </w:t>
      </w:r>
    </w:p>
    <w:p>
      <w:pPr>
        <w:pStyle w:val="BookText"/>
        <w:rPr/>
      </w:pPr>
      <w:r>
        <w:rPr>
          <w:rFonts w:ascii="IRNazanin" w:hAnsi="IRNazanin" w:eastAsia="IRNazanin"/>
          <w:color w:val="111111"/>
          <w:sz w:val="28"/>
          <w:sz w:val="28"/>
          <w:szCs w:val="28"/>
          <w:rtl w:val="true"/>
          <w:lang w:bidi="fa-IR"/>
        </w:rPr>
        <w:t xml:space="preserve">الذهلي وأما الحناط فهو قليل الحديث، وأما البصري فقد حدث عنه أسيد بن زيد، وأما الأنباري فهو متأخر من حيث الطبقة وقد روى عنه محمّد بن أحمد بن يحيى الأشعري فالظاهر انحصار الراوي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محمّد بن مروان الذهلي، وهو المعروف وإن له كتاباً وما عداه فليس بمعروف وهو وإن لم يوثق صراحة إلاّ أن المشايخ الثقات قد رووا عنه فيحكم بوثاقته واعتبار روايته</w:t>
      </w:r>
      <w:r>
        <w:rPr>
          <w:rStyle w:val="FootnoteAnchor"/>
          <w:rtl w:val="true"/>
        </w:rPr>
        <w:footnoteReference w:id="173"/>
      </w:r>
      <w:r>
        <w:rPr>
          <w:rFonts w:ascii="Amiri" w:hAnsi="Amiri" w:eastAsia="Amiri" w:cs="Amiri"/>
          <w:color w:val="111111"/>
          <w:sz w:val="28"/>
          <w:sz w:val="28"/>
          <w:szCs w:val="28"/>
          <w:rtl w:val="true"/>
          <w:lang w:bidi="ar-SA"/>
        </w:rPr>
        <w:t>، وسيأتي له ذكر أيضاً عما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عجلان،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الضحاك قد ظهر بالكوفة ويوشك أن تدعى إلى البراءة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فابرأ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 أحب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تمضوا على ما مضى عليه عمّار بن ياسر أخذ بمكة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ابرأ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فبرأ منه، فأنزل الله عزوجل 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أُكْرِهَ وَقَلْبُهُ مُطْمَئِنٌّ بِالإِيمَانِ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هذه الروايات صريح الدلالة في جواز السب تقية، كما أنبعضها شامل للبراءة، إلاّ أن في البراءة كلاماً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يمكن عدّها طائفة ثالثة مؤيدة لما تقدم،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رواية عبد الله بن يحيى،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ذكر أصحاب الكهف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كلّفكم قومكم ما كلفهم قومهم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كلفهم قومهم؟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كلفوهم الشرك بالله العظيم فأظهروا لهم الشرك وأسرّوا الإيمان حتى جاءهم الفرج</w:t>
      </w:r>
      <w:r>
        <w:rPr>
          <w:rStyle w:val="FootnoteAnchor"/>
          <w:rtl w:val="true"/>
        </w:rPr>
        <w:footnoteReference w:id="17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درست،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بلغت تقية أحد ما بلغت تقية أصحاب الكهف ، إنهم كانوا يشدون الزنانير، ويشهدون الأعياد، </w:t>
      </w:r>
      <w:bookmarkStart w:id="132" w:name="pg16387_188138"/>
    </w:p>
    <w:p>
      <w:pPr>
        <w:pStyle w:val="BookText"/>
        <w:rPr/>
      </w:pPr>
      <w:bookmarkEnd w:id="132"/>
      <w:r>
        <w:rPr>
          <w:rFonts w:ascii="Amiri" w:hAnsi="Amiri" w:eastAsia="Amiri" w:cs="Amiri"/>
          <w:color w:val="111111"/>
          <w:sz w:val="28"/>
          <w:sz w:val="28"/>
          <w:szCs w:val="28"/>
          <w:rtl w:val="true"/>
          <w:lang w:bidi="ar-SA"/>
        </w:rPr>
        <w:t>فآتاهم الله أجرهم مرتين</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الكاهلي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الكهف أسرّوا الإيمان وأظهروا الكفر، وكانوا على إجهار الكفر أعظم أجراً منهم على إسرار الإيمان</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الرحمن بن كثير،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الكهف أسروا الإيمان وأظهروا الشرك ، فآتاهم الله أجرهم مرتين، وأن أبا طالب أسر الإيمان وأظهر الشرك، فآتاه الله أجره مرتين، وما خرج من الدنيا حتى أتته البشارة من الله بالجنة</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وهناك روايات أخرى لا يخرج مفادها عما يستفاد من الروايات المتقدمة من جواز التقية في أصول الدين، وهكذا بالنسبة إلى سبّ أحد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133" w:name="__RefHeading___Toc6877735_1280447820"/>
      <w:bookmarkStart w:id="134" w:name="_Toc45"/>
      <w:bookmarkEnd w:id="133"/>
      <w:r>
        <w:rPr>
          <w:rtl w:val="true"/>
        </w:rPr>
        <w:t>المقام الثاني</w:t>
      </w:r>
      <w:r>
        <w:rPr>
          <w:rtl w:val="true"/>
        </w:rPr>
        <w:t xml:space="preserve">: </w:t>
      </w:r>
      <w:r>
        <w:rPr>
          <w:rtl w:val="true"/>
        </w:rPr>
        <w:t>في حكم التقية في أصول الدين</w:t>
      </w:r>
      <w:r>
        <w:rPr>
          <w:rtl w:val="true"/>
        </w:rPr>
        <w:t>:</w:t>
      </w:r>
      <w:bookmarkEnd w:id="134"/>
    </w:p>
    <w:p>
      <w:pPr>
        <w:pStyle w:val="BookText"/>
        <w:rPr/>
      </w:pPr>
      <w:r>
        <w:rPr>
          <w:rFonts w:ascii="Amiri" w:hAnsi="Amiri" w:eastAsia="Amiri" w:cs="Amiri"/>
          <w:color w:val="111111"/>
          <w:sz w:val="28"/>
          <w:sz w:val="28"/>
          <w:szCs w:val="28"/>
          <w:rtl w:val="true"/>
          <w:lang w:bidi="ar-SA"/>
        </w:rPr>
        <w:t>وفيه 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الدين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إلى أصول الدين من التوحيد والنبوة والإمامة والمعاد، فيحتمل القول بالجواز كما يحتمل القول بالوجوب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الجواز فلأن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كانت واردة في قضية الإيمان وإخفائه وإظهار الكفر وإبرازه، إلاّ أنها لا تشتمل على الأمر بالتقية، نعم فيها أن المقام خارج عن غضب الله وعقابه، وإنما يتوجّه العقاب لمن شرح صدره بالكفر كما هو صريح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الحال بالنسبة للروايات الواردة في ذيل هذه الآية، فإنها وردت في عمار وقضيته مع أهل مكة، وأصحاب الكهف وقومهم، وأبي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ورد أن هؤلاء يعطون الأجر مرتين أجر الإيمان وأجر الإخفاء، ولم يرد في هذه الروايات أمر بالإخفاء، فيمكن حمل ذلك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بالوجوب فذلك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العامة التي دلّت على أن التقية في كل ضرورة، ومنها أصول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في ذيل موثقة مسعدة بن صدقة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عادوا فعد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أمرك أن تعود الحديث</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إلاّ أنّه يمكن الجواب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فبأنها في مقام بيان أصل المشروعية والجواز، وأما عن الثاني فبأن مقتضى الجمع بينها وبين ما تقدم هو الرجحان، مضافاً إلى ما في الرواية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أنزل الله عذرك، وأمرك أن تعود، فوجود الأمر هنا بعد قبول العذر نظير الأمر بعد الحظر وليس في ذلك دلالة على الوجوب، مضافاً إلى أنّه قد ورد المدح في كثير ممّن لم يتق كما في آسية بنت مزاحم، فإنها عذبت من أجل أن تعلن الكفر فأبت ولم تعلنه حتى استشهدت وورد فيها من الفضائل والمناقب الشيء الكثير</w:t>
      </w:r>
      <w:r>
        <w:rPr>
          <w:rStyle w:val="FootnoteAnchor"/>
          <w:rtl w:val="true"/>
        </w:rPr>
        <w:footnoteReference w:id="18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جميع الآيات والروايات الواردة في المقام أن </w:t>
      </w:r>
      <w:bookmarkStart w:id="135" w:name="pg16387_188140"/>
    </w:p>
    <w:p>
      <w:pPr>
        <w:pStyle w:val="BookText"/>
        <w:rPr/>
      </w:pPr>
      <w:bookmarkEnd w:id="135"/>
      <w:r>
        <w:rPr>
          <w:rFonts w:ascii="IRNazanin" w:hAnsi="IRNazanin" w:eastAsia="IRNazanin"/>
          <w:color w:val="111111"/>
          <w:sz w:val="28"/>
          <w:sz w:val="28"/>
          <w:szCs w:val="28"/>
          <w:rtl w:val="true"/>
          <w:lang w:bidi="fa-IR"/>
        </w:rPr>
        <w:t xml:space="preserve">التقية ليست بواجبة، نعم ربما تكون راجحة في بعض الموارد، كمافي أصحاب الكهف وعمار وغيرهم، فإنه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استحسانهم فعل عمار بن ياسر كما ورد أن التقية رخصة وهي أحب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والأخذ بالرخصة أمر راجح في نفسه، فيمكن حمل ذلك على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إلى الجهة الثانية وهي سب الأنبياء 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فمقتضى الأدلة أن التقية فيها واجبة، فإنه لم يرد دليل على الجواز كما في الجهة الأولى، فإن من وقع بين الأعداء وطلب منه أن يسب نبياً أو إماماً فبمقتضى ما مر من الروايات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من لا تقية له لا دين له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والروايات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يأتي في البراءة فإنه قد أمر فيها بالسب عند الاضطرار وخوف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يجب عليه أن يعلن السب بلسانه تقية منهم وحفاظاً على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حكم من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إلاّ أن هذا الحكم في غير التقية وسيأتي الكلام عنه في موضعه إن شاء الله، وأما بالنسبة إلى مورد التقية فهي واجبة</w:t>
      </w:r>
      <w:r>
        <w:rPr>
          <w:rFonts w:eastAsia="IRNazanin" w:cs="IRNazanin"/>
          <w:color w:val="111111"/>
          <w:sz w:val="28"/>
          <w:szCs w:val="28"/>
          <w:rtl w:val="true"/>
          <w:lang w:bidi="fa-IR"/>
        </w:rPr>
        <w:t>.</w:t>
      </w:r>
    </w:p>
    <w:p>
      <w:pPr>
        <w:pStyle w:val="Heading3"/>
        <w:numPr>
          <w:ilvl w:val="2"/>
          <w:numId w:val="1"/>
        </w:numPr>
        <w:rPr/>
      </w:pPr>
      <w:bookmarkStart w:id="136" w:name="__RefHeading___Toc6877737_1280447820"/>
      <w:bookmarkStart w:id="137" w:name="_Toc46"/>
      <w:bookmarkEnd w:id="136"/>
      <w:r>
        <w:rPr>
          <w:rtl w:val="true"/>
        </w:rPr>
        <w:t>المقام الثالث في البراءة</w:t>
      </w:r>
      <w:r>
        <w:rPr>
          <w:rtl w:val="true"/>
        </w:rPr>
        <w:t>:</w:t>
      </w:r>
      <w:bookmarkEnd w:id="137"/>
    </w:p>
    <w:p>
      <w:pPr>
        <w:pStyle w:val="BookText"/>
        <w:rPr/>
      </w:pPr>
      <w:r>
        <w:rPr>
          <w:rFonts w:ascii="Amiri" w:hAnsi="Amiri" w:eastAsia="Amiri" w:cs="Amiri"/>
          <w:color w:val="111111"/>
          <w:sz w:val="28"/>
          <w:sz w:val="28"/>
          <w:szCs w:val="28"/>
          <w:rtl w:val="true"/>
          <w:lang w:bidi="ar-SA"/>
        </w:rPr>
        <w:t>والمسألة محل خلاف لاختلاف النصوص الواردة فيها، ويمكن تقسيمها على نحو الإجمال إلى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منها وجوب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منها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منها التخيير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مجموع الروايات أرجحية التقية من عدمها، </w:t>
      </w:r>
    </w:p>
    <w:p>
      <w:pPr>
        <w:pStyle w:val="BookText"/>
        <w:rPr/>
      </w:pPr>
      <w:r>
        <w:rPr>
          <w:rFonts w:ascii="Amiri" w:hAnsi="Amiri" w:eastAsia="Amiri" w:cs="Amiri"/>
          <w:color w:val="111111"/>
          <w:sz w:val="28"/>
          <w:sz w:val="28"/>
          <w:szCs w:val="28"/>
          <w:rtl w:val="true"/>
          <w:lang w:bidi="ar-SA"/>
        </w:rPr>
        <w:t>ومال إليه الشيخ الأنصاري</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إلاّ أنّ بعضهم استفاد العكس، ومال إليه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يذهب إلى القول بالتساوي أو أرجحية عدم التقية</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ولتحقيق الأمر لابد أولاً أن نذكر الروايات الواردة في المقام، ومن ثمّ ملاحظة ما قيل أو ينبغي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فقد جاءت على طوائف ثلاث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الروايات التي يستفاد منها وجوب التقية، وهي عدة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الروايات العامة من أن التقية في كلضرورة، وهي شاملة لهذا المورد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مسعدة بن صدقة، وقد تقدم ذكرها أيضاً، وهي عن علي بن إبراهيم،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يروون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منبر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ستدعون إلى سبّي فسبّوني، ثمّ تدعون إلى البراءة مني فلا تبرؤا 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أكثر ما يكذب الناس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ستدعون إلى سبّي فسبّوني، ثمّ تدعون إلى البراءة مني وإني لعلى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 ولا تبرؤا مني فقال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اختار القتل دون البراءة؟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ذلك عليه وما له إلاّ ما مضى عليه عمار بن ياسر، حيث أكرهه أهل مكة وقلبه مطمئن بالإيمان، فأنزل الله عزوجل فيه إلاّ من أكره وقلبه مطمئن بالإيمان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إن عادوا فعد فقد أنزل الله عذرك وأمرك أن تعود إن عادوا</w:t>
      </w:r>
      <w:r>
        <w:rPr>
          <w:rStyle w:val="FootnoteAnchor"/>
          <w:rtl w:val="true"/>
        </w:rPr>
        <w:footnoteReference w:id="18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معتبرة سنداً فإن مسعدة بن صدقة ثقة، لوقوعه في أسناد تفسير </w:t>
      </w:r>
    </w:p>
    <w:p>
      <w:pPr>
        <w:pStyle w:val="BookText"/>
        <w:rPr/>
      </w:pPr>
      <w:r>
        <w:rPr>
          <w:rFonts w:ascii="Amiri" w:hAnsi="Amiri" w:eastAsia="Amiri" w:cs="Amiri"/>
          <w:color w:val="111111"/>
          <w:sz w:val="28"/>
          <w:sz w:val="28"/>
          <w:szCs w:val="28"/>
          <w:rtl w:val="true"/>
          <w:lang w:bidi="ar-SA"/>
        </w:rPr>
        <w:t>علي بن إبراهيم القمي</w:t>
      </w:r>
      <w:r>
        <w:rPr>
          <w:rStyle w:val="FootnoteAnchor"/>
          <w:rtl w:val="true"/>
        </w:rPr>
        <w:footnoteReference w:id="185"/>
      </w:r>
      <w:r>
        <w:rPr>
          <w:rFonts w:ascii="IRNazanin" w:hAnsi="IRNazanin" w:eastAsia="IRNazanin"/>
          <w:color w:val="111111"/>
          <w:sz w:val="28"/>
          <w:sz w:val="28"/>
          <w:szCs w:val="28"/>
          <w:rtl w:val="true"/>
          <w:lang w:bidi="fa-IR"/>
        </w:rPr>
        <w:t xml:space="preserve">، كما أنها واضحة دلالة، وأنه لابد من التقية،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ذلك عليه وما له إلاّ ما مضى عليه عمار بن ياسر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علم أن هذه الآية نزلت في عمار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هذه الرواية أن ميثم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عليه أن يتقي، وكلام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مورد التعجّب من فعل ميثم، مع أنّه يعلم أن الآية نزلت في عمار وأصحابه، ففيها دلالة على لزوم التقية، إما على نحو الوجوب أو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الروايات التي يستفاد منها أن البراءة ليست من موارد التقية وهي أيضاً عدة روايات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رواية الحسن بن محمّد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محمّد بن محمّد بن عمر الجعابي، عن أحمد بن محمّد بن سعيد، عن يحيى بن زكريا بنشيبان، عن بكر بن مسلم، عن محمّد بن ميمون،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ستدعون إلى سبّي فسبّوني، وتدعون إلى البراءة فمدوا الرقاب، فإني على الفطرة</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والرواية من حيث الدلالة واضحة، إلاّ أن سندها ضعيف فإن بكر بن مسلم ومحمّد بن ميمون لم يرد فيهما توثيق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الشيخ أيضاً، عن أبيه، عن هلال بن محمّد الحفار، عن إسماعيل بن علي الدعبلي، عن علي بن علي، أخي دعبل بن علي الخزاعي، عن </w:t>
      </w:r>
    </w:p>
    <w:p>
      <w:pPr>
        <w:pStyle w:val="BookText"/>
        <w:rPr/>
      </w:pPr>
      <w:r>
        <w:rPr>
          <w:rFonts w:ascii="IRNazanin" w:hAnsi="IRNazanin" w:eastAsia="IRNazanin"/>
          <w:color w:val="111111"/>
          <w:sz w:val="28"/>
          <w:sz w:val="28"/>
          <w:szCs w:val="28"/>
          <w:rtl w:val="true"/>
          <w:lang w:bidi="fa-IR"/>
        </w:rPr>
        <w:t xml:space="preserve">علي بن موسى الرضا، عن أبيه، 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ستعرضون على سبّي، فإن خفتم على أنفسكم فسبّوني، ألا وإنكم ستعرضون على البراءة مني فلا تفعلوا فإني على الفطرة</w:t>
      </w:r>
      <w:r>
        <w:rPr>
          <w:rStyle w:val="FootnoteAnchor"/>
          <w:rtl w:val="true"/>
        </w:rPr>
        <w:footnoteReference w:id="188"/>
      </w:r>
      <w:r>
        <w:rPr>
          <w:rFonts w:ascii="Amiri" w:hAnsi="Amiri" w:eastAsia="Amiri" w:cs="Amiri"/>
          <w:color w:val="111111"/>
          <w:sz w:val="28"/>
          <w:sz w:val="28"/>
          <w:szCs w:val="28"/>
          <w:rtl w:val="true"/>
          <w:lang w:bidi="ar-SA"/>
        </w:rPr>
        <w:t>والرواية كسابقتها، فهي وإن كانت تامة الدلالة إلاّ أن في سندها ضعفاً، فإن إسماعيل بن علي لم يرد فيه توثيق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نهج البلاغة،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سيظهر عليكم بعدي رجل رحب البلعوم، مندحق البطن، يأكل ما يجد، ويطلب ما لا يجد فاقتلوه، ولن تقتلوه ألا وإنه سيأمركم بسبي والبراءة مني، فأما السب فسبوني فإنه لي زكاة ولكم نجاة، وأما البراءة فلا تبرؤا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فإني ولدت على الفطرة وسبقت إلى الإيمان والهجرة</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ولا إشكال من حيث الدلالة، وإنما الكلام من حيث الطريق فإنه وإن كان معتبراً إلى السيد الرضي، إلاّ أن طريق السيد الرضي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صاحب الوسائل عن الشيخ المفيد في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ستعرضون من بعدي على سبّي فسبّوني، فمن عرض عليه البراءة مني فليمدد عنقه فإن برىء مني فلا دنيا له ولا آخرة</w:t>
      </w:r>
      <w:r>
        <w:rPr>
          <w:rStyle w:val="FootnoteAnchor"/>
          <w:rtl w:val="true"/>
        </w:rPr>
        <w:footnoteReference w:id="190"/>
      </w:r>
      <w:r>
        <w:rPr>
          <w:rFonts w:ascii="Amiri" w:hAnsi="Amiri" w:eastAsia="Amiri" w:cs="Amiri"/>
          <w:color w:val="111111"/>
          <w:sz w:val="28"/>
          <w:sz w:val="28"/>
          <w:szCs w:val="28"/>
          <w:rtl w:val="true"/>
          <w:lang w:bidi="ar-SA"/>
        </w:rPr>
        <w:t>وفي النقل اختلاف يسير فلاحظ</w:t>
      </w:r>
      <w:r>
        <w:rPr>
          <w:rStyle w:val="FootnoteAnchor"/>
          <w:rtl w:val="true"/>
        </w:rPr>
        <w:footnoteReference w:id="19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الكلام في السند، فإن الاستفاضة أقصى ما تفيده الظن، مضافاً إلى أنّه لم يذكر طريقاً لها، وبناء عليه فلا يمكن التعويل على ما ادعاه الشيخ المفيد في مقام الاستدلال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إن هنا رواية أخرى ذكرت في ذيل هذا الباب من الوسائل ولم يذكرها الحر العاملي في متن الوسائل، وهي ما رواه الصدوق في عيون الأخبار بإسناده عن محمّد بن عمر الجعابي، عن الحسن بن عبد الله بن محمّد بن العباس الرازي التميمي،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ستعرضون على البراءة مني فلا تبرؤا مني فإني على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وهذه الرواية وإن كانت دلالتها تامة إلاّ أن الإشكال في سندها، فإن الحسن بن عبد الله بن محمّد بن العباس الرازي التميمي لم يرد في حقه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الطائفة الثانية من الروايات ولا إشكال فيها من حيث الدلالةوإنما الإشكال من جهة السند فبينها وبين الطائفة الأولى تهافت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يستفاد منها التخيير وبمقتضاها تكون التقية جائزة، وتكون جامعة بين الطائفتين الاُوليين، وهي أيضاً روايات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الكشي، عن جبرئيل بن أحمد، عن محمّد بن عبد الله بن مهران، عن محمّد بن علي الصيرفي، عن علي بن محمد، عن يوسف بن عمران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ميثم النهرواني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ميثم إذا دعاك دعي بني اُمية عبيد الله بن زياد إلى البراءة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والله لا أبرأ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يقتلك ويصلبك،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فذاك في الله قليل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إذاً تكون معي في درجتي</w:t>
      </w:r>
      <w:r>
        <w:rPr>
          <w:rStyle w:val="FootnoteAnchor"/>
          <w:rtl w:val="true"/>
        </w:rPr>
        <w:footnoteReference w:id="19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والمستفاد من هذه الرواية عدم وجوب التقية، فإن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ميثماً بالتقية، وإنما أخبره بما يجري عليه وما يصير إليه مآله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الرواية رواها الكشي بهذا السند وهو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صاحب الوسائل</w:t>
      </w:r>
      <w:r>
        <w:rPr>
          <w:rStyle w:val="FootnoteAnchor"/>
          <w:rtl w:val="true"/>
        </w:rPr>
        <w:footnoteReference w:id="194"/>
      </w:r>
      <w:r>
        <w:rPr>
          <w:rFonts w:ascii="Amiri" w:hAnsi="Amiri" w:eastAsia="Amiri" w:cs="Amiri"/>
          <w:color w:val="111111"/>
          <w:sz w:val="28"/>
          <w:sz w:val="28"/>
          <w:szCs w:val="28"/>
          <w:rtl w:val="true"/>
          <w:lang w:bidi="ar-SA"/>
        </w:rPr>
        <w:t>أن القطب الراوندي أورد الرواية في كتابه الخرائج، عن عمران، عن أبيه ميثم، إلّا أن الموجود في الخرائج عن يوسف بن عمران، عن ميثم التمار، نعم اُشير في ذيل الحديث من كتاب الخرائج أن في الأصل عمران عن أبيه ميثم</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وعلى كل تقديم فلا يمكن الاعتماد على هذه الرواية لعدم تمامية الطريق أو تصحيحه، فإن القطب الراوندي وإن كان له طريق إلى كتب الشيخ ورواياته إلاّ أن الطريق من الشيخ إلى يوسف بن عمران، أو عمران غير 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الله بن عطا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أهل الكوفة اُخذا فقيل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ابريا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فبرىء واحد منهما وأبى الآخر، فخلّي سبيل الذي برىء وقتل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الذيبرىء فرجل فقيه في دينه، وأما الذي لم يبرأ فرجل تعجل إلى الجنة</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والمستفاد من الرواية الرخصة في البراءة تقية، ولهذا عبّر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الذي اتقى بالفقيه، وعبر عن الثاني بأنه تعجّل إلى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الرقاب أحب إليك أم البراءة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الرخصة أحب إليّ، أما سمعت قول الله عزوجل في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وهذه الرواية تفيد أن الإنسان مخير في البراءة وعدمها، وإن كانت التقية أحب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عجلان،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فقلت </w:t>
      </w:r>
      <w:bookmarkStart w:id="138" w:name="pg16387_188146"/>
    </w:p>
    <w:p>
      <w:pPr>
        <w:pStyle w:val="BookText"/>
        <w:rPr/>
      </w:pPr>
      <w:bookmarkEnd w:id="138"/>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الضحاك قد ظهر بالكوفة ويوشك أن تدعى إلى البراءة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فابرء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أحب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تمضوا على ما مضى عليه عمار بن ياسر، اُخذ بمكة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ابرأ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فبرأ منه وأنزل الله عزوجل 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أُكْرِهَ وَقَلْبُهُ مُطْمَئِنٌّ بِالإِيمَانِ</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وقد تقدمت هذه الرواية عند الكلام حول التقية في اُصول الدين، والمستفاد منها في المقام التخيير كالرواية السابقة، فإنها لم تشتمل على الأمر أو النهي،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فابرأ منه فهو وإن كان أمراً والأمر يقتضي الوجوب، إلاّ أن في المقام قرينة تصرفه عن الحمل على الوجوب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الراوي أيهما أحب إليك؟</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تحمل على الرخصة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6877739_1280447820"/>
      <w:bookmarkStart w:id="140" w:name="_Toc47"/>
      <w:bookmarkEnd w:id="139"/>
      <w:r>
        <w:rPr>
          <w:rtl w:val="true"/>
        </w:rPr>
        <w:t>المقام الرابع</w:t>
      </w:r>
      <w:r>
        <w:rPr>
          <w:rtl w:val="true"/>
        </w:rPr>
        <w:t xml:space="preserve">: </w:t>
      </w:r>
      <w:r>
        <w:rPr>
          <w:rtl w:val="true"/>
        </w:rPr>
        <w:t>في حكم التقية في البراءة</w:t>
      </w:r>
      <w:r>
        <w:rPr>
          <w:rtl w:val="true"/>
        </w:rPr>
        <w:t>:</w:t>
      </w:r>
      <w:bookmarkEnd w:id="140"/>
    </w:p>
    <w:p>
      <w:pPr>
        <w:pStyle w:val="Heading4"/>
        <w:numPr>
          <w:ilvl w:val="3"/>
          <w:numId w:val="1"/>
        </w:numPr>
        <w:rPr/>
      </w:pPr>
      <w:bookmarkStart w:id="141" w:name="__RefHeading___Toc6877741_1280447820"/>
      <w:bookmarkStart w:id="142" w:name="_Toc48"/>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وأما كيفية استفادة الحكم من مجموع هذه الروايات وهل أنّ التقية هي الأرجح؟ كما يظهر من كلام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عدمها هو الأرجح؟ أو أنّه لا أقل من عدم دلالة شيء من الروايات على أرجحيةأحدهما على الآخر، فالأمران متساويان، كما ذهب إليه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المقام يقتضي تنقيح الروايات سنداً ودلالة بالنسبة إلى كلا الدعويين فنقول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روايات الطائفتين الثانية والثالثة كلها ضعيفة من جهة السند، وأما الطائفة الاُولى فهي بالإضافة إلى الروايات العامة تشتمل على روايتين معتبرتين،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مسعدة بن صدقة، والثانية معتبرة محمّد بن مروان، </w:t>
      </w:r>
    </w:p>
    <w:p>
      <w:pPr>
        <w:pStyle w:val="BookText"/>
        <w:rPr/>
      </w:pPr>
      <w:r>
        <w:rPr>
          <w:rFonts w:ascii="IRNazanin" w:hAnsi="IRNazanin" w:eastAsia="IRNazanin"/>
          <w:color w:val="111111"/>
          <w:sz w:val="28"/>
          <w:sz w:val="28"/>
          <w:szCs w:val="28"/>
          <w:rtl w:val="true"/>
          <w:lang w:bidi="fa-IR"/>
        </w:rPr>
        <w:t xml:space="preserve">وكلتاهما دالتان على لزوم التقية، ففي الاُولى أنكر الإمام عدم التقية،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ذلك عليه، وفي الثانية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 ميثم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ودلالة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لزوم التقية 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السيد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 الرواية الاُولى بأنها لا تدل على لزوم التقية لقصور دلالتها على حرمة القتل ووجوب التبري عند الإكراه</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وناقش في الرواية الثانية بأن كلمة منع يمكن أن تقرأ بالبناء للفاعل فتكون واردة في مقام التعجب، ويكون مفاد الرواية حينئذ أن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التقية وعرّض نفسه للهلاك، ويمكن أن تقرأ بالبناء للمفعول ويكون مفادها حينئذ أن ميثم لم يكن ممنوعاً من التقية ولو كانت التقية واجبة عليه لامتنع، والشاهد على ذلك أن لفظ ميثم وردت مرفوعة، فهي واقعة موقع الفاعل ونائبة منابه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ميثم اسم غير منصرف، وجوابه أنّه غير ممنوع من الصرف وبناء على هذا فلا دلالة في الرواية على لزوم التقية</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وفي ما أورده السيد الاُستاذ من المناقشة في كلتا الروايتين نظر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الرواية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ذلك عليه، ولا له إلاّما مضى عليه عمار بن ياسر، يمكن أن يكون راجعاً إلى بيان التكليف والوظيفة، ومعناه أن التكليف لابد وأن يكون من الشارع، والتكليف من الشارع في هذه المسألة هو لزوم التقية، ولذلك لما 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اختار القتل دون البراءة، بيّن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الوظيفة هي المضيّ على ما مضى عليه عمار، فإنه اتّقى، ووظيفة السائل هي أن يتقي أيضاً، فإن اختيار الإنسان وظيفته العملية ليست بيده بل بيد الشارع، وعليه فماذكره السيد الأستاذ في غير محلّه، ولا قصور في دلالة الرواية على لزوم التقية،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بيان الوظيفة العملية </w:t>
      </w:r>
    </w:p>
    <w:p>
      <w:pPr>
        <w:pStyle w:val="BookText"/>
        <w:rPr/>
      </w:pPr>
      <w:r>
        <w:rPr>
          <w:rFonts w:ascii="IRNazanin" w:hAnsi="IRNazanin" w:eastAsia="IRNazanin"/>
          <w:color w:val="111111"/>
          <w:sz w:val="28"/>
          <w:sz w:val="28"/>
          <w:szCs w:val="28"/>
          <w:rtl w:val="true"/>
          <w:lang w:bidi="fa-IR"/>
        </w:rPr>
        <w:t>للسائل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واردة في مقام التعجب كما ذكرنا سابقاً، وكلمة منع جاءت للبناء للفاعل، وأما كلمة ميثم فجاءت مرفوعة إما تصحيفاً وإما أنها غير منصرفة لأنه ورد في بعض الروايات</w:t>
      </w:r>
      <w:r>
        <w:rPr>
          <w:rStyle w:val="FootnoteAnchor"/>
          <w:rtl w:val="true"/>
        </w:rPr>
        <w:footnoteReference w:id="201"/>
      </w:r>
      <w:r>
        <w:rPr>
          <w:rFonts w:ascii="Amiri" w:hAnsi="Amiri" w:eastAsia="Amiri" w:cs="Amiri"/>
          <w:color w:val="111111"/>
          <w:sz w:val="28"/>
          <w:sz w:val="28"/>
          <w:szCs w:val="28"/>
          <w:rtl w:val="true"/>
          <w:lang w:bidi="ar-SA"/>
        </w:rPr>
        <w:t>أن ميثم اسم أعجمي، فيكون غير 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ظاهرة في التعجب سواء كان لفظ ميثم منصرف أو غير منصرف، وبناء على هذا فالمستفاد من الرواية هو لزوم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حكم السيد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بالتعارض بين الروايات المثبتة والروايات النافية، وجمع بينها بحمل الروايات المثبتة على التخيير بقرينة الطائفة الثالثة، إلاّ أن الذي يوجب الاستغراب في كلام السيد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ناقش في الروايات الدالة على لزوم التقية سنداً ودلالة، والحال أنها من حيث السند معتبرة على مبناه في التوثيق، فإن مسعدة بن صدقة واقع في أسناد تفسير القمي، وقد ذكرنا ذلك سابقاً، وهكذا محمّد بن مروان في الرواية الثانية، فهو وإن كان مشتركاً بين الثقة وغيره إلاّ أن المنصرف إليه هو محمّد بن مروان الذهلي الثقة، فإنه المعروف الذي له كتاب، وأما غيره ممن سمي بمحمّد بن مروان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فيهم رجل معروف</w:t>
      </w:r>
      <w:r>
        <w:rPr>
          <w:rStyle w:val="FootnoteAnchor"/>
          <w:rtl w:val="true"/>
        </w:rPr>
        <w:footnoteReference w:id="202"/>
      </w:r>
      <w:r>
        <w:rPr>
          <w:rFonts w:ascii="Amiri" w:hAnsi="Amiri" w:eastAsia="Amiri" w:cs="Amiri"/>
          <w:color w:val="111111"/>
          <w:sz w:val="28"/>
          <w:sz w:val="28"/>
          <w:szCs w:val="28"/>
          <w:rtl w:val="true"/>
          <w:lang w:bidi="ar-SA"/>
        </w:rPr>
        <w:t>، وقد تقدم منا قريباً تحقيق ذلك وعليه فالرواية معتبرة، وأما مناقشته في الدلالة ففيها ما تقدم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ناحية، ومن ناحية أخرى إن الروايات الدالة على الجواز كلها ضعيفة، ولم نظفر برواية معتبرة، فكيف حكم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الروايات 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ملاحظة أسناد الروايات أيضاً لتتم بها أركان التعارض، فمقتضى الصناعة لابد وأن نقول بلزوم التقية، وذلك لدلالة الروايات </w:t>
      </w:r>
      <w:bookmarkStart w:id="143" w:name="pg16387_188149"/>
    </w:p>
    <w:p>
      <w:pPr>
        <w:pStyle w:val="BookText"/>
        <w:rPr/>
      </w:pPr>
      <w:bookmarkEnd w:id="143"/>
      <w:r>
        <w:rPr>
          <w:rFonts w:ascii="Amiri" w:hAnsi="Amiri" w:eastAsia="Amiri" w:cs="Amiri"/>
          <w:color w:val="111111"/>
          <w:sz w:val="28"/>
          <w:sz w:val="28"/>
          <w:szCs w:val="28"/>
          <w:rtl w:val="true"/>
          <w:lang w:bidi="ar-SA"/>
        </w:rPr>
        <w:t>العامة المشتملة على الصحاح والخاصة المعتبرة، والروايات المقابلة لها كلها ضعيفة الأسناد فلا تعارض بين الروايات، نعم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ثابتة إجمالاً وغضضنا الطرف عن المناقشة في أسنادها، وبضميمة ما وقع في الخارج كما في أحوال ميثم، ورشيد، وحجر، وقنبر، وغيرهم رضوان الله ورحمته عليهم، فحينئذ يصح الجمع بين الروايات بالحمل على التخيير وإن كان التبري أرجح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الروايات أن التقية هي الأرجح كما ذهب إليه الشيخ الأنصاري </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6877743_1280447820"/>
      <w:bookmarkStart w:id="145" w:name="_Toc49"/>
      <w:bookmarkEnd w:id="144"/>
      <w:r>
        <w:rPr>
          <w:rtl w:val="true"/>
        </w:rPr>
        <w:t>بقي أمران</w:t>
      </w:r>
      <w:r>
        <w:rPr>
          <w:rtl w:val="true"/>
        </w:rPr>
        <w:t>:</w:t>
      </w:r>
      <w:bookmarkEnd w:id="14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السب والتبري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 فهو الشتم واستنقاص الغير باللسان، فهو يرجع إلى الكلام اللفظي، وقد يستوجب الحد كما في سب الإمام كما سيأتي، أو التعزير وسقوط العدالة كما في سب المؤمن، وتفصيل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التبرّي فالمستفاد من الاستعمال اللغوي هو انقطاع العصمة ومعناه التخلّص والبينونة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التبرّي في القرآن الكريم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وَرَسُولِهِ إِلَى الَّذِينَ عَاهَدتُّمْ مِنْ الْمُشْرِكِينَ</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أي خروج من عهودهم وتخلص منهم، وقد أمهلوا أربعة أشهر ثمّ يقتلوا حيث وجدوا</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فإن كانت البراءة من شيء معين كعهد ونحوه فهو، وإلاّ فهي مطلقة ومعناها انقطاع العصمة من جميع الجهات، والبراءة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القبيل، وإن كان الأظهر منها هو التبري من ولايته وهي بهذا المعنى تكون داخلة في مسائل الاعتقاد بخلاف السب فإنه من الأحكام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أن معنى التبري هو عدم الاعتقاد بالإمام وانقطاع الصلة به </w:t>
      </w:r>
    </w:p>
    <w:p>
      <w:pPr>
        <w:pStyle w:val="BookText"/>
        <w:rPr/>
      </w:pPr>
      <w:r>
        <w:rPr>
          <w:rFonts w:ascii="Amiri" w:hAnsi="Amiri" w:eastAsia="Amiri" w:cs="Amiri"/>
          <w:color w:val="111111"/>
          <w:sz w:val="28"/>
          <w:sz w:val="28"/>
          <w:szCs w:val="28"/>
          <w:rtl w:val="true"/>
          <w:lang w:bidi="ar-SA"/>
        </w:rPr>
        <w:t>تكون المسألة من أصول الدين، وكل ما ذكرناه هناك يجري هنا، كما وقع لعمار بن ياسر وقد ورد الاستشهاد في التبري بقضية عمار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ويكون حينئذ معنى البراءة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وولايته هو البراءة من الدين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ولدت على الفطرة، وعليه فيلاحظ إن كان التبري بالقلب فهو المحرم، وإن كان بالقول فهو شبيه بفعل عمار وقد مرّ أن التقية فيه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يؤيده ما ورد في الرواية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إظهارك براءتك منّا عند تقيتك لا يقدح فينا ولا ينقصنا، ولئن تبرأ منا ساعة بلسانك وأنت موال لنا بجنانك لتبقي على نفسك روحها التي بها قوامها، ومالها الذي به قيامها، وجاهها الذي به تمسكها، وتصون من عرف بذلك أولياءناوإخواننا، فإن ذلك أفضل من أن تتعرض للهلاك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الإظهار باللسان لا إشكال فيه، وإنما الإشكال والحرمة في التبري الواقعي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تختص البراءة بالإمام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أنها تشمل الأئمة والأنبياء والمؤمنين؟</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عنوان المسألة والتعليل الوارد في الرواية هو التعميم، نعم ورد في رواية واحدة زيادة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وسبقت إلى الإيمان والهجرة</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وأما غيرها من الروايات فلم يرد فيها إلاّ الولادة على الفطرة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السبق إلى الإيمان والهجرة دخيل في التعليل فلا يجري في غيره،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التعليل هو خصوص الولادة على الفطرة فيشمل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والأنبياء والمؤمنين فإنهم ولدوا على الفطرة، ويكون المراد هو التبري من الدين والإيمان، وبناء على هذا يمكن التعدي إلى غير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خصوصية </w:t>
      </w:r>
      <w:bookmarkStart w:id="146" w:name="pg16387_188151"/>
    </w:p>
    <w:p>
      <w:pPr>
        <w:pStyle w:val="BookText"/>
        <w:rPr/>
      </w:pPr>
      <w:bookmarkEnd w:id="146"/>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المقام بالذات بمقتضى التعليل الوارد إذ التعليل يعمم ويخصّص</w:t>
      </w:r>
      <w:r>
        <w:rPr>
          <w:rFonts w:eastAsia="IRNazanin" w:cs="IRNazanin"/>
          <w:color w:val="111111"/>
          <w:sz w:val="28"/>
          <w:szCs w:val="28"/>
          <w:rtl w:val="true"/>
          <w:lang w:bidi="fa-IR"/>
        </w:rPr>
        <w:t>.</w:t>
      </w:r>
    </w:p>
    <w:p>
      <w:pPr>
        <w:pStyle w:val="Heading4"/>
        <w:numPr>
          <w:ilvl w:val="3"/>
          <w:numId w:val="1"/>
        </w:numPr>
        <w:rPr/>
      </w:pPr>
      <w:bookmarkStart w:id="147" w:name="__RefHeading___Toc6877745_1280447820"/>
      <w:bookmarkStart w:id="148" w:name="_Toc50"/>
      <w:bookmarkEnd w:id="147"/>
      <w:r>
        <w:rPr>
          <w:rtl w:val="true"/>
        </w:rPr>
        <w:t>وها هنا مسألتان</w:t>
      </w:r>
      <w:r>
        <w:rPr>
          <w:rtl w:val="true"/>
        </w:rPr>
        <w:t>:</w:t>
      </w:r>
      <w:bookmarkEnd w:id="14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مما ذكرنا أن التقية في هذا المورد مشروعة فيما إذا كان لها فائدة، كحفظ النفس والعرض ونحوهما، أما إذا لم يترتب عليها شيء من ذلك فلا يستفاد من الأدلة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مصلحة التقية في أصول الدين أكثر من تركها فهي سائغة وتكون مشمولة للأدلة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العكس أي إذا كانت المصلحة في ترك التقية كما إذا لزم من تركها ترويج للدين وإظهاره، أو كان في التقية إذلالٌ أو إضعافٌ للدين فليست بمشروعة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يمكن تفسير ما صدر من خواص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ميثم ورشيد وحجر وغيرهم رضوان الله عليهم، فإن أدلة التقية وإن كانت تشملهم إلاّ أن عملهم على خلاف التقية يمكن أن يوجه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الأدلة، فإن المستفاد من بعضها التخيير وإن كاناختيار التقية هو الراجح إلاّ أن هؤلاء اختاروا الشق الآخر من التخيير لجهة أخرى هي الموجبة للترجيح عندهم، وهي التعجّل إلى الجنة، فمع أنهم يعلمون برجحان التقية إلاّ أنهم تركوها فراراً من الدنيا ولحوقاً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الدار الآخرة، وقد كشفت بعض الروايات عن ذلك</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يعدون من أركان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وخواص أصحابه وحملة أسراره، وأمرهم في الولاء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مشهور، فالتقية بالنسبة إليهم توجب وهن الولاية وضعف المذهب، بينما صمودهم وتركهم للتقية يوجب </w:t>
      </w:r>
    </w:p>
    <w:p>
      <w:pPr>
        <w:pStyle w:val="BookText"/>
        <w:rPr/>
      </w:pPr>
      <w:r>
        <w:rPr>
          <w:rFonts w:ascii="Amiri" w:hAnsi="Amiri" w:eastAsia="Amiri" w:cs="Amiri"/>
          <w:color w:val="111111"/>
          <w:sz w:val="28"/>
          <w:sz w:val="28"/>
          <w:szCs w:val="28"/>
          <w:rtl w:val="true"/>
          <w:lang w:bidi="ar-SA"/>
        </w:rPr>
        <w:t>ترويج أمر الولاية وإعزاز المذهب، وليس حالهم كحال سائر الناس العاديين في اتخاذ موقف معين، فكان فعلهم هذا سبباً لرفع شأن الدين والمذهب والولاية حتى في حال موتهم فإن لهم شأناً بعد شهادتهم إذ صاروا مقصداً للناس كما كانوا في حياتهم، فمن أجل إعزاز الدين وحمايته أقدموا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قد علموا أن الأعداء لا يكتفون منهم بإظهار البراءة، بل يراد منهم الترويج للظلمة وأن يكونوا منهم ومعهم وهذا مما لا يلتزمون به، فالتبري لو كان بالقول فقط لأمكن ذلك إلاّ أن التبري تترتب عليه لوازم أخرى وإنما أقدموا على ما أقدموا عليه من مخالفة التقية لئلاّ يُلزموا بما لا يلتزمون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علموا بعدم الفائدة من إظهار التبري وإنما هو ذريعة للتوصّل إلى قتلهم سواء تبرؤا أم لا، يعني إنهم وإن أظهروا التبري فسيقتلون لا محالة، لأنهم عرفوا بولائهم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وحبهم له وتفانيهم في الدفاع عنه فلما علموا أن لا فائدة من إظهار التبري وأنهم يقتلون على كل حال أقدموا على مخالفة التقية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بلغوا من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وولائه مبلغاً بحيث لا يستطيعون أن يظهروا البراءة منه وكأنما تجسد في أنفسهم هذا الحب والولاء والمعرفة بمقام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فرض الانفصال في أنفسهم عنه ولو بالقول، فيكون طلب التبري منه أمراً غير مقدور بالنسبة إليهم وشاهد ذلك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أخبر ميثم بما يجري عليه وكأنما الإمام كان يمتحن صلابته في الحق وولاءه وحبه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أبرأ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قبل وقوع وبلوغ الأمر مرحلة الفعلية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يقتلك ويصلبك، أجابه ميثم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 فذاك في الله قليل،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ميثم إذن تكون معي في درجتي</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يوجّه فعل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تركهم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w:t>
      </w:r>
    </w:p>
    <w:p>
      <w:pPr>
        <w:pStyle w:val="BookText"/>
        <w:rPr/>
      </w:pPr>
      <w:r>
        <w:rPr>
          <w:rFonts w:ascii="IRNazanin" w:hAnsi="IRNazanin" w:eastAsia="IRNazanin"/>
          <w:color w:val="111111"/>
          <w:sz w:val="28"/>
          <w:sz w:val="28"/>
          <w:szCs w:val="28"/>
          <w:rtl w:val="true"/>
          <w:lang w:bidi="fa-IR"/>
        </w:rPr>
        <w:t xml:space="preserve">يستطيعون ، لأنهم ملؤا حباً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ينافي هذا ما ورد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تبرأ وتأخذ بما أخذ عمار، وقد قلنا إن هذه الروايات الدالة على الجواز ضعيفة الأسناد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فبهذه الوجوه يمكن أن يوجه فعل هؤلاء من تركهم للتقية، ولا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فعلهم مرجوح كما أنّه يمكن أن تكون هناك وجوه أخر يفسر بها فعلهم ويحمل على أمر لا ينافي العمل بالتقية لخصوصية فيهم دون سواهم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يتم الكلام عن الفصل الأول وهو التقية في أصول الدين</w:t>
      </w:r>
      <w:r>
        <w:rPr>
          <w:rFonts w:eastAsia="Amiri" w:cs="Amiri" w:ascii="Amiri" w:hAnsi="Amiri"/>
          <w:color w:val="111111"/>
          <w:sz w:val="28"/>
          <w:szCs w:val="28"/>
          <w:rtl w:val="true"/>
          <w:lang w:bidi="ar-SA"/>
        </w:rPr>
        <w:t xml:space="preserve">. </w:t>
      </w:r>
      <w:bookmarkStart w:id="149" w:name="pg16387_188154"/>
    </w:p>
    <w:p>
      <w:pPr>
        <w:pStyle w:val="Heading2"/>
        <w:numPr>
          <w:ilvl w:val="1"/>
          <w:numId w:val="1"/>
        </w:numPr>
        <w:rPr/>
      </w:pPr>
      <w:bookmarkStart w:id="150" w:name="__RefHeading___Toc6877747_1280447820"/>
      <w:bookmarkStart w:id="151" w:name="_Toc51"/>
      <w:bookmarkEnd w:id="149"/>
      <w:bookmarkEnd w:id="150"/>
      <w:r>
        <w:rPr>
          <w:rtl w:val="true"/>
        </w:rPr>
        <w:t>الفصل الثاني</w:t>
      </w:r>
      <w:bookmarkEnd w:id="151"/>
    </w:p>
    <w:p>
      <w:pPr>
        <w:pStyle w:val="Heading3"/>
        <w:numPr>
          <w:ilvl w:val="2"/>
          <w:numId w:val="1"/>
        </w:numPr>
        <w:rPr/>
      </w:pPr>
      <w:bookmarkStart w:id="152" w:name="__RefHeading___Toc6877749_1280447820"/>
      <w:bookmarkStart w:id="153" w:name="_Toc52"/>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التقية في فروع الدين التي لا يشترط فيها قصد القربة</w:t>
      </w:r>
    </w:p>
    <w:p>
      <w:pPr>
        <w:pStyle w:val="BookText"/>
        <w:rPr/>
      </w:pPr>
      <w:r>
        <w:rPr>
          <w:rFonts w:ascii="Amiri" w:hAnsi="Amiri" w:eastAsia="Amiri" w:cs="Amiri"/>
          <w:color w:val="111111"/>
          <w:sz w:val="28"/>
          <w:sz w:val="28"/>
          <w:szCs w:val="28"/>
          <w:rtl w:val="true"/>
          <w:lang w:bidi="ar-SA"/>
        </w:rPr>
        <w:t>حكم موالاة الكفار</w:t>
      </w:r>
    </w:p>
    <w:p>
      <w:pPr>
        <w:pStyle w:val="BookText"/>
        <w:rPr/>
      </w:pPr>
      <w:r>
        <w:rPr>
          <w:rFonts w:ascii="Amiri" w:hAnsi="Amiri" w:eastAsia="Amiri" w:cs="Amiri"/>
          <w:color w:val="111111"/>
          <w:sz w:val="28"/>
          <w:sz w:val="28"/>
          <w:szCs w:val="28"/>
          <w:rtl w:val="true"/>
          <w:lang w:bidi="ar-SA"/>
        </w:rPr>
        <w:t>والمخالفين على ضوء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التعامل مع الكفار في شؤون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حول نجاسة الكفار وأهل الكتاب وأهمية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طعام الكفار وإطعامهم ودخولهم المساجد والسلام عليهم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جريان هذه الأحكام في أهل الكتاب والمخالفين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في أن المأتي به تقية هل يجزي عن الواقع أو لا؟</w:t>
      </w:r>
    </w:p>
    <w:p>
      <w:pPr>
        <w:pStyle w:val="BookText"/>
        <w:rPr/>
      </w:pPr>
      <w:r>
        <w:rPr>
          <w:rFonts w:ascii="Amiri" w:hAnsi="Amiri" w:eastAsia="Amiri" w:cs="Amiri"/>
          <w:color w:val="111111"/>
          <w:sz w:val="28"/>
          <w:sz w:val="28"/>
          <w:szCs w:val="28"/>
          <w:rtl w:val="true"/>
          <w:lang w:bidi="ar-SA"/>
        </w:rPr>
        <w:t>في بيان موضوع الكتمان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في جواز ذكر اسم الإمام الثاني عشر 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 والتحقيق في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الجمع بين اسمه الشريف وكنيته أو لا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التقية في فروع الدين التي لا يشترط فيها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فيما سبق أن موارد التقية في الفروع على نحوين عبادية وغير عبادية، كما ذكرنا أن منهجية بحثنا حولها تقتضي التكلم فيها من خلال جهات ثلاث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الحكم الواقعي لكل مورد ثمّ بيان حكم التقية فيه وآثاره التكليفية والوضعية ومن ثمّ بيان الحكم عند المخالفة وما يترتب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وآثرنا تقديم النحو الثاني لانسجامه مع بحوث الفصل الأول، مضافاً إلى طول الحديث في بحوث النحو الأول وتعدد مواضيعه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الكلام في هذا الفصل في عدة موارد</w:t>
      </w:r>
      <w:r>
        <w:rPr>
          <w:rFonts w:eastAsia="Amiri" w:cs="Amiri" w:ascii="Amiri" w:hAnsi="Amiri"/>
          <w:color w:val="111111"/>
          <w:sz w:val="28"/>
          <w:szCs w:val="28"/>
          <w:rtl w:val="true"/>
          <w:lang w:bidi="ar-SA"/>
        </w:rPr>
        <w:t xml:space="preserve">: </w:t>
      </w:r>
      <w:bookmarkStart w:id="154" w:name="pg16387_188157"/>
    </w:p>
    <w:p>
      <w:pPr>
        <w:pStyle w:val="Heading3"/>
        <w:numPr>
          <w:ilvl w:val="2"/>
          <w:numId w:val="1"/>
        </w:numPr>
        <w:rPr/>
      </w:pPr>
      <w:bookmarkStart w:id="155" w:name="__RefHeading___Toc6877751_1280447820"/>
      <w:bookmarkStart w:id="156" w:name="_Toc53"/>
      <w:bookmarkEnd w:id="154"/>
      <w:bookmarkEnd w:id="155"/>
      <w:r>
        <w:rPr>
          <w:rtl w:val="true"/>
        </w:rPr>
        <w:t>المورد الأول</w:t>
      </w:r>
      <w:r>
        <w:rPr>
          <w:rtl w:val="true"/>
        </w:rPr>
        <w:t xml:space="preserve">: </w:t>
      </w:r>
      <w:r>
        <w:rPr>
          <w:rtl w:val="true"/>
        </w:rPr>
        <w:t>اتخاذ الكافرين أولياء</w:t>
      </w:r>
      <w:r>
        <w:rPr>
          <w:rtl w:val="true"/>
        </w:rPr>
        <w:t>:</w:t>
      </w:r>
      <w:bookmarkEnd w:id="156"/>
    </w:p>
    <w:p>
      <w:pPr>
        <w:pStyle w:val="BookText"/>
        <w:rPr/>
      </w:pPr>
      <w:r>
        <w:rPr>
          <w:rFonts w:ascii="Amiri" w:hAnsi="Amiri" w:eastAsia="Amiri" w:cs="Amiri"/>
          <w:color w:val="111111"/>
          <w:sz w:val="28"/>
          <w:sz w:val="28"/>
          <w:szCs w:val="28"/>
          <w:rtl w:val="true"/>
          <w:lang w:bidi="ar-SA"/>
        </w:rPr>
        <w:t>فإن كان في مورد التقية فلا بأس، وإلاّ فهو محرم حرمة شديدة، ويدل على ذلك الكتاب والسنة وغيرهما من 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فقد وردت عدة آيات تتضمن النهي عن مودة الكفار والمخالفين إلاّ ما كان في حال التقية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الْكَافِرِينَ أَوْلِيَاءَ مِنْ دُونِ الْمُؤْمِنِينَ أَتُرِيدُونَ أَنْ تَجْعَلُوا لِلهِ عَلَيْكُمْ سُلْطَاناً مُبِيناً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الَّذِينَ اتَّخَذُوا دِينَكُمْ هُزُواً وَلَعِباً مِنْ الَّذِينَ أُوتُوا الْكِتَابَ مِنْ قَبْلِكُمْ وَالْكُفَّارَ أَوْلِيَاءَ وَاتَّقُوا اللهَ إِنْ كُنتُمْ مُؤْمِنِينَ</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دالة على المراد، إلاّ أنها مقيدة بمن اتخذوا الدين هزواً ولعباً، سواء كانوا من أهل الكتاب أو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الآية جاءت مطلقة غير مقيدة بشيء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آبَاءَكُمْ وَإِخْوَانَكُمْ أَوْلِيَاءَ إِنْ اسْتَحَبُّوا الْكُفْرَ عَلَى الإِيمَانِ وَمَنْ يَتَوَلَّهُمْ مِنْكُمْ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وهذه الآيات وردت مورد الخطاب، وصدّرت بيا أيها الذين آمنوا، ومن الآيات الواردة في هذا المعنى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يَتَّخِذُونَ الْكَافِرِينَ أَوْلِيَاءَ مِنْ دُونِ الْمُؤْمِنِينَ أَيَبْتَغُونَ عِنْدَهُمْ الْعِزَّةَ فَإِنَّ الْعِزَّةَ لِلهِ جَمِيعاً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هذه هي الآيات الواردة في الكتاب، وهي صريحة في النهي الشديد والحرمة المغلظة عن اتخاذ الكفار أولياء، ولعل هناك آيات أخرى وفي 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لفظة الولي جاءت بعدة معان منها الصديق، ومالك الأمر، والناصر، وغيرها من المعاني، وأظهرها في الآيات هو المعنى الأول، وإليه أشارت بعض الآيات المتقدمة، فالتودد والتحبب إلى الكفار حرام، وإنه ليس من الله في شيء، وأشارت بعض الآيات إلى أنها صفة من صفات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الروايات فهي كثيرة وجاءت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النهي عن مودة الكافر وعدم جوازها، ويستفاد هذا من عدة روايات، وبعضها صحيح السند ومنها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معتبرة الحسن بن علي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ممن </w:t>
      </w:r>
    </w:p>
    <w:p>
      <w:pPr>
        <w:pStyle w:val="BookText"/>
        <w:rPr/>
      </w:pPr>
      <w:r>
        <w:rPr>
          <w:rFonts w:ascii="Amiri" w:hAnsi="Amiri" w:eastAsia="Amiri" w:cs="Amiri"/>
          <w:color w:val="111111"/>
          <w:sz w:val="28"/>
          <w:sz w:val="28"/>
          <w:szCs w:val="28"/>
          <w:rtl w:val="true"/>
          <w:lang w:bidi="ar-SA"/>
        </w:rPr>
        <w:t>ينتحل مودتنا أهل البيت من هو أشد فتنة على شيعتنا من الرجال،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بموالاة أعدائنا ومعاداة أوليائنا، إنه إذا كان كذلك اختلط الحق بالباطل واشتبه الأمر، فلم يعرف مؤمن من منافق</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ابن فضال،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والى أعداء الله فقد عادى أولياء الله، ومن عادى أولياء الله فقد عادى الله، وحق على الله أن يدخله نار جهنم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معتبرتان من حيث السند واضحتان من حيث الدلالة، فإن الموالاة أعم وتشمل الكافر والمخالف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العلاء بن الفضيل، عن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كافراً فقد أبغض الله، ومن أبغض كافراً فقد أحب الله،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عدو الله عدو الله</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والرواية من حيث الدلالة لا إشكال فيها وأما من جهة السند ففيها محمّد بن سنان وقد رجحنا وثاقته فتكون الرواية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إلى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أولياء الله واجب، وكذلك بغض أعداء الله والبراءة منهم ومن أئمتهم</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وهذه الرواية أوردها الصدوق في الخصال</w:t>
      </w:r>
      <w:r>
        <w:rPr>
          <w:rStyle w:val="FootnoteAnchor"/>
          <w:rtl w:val="true"/>
        </w:rPr>
        <w:footnoteReference w:id="218"/>
      </w:r>
      <w:r>
        <w:rPr>
          <w:rFonts w:ascii="IRNazanin" w:hAnsi="IRNazanin" w:eastAsia="IRNazanin"/>
          <w:color w:val="111111"/>
          <w:sz w:val="28"/>
          <w:sz w:val="28"/>
          <w:szCs w:val="28"/>
          <w:rtl w:val="true"/>
          <w:lang w:bidi="fa-IR"/>
        </w:rPr>
        <w:t>بإسناده عن الأعمش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وسندها قابل للاعتبار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الحسين بن خالد، عن أبي الحسن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وضع الأخبار عنا في الجبر والتشبيه، الغلاة الذين صغّروا </w:t>
      </w:r>
    </w:p>
    <w:p>
      <w:pPr>
        <w:pStyle w:val="BookText"/>
        <w:rPr/>
      </w:pPr>
      <w:r>
        <w:rPr>
          <w:rFonts w:ascii="Amiri" w:hAnsi="Amiri" w:eastAsia="Amiri" w:cs="Amiri"/>
          <w:color w:val="111111"/>
          <w:sz w:val="28"/>
          <w:sz w:val="28"/>
          <w:szCs w:val="28"/>
          <w:rtl w:val="true"/>
          <w:lang w:bidi="ar-SA"/>
        </w:rPr>
        <w:t>عظمة الله، فمن أحبهم فقد أبغضنا ومن أبغضهم فقد أحبنا، ومن والاهم فقد عادانا، ومن عاداهم فقد والانا، ومن قطعهم فقد وصلنا، ومن وصلهم فقد قطعنا، ومن جفاهم فقد برّنا، ومن برّهم فقد جفانا، ومن أكرمهم فقد أهاننا، ومن أهانهم فقد أكرمنا، ومن ردهم فقد قبلنا، ومن قبلهم فقد ردّنا، ومن أحسن إليهم فقد أساء إلينا، ومن أساء إليهم فقد أحسن إلينا، ومن صدّقهم فقد كذّبنا، ومن كذّبهم فقد صدّقنا، ومنأعطاهم فقد حرمنا، ومن حرمهم فقد أعطانا، يابن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شيعتنا فلا يتخذنّ منهم ولياً ولا نصيراً</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وهذه الرواية تامة الدلالة إلاّ أنها مختصة بالغلاة ولا تشمل جميع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روايات أخرى كثيرة، وبعضها صحيح السند وكلها تدل على حرمة موالاة الكفار، وأعداء الله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فيها أن الحب والبغض في الله، وهي كثيرة وقد تصل إلى سبعين رواية وبعضها صحيح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فيها من الروايات الدالة على حرمة التشبّه بالكفار، ويمكن الاستدلال بها بالملازمة على حرمة موالاتهم ومحبتهم، فإنه إذا كان التشبّه بهم حراماً فكذلك موالاتهم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دعوى التواتر الإجمالي للروايات الواردة في هذا المعنى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الإجماع فهو ثابت بحسب الظاهر، فإن المتسالم عليه عند الخاصة حرمة موالاة الكفار، وإن حرمتها شديدة وهكذا بالنسبة إلى العامة فإنه ورد عنهم حرمة موالاة الكفار، وهم وإن ناقشوا في التقية بأنها منحصرة في زمان الضعف وعدم الشوكة ولا تشمل جميع الأحوال، كما ذكر ذلك عن الحسن البصري وغيره، إلاّ أن نقاشهم في التقية بما هي تقية، أما مسألة الموالاة للكفار </w:t>
      </w:r>
    </w:p>
    <w:p>
      <w:pPr>
        <w:pStyle w:val="BookText"/>
        <w:rPr/>
      </w:pPr>
      <w:r>
        <w:rPr>
          <w:rFonts w:ascii="Amiri" w:hAnsi="Amiri" w:eastAsia="Amiri" w:cs="Amiri"/>
          <w:color w:val="111111"/>
          <w:sz w:val="28"/>
          <w:sz w:val="28"/>
          <w:szCs w:val="28"/>
          <w:rtl w:val="true"/>
          <w:lang w:bidi="ar-SA"/>
        </w:rPr>
        <w:t>فلا إشكال في حرمتها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فإجماع الطائفة المحقة ثابت على حرمة الموالاة للكفار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بعد ذلك إلى بيان الدليل العقلي فإن المهم هو ثبوت ذلك من الكتاب والسنة والتسالم عند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أنّا قد جعلنا الكلام في الأعم من الكفار وأهل الكتاب وإن كان المستفاد من آيات القرآن الكريم أن الكفار فئة أخرى غير أهل الكتاب، وإنما عمّمنا ذلك لأن بعض الأدلة شاملة لكلتا الفئتين وسيأتي بعض ما يتعلق بالمقام عند الكلام حول نجاسة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وهاهنا 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حرمة التولي مطلقة أو مقيدة بما يرتبط بعقيدتهم؟</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نحو الإطلاق كما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علىنحو التقييد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تقييد الحرمة بما تشعر به بعض الأدلة المتقدمة كما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الْكَافِرِينَ أَوْلِيَاءَ مِنْ دُونِ الْمُؤْمِنِينَ</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أي غير المؤمنين أو عند المؤمنين، وفي هذا إشعار بأن ولاء الكافر إنما حرم من جهة عقيدته، ومثلها في الإشعار بذلك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يَتَّخِذُونَ الْكَافِرِينَ أَوْلِيَاءَ</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فأخذ عنوان العدو أو عنوان المحادة لله يشعر أن التولي من هذه الجهة أي من جهة كونهم عدو أو كافرين أو محادين لله ورسوله، فتكون التقية </w:t>
      </w:r>
    </w:p>
    <w:p>
      <w:pPr>
        <w:pStyle w:val="BookText"/>
        <w:rPr/>
      </w:pPr>
      <w:r>
        <w:rPr>
          <w:rFonts w:ascii="Amiri" w:hAnsi="Amiri" w:eastAsia="Amiri" w:cs="Amiri"/>
          <w:color w:val="111111"/>
          <w:sz w:val="28"/>
          <w:sz w:val="28"/>
          <w:szCs w:val="28"/>
          <w:rtl w:val="true"/>
          <w:lang w:bidi="ar-SA"/>
        </w:rPr>
        <w:t>حينئذ لهذه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دلالة في هذه الآيات على التقييد بذلك، بل هي واردة في مقام بيان الحكمة في التحريم أي بما أنهم عدو أو كافرون أو محادون لله ولرسوله، وفي هذا تأكيد للحرمة وترغيب للانتهاء لا أن الحيثية 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الشك في ذلك فالأصل هو الأخذ بسائر الإطلاقات وهي الدلالة على الحرمة المطلقة والتولي المطلق، نعم إذا لم يكن هناك إطلاق وشككنا في أن ولاءهم هل هو من جهة الكفر أو غيرها، فهذه شبهة بدوية ونقتصر فيها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نرجع إلى الأصل العملي، وهو يقتضي البراءة بالنسبة إلى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الأصل اللفظي قائم في المقام فلا تصل النوبة إلى الأصل العملي، والأصل اللفظي يقتضي حرمة التولي مطلقاً من جهة العقيدة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الإطلاقات غير تامة لأن هنا رواية معارضة وهي ما أورده صاحب الوسائل، عن مستطرفات السرائر، نقلاً عن جامع البزنطي، عن أبي جعفر وأبي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لوم على من أحب قومه وإن كانوا كفاراً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إنه يبغضه في الله، ولا يواده ويأكله ولا يطعمه غيره من الناس</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فهذه الرواية معارضة للإطلاقات المتقدمة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هذه الرواية شيء وهو أن ظاهرها التنافي في المدلول، إلاّ أن يحمل الحب على الحب الظاهري، بمعنى أنّه لا يحبه واقعاً وإنما في الظاهر بمعاشرته لأنه من قومه، فيحمل بقرينة الذيل على هذا المعنى وإن كان ظاهر صدر الرواية </w:t>
      </w:r>
    </w:p>
    <w:p>
      <w:pPr>
        <w:pStyle w:val="BookText"/>
        <w:rPr/>
      </w:pPr>
      <w:r>
        <w:rPr>
          <w:rFonts w:ascii="Amiri" w:hAnsi="Amiri" w:eastAsia="Amiri" w:cs="Amiri"/>
          <w:color w:val="111111"/>
          <w:sz w:val="28"/>
          <w:sz w:val="28"/>
          <w:szCs w:val="28"/>
          <w:rtl w:val="true"/>
          <w:lang w:bidi="ar-SA"/>
        </w:rPr>
        <w:t>أنّ الحب هو الميل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ليست معارضة لتلك الروايات فإن حب الكفار ليس حباً واقعياً، فتكون الروايات المطلقة سليمة عن المعارض، والمستفاد منها الحرمة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الولاية للكافر هل هي مشروطة بالاتخاذ أم أنها مطلقة؟</w:t>
      </w:r>
    </w:p>
    <w:p>
      <w:pPr>
        <w:pStyle w:val="BookText"/>
        <w:rPr/>
      </w:pPr>
      <w:r>
        <w:rPr>
          <w:rFonts w:ascii="Amiri" w:hAnsi="Amiri" w:eastAsia="Amiri" w:cs="Amiri"/>
          <w:color w:val="111111"/>
          <w:sz w:val="28"/>
          <w:sz w:val="28"/>
          <w:szCs w:val="28"/>
          <w:rtl w:val="true"/>
          <w:lang w:bidi="ar-SA"/>
        </w:rPr>
        <w:t>والمفهوم من الآيات أنها مقيدة بالاتخاذ المفسر بالركون إليهم فأكثر الآيات الواردة اشتملت على النهي عن الاتخاذ، إلاّ في آية واحدة لم يرد فيها ذكر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ولا يخفى أن الاتخاذ غير التولي مفهوماً، والمنهي عنه في الآيات هو الاتخاذ فيمكن التفريق بينهما، وعليه فقد يقال بالتفصيل بين الاتخاذ ونفس التولي الذي هو الميل القلبي والمحبة، إلاّ أن الظاهر من الروايات عدم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الولاية هنا هي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ذلك في مطلع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أحب شيئاً تولاه، ويستفاد ذلك أيضاً من الروايات، وهو الظاهر من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تكون المحبة أمراً اختيارياً وإلاّ لما ساغ أن يتعلق به النهي، وأما ما ورد من الروايات التي يستفاد منها عدم الفرق بين الاتخاذ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رواية عمرو بن مدرك،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عرى الإيمان أوثق؟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وقال بعضهم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الصلاة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والعمرة،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ما قلتم فضل وليس به، ولكن أوثق عرى الإيمان الحب في الله، والبغضفي الله وتوالي أولياء الله، والتبري من أعداء الله</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والرواية ضعيفة السند بعمرو بن مدرك ورواها البرقي في المحاسن</w:t>
      </w:r>
      <w:r>
        <w:rPr>
          <w:rStyle w:val="FootnoteAnchor"/>
          <w:rtl w:val="true"/>
        </w:rPr>
        <w:footnoteReference w:id="226"/>
      </w:r>
      <w:r>
        <w:rPr>
          <w:rFonts w:ascii="Amiri" w:hAnsi="Amiri" w:eastAsia="Amiri" w:cs="Amiri"/>
          <w:color w:val="111111"/>
          <w:sz w:val="28"/>
          <w:sz w:val="28"/>
          <w:szCs w:val="28"/>
          <w:rtl w:val="true"/>
          <w:lang w:bidi="ar-SA"/>
        </w:rPr>
        <w:t>بنفس السند كما رواها الصدوق في معاني الأخبار</w:t>
      </w:r>
      <w:r>
        <w:rPr>
          <w:rStyle w:val="FootnoteAnchor"/>
          <w:rtl w:val="true"/>
        </w:rPr>
        <w:footnoteReference w:id="227"/>
      </w:r>
      <w:r>
        <w:rPr>
          <w:rFonts w:ascii="Amiri" w:hAnsi="Amiri" w:eastAsia="Amiri" w:cs="Amiri"/>
          <w:color w:val="111111"/>
          <w:sz w:val="28"/>
          <w:sz w:val="28"/>
          <w:szCs w:val="28"/>
          <w:rtl w:val="true"/>
          <w:lang w:bidi="ar-SA"/>
        </w:rPr>
        <w:t>بسند ينتهي إلى علي بن مروك</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يوسف بن محمّد بن زياد، وعلي بن محمّد بن سيار، عن أبويهما، عن الحسن بن علي العسكري،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أصحابه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احبب في الله وابغض في الله، ووال في الله وعاد في الله، فإنه 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تنال ولاية الله إلاّ بذلك، ولا يجد رجل طعم الإيمان وإن كثرت صلاته وصيامه حتى يكون كذلك، وقد صارت مواخاة الناس يومكم هذا أكثرها في الدنيا عليها يتوادون وعليها يتباغضون وذلك لا يغني عنهم من الله شيئاً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فكيف لي أن أعلم أني واليت في الله وعاديت في الله؟ ومن ولي الله حتى أواليه ومن عدوه حتى أعاديه؟ فأشار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هذا ولي الله فواله، وعدو هذا عدو الله فعاده، وال ولي هذا ولو أنّه قاتل أبيك وولدك، وعاد عدو هذا ولو أنّه أبوك أو ولدك</w:t>
      </w:r>
      <w:r>
        <w:rPr>
          <w:rStyle w:val="FootnoteAnchor"/>
          <w:rtl w:val="true"/>
        </w:rPr>
        <w:footnoteReference w:id="22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الرواية واردة في التفسير المنسوب إلى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سنده كلام ذكرناه في محله</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الحسن بن علي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ممن ينتحل مودتنا أهل البيت من هو أشد فتنة على شيعتنا من الدجّال،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بموالاة أعدائنا ومعاداة أوليائنا، إنه إذا كان كذلك اختلط الحق بالباطل واشتبه الأمر فلم يعرف مؤمن من منافق</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وهذه الرواية معتبرة السند واضحة الدلالة وقد تقدم ذكرها في 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ابن فضال،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 أعداء الله فقدعادى أولياء الله، ومن عادى أولياء الله فقد عادى الله، وحق على الله أن يدخله نار جهنم</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ودلالتها تامة فإنها مطلقة تشمل الاتخاذ وعدمه، وقد ذكرنا هذه الرواية أيضاً فيما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أخرى وقد تقدم ذكرها أيضاً وهي رواية العلاء بن الفضيل عن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كافراً فقد أبغض الله، ومن أبغض كافراً فقد أحب الله،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عدو الله عدو الله</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رواية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إلى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أولياء الله واجب، وكذلك بغض أعداء الله، والبراءة منهم ومن أئمتهم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الروايات وفيها الصحاح وغيرها وكلها مطلقة شاملة للاتخاذ وغيره فيمكن على فرض التقييد بالاتخاذ الجمع بجعل الاتخاذ مقدمة للموالاة وعليه فلا تنافي بين الآيات والروايات</w:t>
      </w:r>
      <w:r>
        <w:rPr>
          <w:rFonts w:eastAsia="Amiri" w:cs="Amiri" w:ascii="Amiri" w:hAnsi="Amiri"/>
          <w:color w:val="111111"/>
          <w:sz w:val="28"/>
          <w:szCs w:val="28"/>
          <w:rtl w:val="true"/>
          <w:lang w:bidi="ar-SA"/>
        </w:rPr>
        <w:t xml:space="preserve">. </w:t>
      </w:r>
      <w:bookmarkStart w:id="157" w:name="pg16387_188166"/>
    </w:p>
    <w:p>
      <w:pPr>
        <w:pStyle w:val="Heading3"/>
        <w:numPr>
          <w:ilvl w:val="2"/>
          <w:numId w:val="1"/>
        </w:numPr>
        <w:rPr/>
      </w:pPr>
      <w:bookmarkStart w:id="158" w:name="__RefHeading___Toc6877753_1280447820"/>
      <w:bookmarkStart w:id="159" w:name="_Toc54"/>
      <w:bookmarkEnd w:id="157"/>
      <w:bookmarkEnd w:id="158"/>
      <w:r>
        <w:rPr>
          <w:rtl w:val="true"/>
        </w:rPr>
        <w:t>المورد الثاني</w:t>
      </w:r>
      <w:r>
        <w:rPr>
          <w:rtl w:val="true"/>
        </w:rPr>
        <w:t xml:space="preserve">: </w:t>
      </w:r>
      <w:r>
        <w:rPr>
          <w:rtl w:val="true"/>
        </w:rPr>
        <w:t>في التسليم على الكفار ابتداء</w:t>
      </w:r>
      <w:r>
        <w:rPr>
          <w:rtl w:val="true"/>
        </w:rPr>
        <w:t>:</w:t>
      </w:r>
      <w:bookmarkEnd w:id="159"/>
    </w:p>
    <w:p>
      <w:pPr>
        <w:pStyle w:val="BookText"/>
        <w:rPr/>
      </w:pPr>
      <w:r>
        <w:rPr>
          <w:rFonts w:ascii="IRNazanin" w:hAnsi="IRNazanin" w:eastAsia="IRNazanin"/>
          <w:color w:val="111111"/>
          <w:sz w:val="28"/>
          <w:sz w:val="28"/>
          <w:szCs w:val="28"/>
          <w:rtl w:val="true"/>
          <w:lang w:bidi="fa-IR"/>
        </w:rPr>
        <w:t xml:space="preserve">لقد وردت عدة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صحيح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تنهى عن التسليم عليهم،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غياث بن إبراهيم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تبدؤا أهل الكتاب بالتسليم، وإذا سلموا عليكم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ويؤيدها رواية أبي البختري، عن جعفر بن محمد، عن أبيه،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تبدؤا أهل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اليهود والنصارى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بالسلام، وإن سلموا عليكم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ولا تصافحوهم ولا تكنوهم إلاّ أن تضطروا إلى ذلك</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الجعفريات بسنده عن جعفر بن محمّد عن أبيه عن جده عليبن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يهود خيبر يريدون أن يلقوكم فلا تبدؤوهم بالسلام،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فإن سلموا علينا فما نرد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ورواية الدعائم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النزول على أهل الكنائس في كنائسهم،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اللعنة تنزل عليهم ونهى أن يبدؤوا بالسلام وإن بدرهم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w:t>
      </w:r>
      <w:r>
        <w:rPr>
          <w:rStyle w:val="FootnoteAnchor"/>
          <w:rtl w:val="true"/>
        </w:rPr>
        <w:footnoteReference w:id="23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يستفاد من بعض الروايات الكراهة، كما في رواية المستطرفات نقلاً عن رواية أبي القاسم بن قولويه، 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لا ينبغي أن تسلم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والنصارى، وأصحاب النرد، والشطرنج، وأصحاب خمر وبربط وطنبور، والمتفكهين بسب الأمهات والشعراء</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والمستفاد من هذه الرواية هو الكراهة لاشتمالها على ما ليس بمحرم قطعاً كالسلام على الشعراء والمتفكهين وورود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الكراهة في جميع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يستدل به على الكراهة أيضاً، ما ورد في كتاب محمّد بن مثنى الحضرمي، عن جعفر بن شريح الحضرمي، عن ذريح المحاربي،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التسليم على اليهودي والنصراني والرد عليهم في الكتب؟ فكره ذلك كله</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ولكن يمكن الخدشة في كلتا الروايتين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السند فكلتاهما ضعيفتان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 ففي الأولى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في الجمع بين موارد الحرمة والكراهة في سياق واحد،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يرد ويراد منه الحرمة كما وقع نظيره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قد تطلق ويراد منها الحرمة،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الرواية هو الكتابة، وهي مما استثني كما سيأتي، ولكن عمدة الإشكال ضعف سند الروايتين، نعم ورد في صحيحة عبد الرحمن بنالحجاج كما سيأتي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 لا ينفعه دعاؤك</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وهذا التعليل وإن كان وارداً في مقام الحاجة إلى الكافر ولكنه عام يشمل كلتا الحالتين، وبناء على ذلك فيقوى القول بالكراهة كما هو المشهور بين الفقهاء، وعلى فرض الشك فمقتضى البراءة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تقدم هو رفع اليد عن ظاهر الرواية الناهية وحملها على الكراهة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رواية أبي البختري عدم جواز المصافحة وتسميتهم </w:t>
      </w:r>
    </w:p>
    <w:p>
      <w:pPr>
        <w:pStyle w:val="BookText"/>
        <w:rPr/>
      </w:pPr>
      <w:r>
        <w:rPr>
          <w:rFonts w:ascii="IRNazanin" w:hAnsi="IRNazanin" w:eastAsia="IRNazanin"/>
          <w:color w:val="111111"/>
          <w:sz w:val="28"/>
          <w:sz w:val="28"/>
          <w:szCs w:val="28"/>
          <w:rtl w:val="true"/>
          <w:lang w:bidi="fa-IR"/>
        </w:rPr>
        <w:t xml:space="preserve">بالكنى، ويدل على الأول صحيحة الحسين بن زيد، عن الصادق، عن آبائه،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مصافحة الذمي</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ويمكن أن يحمل النهي هنا على التنزيه أو على الاجتناب عنهم من جهة نجاستهم وملاقاتهم مع الرطوبة وسيأتي تفصيل ذلك في المسألة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ويستثنى من ذلك ما إذا دعت الحاجة إلى الكافر، فيجوز السلام عليه والدعاء له بلا فرق بين المشافهة والكتابة، ويدل على الأول ما ورد في صحيحة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احتجت إلى طبيب وهو نصراني أسلم عليه وأدعو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لا ينفعه دعاؤك</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وفي رواية محمّد بن عرفة،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لكيفية الدعاء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أدعو لليهودي والنصراني؟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 في دنياك</w:t>
      </w:r>
      <w:r>
        <w:rPr>
          <w:rStyle w:val="FootnoteAnchor"/>
          <w:rtl w:val="true"/>
        </w:rPr>
        <w:footnoteReference w:id="24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الثاني ما رواه أبو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تكون له الحاجة إلى المجوسي أو إلى اليهودي أو إلى النصراني أو أن يكون عاملاً دهقاناً من عظماء أهل أرضه فيكتب إليه الرجل في الحاجة العظيمة أيبدأ بالعلج ويسلّم عليه في كتابه وإنما يصنع ذلك لكي تقضى حاجته؟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تبدأ به فلا ولكن تسلم عليه في كتابك،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يكتب إلى كسرى وقيصر</w:t>
      </w:r>
      <w:r>
        <w:rPr>
          <w:rStyle w:val="FootnoteAnchor"/>
          <w:rtl w:val="true"/>
        </w:rPr>
        <w:footnoteReference w:id="245"/>
      </w:r>
      <w:r>
        <w:rPr>
          <w:rFonts w:ascii="Amiri" w:hAnsi="Amiri" w:eastAsia="Amiri" w:cs="Amiri"/>
          <w:color w:val="111111"/>
          <w:sz w:val="28"/>
          <w:sz w:val="28"/>
          <w:szCs w:val="28"/>
          <w:rtl w:val="true"/>
          <w:lang w:bidi="ar-SA"/>
        </w:rPr>
        <w:t>وقد عنون صاحب الوسائل الباب بما إذا كانت الحاجة لأهل الذمة، إلاّ أن الروايات مطلقة تشمل الكافر أيضاً</w:t>
      </w:r>
      <w:r>
        <w:rPr>
          <w:rFonts w:eastAsia="Amiri" w:cs="Amiri" w:ascii="Amiri" w:hAnsi="Amiri"/>
          <w:color w:val="111111"/>
          <w:sz w:val="28"/>
          <w:szCs w:val="28"/>
          <w:rtl w:val="true"/>
          <w:lang w:bidi="ar-SA"/>
        </w:rPr>
        <w:t xml:space="preserve">. </w:t>
      </w:r>
      <w:bookmarkStart w:id="160" w:name="pg16387_188169"/>
    </w:p>
    <w:p>
      <w:pPr>
        <w:pStyle w:val="Heading3"/>
        <w:numPr>
          <w:ilvl w:val="2"/>
          <w:numId w:val="1"/>
        </w:numPr>
        <w:rPr/>
      </w:pPr>
      <w:bookmarkStart w:id="161" w:name="__RefHeading___Toc6877755_1280447820"/>
      <w:bookmarkStart w:id="162" w:name="_Toc55"/>
      <w:bookmarkEnd w:id="160"/>
      <w:bookmarkEnd w:id="161"/>
      <w:r>
        <w:rPr>
          <w:rtl w:val="true"/>
        </w:rPr>
        <w:t>المورد الثالث</w:t>
      </w:r>
      <w:r>
        <w:rPr>
          <w:rtl w:val="true"/>
        </w:rPr>
        <w:t xml:space="preserve">: </w:t>
      </w:r>
      <w:r>
        <w:rPr>
          <w:rtl w:val="true"/>
        </w:rPr>
        <w:t>في إطعام الكفار</w:t>
      </w:r>
      <w:r>
        <w:rPr>
          <w:rtl w:val="true"/>
        </w:rPr>
        <w:t>:</w:t>
      </w:r>
      <w:bookmarkEnd w:id="162"/>
    </w:p>
    <w:p>
      <w:pPr>
        <w:pStyle w:val="BookText"/>
        <w:rPr/>
      </w:pPr>
      <w:r>
        <w:rPr>
          <w:rFonts w:ascii="IRNazanin" w:hAnsi="IRNazanin" w:eastAsia="IRNazanin"/>
          <w:color w:val="111111"/>
          <w:sz w:val="28"/>
          <w:sz w:val="28"/>
          <w:szCs w:val="28"/>
          <w:rtl w:val="true"/>
          <w:lang w:bidi="fa-IR"/>
        </w:rPr>
        <w:t>وقد وردت فيه عدة 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أشبع مؤمناً وجبت له الجنة، ومن أشبع كافراً كان حقاً على الله أن يملأ جوفه من الزقوم، مؤمناً كان أو كافراً</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وهذه الرواية تفيد النهي ولكن عن الإشباع لا مجرد الأكل، كما أن الظاهر منها أن الإشباع منهي عنه مطلقاً أي سواء كان بالمباشرة أو مع الواسطة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معاني الأخبار عن محمّد بن علي ماجيلويه عن عمه محمّد بن أبي القاسم عن النهيكي 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مثالاً أو اقتنى كلباً فقد خرج من الإسلام،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إذاً كثير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عنيت بقولي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مثالاً، من نصب ديناً غير دين الله ودعا الناس إليه، وبقولي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اقتنى كلباً، مبغضاً لأهل البيت اقتناه فأطعمه وسقاه، من فعل ذلك فقد خرج من الإسلام</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والرواية وردت في المبغض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أخص من الكافر وموضوعه الاقتناء، والاقتناء يراد به الملك، وقد يراد به الاختيار، كما أن المقصود هو الأكثر من الإشباع</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محمّد بن علي ماجيلويه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معلى بن خنيس،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الناصب من نصب لنا أهل البيت، لأنك لا تجد أحداً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أبغض محمداً وآل محمد، ولكنّ الناصب من نصب لكم وهو يعلم أنكم تتولونا وتبرؤن من أعدائنا،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أشبع عدواً لنا فقد قتل وليّاً لنا</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وهناك روايات أخرى في المقام إلاّ أن العمدة هذه الروايات الثلاث ويمكن الاستدلال بها على حرمة إشباع الكافر، والرواية الأولى صريحة في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هذه الروايات الثلاث كلها ضعاف فالأولى مرسلة، والثانية مرفوعة، والثالثة فيها محمّد بن علي ماجيلويه ولم يرد فيه التوثيق، نعم هو أحد مشايخ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الرواية عنه في الفقيه وغيره مترضياً عليه</w:t>
      </w:r>
      <w:r>
        <w:rPr>
          <w:rStyle w:val="FootnoteAnchor"/>
          <w:rtl w:val="true"/>
        </w:rPr>
        <w:footnoteReference w:id="249"/>
      </w:r>
      <w:r>
        <w:rPr>
          <w:rFonts w:ascii="Amiri" w:hAnsi="Amiri" w:eastAsia="Amiri" w:cs="Amiri"/>
          <w:color w:val="111111"/>
          <w:sz w:val="28"/>
          <w:sz w:val="28"/>
          <w:szCs w:val="28"/>
          <w:rtl w:val="true"/>
          <w:lang w:bidi="ar-SA"/>
        </w:rPr>
        <w:t>، فيمكن الحكم بوثاقته، إلاّ أن الرواية اشتملت على محمّد بن علي وهو الصيرفي المعروف بأبي سمينة، فإن محمّد بن أبي القاسم يروي عن الصيرفي</w:t>
      </w:r>
      <w:r>
        <w:rPr>
          <w:rStyle w:val="FootnoteAnchor"/>
          <w:rtl w:val="true"/>
        </w:rPr>
        <w:footnoteReference w:id="250"/>
      </w:r>
      <w:r>
        <w:rPr>
          <w:rFonts w:ascii="Amiri" w:hAnsi="Amiri" w:eastAsia="Amiri" w:cs="Amiri"/>
          <w:color w:val="111111"/>
          <w:sz w:val="28"/>
          <w:sz w:val="28"/>
          <w:szCs w:val="28"/>
          <w:rtl w:val="true"/>
          <w:lang w:bidi="ar-SA"/>
        </w:rPr>
        <w:t>، وعليه فالرواية ضعيفة لا يمكن الاستناد إليها، وفي مقابل هذه الروايات وردت الآية الشريفة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الكافر غير حربي فلا نهي عن برّه والقسط له، وبناء على اعتبار الروايات فيمكن التخصيص بالإشباع، وأما إذا قلنا بعدم اعتبارها كما هو الظاهر فلا يمكن القول بأن إشباع الكافر حرام، وقد ذهب بعضهم إلى القول بالكراهة، وأما الإطعام ودعوته للأكل فقد صُرّح في بعض الروايات بجوازه كما تقدم في المسألة المتقدمة</w:t>
      </w:r>
      <w:r>
        <w:rPr>
          <w:rFonts w:eastAsia="Amiri" w:cs="Amiri" w:ascii="Amiri" w:hAnsi="Amiri"/>
          <w:color w:val="111111"/>
          <w:sz w:val="28"/>
          <w:szCs w:val="28"/>
          <w:rtl w:val="true"/>
          <w:lang w:bidi="ar-SA"/>
        </w:rPr>
        <w:t xml:space="preserve">. </w:t>
      </w:r>
      <w:bookmarkStart w:id="163" w:name="pg16387_188171"/>
    </w:p>
    <w:p>
      <w:pPr>
        <w:pStyle w:val="Heading3"/>
        <w:numPr>
          <w:ilvl w:val="2"/>
          <w:numId w:val="1"/>
        </w:numPr>
        <w:rPr/>
      </w:pPr>
      <w:bookmarkStart w:id="164" w:name="__RefHeading___Toc6877757_1280447820"/>
      <w:bookmarkStart w:id="165" w:name="_Toc56"/>
      <w:bookmarkEnd w:id="163"/>
      <w:bookmarkEnd w:id="164"/>
      <w:r>
        <w:rPr>
          <w:rtl w:val="true"/>
        </w:rPr>
        <w:t>المورد الرابع</w:t>
      </w:r>
      <w:r>
        <w:rPr>
          <w:rtl w:val="true"/>
        </w:rPr>
        <w:t xml:space="preserve">: </w:t>
      </w:r>
      <w:r>
        <w:rPr>
          <w:rtl w:val="true"/>
        </w:rPr>
        <w:t>في دخول الكفار إلى المساجد</w:t>
      </w:r>
      <w:r>
        <w:rPr>
          <w:rtl w:val="true"/>
        </w:rPr>
        <w:t>:</w:t>
      </w:r>
      <w:bookmarkEnd w:id="165"/>
    </w:p>
    <w:p>
      <w:pPr>
        <w:pStyle w:val="Heading4"/>
        <w:numPr>
          <w:ilvl w:val="3"/>
          <w:numId w:val="1"/>
        </w:numPr>
        <w:rPr/>
      </w:pPr>
      <w:bookmarkStart w:id="166" w:name="__RefHeading___Toc6877759_1280447820"/>
      <w:bookmarkStart w:id="167" w:name="_Toc57"/>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ويقع الكلام فيه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الدخول في المسجد الحرام، ولا إشكال في حرمة دخولهم فيه لصريح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 )</w:t>
      </w:r>
      <w:r>
        <w:rPr>
          <w:rStyle w:val="FootnoteAnchor"/>
          <w:rtl w:val="true"/>
        </w:rPr>
        <w:footnoteReference w:id="252"/>
      </w:r>
      <w:r>
        <w:rPr>
          <w:rFonts w:ascii="Amiri" w:hAnsi="Amiri" w:eastAsia="Amiri" w:cs="Amiri"/>
          <w:color w:val="111111"/>
          <w:sz w:val="28"/>
          <w:sz w:val="28"/>
          <w:szCs w:val="28"/>
          <w:rtl w:val="true"/>
          <w:lang w:bidi="ar-SA"/>
        </w:rPr>
        <w:t>مضافاً إلى عدم الخلاف فيه، بل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إجماعي بين المسلمين محصّلاً ومحكيّاً مستفيضاً، بلا فرق بين اللبث وعدمه، ولا بين تعدي النجاسة وعدمها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الدخول في المساجد غير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عند الخاصة عدم الجواز بل ادعي الإجماع عليه، كما عن الشهيد</w:t>
      </w:r>
      <w:r>
        <w:rPr>
          <w:rStyle w:val="FootnoteAnchor"/>
          <w:rtl w:val="true"/>
        </w:rPr>
        <w:footnoteReference w:id="254"/>
      </w:r>
      <w:r>
        <w:rPr>
          <w:rFonts w:ascii="IRNazanin" w:hAnsi="IRNazanin" w:eastAsia="IRNazanin"/>
          <w:color w:val="111111"/>
          <w:sz w:val="28"/>
          <w:sz w:val="28"/>
          <w:szCs w:val="28"/>
          <w:rtl w:val="true"/>
          <w:lang w:bidi="fa-IR"/>
        </w:rPr>
        <w:t xml:space="preserve">، وفي كنز العرفان أنّه الموافق لنصوص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بلعن المنتهى نسبته إلى مذهب أكثر أهل العلم</w:t>
      </w:r>
      <w:r>
        <w:rPr>
          <w:rStyle w:val="FootnoteAnchor"/>
          <w:rtl w:val="true"/>
        </w:rPr>
        <w:footnoteReference w:id="25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العامة فالمشهور عندهم هو الجواز،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للمشركين دخول المسجد الحرام ولا شيء من المساجد لا بإذن ولا بغير إذن، وبه قال مالك،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لهم أن يدخلوا المسجد الحرام بحال لا بإذن الإمام ولا بغير إذنه، وما عداه من المساجد لا بأس أن يدخلوها بالإذن،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الحرم والمسجد الحرام وكل المساجد بإذن</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وقال العلامة في 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لأحد من المشركين دخول المساجد مطلقاً سواء أذن له المسلم أو لا، ولا يجوز للمسلم الإذن فيه، وبه قال مالك،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يَقْرَبُوا الْمَسْجِدَ الْحَرَامَ بَعْدَ عَامِهِمْ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وغيره من المساجد مشاركة له في كونه مسجداً،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مساجدكم النجاسة، 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الْمُشْرِكُونَ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له دخول المسجد الحرام بكل حال، ويجوز له دخول غيره بإذن المسلمين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المشركين في المسجد، وربط تمامة بن أثال الحنفي في سارية المسجد وهو كافر، ونمنع ذلك بعد التحريم، 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له دخول الحرمين، وفي سائر المساجد روايتان المنع والجواز بالإذن، وقال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له دخول سائر المساجد والمسجد الحرام أيضاً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المسجد فهو آمن، وهو خطاب للمشركين، وأنه مسجد كسائر المساجد، والآية ناسخة لقول أبي حنيفة</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والذي يظهر من كلماتهم أن المشهور عندهم هو الجواز مطلقاً أو مع الإذن، بل يظهر من بعضهم الخلاف في المسجد الحرام أيضاً، وأما المشهور عندنا فهو المنع وعدم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ذلك مضافاً إلى دعوى الإجماع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الْمُشْرِكُونَ نَجَسٌ فَلا يَقْرَبُوا الْمَسْجِدَ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القول بالفصل بين المسجد الحرام وبين غيره للاشتراك في كون الجميع مساجد وبيوتاً لله تعالى وأماكن لعبادته، كما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في ذلك بين كونه من جهة نجاستهم أو 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بالتعميم من جهة نجاستهم المصرح بها في الآية الشريفة، </w:t>
      </w:r>
    </w:p>
    <w:p>
      <w:pPr>
        <w:pStyle w:val="BookText"/>
        <w:rPr/>
      </w:pPr>
      <w:r>
        <w:rPr>
          <w:rFonts w:ascii="IRNazanin" w:hAnsi="IRNazanin" w:eastAsia="IRNazanin"/>
          <w:color w:val="111111"/>
          <w:sz w:val="28"/>
          <w:sz w:val="28"/>
          <w:szCs w:val="28"/>
          <w:rtl w:val="true"/>
          <w:lang w:bidi="fa-IR"/>
        </w:rPr>
        <w:t>فيستفاد المنع، إما من التفريع في الآية من أن كل نجس لا يجوز له أن يقرب المسجد، وإما من النجاسة التي لا يجوز إدخالها المسجد لصريح الروايات الواردة في المنع، وهي عدة 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إسحاق بن عمار 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في مكان بيننا وبين المسجد زقاق قذر، فدخلت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نزلتم؟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دار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بينكم وبين المسجد زقاقاً قذراً أو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بيننا وبين المسجد زقاقاً قذراً؟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 الأرض تطهر بعضها بعضاً،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والسرقين الرطب أطأ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يضرك مثله</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والمستفاد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إدخال النجاسة إلى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آخر السرائر نقلاً عن نوادر البزنطي بسنده عن محمّد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طريقي إلى المسجد في زقاق يبال فيه فربما مررت فيه وليس علي حذاء فيلصق برجلي من نداوته؟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تمشي بعد ذلك في أرض يابسة؟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إن الأرض تطهر بعضها بعضاً،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فأطأ على الروث الرطب؟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أنا والله ربما وطأت عليه، ثمّ أصلي ولا أغسله</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النبوي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مساجدكم النجاسة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الدابة تبول فتصيب بولها المسجد أو حائطه أيصلّى فيه قبل أن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 فلا بأس</w:t>
      </w:r>
      <w:r>
        <w:rPr>
          <w:rStyle w:val="FootnoteAnchor"/>
          <w:rtl w:val="true"/>
        </w:rPr>
        <w:footnoteReference w:id="26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السؤال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المرتكز في أذهان المتشرعة وجوب </w:t>
      </w:r>
    </w:p>
    <w:p>
      <w:pPr>
        <w:pStyle w:val="BookText"/>
        <w:rPr/>
      </w:pPr>
      <w:r>
        <w:rPr>
          <w:rFonts w:ascii="IRNazanin" w:hAnsi="IRNazanin" w:eastAsia="IRNazanin"/>
          <w:color w:val="111111"/>
          <w:sz w:val="28"/>
          <w:sz w:val="28"/>
          <w:szCs w:val="28"/>
          <w:rtl w:val="true"/>
          <w:lang w:bidi="fa-IR"/>
        </w:rPr>
        <w:t xml:space="preserve">إزالة النجاسة عن المسجد، هذا من جانب ومن جانب آخر وجود الملازمة بين وجوب تطهير النجاسة عن المسجد وحرمة تنجيسه، فيظهر من الرواية أن هذين الأمرين كانا مركوزين في أذهانهم، وأنهما حكمان قطعيان عندهم، والسؤال إنما هو عن وقت ذلك، ولذا لم يردع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من هذا الاعتقاد والارتكاز، وإن كان مورد الرواية هو بول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الرواية وإن كانت معتبرة سنداً إلاّ أنها نوقشت من حيث الدلالة بأنه لم يظهر منها وجه السؤال وهل هو من جهة اللزوم أو الاستحباب، إذ من المحتمل أن بول الدابة من المستقذرات، والسائل إنما سأل عن أفضلية الصلاة أو التطهير قبلها، ولذلك 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 فلا بأس، ولو كان نجساً فالجفاف لا ينفع بل لابد من التطهير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الروايات المستفيضة في جواز اتخاذ الكنيف مسجداً بعد تنظيفه ومواراته بالتراب</w:t>
      </w:r>
      <w:r>
        <w:rPr>
          <w:rStyle w:val="FootnoteAnchor"/>
          <w:rtl w:val="true"/>
        </w:rPr>
        <w:footnoteReference w:id="263"/>
      </w:r>
      <w:r>
        <w:rPr>
          <w:rFonts w:ascii="Amiri" w:hAnsi="Amiri" w:eastAsia="Amiri" w:cs="Amiri"/>
          <w:color w:val="111111"/>
          <w:sz w:val="28"/>
          <w:sz w:val="28"/>
          <w:szCs w:val="28"/>
          <w:rtl w:val="true"/>
          <w:lang w:bidi="ar-SA"/>
        </w:rPr>
        <w:t>، ولا بأس بالاستدلال بها على اعتبار طهارة المسجد، هذا ولكن يمكن المناقشة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الوجه الأول فبعدم إحراز الاشتراك، إذ من الواضح أن بعض الأحكام تختص بالمسجد الحرام دون غيره من المساجد ولعل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الوجه الثاني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التفريع المذكور في الآية إنما يتم ذلك بناء على تمامية الصغرى، وهو الحكم بنجاستهم الذاتية، والحال أن المسألة محل خلاف</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الجواب عن الروايات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يعلم من روايتي الحلبي أن الوجه في السؤال هو دخول المسجد أو الصلاة في النجاسة، بل المستفاد من ذيل الرواية الثانية أن السؤال من جهة الصلاة فيها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ربما وطأت عليه ثمّ أصلي ولا أغسله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يحرز أن ذلك من جهة السراية أو مطلقاً أي حتى إذا كانت جافة ولم تتعد، وبذلك يمكن الجواب عن الروايات المستفيضة الدالة على جواز اتخاذ الكنيف مسجداً بعد تنظيفه وردمه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على فرض تمامية دلالتها فهي إنما تدل على الحرمة فيما إذا كانت النجاسة مسرية وموجبة للتعدي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الرواية الثالثة فهي مضافاً إلى إرسالها لم يعلم عمل الأصحاب عليها، لأن غير واحد حمل المساجد فيها على مواضع السجود</w:t>
      </w:r>
      <w:r>
        <w:rPr>
          <w:rStyle w:val="FootnoteAnchor"/>
          <w:rtl w:val="true"/>
        </w:rPr>
        <w:footnoteReference w:id="264"/>
      </w:r>
      <w:r>
        <w:rPr>
          <w:rFonts w:ascii="IRNazanin" w:hAnsi="IRNazanin" w:eastAsia="IRNazanin"/>
          <w:color w:val="111111"/>
          <w:sz w:val="28"/>
          <w:sz w:val="28"/>
          <w:szCs w:val="28"/>
          <w:rtl w:val="true"/>
          <w:lang w:bidi="fa-IR"/>
        </w:rPr>
        <w:t xml:space="preserve">إلاّ أن في هذا الحمل بعداً لورود نظير هذا المعنى في الروايات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جنبوا مساجدكم صبيانكم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الوجه الثاني الاستدلال بالروايات الخاصة الواردة في المقام،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المستدرك عن الجعفريات بسنده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لتمنعن من مساجدكم يهودكم ونصاراكم وصبيانكم أو ليمسخنكم الله قردة أو خنازير ركعاً أو سجداً</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ورواها السيد الراوندي في نوادره وصاحب الدعائم في دعائمه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وإن جمع فيها بين الكفار والصبيان في الحكم إلاّ أن هذا ليس دليلاً على الكراهة، فإن الجمع بينها وبين الحرمة في الأخبار غير عزيز، وإنما الإشكال في سند الرواية فإن الطريق إلى الجعفريات غير ثابت، وطريق الراوندي غير معتبر، ومثله في عدم الثبوت الطريق إلى روايات الدعائم، وقد حققنا ذلك في محلّه من علم الرجال</w:t>
      </w:r>
      <w:r>
        <w:rPr>
          <w:rStyle w:val="FootnoteAnchor"/>
          <w:rtl w:val="true"/>
        </w:rPr>
        <w:footnoteReference w:id="267"/>
      </w:r>
      <w:r>
        <w:rPr>
          <w:rFonts w:ascii="Amiri" w:hAnsi="Amiri" w:eastAsia="Amiri" w:cs="Amiri"/>
          <w:color w:val="111111"/>
          <w:sz w:val="28"/>
          <w:sz w:val="28"/>
          <w:szCs w:val="28"/>
          <w:rtl w:val="true"/>
          <w:lang w:bidi="ar-SA"/>
        </w:rPr>
        <w:t xml:space="preserve">، وبناء على ذلك فلا يمكن الاعتماد على هذه </w:t>
      </w:r>
    </w:p>
    <w:p>
      <w:pPr>
        <w:pStyle w:val="BookText"/>
        <w:rPr/>
      </w:pPr>
      <w:r>
        <w:rPr>
          <w:rFonts w:ascii="Amiri" w:hAnsi="Amiri" w:eastAsia="Amiri" w:cs="Amiri"/>
          <w:color w:val="111111"/>
          <w:sz w:val="28"/>
          <w:sz w:val="28"/>
          <w:szCs w:val="28"/>
          <w:rtl w:val="true"/>
          <w:lang w:bidi="ar-SA"/>
        </w:rPr>
        <w:t>الرواية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دخولهم الإهانة والهتك لحرمة المساجد، وهي بيوت الله وأماكن عبادته، وبناء على أن كلما يوجب إهانة وهتكاً بالمسجد فلا يجوز إدخاله فيه، وهذا الوجه وإن كان تاماً من جهة الكبرى إلاّ أن الكلام فيه من جهة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تبين أنّه يحكم بعدم جواز الدخول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الدخول موجباً للهتك والإهانة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إذا كان الدخول موجباً لسراية النجاسة وتلويثهم المسجد بها كما أفاده السيد الأستاذ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وها هنا وجه آخر يمكن جعله مانعاً مطلقاً من دخولهم المساجد وهو أن الكفار لما كانوا لا يغتسلون عن الجنابة فهم محكمون بحدثها، ومن المعلوم عدم جواز دخول المحدث بالجنابة في المسجد كما لا يجوز تمكينهم من الدخول في صورة العلم بذلك على وجه، وهذا لا يبتني على شيء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ما يمكن أن يستدل به على الحكم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على ما تقدم مما اخترناه من دلالة الآية الشريفة على النجاسة، وهي المناط في عدم دخولهم المسجد الحرام، فالمستفاد أن النجس لا يجوز دخوله أو إدخاله المسجد، ولا يفرق فيه بين مسجد وآخر، فمن هذه الجهة يقوى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إدخال النجاسة في المسجد مطلقاً شركاً كان أو غيره من النجاسات، نعم بالنسبة إلى غير الشرك يبتني الحكم فيهعلى القول بالنجاسة كما تقدم</w:t>
      </w:r>
      <w:r>
        <w:rPr>
          <w:rFonts w:eastAsia="Amiri" w:cs="Amiri" w:ascii="Amiri" w:hAnsi="Amiri"/>
          <w:color w:val="111111"/>
          <w:sz w:val="28"/>
          <w:szCs w:val="28"/>
          <w:rtl w:val="true"/>
          <w:lang w:bidi="ar-SA"/>
        </w:rPr>
        <w:t xml:space="preserve">. </w:t>
      </w:r>
      <w:bookmarkStart w:id="168" w:name="pg16387_188177"/>
    </w:p>
    <w:p>
      <w:pPr>
        <w:pStyle w:val="Heading4"/>
        <w:numPr>
          <w:ilvl w:val="3"/>
          <w:numId w:val="1"/>
        </w:numPr>
        <w:rPr/>
      </w:pPr>
      <w:bookmarkStart w:id="169" w:name="__RefHeading___Toc6877761_1280447820"/>
      <w:bookmarkStart w:id="170" w:name="_Toc58"/>
      <w:bookmarkEnd w:id="168"/>
      <w:bookmarkEnd w:id="169"/>
      <w:r>
        <w:rPr>
          <w:rtl w:val="true"/>
        </w:rPr>
        <w:t>مسائل</w:t>
      </w:r>
      <w:r>
        <w:rPr>
          <w:rtl w:val="true"/>
        </w:rPr>
        <w:t>:</w:t>
      </w:r>
      <w:bookmarkEnd w:id="170"/>
    </w:p>
    <w:p>
      <w:pPr>
        <w:pStyle w:val="Heading5"/>
        <w:numPr>
          <w:ilvl w:val="4"/>
          <w:numId w:val="1"/>
        </w:numPr>
        <w:rPr/>
      </w:pPr>
      <w:bookmarkStart w:id="171" w:name="__RefHeading___Toc6877763_1280447820"/>
      <w:bookmarkStart w:id="172" w:name="_Toc59"/>
      <w:bookmarkEnd w:id="171"/>
      <w:r>
        <w:rPr>
          <w:rtl w:val="true"/>
        </w:rPr>
        <w:t>المسألة الأولى</w:t>
      </w:r>
      <w:r>
        <w:rPr>
          <w:rtl w:val="true"/>
        </w:rPr>
        <w:t>:</w:t>
      </w:r>
      <w:bookmarkEnd w:id="172"/>
    </w:p>
    <w:p>
      <w:pPr>
        <w:pStyle w:val="Heading6"/>
        <w:numPr>
          <w:ilvl w:val="5"/>
          <w:numId w:val="1"/>
        </w:numPr>
        <w:rPr/>
      </w:pPr>
      <w:bookmarkStart w:id="173" w:name="__RefHeading___Toc6877765_1280447820"/>
      <w:bookmarkStart w:id="174" w:name="_Toc60"/>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أن الكافر نجس العين، ولابد من الاجتناب عنه فيما يشترط فيه الطهارة، وهذا هو المشهور عند الفقهاء، وهنا بحث طويل والمسألة ابتلائية وهي محل خلاف بين الفقهاء، ونظراً لأهميتها وعموم الابتلاء بها فلابد من التحقيق حولها بالتفصيل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المسألة محل خلاف بين الخاصة والعامة، أما الخاصة فقد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بنجاسة الكافر بجميع أقسامه شهرة عظيمة، ويستوي فيه المنكر للتوحيد، والمشرك، وأهل الكتاب، كما يستوي فيه الكافر الأصلي، أو المرتد، وكذا من يلحق بهم من الأولاد، والنواصب والغلاة، ومن أنكر ضرورياً من ضروريات الدين، على خلاف في الأخير، وقد ادعى الإجماع على ذلك كما نسب إلى السيد المرتضى، والشيخ، وابن زهرة، والعلاّمة</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ونسب إلى المفيد في رسالته الغرية</w:t>
      </w:r>
      <w:r>
        <w:rPr>
          <w:rStyle w:val="FootnoteAnchor"/>
          <w:rtl w:val="true"/>
        </w:rPr>
        <w:footnoteReference w:id="270"/>
      </w:r>
      <w:r>
        <w:rPr>
          <w:rFonts w:ascii="Amiri" w:hAnsi="Amiri" w:eastAsia="Amiri" w:cs="Amiri"/>
          <w:color w:val="111111"/>
          <w:sz w:val="28"/>
          <w:sz w:val="28"/>
          <w:szCs w:val="28"/>
          <w:rtl w:val="true"/>
          <w:lang w:bidi="ar-SA"/>
        </w:rPr>
        <w:t>القول بكراهة أسآرهم، إلاّ أنّه في بقية كتبه حكم بالنجاسة، وذهب ابن الجنيد وابن أبي عقيل إلى القول بعدم النجاسة</w:t>
      </w:r>
      <w:r>
        <w:rPr>
          <w:rStyle w:val="FootnoteAnchor"/>
          <w:rtl w:val="true"/>
        </w:rPr>
        <w:footnoteReference w:id="271"/>
      </w:r>
      <w:r>
        <w:rPr>
          <w:rFonts w:ascii="Amiri" w:hAnsi="Amiri" w:eastAsia="Amiri" w:cs="Amiri"/>
          <w:color w:val="111111"/>
          <w:sz w:val="28"/>
          <w:sz w:val="28"/>
          <w:szCs w:val="28"/>
          <w:rtl w:val="true"/>
          <w:lang w:bidi="ar-SA"/>
        </w:rPr>
        <w:t>ولعل الشيخ المفيد كان على هذا ثمّ رجع عنه، ولذا ذكر تلاميذه دعوى الإجماع والاتفاق على النجاسة، وأما مخالفة ابن الجنيد وابن أبي عقيل فلا تضرّ بالإجماع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العامة فالأمر بالعكس، إذ المشهور عندهم هو القول بالطهارة، </w:t>
      </w:r>
    </w:p>
    <w:p>
      <w:pPr>
        <w:pStyle w:val="BookText"/>
        <w:rPr/>
      </w:pPr>
      <w:r>
        <w:rPr>
          <w:rFonts w:ascii="Amiri" w:hAnsi="Amiri" w:eastAsia="Amiri" w:cs="Amiri"/>
          <w:color w:val="111111"/>
          <w:sz w:val="28"/>
          <w:sz w:val="28"/>
          <w:szCs w:val="28"/>
          <w:rtl w:val="true"/>
          <w:lang w:bidi="ar-SA"/>
        </w:rPr>
        <w:t>وذهب بعضهم إلى القول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استعمال أواني المشركين من أهل الذمة وغيرهم،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باستعمالها ما لم يعلم فيها نجاسة، وبه قال أبو حنيفة، ومالك، وقال أحمد بن حنبل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استعمالها</w:t>
      </w:r>
      <w:r>
        <w:rPr>
          <w:rStyle w:val="FootnoteAnchor"/>
          <w:rtl w:val="true"/>
        </w:rPr>
        <w:footnoteReference w:id="272"/>
      </w:r>
      <w:r>
        <w:rPr>
          <w:rFonts w:ascii="Amiri" w:hAnsi="Amiri" w:eastAsia="Amiri" w:cs="Amiri"/>
          <w:color w:val="111111"/>
          <w:sz w:val="28"/>
          <w:sz w:val="28"/>
          <w:szCs w:val="28"/>
          <w:rtl w:val="true"/>
          <w:lang w:bidi="ar-SA"/>
        </w:rPr>
        <w:t>وقال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الآدمي طاهر وسؤره طاهر سواء كان مسلماً أو كافراً عند عامة أهل العلم</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وقال في عمدة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ينجس، وإنه طاهر، سواء كان جنباً أو محدثاً حيّاً أو ميتاً وكذا سؤره وعرقه ولعابه ودمعه وكذا الكافر في هذه الأحكام</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وقال في البدايع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الطاهر المتفق على طهارته سؤر الآدمي بكل حال مسلماً كان أو مشركاً</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وكذا في غيرها من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هذا ذهب الرازي في تفسيره إلى القول بنجاسة المشرك لظاهر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مشركاً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هذا قول الهادي من أئمة الزيدية</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ونسب في فتح الباري القول بالنجاسة إلى أهل الظاهر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الآدمي الحي ليس بنجس العين</w:t>
      </w:r>
      <w:r>
        <w:rPr>
          <w:rStyle w:val="FootnoteAnchor"/>
          <w:rtl w:val="true"/>
        </w:rPr>
        <w:footnoteReference w:id="27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المحلّى ذهب إلى النجاسة، وتعجب ممن يقول بالطهارة</w:t>
      </w:r>
      <w:r>
        <w:rPr>
          <w:rStyle w:val="FootnoteAnchor"/>
          <w:rtl w:val="true"/>
        </w:rPr>
        <w:footnoteReference w:id="278"/>
      </w:r>
      <w:bookmarkStart w:id="175" w:name="pg16387_188179"/>
    </w:p>
    <w:p>
      <w:pPr>
        <w:pStyle w:val="BookText"/>
        <w:rPr/>
      </w:pPr>
      <w:bookmarkEnd w:id="175"/>
      <w:r>
        <w:rPr>
          <w:rFonts w:ascii="Amiri" w:hAnsi="Amiri" w:eastAsia="Amiri" w:cs="Amiri"/>
          <w:color w:val="111111"/>
          <w:sz w:val="28"/>
          <w:sz w:val="28"/>
          <w:szCs w:val="28"/>
          <w:rtl w:val="true"/>
          <w:lang w:bidi="ar-SA"/>
        </w:rPr>
        <w:t>والذي يظهر من مجموع أقوال العامة أن المشهور عندهم هو القول بالطهارة على خلاف مشهور الخاصة من القول بالنجاسة</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6877767_1280447820"/>
      <w:bookmarkStart w:id="177" w:name="_Toc61"/>
      <w:bookmarkEnd w:id="176"/>
      <w:r>
        <w:rPr>
          <w:rtl w:val="true"/>
        </w:rPr>
        <w:t>أدلة الخاصة</w:t>
      </w:r>
      <w:r>
        <w:rPr>
          <w:rtl w:val="true"/>
        </w:rPr>
        <w:t>:</w:t>
      </w:r>
      <w:bookmarkEnd w:id="177"/>
    </w:p>
    <w:p>
      <w:pPr>
        <w:pStyle w:val="BookText"/>
        <w:rPr/>
      </w:pPr>
      <w:r>
        <w:rPr>
          <w:rFonts w:ascii="IRNazanin" w:hAnsi="IRNazanin" w:eastAsia="IRNazanin"/>
          <w:color w:val="111111"/>
          <w:sz w:val="28"/>
          <w:sz w:val="28"/>
          <w:szCs w:val="28"/>
          <w:rtl w:val="true"/>
          <w:lang w:bidi="fa-IR"/>
        </w:rPr>
        <w:t>أما القول المشهور فقد استدل له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 الحكم بالنجاسة ينتهي إلى الإجماع فنبدأ أولاً به تبعاً للفقهاءقدس الله أسرارهم</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ولابدّ من ملاحظة أقوال فقهاء الطائفة في المسألة، ومن ثمّ ملاحظة الآيات والروايات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صافح الكافر المسلم ويده رطبة بالعرق أو غيره غسلها من مسه بالماء، وإن لم تكن رطوبة مسحها ببعض الحيطان أو التراب</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وذكر في رسالته الغرية كراهة سؤر اليهودي والنصراني</w:t>
      </w:r>
      <w:r>
        <w:rPr>
          <w:rStyle w:val="FootnoteAnchor"/>
          <w:rtl w:val="true"/>
        </w:rPr>
        <w:footnoteReference w:id="281"/>
      </w:r>
      <w:r>
        <w:rPr>
          <w:rFonts w:ascii="Amiri" w:hAnsi="Amiri" w:eastAsia="Amiri" w:cs="Amiri"/>
          <w:color w:val="111111"/>
          <w:sz w:val="28"/>
          <w:sz w:val="28"/>
          <w:szCs w:val="28"/>
          <w:rtl w:val="true"/>
          <w:lang w:bidi="ar-SA"/>
        </w:rPr>
        <w:t>كما ذكرنا آنفاً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كلامه في المقنعة نجاسة الكافر، فيحمل كلامه في الرسالة على أنّه عدل عن القول بالكراهة بقرينة أن تلاميذه كالسيد والشيخ وغيرهما، ادعوا الاتفاق والإجماع على النجاسة، ومن البعيد جداً أنهم لم يلاحظوا فتوى شيخهم المفيد ولم يطلعوا عليها، فيحتمل قوياً رجوعه عما في الرسالة، وإن كان يمكن القول أن حكمه بالنجاسة في المقنعة تنزيهي لا تحريمي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w:t>
      </w:r>
    </w:p>
    <w:p>
      <w:pPr>
        <w:pStyle w:val="BookText"/>
        <w:rPr/>
      </w:pPr>
      <w:r>
        <w:rPr>
          <w:rFonts w:ascii="Amiri" w:hAnsi="Amiri" w:eastAsia="Amiri" w:cs="Amiri"/>
          <w:color w:val="111111"/>
          <w:sz w:val="28"/>
          <w:sz w:val="28"/>
          <w:szCs w:val="28"/>
          <w:rtl w:val="true"/>
          <w:lang w:bidi="ar-SA"/>
        </w:rPr>
        <w:t>رطوبة مسحها ببعض الحيطان أو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في جلد الميتة على كل حال ولا تصل في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تجوز الصلاة في شيء من الحديد إلاّ إذا كان سلاحاً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على بواري اليهود والنصارى</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وقال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الوضوء بسؤر اليهودي ولا النصراني وولد الزنا والمشرك وكل من خالف الإسلام</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وقال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الوضوء بسؤر اليهودي ولا النصراني وولد الزنا والمشرك وكل من خالف الإسلام، وأشد من ذلك سؤر الناصب</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اجتمع مسلم مع ذمي في الحمام اغتسل المسلم من الحوض قبل الذمي، ولا يجوز التطهير بغسالة الحمام لأنه يجتمع فيه غسالةاليهودي والنصراني والمجوسي والمبغض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شرهم</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وأورد في باب الصيد والذبائح من الفقيه عدة روايات تنهى عن مؤاكلة اليهود والنصارى وأكل أسآرهم، واستعمال آنيتهم، وفي بعضهم الأمر بغسل آنية المجوس عند الاضطرار إليها</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وظاهر كلماته يحمل على القول بالنجاسة، وإن كان احتمال النجاسة التنزيهية وارداً، لعطف سؤر ولد الزنا في الموردين الثاني والثالث، وعدم جواز الصلاة في السواد والحديد في المورد الأول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ابن زهرة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والثعلب والأرنب نجسان بدليل الإجماع المذكور، والكافر نجس بدليله أيضاً،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نص وكل من قال بذلك في المشرك قال به في من عداه من الكفار، والتفرقة بين الأمرين خلاف الإجماع</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وكلامه صريح في الحكم بنجاسة الكافر بجميع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المرتضى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انفردت به الإمامية القول بنجاسة سؤر اليهودي والنصراني وكل كافر وخالف جميع الفقهاء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صحة ذلك مضافاً إلى إجماع الشيعة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وقال في الناصريات عند شرح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سؤر المشرك نجس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عندنا أن سؤر كل كافر بأي ضرب من الكفر كان كافراً نجس، لا يجوز الوضوء به، وأجاز الوضوء بذلك أبو حنيفة وأصحابه، وحكى الطحاوي عن مالك في سؤر النصراني أو المشرك أنّه لا يتوضأ به، دليلنا على صحة ما ذهبنا إليه بعد إجماع الفرقة المحقة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الْمُشْرِكُونَ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هذا تصريح بنجاسة أسآرهم، وروى عبد الله بن المغيرة،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الوضوء بسؤر اليهودي والنصراني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28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سلار 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وإزالة النجاسة على أربعة أضرب أحدها بالمسح على الأرض والتراب، وهو ما يكون في النعل والخف، والآخربالشمس وهو البول إذا وقع على الأرض والبواري والحصر، والآخر برش الماء على ما مسه كمس الخنزير والكلب والفأرة والوزغة وجسد الكافر، إذا كان كل من ذلك يابساً وكذلك من ظن أن في ثوبه نجاسة ولم يتيقن ذلك فإنه يرش الثوب بالماء، والآخر ما عدا ما ذكرناه من النجاسات فإنه لا يزول إلاّ بالماء ولا يجزي فيه </w:t>
      </w:r>
    </w:p>
    <w:p>
      <w:pPr>
        <w:pStyle w:val="BookText"/>
        <w:rPr/>
      </w:pPr>
      <w:r>
        <w:rPr>
          <w:rFonts w:ascii="Amiri" w:hAnsi="Amiri" w:eastAsia="Amiri" w:cs="Amiri"/>
          <w:color w:val="111111"/>
          <w:sz w:val="28"/>
          <w:sz w:val="28"/>
          <w:szCs w:val="28"/>
          <w:rtl w:val="true"/>
          <w:lang w:bidi="ar-SA"/>
        </w:rPr>
        <w:t>غيره</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وصريح كلامه أن الكافر نجس كالكلب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حمزة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 نجس بوقوع كل نجاسة فيه، وبمباشرة كل نجس العين مثل الكلب والخنزير وسائر المسوخ، وكل نجس الحكم مثل الكافر والناصب وبارتماس الجنب فيه</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وقال في موضع آخر من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تجب إزالة قليله وكثيره أربعة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يجب غسل ما مسه إن كانا رطبين أو كان أحدهما رطباً، والثاني يابساً يجب رش الموضع الذي مس يابساً بالماء إن كان ثوباً، والثالث يجب مسحه بالتراب إن مسه البدن يابسين، والرابع يجب غسل ما أصابه بالماء على كل حال، فالأول والثاني والثالث تسعة أشياء الكلب والخنزير والثعلب والأرنب والفارة والوزغة وجسد الذمي والكافر والناصب، فإنه يجب غسل الموضع الذي مسه رطباً بالماء ثوباً كان أو بدناً إن مس الثوب يابسين، ومسحه بالتراب إن مس البدن يابسين، والرابع أحد وعشرون شيئاً </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وظاهر كلامه في أن الكافر كسائر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استعمال أواني المشركين من أهل الذمة وغيرهم،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باستعمالها ما لم يعلم فيها نجاسة وبه قال أبو حنيفة ومالك وقال أحمد بن حنبل وإسحق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استعمالها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عليهم بالنجاسة، فيجب أن يكون كلما باشروه نجساً، وعليه إجماع الفرقة وطريقة الاحتياط تقتضي تنجيسها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وروى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آنية أهل الذمةوالمجوس؟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في آنيتهم، ولا من طعامهم الذي يطبخونه ولا في آنيتهم التي يشربون فيها الخمر</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وقال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على نجاسة المشركين والكفار إطلاقاً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يكون مراده من المسلمين هم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فسؤر الآدمي كله طاهر، إلاّ من كان كافراً أصلياً أو مرتداً أو كافر ملة، ولا يجوز استعمال ما شربوا منه أو باشروه بأجسامهم من المياه وسائر المايعات، وكذلك ما كان أصله مايعاً فجمد أو جامداً فغسلوه بأيديهم وجففوه، فلا يجوز استعماله إلاّ بعد تطهيره فيما يمكن تطهيره من غسل الثياب، وما عداه فإنه يجتنب على كل حال</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وأواني المشركين ما يعلم منها استعمالهم لها في المايعات لا يجوز استعمالها إلاّ بعد غسلها، وإذا استعملوها في مايع طاهر ينجس بمباشرتهم، وما لم يستعملوها اصلاً أو استعملوها في شيء طاهر ولم يباشروها بأجسامهم فلا بأس باستعماله، وحكم سائر الكفار في هذا الباب سواء كانوا عباد الأوثان وأهل الذمة أو مرتدين أو كفار ملة من المشبهة والمجسمة والمجبرة وغيرهم</w:t>
      </w:r>
      <w:r>
        <w:rPr>
          <w:rStyle w:val="FootnoteAnchor"/>
          <w:rtl w:val="true"/>
        </w:rPr>
        <w:footnoteReference w:id="29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التبيان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 حِلٌّ لَكُمْ</w:t>
      </w:r>
      <w:r>
        <w:rPr>
          <w:rFonts w:eastAsia="Amiri" w:cs="Amiri" w:ascii="Amiri" w:hAnsi="Amiri"/>
          <w:color w:val="111111"/>
          <w:sz w:val="28"/>
          <w:szCs w:val="28"/>
          <w:rtl w:val="true"/>
          <w:lang w:bidi="ar-SA"/>
        </w:rPr>
        <w:t>...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يختص عند أكثر أصحابنا بالحبوب، لأنها المباحة من أطعمة أهل الكتاب، فأمّا ذبائحهم وكل مائع يباشرونه بأيديهم فإنه نجس</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وقال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استعمال أسآر من خالف الإسلام من ساير أصناف الكفار، وكذلك أسؤر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الحمام سبيله سبيل الماء الجاري إذا كانت له مادة من المجرى،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مادة فهو على طهارته ما لم تعلم فيه نجاسة، فإن علمت فيه نجاسة أو أدخل يده فيه يهودي أو نصراني أومشرك أو ناصب ومن ضارعهم من أصناف الكفار فلا يجوز استعماله على حال</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وقال في باب تطهير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إن مس الإنسان بيده أحد ما ذكرناه أو صافح ذمياً أو ناصباً معلناً بعداوة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عليه غسل يده إن كان رطباً، وإن كان يابساً مسحها بالتراب</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وقال في باب الأطعمة المحظورة والمباحة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مؤاكلة الكفار على اختلاف مللهم ولا استعمال أوانيهم إلاّ بعد غسلها بالماء، وكل طعام تولاه بعض الكفار بأيديهم وباشروه بنفوسهم لم يجز أكله، لأنهم أنجاس ينجس الطعام بمباشرتهم إياه، وقد رخص في جواز استعمال الحبوب وما أشبهها مما لا يقبل النجاسة وإن باشروهم،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يدعو الإنسان أحداً من الكفار إلى طعامه فيأكل معه، وإن دعاه فليأمره بغسل يديه ثمّ يأكل معه إن شاء</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محمول على الدعوة إلى الأكل من طعام لا يقبل النجاسة كالحبوب ونحوها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في المختلف في باب الأطعمة والأشربة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يكره أن يدعو الإنسان أحداً من الكفار إلى طعامه فيأكل معه، وإن دعاه فليأمره بغسل يديه، ثمّ يأكل معه إن شاء، وقال 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مؤاكلة المجوس، وقال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الأكل والشرب مع الكفار، 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شيخنا في النهاية رواية شاذة أوردها إيراداً لا اعتقاداً، وهذه الرواية لا يلتفت إليها ولا يعرج عليها لأنها مخالفة لأصول المذهب، لأنا قد بيّنا بغير خلاف أن سؤر الكفار نجس ينجس المايع بمباشرته، وأيضاً الإجماع على خلافها، وقال السيد المرتضى في انتصاره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انفردت به الإمامية أن كلّ طعام عالجه الكافر من اليهود والنصارى وغيرهم ممن ثبت كفرهم بدليل قاطع فهو حرام، لا يجوز أكله ولا الانتفاع به، وخالف باقي الفقهاء في ذلك، والمعتمد ما اختاره ابن إدريس لنا أنهم أنجاس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وقال في باب لباس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مجوسيثوباً يستحب أن لا يصلي فيه، وكذلك إذا استعار ثوباً من شارب الخمر أو مستحلّ شيء من النجاسات يستحب أن يغسل أولاً بالماء ثمّ يصلي فيه، وقال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كافرٌ ثوباً لمسلم فلا يصلي فيه إلاّ بعد غسله، لأن الكافر نجس، وكذلك إذا صبغه له، لأن الكافر نجس، وسواء كان أصلياً أو كافر ردة أو كافر ملة، وتعليل الشيخ يؤذن بالمنع وهو اختيار ابن إدريس، وجعل قول الشيخ في النهاية خبراً واحداً أورده إيراداً لا اعتقاداً بل اعتقاده وفتواه ما ذكره في المبسوط</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استعاره من ذمي أو ممن الأغلب على ثوبه النجاسة أعاد، خرج الوقت أم لم يخرج، وهو يؤذن بقول الشيخ في المبسوط مع أنّه قال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واستحب تجنب ثياب المشركين، ومن لا يرى غسل النجاسة </w:t>
      </w:r>
    </w:p>
    <w:p>
      <w:pPr>
        <w:pStyle w:val="BookText"/>
        <w:rPr/>
      </w:pPr>
      <w:r>
        <w:rPr>
          <w:rFonts w:ascii="Amiri" w:hAnsi="Amiri" w:eastAsia="Amiri" w:cs="Amiri"/>
          <w:color w:val="111111"/>
          <w:sz w:val="28"/>
          <w:sz w:val="28"/>
          <w:szCs w:val="28"/>
          <w:rtl w:val="true"/>
          <w:lang w:bidi="ar-SA"/>
        </w:rPr>
        <w:t>من ثوبه والتنظيف لجسده منها وخاصة ميارزهم وما سفل من أثوابهم التي يلبسونها وما يجلسون عليه من فرشهم، ولو صلى فيه أو عليه ثمّ علم بنجاسته اخترت له الإعادة في الوقت وغير الوقت</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ثم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اختيار الشيخ في النهاية، وأجاب عما تمسك به ابن إدريس من دعوى الإجماع على نجاسة أسآر الكفار، ومن رواية عبد الله بن سنان بأن السؤر يستلزم المباشرة فينجس بخلاف الثوب فالأصل فيه الطهارة، وحمل الرواية على الاستحباب</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الأسآر كلها طاهرة إلاّ سؤر نجس العين وهو الكلب والخنزير والكافر على الأشهر</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عندنا نجس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والحذف على خلاف الأصل والوصف بالمصدر جايز لشدة المعنى، وقوله تعالى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اللهُ الرِّجْسَ عَلَى 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إنّا بأرض قوم أهل كتاب نأكل في آنيتهم؟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فيها إلاّ أن لا تجدوا غيرها فاغسلوها ثمّ كلوا فيها، وسؤال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اليهودي والنصراني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يكون الكافر أصلياً أو مرتداً، ولا بين أن يتدين بملة أو لا، ولا بين المسلم إذا أنكر ما يعلم ثبوته من الدين ضرورةوبينه، وكذا لو اعتقد المسلم ما يعلم نفيه من الدين ضرورة</w:t>
      </w:r>
      <w:r>
        <w:rPr>
          <w:rStyle w:val="FootnoteAnchor"/>
          <w:rtl w:val="true"/>
        </w:rPr>
        <w:footnoteReference w:id="30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أنجاس وهو مذهب علمائنا أجمع، سواء كانوا أهل كتاب أو حربيين أو مرتدين وعلى أي صنف كانوا خلافاً للجمهور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مصدر فلا يصح وصف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حرف التشبيه ولا دلالة فيه حينئذ،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الوصف بالمصادر إذا كثرت معانيها في الذات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عدل، وذلك يؤيد ما 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رواه الجمهور عن أبي تغلبة،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إنّا بأرض أهل كتاب أفنأكل في إنائهم؟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وجدتم غيرها فلا تأكلوا فيها، فإن لم تجدوا غيرها فاغسلوها وكلوا فيها متفق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رووه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ليس ينجس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وتعليق الحكم على الوصف يدل على سلبه عما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طريق الخاصة ما رواه الشيخ في الصحيح عن علي بن جعفر عن أخيه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فراش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وقال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الكفار فقسمان يهود ونصارى ومن عداهما، أما القسم الثاني فالأصحاب متفقون على نجاستهم سواء كان كفرهم أصلياً أو ارتداداً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يَجْعَلُ اللهُ الرِّجْسَ عَلَى 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العذاب رجوعاً إلى أهل التفسير،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اللفظ يعطي ما ذكرناه فلا يستند إلى مفسر برأيه ولأن الرجس اسم لما يكره فهو يقع على موارده بالتواطي، فيحمل على الجميع عملاً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اليهود والنصارى فالشيخ قطع في كتبه بنجاستهم، وكذا علم الهدى، والاتباع، وابنا بابويه، وللمفيد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ذكره في أكثر كتبه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 ذكره في الرسالة الغرية</w:t>
      </w:r>
      <w:r>
        <w:rPr>
          <w:rStyle w:val="FootnoteAnchor"/>
          <w:rtl w:val="true"/>
        </w:rPr>
        <w:footnoteReference w:id="309"/>
      </w:r>
      <w:r>
        <w:rPr>
          <w:rFonts w:ascii="Amiri" w:hAnsi="Amiri" w:eastAsia="Amiri" w:cs="Amiri"/>
          <w:color w:val="111111"/>
          <w:sz w:val="28"/>
          <w:sz w:val="28"/>
          <w:szCs w:val="28"/>
          <w:rtl w:val="true"/>
          <w:lang w:bidi="ar-SA"/>
        </w:rPr>
        <w:t>ثمّ استدل على الحكم بما رواه الخاصة والعامة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بهذا القدر من كلمات الفقهاء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والمتحصّل من مجموع هذه الأقوال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المخالفة في المسألة إلى ابن أبي عقيل فقط ولم نقف علىكلامه وأما ابن الجنيد فنسب إليه الاحتياط في بعض كلماته، والحكم بالنجاسة في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كلمات من ذكرنا أن هذا الحكم مطابق للإجماع واستدلالهم به، بل عن السرائر أنّه من أصول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عمدة حكمهم بالنجاسة هو الاستشهاد 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كلمات ابن زهرة، والسيد المرتضى، والشيخ، والعلامة، والمحقق، كما استشهد بعضهم مضافاً إلى هذه الآية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يَجْعَلُ اللهُ الرِّجْسَ عَلَى 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كلمات العلامة، والمحقق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الفرق بين الشرك وغيره في كلماتهم إلاّ ما جاء في كلام المحقق من أنّه قسّم الكافر إلى قسمين، بل إن بعضهم نفى الفرق صريحاً كما في كلام ابن زهرة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الثاني وهو الكتاب فالمستفاد من كلمات الفقهاء أن مدرك الإجماع لما اعتمدوه في الحكم بالنجاسة هو الآيات، وقد استدلوا بآيتين الأولى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w:t>
      </w:r>
      <w:r>
        <w:rPr>
          <w:rFonts w:eastAsia="Amiri" w:cs="Amiri" w:ascii="Amiri" w:hAnsi="Amiri"/>
          <w:color w:val="111111"/>
          <w:sz w:val="28"/>
          <w:szCs w:val="28"/>
          <w:rtl w:val="true"/>
          <w:lang w:bidi="ar-SA"/>
        </w:rPr>
        <w:t>... )</w:t>
      </w:r>
      <w:r>
        <w:rPr>
          <w:rStyle w:val="FootnoteAnchor"/>
          <w:rtl w:val="true"/>
        </w:rPr>
        <w:footnoteReference w:id="310"/>
      </w:r>
      <w:r>
        <w:rPr>
          <w:rFonts w:ascii="Amiri" w:hAnsi="Amiri" w:eastAsia="Amiri" w:cs="Amiri"/>
          <w:color w:val="111111"/>
          <w:sz w:val="28"/>
          <w:sz w:val="28"/>
          <w:szCs w:val="28"/>
          <w:rtl w:val="true"/>
          <w:lang w:bidi="ar-SA"/>
        </w:rPr>
        <w:t>، والثانية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 الأولى فقد استدل بظاهرها على أن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النجاسة الاصطلاحية، والآية وإن كانت مطلقة بمعنى أن النجس يطلق ويراد به القذر وما ليس بطاهر، إلاّ أن النجاسة تشمل الذاتية والواقعية ولا </w:t>
      </w:r>
    </w:p>
    <w:p>
      <w:pPr>
        <w:pStyle w:val="BookText"/>
        <w:rPr/>
      </w:pPr>
      <w:r>
        <w:rPr>
          <w:rFonts w:ascii="Amiri" w:hAnsi="Amiri" w:eastAsia="Amiri" w:cs="Amiri"/>
          <w:color w:val="111111"/>
          <w:sz w:val="28"/>
          <w:sz w:val="28"/>
          <w:szCs w:val="28"/>
          <w:rtl w:val="true"/>
          <w:lang w:bidi="ar-SA"/>
        </w:rPr>
        <w:t>سيما مع تفريع الأثر وهو عدم جواز دخولهم المسجد الحرام بل سائر المساجد فالمستفاد من الآية هو القذارة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ذهب صاحب الحدائق</w:t>
      </w:r>
      <w:r>
        <w:rPr>
          <w:rStyle w:val="FootnoteAnchor"/>
          <w:rtl w:val="true"/>
        </w:rPr>
        <w:footnoteReference w:id="312"/>
      </w:r>
      <w:r>
        <w:rPr>
          <w:rFonts w:ascii="IRNazanin" w:hAnsi="IRNazanin" w:eastAsia="IRNazanin"/>
          <w:color w:val="111111"/>
          <w:sz w:val="28"/>
          <w:sz w:val="28"/>
          <w:szCs w:val="28"/>
          <w:rtl w:val="true"/>
          <w:lang w:bidi="fa-IR"/>
        </w:rPr>
        <w:t>، وصاحب الجواهر</w:t>
      </w:r>
      <w:r>
        <w:rPr>
          <w:rStyle w:val="FootnoteAnchor"/>
          <w:rtl w:val="true"/>
        </w:rPr>
        <w:footnoteReference w:id="313"/>
      </w:r>
      <w:r>
        <w:rPr>
          <w:rFonts w:ascii="Amiri" w:hAnsi="Amiri" w:eastAsia="Amiri" w:cs="Amiri"/>
          <w:color w:val="111111"/>
          <w:sz w:val="28"/>
          <w:sz w:val="28"/>
          <w:szCs w:val="28"/>
          <w:rtl w:val="true"/>
          <w:lang w:bidi="ar-SA"/>
        </w:rPr>
        <w:t>، وغيرهما، كما مر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آخرون كالسيد الأستاذ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وغيره إلى عدم استفادة هذا المعنى من الآية وناقشوا دلالتها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كلمة نجس مصدر ولا يصح حمل المصدر على الذات إلاّ بتقدير ذي ونحوها أو التأويل بالمشتق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نجس فالمقصود ذو نجاسة وهذا أعم من كونه نجساً ذاتاً أو عرضاً، وحيث إن من المعلوم من سيرة الكفار والمشركين وطريقتهم، عدم تجنبهم عن النجاسات كالميتة والخمر والبول وغيرها فالمناسب هو الحمل على النجاسة العرضية ولا أقل من عدم الاختصاص بالنجاسة الذاتية، وبناء على ذلك فلا يمكن الاستدلال بالآية فإنها أعم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نجس في اللغة بمعنى القذارة وفيها محتملات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 القائمة بالجسم القابلة للتعدي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 المعنوية وهي الخبث الباطني القائم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 المعنوية القائمة بالجسم غير القابلة للتعدي كالجنابة والحيض ونحوهما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 بمعنى النجاسة الاصطلاحية وهي أمر اعتباري وتترتب عليه الآثار من السراية والتعدي مع الرطوبة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إن المعنى المراد دائر بين هذه المعاني الأربعة فلا وجه لتخصيصه بالأخير إذ لا دليل عليه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المشركين مختص بفئة معينة من الناس، ولا يشمل كل من لا يدين بدين الإسلام، فهو أخص من الكفار ويكون مقابلاً لأهل الكتاب، نعم هو يشمل الوثنيين وغيرهم ممن يقولون بتعدد الآلهية، وأما أهل الكتاب فلا يشملهم لفظ المشركين فلا يستفاد من الآية شمول الحكم لجميع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بعدم القول بالفصل بين هذه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القول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استدلالاً بالآية وحدها بل بضميمة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 قد يطلق ويراد به أهل الكتاب أيضاً بمفاد الآيات الواردة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الْيَهُودُ عُزَيْرٌ ابْنُ اللهِ وَقَالَتْ النَّصَارَى الْمَسِيحُ ابْنُ اللهِ ذَلِكَ قَوْلُهُمْ بِأَفْوَاهِهِمْ يُضَاهِئُونَ قَوْلَ الَّذِينَ كَفَرُوا مِنْ قَبْلُ قَاتَلَهُمْ اللهُ أَنَّى يُؤْفَكُونَ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 لا إِلَهَ إِلاَّ هُوَ سُبْحَانَهُعَمَّا يُشْرِكُونَ</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وفي هذه الآية نص صريح بنعت اليهود والنصارى بالشرك، ويدل على ذلك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يَا عِيسَى ابْنَ مَرْيَمَ أَأَنتَ قُلْتَ لِلنَّاسِ اتَّخِذُونِي وَأُمِّي إِلَهَيْنِ مِنْ دُونِ اللهِ</w:t>
      </w:r>
      <w:r>
        <w:rPr>
          <w:rFonts w:eastAsia="Amiri" w:cs="Amiri" w:ascii="Amiri" w:hAnsi="Amiri"/>
          <w:color w:val="111111"/>
          <w:sz w:val="28"/>
          <w:szCs w:val="28"/>
          <w:rtl w:val="true"/>
          <w:lang w:bidi="ar-SA"/>
        </w:rPr>
        <w:t xml:space="preserve">... )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لفظ المشركين شامل لليهود والنصارى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المجوس فكذلك لأنهم ثنوية قائلون بتعدد الآلهة وأن مبدأ الخير هو يزدان، كما أن مبدأ الشر هو اهرمن أو النور والظلمة</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الكتاب داخلون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نعت أهل الكتاب بأنهم مشركون إنما هو بالعناية والالتفات إلى واقعهم، والتعريف بحقيقتهم وأنهم مشركون واقعاً لا بالإطلاق، والظاهر من الآيات وإطلاقها انصراف لفظ المشركين إلى الوثنيين في مقابل أهل الكتاب، ولذا فإن القرآن الكريم في العديد من آياته ولاسيما في سورة التوبة تناول هذه الأصناف وجعل لكل منها أحكاماً خاصة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أجيب عن هذه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الإشكال الأول فيقال في جوابه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 نجس قد تأتي صفة لا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 نجس مصدراً فما المانع من حمله على الذات؟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عدل على نحو المبالغة بلا حاجة إلى تقدير،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نجس كما هو ظاهر الآية الشريفة، وهذا هو الأرجح لاحتمال الخدشة في الوجه الأول بعدم التطابق بين الصفة والموصوف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قرر سيدنا الأستاذ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الإشكالين الأخيرين والتزم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الثاني فقد قرره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لنا على أن النجاسة استعملت بالمعنى الأخير، وذلك لأن الأحكام كانت تنزل بصورة تدريجية فلم يعلم أن هذا المعنى ثابت وقت نزول الآية الشريفة، وحيث إن أصل ثبوته غير معلوم فكيف يمكن صرف الآية عن بقية المعاني وحملها على معنى يشك في وجوده؟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الأنسب بمعنى الآية هو المعنى الثاني وهو الحمل علىالقذارة الباطنية والخبث المعنوي وأنهم رجس ينبغي اجتنابه، وذلك لمناسبة عدم جواز </w:t>
      </w:r>
    </w:p>
    <w:p>
      <w:pPr>
        <w:pStyle w:val="BookText"/>
        <w:rPr/>
      </w:pPr>
      <w:r>
        <w:rPr>
          <w:rFonts w:ascii="Amiri" w:hAnsi="Amiri" w:eastAsia="Amiri" w:cs="Amiri"/>
          <w:color w:val="111111"/>
          <w:sz w:val="28"/>
          <w:sz w:val="28"/>
          <w:szCs w:val="28"/>
          <w:rtl w:val="true"/>
          <w:lang w:bidi="ar-SA"/>
        </w:rPr>
        <w:t xml:space="preserve">دخولهم المسجد الحرام، فإن النجاسة بالمعنى الأخير لا تتنافى مع دخول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تستلزم الهتك، وعليه فالمناسب لتفريع هذا الحكم هو المعنى الثاني من المعاني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الوجه الأول لا يمكن المساعدة عليه، وذلك لأن عدم ثبوت هذا المعنى في زمان نزول الآية بعيد جداً إذ الآية الشريفة وردت في سورة التوبة وهي من آخر السور نزولاً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يتصور عدم ثبوت هذا المعنى إلى أواخر زمان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نزول الآية في أول البعثة لكان له وجه، وأما كون زمان نزولها أواخر سني الدعوة فلا يتصور ذلك، فإن كان مراد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فغير تام، وإن كان مراده هو عدم ثبوت الحقيقة الشرعية فكذلك، فإن الوقوف على الروايات والكلمات الواردة في زمان الوحي يعطي أن لفظ النجاسة كان مستعملاً في نفس هذا المعنى الشرعي بلا قرينة، وقد تتبعنا جملة من روايات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روايات العامة فقد استعمل هذا اللفظ في المعنى الشرعي في عدة 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حذيفة بن اليمان بطرق متعددة متفق عليها عندهم،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لقيه في الطريق وهو جنب فحاد عنه فاغتسل ثمّ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جنباً،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لا ينجس</w:t>
      </w:r>
      <w:r>
        <w:rPr>
          <w:rStyle w:val="FootnoteAnchor"/>
          <w:rtl w:val="true"/>
        </w:rPr>
        <w:footnoteReference w:id="319"/>
      </w:r>
      <w:r>
        <w:rPr>
          <w:rFonts w:ascii="Amiri" w:hAnsi="Amiri" w:eastAsia="Amiri" w:cs="Amiri"/>
          <w:color w:val="111111"/>
          <w:sz w:val="28"/>
          <w:sz w:val="28"/>
          <w:szCs w:val="28"/>
          <w:rtl w:val="true"/>
          <w:lang w:bidi="ar-SA"/>
        </w:rPr>
        <w:t>وفي رواية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ينجس</w:t>
      </w:r>
      <w:r>
        <w:rPr>
          <w:rStyle w:val="FootnoteAnchor"/>
          <w:rtl w:val="true"/>
        </w:rPr>
        <w:footnoteReference w:id="32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سعيد الخدري بطرق صحيحة عندهم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أتتوضأ من بئر بضاعة، وهي بئر يطرح فيها لحوم الكلاب والحيض والنتن؟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طهور لا ينجسه شيء</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رواها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يُسأل عن الماء يكون بالفلاة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الماء قلتين لم يحمل الخبث</w:t>
      </w:r>
      <w:r>
        <w:rPr>
          <w:rStyle w:val="FootnoteAnchor"/>
          <w:rtl w:val="true"/>
        </w:rPr>
        <w:footnoteReference w:id="322"/>
      </w:r>
      <w:r>
        <w:rPr>
          <w:rFonts w:ascii="Amiri" w:hAnsi="Amiri" w:eastAsia="Amiri" w:cs="Amiri"/>
          <w:color w:val="111111"/>
          <w:sz w:val="28"/>
          <w:sz w:val="28"/>
          <w:szCs w:val="28"/>
          <w:rtl w:val="true"/>
          <w:lang w:bidi="ar-SA"/>
        </w:rPr>
        <w:t>وفي لفظ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لاينجسه شيء</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روته كبشة بنت كعب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الخمسة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الهرة،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ليست بنجس إنما هي من الطوّافين عليكم والطوّافات</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منادي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ورسوله ينهاكم عن لحوم الحمر فإنها رجس</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مسعود أنّه 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يؤتيه بثلاثة أحجار،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الحجرين والتمست الثالث فلم أجد فأخذت روثة فأتيت بهن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الحجرين وألقى الروثة،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ركس</w:t>
      </w:r>
      <w:r>
        <w:rPr>
          <w:rStyle w:val="FootnoteAnchor"/>
          <w:rtl w:val="true"/>
        </w:rPr>
        <w:footnoteReference w:id="326"/>
      </w:r>
      <w:r>
        <w:rPr>
          <w:rFonts w:ascii="Amiri" w:hAnsi="Amiri" w:eastAsia="Amiri" w:cs="Amiri"/>
          <w:color w:val="111111"/>
          <w:sz w:val="28"/>
          <w:sz w:val="28"/>
          <w:szCs w:val="28"/>
          <w:rtl w:val="true"/>
          <w:lang w:bidi="ar-SA"/>
        </w:rPr>
        <w:t>وفي لفظ ابن ماجه</w:t>
      </w:r>
      <w:r>
        <w:rPr>
          <w:rStyle w:val="FootnoteAnchor"/>
          <w:rtl w:val="true"/>
        </w:rPr>
        <w:footnoteReference w:id="327"/>
      </w:r>
      <w:r>
        <w:rPr>
          <w:rFonts w:ascii="Amiri" w:hAnsi="Amiri" w:eastAsia="Amiri" w:cs="Amiri"/>
          <w:color w:val="111111"/>
          <w:sz w:val="28"/>
          <w:sz w:val="28"/>
          <w:szCs w:val="28"/>
          <w:rtl w:val="true"/>
          <w:lang w:bidi="ar-SA"/>
        </w:rPr>
        <w:t>وابن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وهما بمعنى نجس</w:t>
      </w:r>
      <w:r>
        <w:rPr>
          <w:rStyle w:val="FootnoteAnchor"/>
          <w:rtl w:val="true"/>
        </w:rPr>
        <w:footnoteReference w:id="32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ثقيف في المسجد فقال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قوم أنجاس،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الأرض من أنجاس القوم شيء إنما أنجاس القوم على أنفسهم</w:t>
      </w:r>
      <w:r>
        <w:rPr>
          <w:rStyle w:val="FootnoteAnchor"/>
          <w:rtl w:val="true"/>
        </w:rPr>
        <w:footnoteReference w:id="329"/>
      </w:r>
      <w:r>
        <w:rPr>
          <w:rFonts w:ascii="Amiri" w:hAnsi="Amiri" w:eastAsia="Amiri" w:cs="Amiri"/>
          <w:color w:val="111111"/>
          <w:sz w:val="28"/>
          <w:sz w:val="28"/>
          <w:szCs w:val="28"/>
          <w:rtl w:val="true"/>
          <w:lang w:bidi="ar-SA"/>
        </w:rPr>
        <w:t xml:space="preserve">وورد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p>
    <w:p>
      <w:pPr>
        <w:pStyle w:val="BookText"/>
        <w:rPr/>
      </w:pPr>
      <w:r>
        <w:rPr>
          <w:rFonts w:ascii="Amiri" w:hAnsi="Amiri" w:eastAsia="Amiri" w:cs="Amiri"/>
          <w:color w:val="111111"/>
          <w:sz w:val="28"/>
          <w:sz w:val="28"/>
          <w:szCs w:val="28"/>
          <w:rtl w:val="true"/>
          <w:lang w:bidi="ar-SA"/>
        </w:rPr>
        <w:t>لا ينجس حياً ولا ميتاً</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وغير هذه من الموارد التي وردت فيها هذه الكلمة بنفسها وبمشتقاتها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جهة الخاصة فقد وردت عدة روايات أيضاً على لسان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منها ما ذكره صاحب الوسائل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جماعة من أصحابنا في كتب الاستدلال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مساجدكم النجاسة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رواه عبد الرحمن بن كثير الهاشمي مولى محمّد بن علي،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جالساً معمحمّد بن الحنفية، إذ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ايتني بإناء من ماء أتوضأ للصلاة، فأتاه محمّد بالماء فأكفأه فصبه بيده اليسرى على يده اليمنى،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والحمد لله الذين جعل الماء طهوراً ولم يجعله نجساً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ومنها ما نقله صاحب الوسائل عن المحقق الحلي في المعتبر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الماء طهوراً لا ينجسه شيء، إلاّ ما غير لونه أو طعمه أو ريحه</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ورواه ابن إدريس مرسلاً في أول السرائر، إلاّ أنّه نسبه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ومنها ما رواه في المستدرك، عن الجعفريات بسنده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جامع في ثوبه ثمّ عرق فيه منه حتى ينعصر لأمرناه بالصلاة فيه، ولم نأمره بغسل ثوبه لأن الثوب لا ينجسه شيء</w:t>
      </w:r>
      <w:r>
        <w:rPr>
          <w:rStyle w:val="FootnoteAnchor"/>
          <w:rtl w:val="true"/>
        </w:rPr>
        <w:footnoteReference w:id="33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في المستدرك أيضاً عن الجعفريات بسنده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w:t>
      </w:r>
    </w:p>
    <w:p>
      <w:pPr>
        <w:pStyle w:val="BookText"/>
        <w:rPr/>
      </w:pPr>
      <w:r>
        <w:rPr>
          <w:rFonts w:ascii="Amiri" w:hAnsi="Amiri" w:eastAsia="Amiri" w:cs="Amiri"/>
          <w:color w:val="111111"/>
          <w:sz w:val="28"/>
          <w:sz w:val="28"/>
          <w:szCs w:val="28"/>
          <w:rtl w:val="true"/>
          <w:lang w:bidi="ar-SA"/>
        </w:rPr>
        <w:t xml:space="preserve">لا ينجسهن شيء، الأرض والجسد والماء والثوب، فسئل ما نجاسة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أصابها قذر ثمّ أتت عليها الشمس فقد طهرت</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ومنها ما رواه عن الدعائم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رخص في الادام والطعام يموت فيه خشاش الأرض والذباب ما لا دم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ينجس ذلك شيئاً ولا يحرمه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ومنها ما رواه عن الجعفريات بسنده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حتى يفرغ من صلاته وهو في ثوب نجس فلم يذكره إلاّ بعد فراغه ليعد صلاته</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ومنها ما رواه عن نوادر الراوندي بإسناده عن موسى عن جعفر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في ثوب نجس فلم يذكره إلاّ بعد فراغه فليعد صلاته</w:t>
      </w:r>
      <w:r>
        <w:rPr>
          <w:rStyle w:val="FootnoteAnchor"/>
          <w:rtl w:val="true"/>
        </w:rPr>
        <w:footnoteReference w:id="339"/>
      </w:r>
      <w:r>
        <w:rPr>
          <w:rFonts w:ascii="IRNazanin" w:hAnsi="IRNazanin" w:eastAsia="IRNazanin"/>
          <w:color w:val="111111"/>
          <w:sz w:val="28"/>
          <w:sz w:val="28"/>
          <w:szCs w:val="28"/>
          <w:rtl w:val="true"/>
          <w:lang w:bidi="fa-IR"/>
        </w:rPr>
        <w:t xml:space="preserve">ومنها ما رواه في الدعائم، عن جعفر بن محمد، عن آبائه، عن علي صلوات الله عليهم،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الصلاة بجلود الميتة وإن دبغت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الميتة نجس وإن دبغت</w:t>
      </w:r>
      <w:r>
        <w:rPr>
          <w:rStyle w:val="FootnoteAnchor"/>
          <w:rtl w:val="true"/>
        </w:rPr>
        <w:footnoteReference w:id="34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عن الإرشاد بإسناده عن موسى بن جعفر،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ذكر فضل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وأمته على سائر الأنبياء وأممهم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رفع نبينا إلى ساق العرش فأوحى إليه فيما أوحى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الأمم السالفة إذا أصابهم أذى نجس قرضوا من أجسادهم وقد جعلت الماء طهوراً لأمتك من جميع الأنجاس والصعيد في الأوقات</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ومنها ما رواه عن الدعائم،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ينجس الماء شيء</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ومنها ما رواه عن عوالي اللئالي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لا ينجسه شيء</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الماء طهوراً لا ينجسه شيء، إلاّ ما غير لونه أو طعمه أو رائحته</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ومنها ما رواه عن الجعفريات بسنده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الجاري لا ينجسه شيء</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ومنها ما رواه عن الجعفريات ونوادر الراوندي بسندهما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الجاري يمر بالجيف والعذرة والدم فيتوضأ منه ويشرب منه ليس ينجسه شيء</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وعن الجعفريات أيضاً بسنده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لا ينجسهن شيء، الأرض، والجسد، والماء، والثوب، ثمّ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في كل واحد منها،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والماء الجاري يمر بالجيف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47"/>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والمستفاد من مجموع هذه الروايات أن لفظ النجاسة كان مستعملاً في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المعنى الرابع، ولم يكن استعماله بأقل إن لم يكن أكثر من سائر المعاني الأخرى للنجاسة، فالمناقشة في أن هذا اللفظ لم يستعمل في هذا المعنى </w:t>
      </w:r>
    </w:p>
    <w:p>
      <w:pPr>
        <w:pStyle w:val="BookText"/>
        <w:rPr/>
      </w:pPr>
      <w:r>
        <w:rPr>
          <w:rFonts w:ascii="Amiri" w:hAnsi="Amiri" w:eastAsia="Amiri" w:cs="Amiri"/>
          <w:color w:val="111111"/>
          <w:sz w:val="28"/>
          <w:sz w:val="28"/>
          <w:szCs w:val="28"/>
          <w:rtl w:val="true"/>
          <w:lang w:bidi="ar-SA"/>
        </w:rPr>
        <w:t>ليست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حمل ما ورد من لفظ النجاسة في الآية الشريفة على معناها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كان هذا المعنى هو الأظهر من هذه المعاني حيث ورد الاستعمال فيه في زمان الوحي، فما ذكره الراغب في مفرداته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القذارة، وذلك ضربان ضرب يدرك بالحاسة وضرب يدرك بالبصيرة، والثاني وصف الله تعالى به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المشركون نجس</w:t>
      </w:r>
      <w:r>
        <w:rPr>
          <w:rStyle w:val="FootnoteAnchor"/>
          <w:rtl w:val="true"/>
        </w:rPr>
        <w:footnoteReference w:id="348"/>
      </w:r>
      <w:r>
        <w:rPr>
          <w:rFonts w:ascii="Amiri" w:hAnsi="Amiri" w:eastAsia="Amiri" w:cs="Amiri"/>
          <w:color w:val="111111"/>
          <w:sz w:val="28"/>
          <w:sz w:val="28"/>
          <w:szCs w:val="28"/>
          <w:rtl w:val="true"/>
          <w:lang w:bidi="ar-SA"/>
        </w:rPr>
        <w:t>، وما ذكره غيره من اللغويين، فليس بحجة لأنه ناشىء عن تأثر بفقهائهم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الوجه الثاني فهو قابل للمناقشة أيضاً، فإنه وإن تعددت المعاني لكن يمكن حمله على المعنى الأخير وهو الأنسب لا المعنى الثاني كما ذكرنا، ولا سيما مع استعمال لفظ إنما الدالة على الحصر والاخبار عنهم بأنهم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والتفريع المذكور في الآية يتلاءم مع المعنى الأخير، ويكون حال المشركين حال الكلاب من عدم جواز تمكينهم الدخول في المساجد، مضافاً إلى ما تقدم من استعمال لفظ النجاسة في معناها الشرعي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غير تام فالإشكال غير وارد، وعلى فرض الاغماض عن ذلك فما ذكر من الترجيح والأنسبية بالآية سواء كان بالمعنى الثاني أو الرابع أو غيرهما فإنما هي استحسانات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الثالث فقد قرره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 أيضاً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المشركين في الآية مرتبة خاصة وهي المقابلة لأهل الكتاب وليس المراد جميع المراتب، وإلاّ لشمل المسلم المرائي في عمله فإن الرياء في العمل شرك، ولا يمكن الالتزام بنجاسة المرائي وعدم جواز دخوله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الآيات الواردة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أنالمشركين هم في مقابل أهل الكتاب لا الأعم، وذلك لأن لكل من أهل الكتاب والمشركين أحكاماً خاصة بكل صنف فمثلاً لا يجوز للمشرك السكنى في بلاد المسلمين، ويجب عليه الخروج منها، وأما أهل الكتاب فلا بأس بسكناهم في بلادهم مع الالتزام بأحكام الجزية ونحوها، فدعوى أن المشركين في</w:t>
      </w:r>
    </w:p>
    <w:p>
      <w:pPr>
        <w:pStyle w:val="BookText"/>
        <w:rPr/>
      </w:pPr>
      <w:r>
        <w:rPr>
          <w:rFonts w:ascii="Amiri" w:hAnsi="Amiri" w:eastAsia="Amiri" w:cs="Amiri"/>
          <w:color w:val="111111"/>
          <w:sz w:val="28"/>
          <w:sz w:val="28"/>
          <w:szCs w:val="28"/>
          <w:rtl w:val="true"/>
          <w:lang w:bidi="ar-SA"/>
        </w:rPr>
        <w:t>الآية أعم من أهل الكتاب خلاف الظاهر</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ولكن هذا الإشكال قابل للدفع أيضاً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المشركين أطلق على أهل الكتاب أيضاً في آيات عديدة منها ما جاء قبل هذه الآية الكريمة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أُوْلَئِكَ حَبِطَتْ أَعْمَالُهُمْ وَفِي النَّارِ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يَعْمُرُ مَسَاجِدَ اللهِ مَنْ آمَنَ بِاللهِ وَالْيَوْمِ الآخِرِ وَأَقَامَ الصَّلاةَ وَآتَى الزَّكَاةَ وَلَمْ يَخْشَ إِلاَّ اللهَ فَعَسَى أُوْلَئِكَ أَنْ يَكُونُوا مِنْ الْمُهْتَدِينَ</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والمشركون هنا في مقابل المؤمنين وهو يشمل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جاء بعد الآية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الْيَهُودُ عُزَيْرٌ ابْنُ اللهِ وَقَالَتْ النَّصَارَى الْمَسِيحُ ابْنُ اللهِ ذَلِكَ قَوْلُهُمْ بِأَفْوَاهِهِمْ يُضَاهِئُونَ قَوْلَ الَّذِينَ كَفَرُوا مِنْ قَبْلُ قَاتَلَهُمْ اللهُ أَنَّى يُؤْفَكُونَ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 لا إِلَهَ إِلاَّ هُوَ سُبْحَانَهُ عَمَّا يُشْرِكُونَ</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وهنا تصريح بأنهم مشركون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أيضاً ما ورد بعد ذلك في سياق بيان أوصاف اليهود والنصارى وهو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ومنها ما ورد في غير هذه السورة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كُونُوا هُوداً أَوْ نَصَارَى تَهْتَدُوا قُلْ بَلْ مِلَّةَ إِبْرَاهِيمَ حَنِيفاً وَمَا كَانَ مِنْ الْمُشْرِكِينَ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وفي هذه الآية تعريض باليهود والنصارى بأنهم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ورد في وصفهم بالشرك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كَفَرَ الَّذِينَقَالُوا إِنَّ اللهَ ثَالِثُ ثَلاثَةٍ وَمَا مِنْ إِلَهٍ إِلاَّ إِلَهٌ وَاحِدٌ وَإِنْ لَمْ يَنتَهُوا عَمَّا يَقُولُونَ لَيَمَسَّنَّ الَّذِينَ كَفَرُوا مِنْهُمْ عَذَابٌ أَلِيمٌ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وهذه الآية بيان لحقيقة شركهم وقولهم بتعدد الآلهية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الآيات الكثيرة الواردة في بيان أن أهل الكتاب قد يطلق عليهم لفظ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مناسبة الحكم والموضوع ومقتضى الفهم العرفي كون الحكم بالنجاسة إنما هو من جهة عدم الإيمان بالله ولا فرق في هذا بين الوثنيين وأهل الكتاب وغيرهم من أقسام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بعدم الفصل حيث حكم بنجاسة الجميع، نعم ورد في كلام المحقق تقسيم الكفار وهو مشعر بالفصل، ولم يصرح بذلك بل استدل بالآية على النجاسة، فليس في المقام قول صريح بالفصل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الآية الأخرى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اللهُ الرِّجْسَ عَلَى الَّذِينَ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شامل لجميع أقسام الكفار بناء على أن الرجس هو النجاسة، وسيأتي الكلام حول الآية ومفادها </w:t>
      </w:r>
    </w:p>
    <w:p>
      <w:pPr>
        <w:pStyle w:val="BookText"/>
        <w:rPr/>
      </w:pPr>
      <w:r>
        <w:rPr>
          <w:rFonts w:ascii="Amiri" w:hAnsi="Amiri" w:eastAsia="Amiri" w:cs="Amiri"/>
          <w:color w:val="111111"/>
          <w:sz w:val="28"/>
          <w:sz w:val="28"/>
          <w:szCs w:val="28"/>
          <w:rtl w:val="true"/>
          <w:lang w:bidi="ar-SA"/>
        </w:rPr>
        <w:t>قريباً كما يمكن تأييد ذلك أيضاً بما ورد من الروايات المعتبرة من أن المؤمن لا ينجس كما سيأتي، وجاء في روايات العامة بهذا اللفظ، وفي بعضها بلفظ المسلم كما تقدم عن ابن عباس، ومفهوم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المؤمن نجس بلا فرق بين أقسامهم، وإلاّ فلا فضل لاختصاص هذا بالمؤمن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هذين الوجهين إمكان إطلاق لفظ المشركين على أهل الكتاب، ولا يختص بمرتبة معينة من الكفار كما ذكر السيد الأستاذ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كل صنف منهم بأحكام لا تشمل الآخر فيمكن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المشركين حقيقة في الجميع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للفظ صلاحية في إطلاقه عليهم كما ذكرنا،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كل صنف له أحكام خاصة مما لا إشكال فيه عند الاجتماع، ويكون من قبيل الفقير والمسكين إذا اجتمعا افترقا وإذا افترقا اجتمعا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المشركين في الآية الشريفة أطلق على جميع أصناف الكفار بلا فرق بين فئة دون أخرى، هذا بناء على تماميةالوجهين وإلاّ فلابد من الاقتصار على الشرك بمعناه الأخص ومن ساواه ومن دونه كالملحد كما ستأتي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يَجْعَلُ اللهُ الرِّجْسَ عَلَى الَّذِينَ لا يُؤْمِنُونَ </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فقد استدل بها على نجاسة الكفار قاطبة 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عام شامل لجميع أقسام الكفار، وإن الرجس بمعنى النجس، ويتألف قياس من الشكل الأوّل تكون نتيجته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لا يؤمن فهو نجس</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وأما أن الرجس بمعنى النجس فقد استعمل في القرآن بهذا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نجاسة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يدل على أن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أخبار طهارة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التقية ما تقدم ذكره من الآية، وأن الله تعالى أطلق اسم الرجاسة على الخمر، ولا يجوز أن يرد من جهتهم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يضاد القرآن وينافيه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عملنا على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أخبار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عاملين بما يلائم ظاهر القرآن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وتقدم كلام العلاّمة في التذكرة، وأنه استشهد بالآية الشريفة على نجاسة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الآية بنظير الإشكال على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الرجس قد ورد بعدة معان كاللعنة والعذاب والقذر والأعمال القبيحة والمآثم ولطخ الشيطان ووسوسته وفسر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بالشطرنج</w:t>
      </w:r>
      <w:r>
        <w:rPr>
          <w:rStyle w:val="FootnoteAnchor"/>
          <w:rtl w:val="true"/>
        </w:rPr>
        <w:footnoteReference w:id="357"/>
      </w:r>
      <w:r>
        <w:rPr>
          <w:rFonts w:ascii="Amiri" w:hAnsi="Amiri" w:eastAsia="Amiri" w:cs="Amiri"/>
          <w:color w:val="111111"/>
          <w:sz w:val="28"/>
          <w:sz w:val="28"/>
          <w:szCs w:val="28"/>
          <w:rtl w:val="true"/>
          <w:lang w:bidi="ar-SA"/>
        </w:rPr>
        <w:t>، وبناء على هذا فكون الرجس بمعنى النجاسة غير ثابت ولا يمكن حمل الآية عليه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في أكثر التفاسير أن الرجس بمعنى اللعن في الدنيا والعذاب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الميزان</w:t>
      </w:r>
      <w:r>
        <w:rPr>
          <w:rStyle w:val="FootnoteAnchor"/>
          <w:rtl w:val="true"/>
        </w:rPr>
        <w:footnoteReference w:id="358"/>
      </w:r>
      <w:r>
        <w:rPr>
          <w:rFonts w:ascii="Amiri" w:hAnsi="Amiri" w:eastAsia="Amiri" w:cs="Amiri"/>
          <w:color w:val="111111"/>
          <w:sz w:val="28"/>
          <w:sz w:val="28"/>
          <w:szCs w:val="28"/>
          <w:rtl w:val="true"/>
          <w:lang w:bidi="ar-SA"/>
        </w:rPr>
        <w:t>بمعنى القذارة وهو معنى مطلق فيشمل ما ذكر من المعاني من العذاب والوسوسة والأعمال القبيحة وغيرها، فإن القذر هو ما تنفر منه الطباع كما تنفر من الغذاء المتلطخ بالقذر، وورد في تفسير العياشي</w:t>
      </w:r>
      <w:r>
        <w:rPr>
          <w:rStyle w:val="FootnoteAnchor"/>
          <w:rtl w:val="true"/>
        </w:rPr>
        <w:footnoteReference w:id="359"/>
      </w:r>
      <w:r>
        <w:rPr>
          <w:rFonts w:ascii="Amiri" w:hAnsi="Amiri" w:eastAsia="Amiri" w:cs="Amiri"/>
          <w:color w:val="111111"/>
          <w:sz w:val="28"/>
          <w:sz w:val="28"/>
          <w:szCs w:val="28"/>
          <w:rtl w:val="true"/>
          <w:lang w:bidi="ar-SA"/>
        </w:rPr>
        <w:t>بمعنى الشك وهو من مصاديق القذارة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النتن والرِّجس القذر والرجس القَذَر قال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يستقذر فهو رجس، وقال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النجس وقال في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الرجاسة والنجاسة أي جعلوها بمعنى 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القذر الخارج من بدن الإنسان، وعلى هذا فقد </w:t>
      </w:r>
    </w:p>
    <w:p>
      <w:pPr>
        <w:pStyle w:val="BookText"/>
        <w:rPr/>
      </w:pPr>
      <w:r>
        <w:rPr>
          <w:rFonts w:ascii="Amiri" w:hAnsi="Amiri" w:eastAsia="Amiri" w:cs="Amiri"/>
          <w:color w:val="111111"/>
          <w:sz w:val="28"/>
          <w:sz w:val="28"/>
          <w:szCs w:val="28"/>
          <w:rtl w:val="true"/>
          <w:lang w:bidi="ar-SA"/>
        </w:rPr>
        <w:t>يكون الرجس والقذر والنجاسة بمعنى، وقد يكون القذر والرجس بمعنى غير النجاسة، ورجس رجساً من باب تعب ورجس من باب قرب لغة</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وإن كان في اللغة بمعنى القذر وهو أعم من النجاسة إلاّ أن الشيخ قال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الرجس هو النجس بلا خلاف، وظاهره أنّه لا خلاف بين علمائنا في أنّه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النجس</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وقال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يرجَس رجَسَاً ورَجَاسَةً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ورجُس يرجُس رجاسة قَذِرَ والرجْسُ القَذَر والشيء القدر والفعل القبيح والحرام واللعنة والكفر والعذاب، وفي التنزيل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الرجس على الذين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ورجس الشيطان وسوسته</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والمستفاد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الرجس بمعنى القذارة هو أبرز المعاني، وهو المعنى الأعم الشامل للنجاسة وغيرها، ومع الشك في المراد من الآية أي أن الرجس جاء بمعان متعددة ولا يعلم أنّه في الآية بمعنى النجس إلاّ أنّه يمكن استفادة ذلك من رواية خيران الخادم، وقد رواها الكليني بسنده عن خيران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الثوب يصيبه الخمر ولحم الخنزير أيصلّى فيه أم لا؟ فإن أصحابنا قد اختلفوا فيه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فإن الله إنما حرم شربها،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فيه،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فيه فإنه رجس</w:t>
      </w:r>
      <w:r>
        <w:rPr>
          <w:rStyle w:val="FootnoteAnchor"/>
          <w:rtl w:val="true"/>
        </w:rPr>
        <w:footnoteReference w:id="36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التكلم حول سند الرواية ودلالتها فنقول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جهة السند فقد رواها الكليني</w:t>
      </w:r>
      <w:r>
        <w:rPr>
          <w:rStyle w:val="FootnoteAnchor"/>
          <w:rtl w:val="true"/>
        </w:rPr>
        <w:footnoteReference w:id="364"/>
      </w:r>
      <w:r>
        <w:rPr>
          <w:rFonts w:ascii="Amiri" w:hAnsi="Amiri" w:eastAsia="Amiri" w:cs="Amiri"/>
          <w:color w:val="111111"/>
          <w:sz w:val="28"/>
          <w:sz w:val="28"/>
          <w:szCs w:val="28"/>
          <w:rtl w:val="true"/>
          <w:lang w:bidi="ar-SA"/>
        </w:rPr>
        <w:t xml:space="preserve">بسنده عن خيران وفيه سهل بن </w:t>
      </w:r>
    </w:p>
    <w:p>
      <w:pPr>
        <w:pStyle w:val="BookText"/>
        <w:rPr/>
      </w:pPr>
      <w:r>
        <w:rPr>
          <w:rFonts w:ascii="Amiri" w:hAnsi="Amiri" w:eastAsia="Amiri" w:cs="Amiri"/>
          <w:color w:val="111111"/>
          <w:sz w:val="28"/>
          <w:sz w:val="28"/>
          <w:szCs w:val="28"/>
          <w:rtl w:val="true"/>
          <w:lang w:bidi="ar-SA"/>
        </w:rPr>
        <w:t>زياد، كما أن الشيخ</w:t>
      </w:r>
      <w:r>
        <w:rPr>
          <w:rStyle w:val="FootnoteAnchor"/>
          <w:rtl w:val="true"/>
        </w:rPr>
        <w:footnoteReference w:id="365"/>
      </w:r>
      <w:r>
        <w:rPr>
          <w:rFonts w:ascii="IRNazanin" w:hAnsi="IRNazanin" w:eastAsia="IRNazanin"/>
          <w:color w:val="111111"/>
          <w:sz w:val="28"/>
          <w:sz w:val="28"/>
          <w:szCs w:val="28"/>
          <w:rtl w:val="true"/>
          <w:lang w:bidi="fa-IR"/>
        </w:rPr>
        <w:t>رواها بإسناده وفيه سهل أيضاً، فلا يمكن الاعتمادعلى الرواية من هذه الجهة ولكن يمكن تصحيح سند الرواية عن طريق النجاشي، حيث ذكر خيران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أخبرنا أحمد بن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عبد الرحمن بن فنتي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العبيدي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خيران</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وفي هذا السند أحمد بن محمّد بن عبد الرحمن بن فنتي، وهو ممن لم يرد فيه التوثيق فلا يمكن الاعتماد عليه، إلاّ أنّه قد وقع في السند محمّد بن عيسى العبيدي الراوي المباشر عن خيران وحيث إن للنجاشي</w:t>
      </w:r>
      <w:r>
        <w:rPr>
          <w:rStyle w:val="FootnoteAnchor"/>
          <w:rtl w:val="true"/>
        </w:rPr>
        <w:footnoteReference w:id="367"/>
      </w:r>
      <w:r>
        <w:rPr>
          <w:rFonts w:ascii="Amiri" w:hAnsi="Amiri" w:eastAsia="Amiri" w:cs="Amiri"/>
          <w:color w:val="111111"/>
          <w:sz w:val="28"/>
          <w:sz w:val="28"/>
          <w:szCs w:val="28"/>
          <w:rtl w:val="true"/>
          <w:lang w:bidi="ar-SA"/>
        </w:rPr>
        <w:t>وللشيخ</w:t>
      </w:r>
      <w:r>
        <w:rPr>
          <w:rStyle w:val="FootnoteAnchor"/>
          <w:rtl w:val="true"/>
        </w:rPr>
        <w:footnoteReference w:id="368"/>
      </w:r>
      <w:r>
        <w:rPr>
          <w:rFonts w:ascii="Amiri" w:hAnsi="Amiri" w:eastAsia="Amiri" w:cs="Amiri"/>
          <w:color w:val="111111"/>
          <w:sz w:val="28"/>
          <w:sz w:val="28"/>
          <w:szCs w:val="28"/>
          <w:rtl w:val="true"/>
          <w:lang w:bidi="ar-SA"/>
        </w:rPr>
        <w:t xml:space="preserve">طريقاً معتبراً إلى جميع رواياته وكتبه، فهذا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خيران مشمول لروايات محمّد بن عيسى وداخل فيها، وبهذا يصبح طريق النجاشي إلى خيران الخادم معتبراً وهذا النحو من التصحيح للسند هو أحد مصاديق المورد الرابع من موارد تصحيح الروايات التي ذكرناها في مباحثنا الرجالية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للنجاشي طريق صحيح إلى شخص يروي به جميع رواياته وكتبه، وكان للشيخ طريق فيه ضعف، وحيث إن كلا الطريقين يلتقيان في شخص واحد فيكون طريق الشيخ صحيحاً لصحة طريق النجاشي</w:t>
      </w:r>
      <w:r>
        <w:rPr>
          <w:rStyle w:val="FootnoteAnchor"/>
          <w:rtl w:val="true"/>
        </w:rPr>
        <w:footnoteReference w:id="369"/>
      </w:r>
      <w:r>
        <w:rPr>
          <w:rFonts w:ascii="Amiri" w:hAnsi="Amiri" w:eastAsia="Amiri" w:cs="Amiri"/>
          <w:color w:val="111111"/>
          <w:sz w:val="28"/>
          <w:sz w:val="28"/>
          <w:szCs w:val="28"/>
          <w:rtl w:val="true"/>
          <w:lang w:bidi="ar-SA"/>
        </w:rPr>
        <w:t xml:space="preserve">، وبناء على هذا فطريق الشيخ معتبر ولا بأس بالاعتماد على الرواية من حيث السند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على أن يكون خيران مولى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خيران الخادم كما هو </w:t>
      </w:r>
    </w:p>
    <w:p>
      <w:pPr>
        <w:pStyle w:val="BookText"/>
        <w:rPr/>
      </w:pPr>
      <w:r>
        <w:rPr>
          <w:rFonts w:ascii="Amiri" w:hAnsi="Amiri" w:eastAsia="Amiri" w:cs="Amiri"/>
          <w:color w:val="111111"/>
          <w:sz w:val="28"/>
          <w:sz w:val="28"/>
          <w:szCs w:val="28"/>
          <w:rtl w:val="true"/>
          <w:lang w:bidi="ar-SA"/>
        </w:rPr>
        <w:t>الظاهر، وذلك لأن النجاشي</w:t>
      </w:r>
      <w:r>
        <w:rPr>
          <w:rStyle w:val="FootnoteAnchor"/>
          <w:rtl w:val="true"/>
        </w:rPr>
        <w:footnoteReference w:id="370"/>
      </w:r>
      <w:r>
        <w:rPr>
          <w:rFonts w:ascii="Amiri" w:hAnsi="Amiri" w:eastAsia="Amiri" w:cs="Amiri"/>
          <w:color w:val="111111"/>
          <w:sz w:val="28"/>
          <w:sz w:val="28"/>
          <w:szCs w:val="28"/>
          <w:rtl w:val="true"/>
          <w:lang w:bidi="ar-SA"/>
        </w:rPr>
        <w:t>ذكر خيران مولى الرضا ولم يذكر خيران الخادم والشيخ</w:t>
      </w:r>
      <w:r>
        <w:rPr>
          <w:rStyle w:val="FootnoteAnchor"/>
          <w:rtl w:val="true"/>
        </w:rPr>
        <w:footnoteReference w:id="371"/>
      </w:r>
      <w:r>
        <w:rPr>
          <w:rFonts w:ascii="Amiri" w:hAnsi="Amiri" w:eastAsia="Amiri" w:cs="Amiri"/>
          <w:color w:val="111111"/>
          <w:sz w:val="28"/>
          <w:sz w:val="28"/>
          <w:szCs w:val="28"/>
          <w:rtl w:val="true"/>
          <w:lang w:bidi="ar-SA"/>
        </w:rPr>
        <w:t xml:space="preserve">بالعكس، ومن البعيد جداً أن يكون هناك شخصان ويتعرض الشيخ لواحد منها والنجاشي للآخر، مضافاً إلى أنهما في طبقة واحدة فإن محمّد بن عيسى يروي عنهما كليهما فلا إشكال في اتحادهما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فالاحتمالات فيها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الخمر والميسر والأنصاب والأزلام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أن الرجس بمعنى النجس ولذلك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بالاجتناب ونهى عن الصلاة في ثوب أصابه الخمر لنجاسته، ومنه يظهر أن الرجس في لسان الشرع بمعنى النجاسة ولا فرق بين هذه الآية وغيرها إلاّ أن يرد دليل خاص على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مستقلة ولا ربط له بالآية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الرجس في معناه العرفي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النجس وليس اصطلاحاً حديثاً، وبذلك يعلم أن زمان نزول الآية كان على هذا 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حديثاً، ولم يكن مستعملاً في هذا المعنى من قبل بل هو أمر حادث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ضوء الاحتمالين الأولين تتم دلالة الآية، وعلى الثالث لا تتم لعدم الملازمة بين المعنى الحديث والمعنى السابق عند نزول الآية، إذ لا يعلم إرادة المعنى الحديث عند نزول الآية، ثمّ إن هذا الاحتمال بعيد في نفسه ويتوقف الاستدلال بالآية على ثبوت الاحتمالين الأولين أو أحدهما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أنّ ورود لفظ الرجس في الروايات قليل جداً عند الخاصة </w:t>
      </w:r>
    </w:p>
    <w:p>
      <w:pPr>
        <w:pStyle w:val="BookText"/>
        <w:rPr/>
      </w:pPr>
      <w:r>
        <w:rPr>
          <w:rFonts w:ascii="Amiri" w:hAnsi="Amiri" w:eastAsia="Amiri" w:cs="Amiri"/>
          <w:color w:val="111111"/>
          <w:sz w:val="28"/>
          <w:sz w:val="28"/>
          <w:szCs w:val="28"/>
          <w:rtl w:val="true"/>
          <w:lang w:bidi="ar-SA"/>
        </w:rPr>
        <w:t>والعامة، نعم ورد في القرآن الكريم في تسعة موارد بمعان مختلفة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سَيَحْلِفُونَ بِاللهِ لَكُمْ إِذَا انقَلَبْتُمْ إِلَيْهِمْ لِتُعْرِضُوا عَنْهُمْ فَأَعْرِضُوا عَنْهُمْ إِنَّهُمْ رِجْسٌ وَمَأْوَاهُمْ جَهَنَّمُ جَزَاءً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لِنَفْسٍ أَنْ تُؤْمِنَ إِلاَّ بِإِذْنِ اللهِ وَيَجْعَلُ الرِّجْسَ عَلَى الَّذِينَ لا يَعْقِلُونَ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ومنها آية التطهير</w:t>
      </w:r>
      <w:r>
        <w:rPr>
          <w:rStyle w:val="FootnoteAnchor"/>
          <w:rtl w:val="true"/>
        </w:rPr>
        <w:footnoteReference w:id="37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توقف الاستدلال بالآية الشريفة على نجاسة الكفار على استظهار أحد الاحتمالين الأولين كما هو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الثالث وهو الروايات فقد وردت في المقام عدة روايات وهي على ست أو سبع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النهي عن سؤر الكافر، ومنها ما ورد في الكافي، والتهذيب، وهي صحيحة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عنسؤر اليهودي والنصراني؟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76"/>
      </w:r>
      <w:r>
        <w:rPr>
          <w:rFonts w:ascii="IRNazanin" w:hAnsi="IRNazanin" w:eastAsia="IRNazanin"/>
          <w:color w:val="111111"/>
          <w:sz w:val="28"/>
          <w:sz w:val="28"/>
          <w:szCs w:val="28"/>
          <w:rtl w:val="true"/>
          <w:lang w:bidi="fa-IR"/>
        </w:rPr>
        <w:t>، وفي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الأعرج أنّه سأل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سؤر اليهودي والنصراني أيؤكل أو يشرب؟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صاحب المستدرك نقلاً عن كتاب درست بن أبي منصور عن أبي المغرا، عن سعيد الأعرج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 طعامهم ولا نشرب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 شرابهم</w:t>
      </w:r>
      <w:r>
        <w:rPr>
          <w:rStyle w:val="FootnoteAnchor"/>
          <w:rtl w:val="true"/>
        </w:rPr>
        <w:footnoteReference w:id="37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صحيحة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اليهودي والنصراني يدخل يده </w:t>
      </w:r>
    </w:p>
    <w:p>
      <w:pPr>
        <w:pStyle w:val="BookText"/>
        <w:rPr/>
      </w:pPr>
      <w:r>
        <w:rPr>
          <w:rFonts w:ascii="Amiri" w:hAnsi="Amiri" w:eastAsia="Amiri" w:cs="Amiri"/>
          <w:color w:val="111111"/>
          <w:sz w:val="28"/>
          <w:sz w:val="28"/>
          <w:szCs w:val="28"/>
          <w:rtl w:val="true"/>
          <w:lang w:bidi="ar-SA"/>
        </w:rPr>
        <w:t>في الماء أيتوضأ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يضطر إليه</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وإنما أوردنا هذه الرواية والرواية التالية في هذه الطائفة بناء على أن السؤر هو مباشرة الجسم للماء وعدم اختصاصه بالفم</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عبد الله 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أن تغتسل من غسالة الحمام، ففيها تجتمع غسالة اليهودي والنصراني والمجوسي والناصب لنا أهل البيت فهو شرهم، فإن الله تبارك وتعالى لم يخلق خلقاً أنجس من الكلب، وان الناصب لنا أهل البيت لأنجس منه</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والظاهر من روايتي الأعرج وموثقة ابن أبي يعفور هو نجاسة الكافر، فإن الحكم بعدم جواز الشرب والأكل من فضل شرابهم وطعامهم، وعدم استعمال غسالتهم أسند إلى مباشرة أنفسهم وأعيانهم للطعام والشراب، لا لنجاسة عرضية وإن كان احتمال النجاسة العرضية وارداً إلاّ أنّه خلاف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صحيحة علي بن جعفر فصدرها واضح الدلالة، إلاّ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يضطر إليه يوهنها، نعم إن حمل الاضطرار على التقية كما حملها الشيخ</w:t>
      </w:r>
      <w:r>
        <w:rPr>
          <w:rStyle w:val="FootnoteAnchor"/>
          <w:rtl w:val="true"/>
        </w:rPr>
        <w:footnoteReference w:id="382"/>
      </w:r>
      <w:r>
        <w:rPr>
          <w:rFonts w:ascii="Amiri" w:hAnsi="Amiri" w:eastAsia="Amiri" w:cs="Amiri"/>
          <w:color w:val="111111"/>
          <w:sz w:val="28"/>
          <w:sz w:val="28"/>
          <w:szCs w:val="28"/>
          <w:rtl w:val="true"/>
          <w:lang w:bidi="ar-SA"/>
        </w:rPr>
        <w:t>فالدلالة تامة، وإلاّ فلابد من حمل الرواية على الكراهة أو على النجاسة العرضية، فإن الماء إذا كان كثيراً فالحكم بعدم التوضي منهلجهة الكراهة، إلاّ أن يضطر إليه فيجوز، وإن كان الماء قليلاً فالحكم بعدم التوضي منه لجهة النجاسة العرضية، إذ الغالب أن الكفار لا يجتنبون النجاسات من البول وغيره، وحينئذ يحتاط بالاجتناب عنه إلاّ مع الاضطرار إليه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 السيد الأستاذ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الرواية على الاحتمال الثالث وهو النجاسة </w:t>
      </w:r>
    </w:p>
    <w:p>
      <w:pPr>
        <w:pStyle w:val="BookText"/>
        <w:rPr/>
      </w:pPr>
      <w:r>
        <w:rPr>
          <w:rFonts w:ascii="Amiri" w:hAnsi="Amiri" w:eastAsia="Amiri" w:cs="Amiri"/>
          <w:color w:val="111111"/>
          <w:sz w:val="28"/>
          <w:sz w:val="28"/>
          <w:szCs w:val="28"/>
          <w:rtl w:val="true"/>
          <w:lang w:bidi="ar-SA"/>
        </w:rPr>
        <w:t>العرضية بينما حملها صاحب الوسائل</w:t>
      </w:r>
      <w:r>
        <w:rPr>
          <w:rStyle w:val="FootnoteAnchor"/>
          <w:rtl w:val="true"/>
        </w:rPr>
        <w:footnoteReference w:id="384"/>
      </w:r>
      <w:r>
        <w:rPr>
          <w:rFonts w:ascii="Amiri" w:hAnsi="Amiri" w:eastAsia="Amiri" w:cs="Amiri"/>
          <w:color w:val="111111"/>
          <w:sz w:val="28"/>
          <w:sz w:val="28"/>
          <w:szCs w:val="28"/>
          <w:rtl w:val="true"/>
          <w:lang w:bidi="ar-SA"/>
        </w:rPr>
        <w:t>على الاحتمال الثاني وهو كثرة الماء وكريته، فيكون مفادها الكراهة ولا ينافي ما ورد في السؤر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النهي عن مصافحتهم وهي عدة 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رجل صافح رجلاً مجوسياً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يده ولا يتوضأ</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والمقصود أن المصافحة لا تنقض الوضوء ويكفي التطهير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علي بن جعفر عن أخيه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مؤاكلة المجوسي في قصعة واحدة وأرقد معه على فراش واحد وأصافحه؟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صحيحته الأخرى عن أخيه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فراش اليهودي والنصراني ينام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يصلي في ثيابهما،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المسلم مع المجوسي في قصعة واحدة ولا يقعده على فراشه ولا مسجده ولا يصافحه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أبي بصير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مصافحة المسلم اليهودي والنصراني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الثوب فإن صافحك بيده فاغسل يدك</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الحسين بن زيد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مصافحة الذمي</w:t>
      </w:r>
      <w:r>
        <w:rPr>
          <w:rStyle w:val="FootnoteAnchor"/>
          <w:rtl w:val="true"/>
        </w:rPr>
        <w:footnoteReference w:id="38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هذه الروايات هو النجاسة، وأن النهي عن المصافحةوالأمر بغسل اليد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وقعت المصافحة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لأنهم أنجاس، نعم لابد من تقييد </w:t>
      </w:r>
    </w:p>
    <w:p>
      <w:pPr>
        <w:pStyle w:val="BookText"/>
        <w:rPr/>
      </w:pPr>
      <w:r>
        <w:rPr>
          <w:rFonts w:ascii="Amiri" w:hAnsi="Amiri" w:eastAsia="Amiri" w:cs="Amiri"/>
          <w:color w:val="111111"/>
          <w:sz w:val="28"/>
          <w:sz w:val="28"/>
          <w:szCs w:val="28"/>
          <w:rtl w:val="true"/>
          <w:lang w:bidi="ar-SA"/>
        </w:rPr>
        <w:t>المصافحة بأن تكون مع الرطوبة المسرية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الروايات بأنها لا دلالة فيها وحاصل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بإطلاقها أي سواء كانت المصافحة مع الرطوبة أو بدونها يقتضي أن يكون النهي تنزيهاً، وحملها على وجود الرطوبة حمل على غير الغالب والفرد النادر، إذ الغالب هو عدم الرطوبة في اليد، وليس الحمل الثاني أقرب من الأول ليرجح،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 موثقة أبي بصير من التفريق في المصافحة بين الثوب وغيره لم يظهر له وجه، لأنه إن كان المصافحة مع الرطوبة فلا فرق بين الثوب وغيره فكما أن اليد تنجس بملاقاة يد الكافر فكذلك الثوب ولابد من الاجتناب، وإن كانت بدون الرطوبة فتجوز المصافحة بدون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الوجه الأول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ليس على الفرد النادر لأن مورد الروايات هو المناطق الحارة والغالب فيها أن تعرق اليد فتحصل الرطوبة المسرية، ولا أقل من التساوي بين الرطوبة وعدمها فدعوى الندرة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الوجه الثاني فلعل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المصافحة من وراء ثوب الكافر لا ثوب المسلم حتى يتنجس، كما قد يستظهر ذلك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بسنده عن سيف بن عميرة، عن عيسى بن عمر مولى الأنصار،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يحلّ له أن يصافح المجوسي؟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فسأله يتوضأ إذا صافحهم؟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مصافحتهم ينقض الوضوء</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وقد حمل الشيخ الوضوء</w:t>
      </w:r>
      <w:r>
        <w:rPr>
          <w:rStyle w:val="FootnoteAnchor"/>
          <w:rtl w:val="true"/>
        </w:rPr>
        <w:footnoteReference w:id="391"/>
      </w:r>
      <w:r>
        <w:rPr>
          <w:rFonts w:ascii="Amiri" w:hAnsi="Amiri" w:eastAsia="Amiri" w:cs="Amiri"/>
          <w:color w:val="111111"/>
          <w:sz w:val="28"/>
          <w:sz w:val="28"/>
          <w:szCs w:val="28"/>
          <w:rtl w:val="true"/>
          <w:lang w:bidi="ar-SA"/>
        </w:rPr>
        <w:t>في هذه الرواية على غسل اليد، كما جاء في اللغة استعمال الوضوء بمعنى الغسل، 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الوضوء على الاستنجاء، وغسل اليد،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الثاني حديثهما في المؤاكلة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طعامك وتوضأ فلا بأس، والمراد به غسل اليد إلى قوله ومنه صريحاً من غسل يده فقد توضأ ومنه صاحب الرجل يشرب أول القوم ويتوضأ آخرهم،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الوضوء قبل الطعامينفي الفقر والوضوء بعد الطعام ينفي الهم، ونحو ذلك</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الإشكال في سند الرواية فإن فيه من لم يرد فيهم توثيق ومنهم عيسى بن عمر، وتكون الرواية حينئذ مؤيدة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اندفاع كلا الأمرين فلا بأس بالاستدلال بهذه الطائفة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النهي عن مؤاكلتهم في قصعة واحدة أو من طعامهم وهي عدة روايات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صحيحة علي بن جعفر عن أخيه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مؤاكلة المجوسي في قصعة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93"/>
      </w:r>
      <w:r>
        <w:rPr>
          <w:rFonts w:ascii="Amiri" w:hAnsi="Amiri" w:eastAsia="Amiri" w:cs="Amiri"/>
          <w:color w:val="111111"/>
          <w:sz w:val="28"/>
          <w:sz w:val="28"/>
          <w:szCs w:val="28"/>
          <w:rtl w:val="true"/>
          <w:lang w:bidi="ar-SA"/>
        </w:rPr>
        <w:t>، وقد تقدم ذكر هذه الرواية في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الأخرى أيضاً، عن أخيه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فراش اليهودي والنصراني ينام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يصلي في ثيابهما،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المسلم مع المجوسي في قصعة واحدة</w:t>
      </w:r>
      <w:r>
        <w:rPr>
          <w:rStyle w:val="FootnoteAnchor"/>
          <w:rtl w:val="true"/>
        </w:rPr>
        <w:footnoteReference w:id="39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ذكرها الشيخ عن نوادر الحكمة، وهي غير الصحيحة الأولى </w:t>
      </w:r>
    </w:p>
    <w:p>
      <w:pPr>
        <w:pStyle w:val="BookText"/>
        <w:rPr/>
      </w:pPr>
      <w:r>
        <w:rPr>
          <w:rFonts w:ascii="Amiri" w:hAnsi="Amiri" w:eastAsia="Amiri" w:cs="Amiri"/>
          <w:color w:val="111111"/>
          <w:sz w:val="28"/>
          <w:sz w:val="28"/>
          <w:szCs w:val="28"/>
          <w:rtl w:val="true"/>
          <w:lang w:bidi="ar-SA"/>
        </w:rPr>
        <w:t>فإنا قد تتبعنا روايات كتاب علي بن جعفر ولم نعثر عليها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أخالط المجوس فآكل من طعامهم؟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وقد نوقش في الرواية الأولى بأنها متضمنة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وأرقد معه على فراش واحد، وهذا قرينة على كون النهي تنزيهياً لأن النوم معاً على فراش واحد لا يوجب سراية الرطوبة من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ظاهره الحرمة، وعلى فرض وجود قرينة في فقرة من الرواية على أن النهي فيها تنزيهي لا يوجب ذلك في سائر الفقرات، وله نظائر كثيرة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الحرمة لجهة النجاسة فيدل عليه الرواية الثانية، فقد ورد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اشترى ثوباً من السوق للبس لا يدري لمن كان هل تصلح الصلاة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اشتراه من مسلم فليصل فيه، وإن اشتراه من نصراني فلا يصلي فيه حتى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الأخيرة شاهد على أن النهي إنما هو لجهة النجاسة لا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الصحيحة الثالثة فظاهر إطلاق الحكم بعدم جواز الأكل من طعامهم يدل على نجاستهم، لا لأجل كونه ميتة أو لنجاسة عرضية، وإلاّ فلابد من بيان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آنية أهل الذمة والمجوس؟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في آنيتهم ولا من طعامهم الذي يطبخون ولا في آنيتهم التي يشربون فيها الخمر</w:t>
      </w:r>
      <w:r>
        <w:rPr>
          <w:rStyle w:val="FootnoteAnchor"/>
          <w:rtl w:val="true"/>
        </w:rPr>
        <w:footnoteReference w:id="39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الصحيحة كصحيحة هارون بن خارجة المتقدمة فإن إطلاق قوله من طعامهم الذي يطبخون، دال على نجاستهم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العيص،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مؤاكلة اليهودي والنصراني والمجوسي أفآكل من طعامهم؟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وهذه الرواية كالروايتين السابقتين في الدلالة بمقتضى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الله بن يحيى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مسلمين يأكلون وحضرهم رجل مجوسي أيدعونه إلى طعامهم؟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أواكل المجوسي، وأكره أن أحرم عليكم شيئاً تصنعون في بلادكم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محمولة على التقية، ولا منافاة بينها وبين ما تقدم من حيث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النهي عن استعمال آنيتهم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آنية أهل الذمة والمجوس؟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في آنيتهم ولا من طعامهم الذي يطبخون ولا في آنيتهم التي يشربون فيها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الرواية تدل على النجاسة للإطلاق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في آنيتهم وأما ما ذكر بعد ذلك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في آنيتهم التي يشربون فيها الخمر فلا يمنع الظهور، وذلك لأن الأصل عدم التكرار وإلاّ لزم كون النهي الأول لغواً، وعليه فتخصيص النهي ثانياً بالذكر لتأكد النجاسة الذاتية بالعرضية فما أشكل به على هذه الرواية من أن ذكر الآنية ثانياً مانع عن الإطلاق في غير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ذبائحهم ولا تأكل في آنيتهم، يعني أهل الكتاب</w:t>
      </w:r>
      <w:r>
        <w:rPr>
          <w:rStyle w:val="FootnoteAnchor"/>
          <w:rtl w:val="true"/>
        </w:rPr>
        <w:footnoteReference w:id="39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صحيحته الأخرى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 من ذبائح اليهود </w:t>
      </w:r>
    </w:p>
    <w:p>
      <w:pPr>
        <w:pStyle w:val="BookText"/>
        <w:rPr/>
      </w:pPr>
      <w:r>
        <w:rPr>
          <w:rFonts w:ascii="Amiri" w:hAnsi="Amiri" w:eastAsia="Amiri" w:cs="Amiri"/>
          <w:color w:val="111111"/>
          <w:sz w:val="28"/>
          <w:sz w:val="28"/>
          <w:szCs w:val="28"/>
          <w:rtl w:val="true"/>
          <w:lang w:bidi="ar-SA"/>
        </w:rPr>
        <w:t>والنصارى ولا تأكل من آنيتهم</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والروايتان بإطلاقهما تدلان على النجاسة،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من ذبائحهم، كما في الأولى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من ذبائح اليهود والنصارى، كما في الثانية قرينتان على أن المراد بالآنية، الآنية التي تجعل فيها الذبائح، وهو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آنية المجوس،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اضطررتم إليها فاغسلوها بالماء</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وهذه الرواية صريحة الدلالة على نجاستهم لأنه إذا كان يجب غسل الآنية في حال الاضطرار ففي غيره بطريق أولى، ولا وجه لذلك إلاّ النجاسة، والاضطرار هنا بمعنى الحاجة كما هو شائع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الطائفة من الروايات تدل على النجاسة بمقتضى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النهي عن الصلاة في لباسهم وعلى فرشهم ومنها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فراش اليهودي والنصراني ينام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ولا يصلي في ثيابهما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اشترى ثوباً من السوق للبس لا يدري لمن كان هل تصلح الصلاة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اشتراه من مسلم فليصل فيه، وإن اشتراه من نصراني فلا يصلي فيه حتى يغسله</w:t>
      </w:r>
      <w:r>
        <w:rPr>
          <w:rStyle w:val="FootnoteAnchor"/>
          <w:rtl w:val="true"/>
        </w:rPr>
        <w:footnoteReference w:id="402"/>
      </w:r>
      <w:r>
        <w:rPr>
          <w:rFonts w:ascii="Amiri" w:hAnsi="Amiri" w:eastAsia="Amiri" w:cs="Amiri"/>
          <w:color w:val="111111"/>
          <w:sz w:val="28"/>
          <w:sz w:val="28"/>
          <w:szCs w:val="28"/>
          <w:rtl w:val="true"/>
          <w:lang w:bidi="ar-SA"/>
        </w:rPr>
        <w:t>، وورد ذيلها في قرب الإسناد</w:t>
      </w:r>
      <w:r>
        <w:rPr>
          <w:rStyle w:val="FootnoteAnchor"/>
          <w:rtl w:val="true"/>
        </w:rPr>
        <w:footnoteReference w:id="403"/>
      </w:r>
      <w:r>
        <w:rPr>
          <w:rFonts w:ascii="Amiri" w:hAnsi="Amiri" w:eastAsia="Amiri" w:cs="Amiri"/>
          <w:color w:val="111111"/>
          <w:sz w:val="28"/>
          <w:sz w:val="28"/>
          <w:szCs w:val="28"/>
          <w:rtl w:val="true"/>
          <w:lang w:bidi="ar-SA"/>
        </w:rPr>
        <w:t>وفي السرائر عن جامع البزنطي</w:t>
      </w:r>
      <w:r>
        <w:rPr>
          <w:rStyle w:val="FootnoteAnchor"/>
          <w:rtl w:val="true"/>
        </w:rPr>
        <w:footnoteReference w:id="404"/>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يشتري من السوق لبيساً لا تدري لمن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والرواية صدراً وذيلاً تدل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عليها في الوسائل بل في نفس كتاب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ثياب اليهودي والنصراني أيصلح أن يصلي فيه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صحيحته الثالثة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على بواري النصارى واليهود الذين يقعدون عليها في بيوتهم أتصلح؟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عليها</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ولا وجه للنهي عن ذلك إلاّ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ورد من الروايات الدالة على جواز الصلاة في الثياب التي يصنعها المجوس،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الثياب السابرية يعملها المجوس وهم أخباث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يشربون الخمر، ونساؤهم على تلك الحال، ألبسها ولا أغسلها وأصلّي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 له قميصاً وخططته وفتلت له إزاراً ورداء من السابري، ثمّ بعثت بها إليه في يوم جمعة حين ارتفع النهار، فكأنه عرف ما أريد فخرج بها إلى الجمعة</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في الثياب التي تعملها المجوس والنصارى واليهود</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لا تنافي الروايات الناهية لإمكان الجمع بينها بأن ما يصنعه المجوسي واليهودي أو النصراني من الثياب لا يجب غسلها، بخلاف ما يلبسها فإنه يجب </w:t>
      </w:r>
    </w:p>
    <w:p>
      <w:pPr>
        <w:pStyle w:val="BookText"/>
        <w:rPr/>
      </w:pPr>
      <w:r>
        <w:rPr>
          <w:rFonts w:ascii="Amiri" w:hAnsi="Amiri" w:eastAsia="Amiri" w:cs="Amiri"/>
          <w:color w:val="111111"/>
          <w:sz w:val="28"/>
          <w:sz w:val="28"/>
          <w:szCs w:val="28"/>
          <w:rtl w:val="true"/>
          <w:lang w:bidi="ar-SA"/>
        </w:rPr>
        <w:t>غسلها إلاّ إذا كان قد استعارها من مسلم فلا يجب الغسل كما دلت عليه صحيحة عبد الله بن سنان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يدل على هذا الجمع، معتبرة الحسين بن علوان عن جعفر بن محمّد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يرى بالصلاة بأساً في الثوب الذي يشترى من النصارى والمجوس واليهود قبل أن تغسل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الثياب التي تكون في أيديهم فينجّسونها وليست ثيابهم التي يلبسونها</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فالتفصيل في الثياب شاهد على ما ذكرنا من الجمع، هذا إذا كان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من الإمام لا من الراوي، وإلاّ فلا شاهد فيها، فهذه الطائفة لا بأس بدلالتها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رواية أخرى تدل على نجاستهم من جهة النهي عن المشاركة مع النصراني في الاغتسال بماء واحد وهي صحيحة علي بن جعفر، أنّه سأل أخاه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النصراني يغتسل مع المسلم في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نصراني اغتسل بغير ماء الحمام، إلاّ أن يغتسل وحده على الحوض فيغسله ثمّ يغتسل</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بها على المدعى من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بالاغتسال بغير ماء الحمام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أراد أن يغتسل بماء الحمام ينتظر فراغ النصراني ثمّ يطهر المكان ويغتسل بعد ذلك، وقد حمل صاحب الوسائل صدر الرواية على أن الماء لا مادة له وذيلها على كرية الماء</w:t>
      </w:r>
      <w:r>
        <w:rPr>
          <w:rStyle w:val="FootnoteAnchor"/>
          <w:rtl w:val="true"/>
        </w:rPr>
        <w:footnoteReference w:id="411"/>
      </w:r>
      <w:r>
        <w:rPr>
          <w:rFonts w:ascii="Amiri" w:hAnsi="Amiri" w:eastAsia="Amiri" w:cs="Amiri"/>
          <w:color w:val="111111"/>
          <w:sz w:val="28"/>
          <w:sz w:val="28"/>
          <w:szCs w:val="28"/>
          <w:rtl w:val="true"/>
          <w:lang w:bidi="ar-SA"/>
        </w:rPr>
        <w:t>، إلاّ أن هذا الحمل بعيد 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أي الحكم بالاغتسال بغير ماء الحمام مبني على عدم غسل أطراف الحوض، والثاني مبني على أن الاغتسال بعد غسل أطرافه بشرط </w:t>
      </w:r>
    </w:p>
    <w:p>
      <w:pPr>
        <w:pStyle w:val="BookText"/>
        <w:rPr/>
      </w:pPr>
      <w:r>
        <w:rPr>
          <w:rFonts w:ascii="Amiri" w:hAnsi="Amiri" w:eastAsia="Amiri" w:cs="Amiri"/>
          <w:color w:val="111111"/>
          <w:sz w:val="28"/>
          <w:sz w:val="28"/>
          <w:szCs w:val="28"/>
          <w:rtl w:val="true"/>
          <w:lang w:bidi="ar-SA"/>
        </w:rPr>
        <w:t>الانفراد، لا مع النصراني لئلاّ يصيبه شيء من الماء الملاقي لبدن النصراني فإنه موجب للتنجس، والماء في كلا الحالين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المعنى فيمكن الاستدلال بهذه الرواية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طائفة أخرى يمكن الاستدلال بمفهومها على نجاستهم 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حلية طعامهم المذكور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وَطَعَامُ الَّذِينَ أُوتُوا الْكِتَابَ حِلٌّ لَكُمْ وَطَعَامُكُمْ حِلٌّ لَهُمْ </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المفسر في بعضها بالحبوب، وفي بعضها بالعدس والحبوب، وفي بعضها بالحبوب والبقول وأشباه ذلك، وهي عدة روايات،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طعام أهل الذمة ما يحل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الحبوب</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وهذه الرواية وإن كان في سندها محمّد بن سنان إلاّ أننا رجحنا الأخذ بروايته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وَطَعَامُ الَّذِينَ أُوتُوا الْكِتَابَ حِلٌّ لَكُمْ وَطَعَامُكُمْ حِلٌّ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 والبقول</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ومنها صحيحة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العدس والحمص</w:t>
      </w:r>
      <w:r>
        <w:rPr>
          <w:rStyle w:val="FootnoteAnchor"/>
          <w:rtl w:val="true"/>
        </w:rPr>
        <w:footnoteReference w:id="415"/>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هذه الروايات انحصار حلية طعامهم في هذه الأشياء، وبدلالة </w:t>
      </w:r>
    </w:p>
    <w:p>
      <w:pPr>
        <w:pStyle w:val="BookText"/>
        <w:rPr/>
      </w:pPr>
      <w:r>
        <w:rPr>
          <w:rFonts w:ascii="Amiri" w:hAnsi="Amiri" w:eastAsia="Amiri" w:cs="Amiri"/>
          <w:color w:val="111111"/>
          <w:sz w:val="28"/>
          <w:sz w:val="28"/>
          <w:szCs w:val="28"/>
          <w:rtl w:val="true"/>
          <w:lang w:bidi="ar-SA"/>
        </w:rPr>
        <w:t>مفهوم التحديد،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عدا هذه الأشياء ليس بحلال مطلقاً أي سواء كان من ذبائحهم أو غيرها، وما تباشره أيديهم مطبوخاً كان أو غيره، ووجه عدم الحلية هو النجاسة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ورد في تفسير علي بن إبراهيم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بطعامهم هاهنا الحبوب، والفواكه غير الذبائح التي يذبحون، فإنهم لا يذكرون اسم الله عليها أي على ذبائحهم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استحلوا ذبائحكم فكيف تستحلون ذبائحهم</w:t>
      </w:r>
      <w:r>
        <w:rPr>
          <w:rStyle w:val="FootnoteAnchor"/>
          <w:rtl w:val="true"/>
        </w:rPr>
        <w:footnoteReference w:id="4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ليس تخصيصاً بل من باب ذكر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مرسلة فلا تنهض لمعارضة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التمسك بمفهوم التحديد للدلالة على نجاسة الكفار لنجاسة طعامهم إلاّ ما استثني، وان مطلق ما لم يستثن غير حلال، وهو شامل لجميع أطعمتهم، ولا وجه لذلك إلاّ كون المستند هو نجاستهم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أن المؤمن لا ينجسه شيء، كما في صحيحة زرارة، ومحمّد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الوضوء حد من حدود الله ليعلم الله من يطيعه ومن يعصيه، وان المؤمن لا ينجسه شيء إنما يكفيه مثل الدهن</w:t>
      </w:r>
      <w:r>
        <w:rPr>
          <w:rStyle w:val="FootnoteAnchor"/>
          <w:rtl w:val="true"/>
        </w:rPr>
        <w:footnoteReference w:id="41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بالنجاسة في الرواية النجاسة العرضية إذ لا فرق فيها بين المؤمن وغيره، بل المراد هي النجاسة الذاتية، وبدلالة مفهوم التحديد يكون غير المؤمن نجساً وإلاّ فلا وجه لتخصيص المؤمن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الاستدلال بهذين القسمين من الروايات علىالنجاسة بدلالة المفهوم وإن لم يرد في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الروايات التي يمكن الاستدلال بها على نجاسة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إزاء هذه الروايات عدة روايات تدل على طهارتهم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ورد في مقابل الطائفة الأولى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يتوضأ من كوز أو إناء غيره إذا شرب منه على أنّه يهودي؟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الماء الذي يشرب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لتلك الروايات وقد حمل الشيخ</w:t>
      </w:r>
      <w:r>
        <w:rPr>
          <w:rStyle w:val="FootnoteAnchor"/>
          <w:rtl w:val="true"/>
        </w:rPr>
        <w:footnoteReference w:id="419"/>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يهودي، على الظن وعدم التحقق من كونه يهودياً إذ لا يحكم عليه بالنجاسة إلاّ مع اليقين، وحملها صاحب الوسائل</w:t>
      </w:r>
      <w:r>
        <w:rPr>
          <w:rStyle w:val="FootnoteAnchor"/>
          <w:rtl w:val="true"/>
        </w:rPr>
        <w:footnoteReference w:id="420"/>
      </w:r>
      <w:r>
        <w:rPr>
          <w:rFonts w:ascii="IRNazanin" w:hAnsi="IRNazanin" w:eastAsia="IRNazanin"/>
          <w:color w:val="111111"/>
          <w:sz w:val="28"/>
          <w:sz w:val="28"/>
          <w:szCs w:val="28"/>
          <w:rtl w:val="true"/>
          <w:lang w:bidi="fa-IR"/>
        </w:rPr>
        <w:t xml:space="preserve">على التقية ولعل التأكيد وتكرار السؤال يؤيده، وقد تقدم في ذيل صحيحة علي بن جعفر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يضطر إليه، وبناء على كون الماء قليلاً تكون هذه الصحيحة معارضة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أيضاً الواردة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اليهودي والنصراني يشرب من الدورق أيشرب منه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وظاهر الرواية أن الشرب من سؤر اليهودي والنصراني فتكون الرواية دالة على الطهارة، إلاّ أن يحمل السؤال عن استعمال الدورق لا الشرب من بقية الماء ولكنه بعيد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ورد في مقابل الطائفة الثانية فموثقة خالد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ألقى الذمي فيصافحني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امسحها بالتراب أو بالحائط،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اغسلها</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وظاهر هذه الرواية الدلالة على التنزيه لا على النجاسة، فإن المسح بالتراب أو الحائط لا يوجب الطهارة، وفي الجمع بين الروايات حمل صاحب الوسائل هذه الرواية على عدم الرطوبة والمسح والغسل على الاستحباب، وما تقدم من الروايات الدالة على وجوب الغسل محمول علىوجود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مقابل الطائفة الثالثة فعدة روايات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صحيحة عبد الله بن يحيى الكاهلي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مسلمين يأكلون وحضرهم رجل مجوسي أيدعونه إلى طعامهم؟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أواكل المجوسي، وأكره أن أحرم عليكم شيئاً تصنعون في بلادكم</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على التنزيه، وإلاّ فلو كان حراماً فهو حرام على السائل أيضاً، إلاّ أن تحمل على التقية كما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عيص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رواية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مواكلة اليهود والنصراني والمجوسي؟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من طعامك وتوضأ فلا بأس</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وفي رواية الشيخ والصدوق بإسنادهما عن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مؤاكلة اليهودي والنصراني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كان من طعامك وسألته عن مؤاكلة المجوسي؟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فلا بأس</w:t>
      </w:r>
      <w:r>
        <w:rPr>
          <w:rStyle w:val="FootnoteAnchor"/>
          <w:rtl w:val="true"/>
        </w:rPr>
        <w:footnoteReference w:id="42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الكافي ورد فيها التقييد بكون الطعام من </w:t>
      </w:r>
    </w:p>
    <w:p>
      <w:pPr>
        <w:pStyle w:val="BookText"/>
        <w:rPr/>
      </w:pPr>
      <w:r>
        <w:rPr>
          <w:rFonts w:ascii="Amiri" w:hAnsi="Amiri" w:eastAsia="Amiri" w:cs="Amiri"/>
          <w:color w:val="111111"/>
          <w:sz w:val="28"/>
          <w:sz w:val="28"/>
          <w:szCs w:val="28"/>
          <w:rtl w:val="true"/>
          <w:lang w:bidi="ar-SA"/>
        </w:rPr>
        <w:t>طعامك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طعام السائل مع اشتراط الوضوء، وحينئذ فلا بأس في المؤاكلة، وأما إذا كان الطعام من المجوسي فلا يجوز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رواية الشيخ ورد فيها التقييد بكون الطعام من طعام السائل فقط من دون اشتراط الوضوء إلاّ مع مؤاكلة المجوسي فلابد من الوضوء من دون فرق بين كون الطعام منه أو من المسلم، وعلى كل تقدير فالتقييد بأنه من طعامك واشتراط التوضي يستفاد منهما عدم النجاسة، نعم لما كان طعامهم مشتملاً على النجاسة العرضية أو لمباشرته بأيديهم مع عدم توقِّيهم عن النجاسة العرضية اشترط الوضوء عند المؤاكلة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الطعام رطباً وإلاّ فلا حاجة إلى التوضي، فكلتا الروايتين تدلان على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ماتقول في طعام أهل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 ثمّ سكت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 ثمّ سكت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 ولا تتركه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حرام ولكن تتركه تتنزه عنه، إن في آنيتهم الخمر ولحم الخنزير</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والرواية واضحة الدلالة فإن التعليل المذكور للنهي هو النجاسة العرضية، إلاّ أن تحمل الرواية على التقية ويكون التعليل ناظراً إلى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الوجه في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الواردة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أنأكل في إنائهم إذا كانوا يأكلون</w:t>
      </w:r>
    </w:p>
    <w:p>
      <w:pPr>
        <w:pStyle w:val="BookText"/>
        <w:rPr/>
      </w:pPr>
      <w:r>
        <w:rPr>
          <w:rFonts w:ascii="Amiri" w:hAnsi="Amiri" w:eastAsia="Amiri" w:cs="Amiri"/>
          <w:color w:val="111111"/>
          <w:sz w:val="28"/>
          <w:sz w:val="28"/>
          <w:szCs w:val="28"/>
          <w:rtl w:val="true"/>
          <w:lang w:bidi="ar-SA"/>
        </w:rPr>
        <w:t>الميتة والخنزير؟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في آنية الذهب والفضة</w:t>
      </w:r>
      <w:r>
        <w:rPr>
          <w:rStyle w:val="FootnoteAnchor"/>
          <w:rtl w:val="true"/>
        </w:rPr>
        <w:footnoteReference w:id="42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بهذه الرواية على جواز الأكل من آنيتهم إذا لم يأكلوا </w:t>
      </w:r>
    </w:p>
    <w:p>
      <w:pPr>
        <w:pStyle w:val="BookText"/>
        <w:rPr/>
      </w:pPr>
      <w:r>
        <w:rPr>
          <w:rFonts w:ascii="IRNazanin" w:hAnsi="IRNazanin" w:eastAsia="IRNazanin"/>
          <w:color w:val="111111"/>
          <w:sz w:val="28"/>
          <w:sz w:val="28"/>
          <w:szCs w:val="28"/>
          <w:rtl w:val="true"/>
          <w:lang w:bidi="fa-IR"/>
        </w:rPr>
        <w:t xml:space="preserve">فيها الميتة والخنزير، إلاّ أن هذا المفهوم مستفاد من كلام السائل لا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إن الجمع بين هذه الطائفة وبين الطائفة المقابلة لها الدالة على النجاسة يتم بأحد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روايات هذه الطائفة على التقية، فتكون روايات النجاسة سليمة عن المعارض، ولكن هذا لا يتأتى في جميع هذه الروايات كصحيحة العيص بن القاسم وغيرها إذ لا وجه للأكل من طعامه لو كان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روايات النهي على أن الممنوع هو طعامهم المطبوخ الذي تباشره أيديهم فقط، وأما طعام المسلم أو طعامهم غير المطبوخ كالحبوب والعدس والبقول والفواكه فيجوز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النهي التنزيهي دون التحريمي، وشاهده ما دلت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جابر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ورد في معتبرة ابن القداح،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اليهودية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ذراع،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الذراع والكتف، ويكره الورك لقربها من المبال</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فقد يستدل بها على الطهارة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من طعام اليهود الذيباشرته أيديهم، فلو كان نجساً ولا يجوز استعماله فكيف تناوله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وبناء على هذا تكون هذه الرواية داخلة في الطائفة الثالثة من الروايات الدالة على الطهارة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يمكن القول إن الرواية غير قابلة للاستدلال، وذلك لما ورد في مختصر البصائر بسنده عن أبي بصير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 فتكلم اللحم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صلوات الله عليك وعلى آلك إني مسموم </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قطعت مطاياي الأكلة التي أكلتها بخيبر، وما من نبي ولا وصي إلاّ شهيد</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ومن المعلوم أن فتح خيبر كان في السنة السابعة من الهجرة، وإلى ذلك الوقت لم يشرّع الحكم بنجاسة الكفار بعد، فإن سورة البراءة نزلت في السنة التاسعة من الهجرة</w:t>
      </w:r>
      <w:r>
        <w:rPr>
          <w:rStyle w:val="FootnoteAnchor"/>
          <w:rtl w:val="true"/>
        </w:rPr>
        <w:footnoteReference w:id="430"/>
      </w:r>
      <w:r>
        <w:rPr>
          <w:rFonts w:ascii="Amiri" w:hAnsi="Amiri" w:eastAsia="Amiri" w:cs="Amiri"/>
          <w:color w:val="111111"/>
          <w:sz w:val="28"/>
          <w:sz w:val="28"/>
          <w:szCs w:val="28"/>
          <w:rtl w:val="true"/>
          <w:lang w:bidi="ar-SA"/>
        </w:rPr>
        <w:t>ومع هذا الاحتمال لا يمكن الاستدلال بالرواية المذكورة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البراءة وإن كان نزولها في السنة التاسعة إلاّ أن الآية الثانية نزلت قبل الهجرة فإنها واردة في سورة الإنعام وآياتها مكية إلاّ ست</w:t>
      </w:r>
      <w:r>
        <w:rPr>
          <w:rStyle w:val="FootnoteAnchor"/>
          <w:rtl w:val="true"/>
        </w:rPr>
        <w:footnoteReference w:id="431"/>
      </w:r>
      <w:r>
        <w:rPr>
          <w:rFonts w:ascii="Amiri" w:hAnsi="Amiri" w:eastAsia="Amiri" w:cs="Amiri"/>
          <w:color w:val="111111"/>
          <w:sz w:val="28"/>
          <w:sz w:val="28"/>
          <w:szCs w:val="28"/>
          <w:rtl w:val="true"/>
          <w:lang w:bidi="ar-SA"/>
        </w:rPr>
        <w:t>آيات وهذه الآية ليست منها، وعلى هذا فالآية نزلت قبل قضية خيبر، وهذا مما يوهن المناقشة في معتبرة ابن القداح، بل في الاستدلال بالآية الثانية، مضافاً إلى أن سند رواية المختصر يشتمل على علي بن أبي حمزة</w:t>
      </w:r>
      <w:r>
        <w:rPr>
          <w:rStyle w:val="FootnoteAnchor"/>
          <w:rtl w:val="true"/>
        </w:rPr>
        <w:footnoteReference w:id="432"/>
      </w:r>
      <w:r>
        <w:rPr>
          <w:rFonts w:ascii="Amiri" w:hAnsi="Amiri" w:eastAsia="Amiri" w:cs="Amiri"/>
          <w:color w:val="111111"/>
          <w:sz w:val="28"/>
          <w:sz w:val="28"/>
          <w:szCs w:val="28"/>
          <w:rtl w:val="true"/>
          <w:lang w:bidi="ar-SA"/>
        </w:rPr>
        <w:t>، وهو ممن وقع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مقابل الطائفة الرابعة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آنية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في آنيتهم إذا كانوا يأكلون فيه الميتة والدم ولحم الخنزير</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وظاهر الرواية أن النهي عن الأكل في آنيتهم مشروط بأكلهم فيها الميتة والدم ولحم الخنزير، وينتفي المشروط بانتفاء شرطه، ونتيجة ذلك هي الطهارة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زكريا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نصرانياً فأسلمت فقلت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بيتي على دين النصرانية فأكون معهم في بيت واحدوآكل من آنيتهم ؟ 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أيأكلون لحم الخنزير؟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ودلالة هذه الرواية تامة إلاّ أن في سندها زكريا بن إبراهيم السائل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 لم يرد فيه توثيق، فتكون الرواية مؤيدة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في مقابل الطائفة الخامسة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إبراهيم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الخياط أو القصار يكون يهودياً أو نصرانياً، وأنت تعلم أنّه يبول ولا يتوضأ ماتقول في 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وظاهر هذه الرواية يدل على الطهارة، فإن الخياطة وإن كانت لا تستلزم الرطوبة إلاّ أن القصارة تستلزمها، مضافاً إلى أن السائل مهّد لسؤاله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تعلم أنّه يبول ولا يتوضأ والغرض منه الإشارة إلى النجاسة العرضية، وجواب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عدم النجاسة الذاتية، إلاّ أن يحمل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على نفي البأس عن العمل بقرينة أن السؤال عن العمل، وليس ناظراً إلى حكم الثوب من حيث الطهارة والنجاسة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ثوب المجوسي؟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يرش بالماء</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وهذه الرواية واضحة الدلالة فإنها تدلّ على أنّ الثوب لا يحتاج إلى التطهير، ولو كان نجساً فرشّه بالماء ليس تطهيراً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حمل الرواية على ما تقدم من التفصيل بين الثياب التي يلبسونها، والثياب التي يصنعونها، ويكون المراد من ثوب المجوسي في الرواية هو ما يصنعه المجوسي، وحينئذ لا تكون الرواية شاهدة على ما نحن فيه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إبراهيم بن أبي محمود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الجارية النصرانية تخدمك، وأنت تعلم أنها نصرانية لا تتوضأ ولا تغتسل من 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تغسل يديها</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وظاهر الرواية يدل على طهارة الكتابي فإن أكثر الخدمة من الجواري أو جلّها ملازمة لاستعمال اليد مع الرطوبة وخصوصاً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تغسليديها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الرواية محمولة على التقية بقرينة الخطاب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مضطراً إلى ذلك فبعيد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ويرده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يبلغ إلى هذا الحد من التقية بل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مرجعاً في الأحكام في مقابل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السائل في معرض التمثيل والفرض، لا في معرض التقرير بمعنى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جارية نصرانية تخدمه، بل كان في مقام طرح المسألة على نحو القضية الحقيقية لا على نحو القضية الشخصية، فليس للخطاب في هذا المورد وأشباهه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صحيحة إبراهيم بن أبي محمود السابقة وخطابه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هذا الخطاب من قوله وأنت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مراده قضية معينة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تامة الدلالة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مقابل الطائفة الأخيرة وهي الدالة على النجاسة بمفهومها روايات أخرى كثيرة تدل بمفهومها على الطهارة،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تغسيل الكتابي للميت المسلم عند فقدان المغسّل المسلم</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اتخاذ الظئر الكتابية</w:t>
      </w:r>
      <w:r>
        <w:rPr>
          <w:rStyle w:val="FootnoteAnchor"/>
          <w:rtl w:val="true"/>
        </w:rPr>
        <w:footnoteReference w:id="43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دفع ولده إلى ظئر يهودية أو نصرانية أو مجوسية ترضعه في بيتها أو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ترضعه لك اليهودية والنصرانية في بيتك، وتمنعها من شرب الخمر وما لا يحل مثل لحم الخنزير ولا يذهبن بولدك إلى بيوتهم، والزانية لا ترضع ولدك فإنه لا يحل لك، والمجوسية لا ترضع لك ولدك إلاّ أن تضطر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الحديث </w:t>
      </w:r>
      <w:r>
        <w:rPr>
          <w:rFonts w:eastAsia="Amiri" w:cs="Amiri" w:ascii="Amiri" w:hAnsi="Amiri"/>
          <w:color w:val="111111"/>
          <w:sz w:val="28"/>
          <w:szCs w:val="28"/>
          <w:lang w:bidi="ar-SA"/>
        </w:rPr>
        <w:t>6</w:t>
      </w:r>
      <w:bookmarkStart w:id="178" w:name="pg16387_188224"/>
    </w:p>
    <w:p>
      <w:pPr>
        <w:pStyle w:val="BookText"/>
        <w:rPr/>
      </w:pPr>
      <w:bookmarkEnd w:id="178"/>
      <w:r>
        <w:rPr>
          <w:rFonts w:ascii="Amiri" w:hAnsi="Amiri" w:eastAsia="Amiri" w:cs="Amiri"/>
          <w:color w:val="111111"/>
          <w:sz w:val="28"/>
          <w:sz w:val="28"/>
          <w:szCs w:val="28"/>
          <w:rtl w:val="true"/>
          <w:lang w:bidi="ar-SA"/>
        </w:rPr>
        <w:t>بناء على القول بحرمة إعطاء النجاسة للطفل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ورد في التسرّي بالكتابية</w:t>
      </w:r>
      <w:r>
        <w:rPr>
          <w:rStyle w:val="FootnoteAnchor"/>
          <w:rtl w:val="true"/>
        </w:rPr>
        <w:footnoteReference w:id="440"/>
      </w:r>
      <w:r>
        <w:rPr>
          <w:rFonts w:ascii="Amiri" w:hAnsi="Amiri" w:eastAsia="Amiri" w:cs="Amiri"/>
          <w:color w:val="111111"/>
          <w:sz w:val="28"/>
          <w:sz w:val="28"/>
          <w:szCs w:val="28"/>
          <w:rtl w:val="true"/>
          <w:lang w:bidi="ar-SA"/>
        </w:rPr>
        <w:t>أو النكاح المنقطع بها</w:t>
      </w:r>
      <w:r>
        <w:rPr>
          <w:rStyle w:val="FootnoteAnchor"/>
          <w:rtl w:val="true"/>
        </w:rPr>
        <w:footnoteReference w:id="441"/>
      </w:r>
      <w:r>
        <w:rPr>
          <w:rFonts w:ascii="Amiri" w:hAnsi="Amiri" w:eastAsia="Amiri" w:cs="Amiri"/>
          <w:color w:val="111111"/>
          <w:sz w:val="28"/>
          <w:sz w:val="28"/>
          <w:szCs w:val="28"/>
          <w:rtl w:val="true"/>
          <w:lang w:bidi="ar-SA"/>
        </w:rPr>
        <w:t>فهي تدلبمفهومها على الطهارة</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6877769_1280447820"/>
      <w:bookmarkStart w:id="180" w:name="_Toc62"/>
      <w:bookmarkEnd w:id="179"/>
      <w:r>
        <w:rPr>
          <w:rtl w:val="true"/>
        </w:rPr>
        <w:t>الجمع بين الروايات</w:t>
      </w:r>
      <w:r>
        <w:rPr>
          <w:rtl w:val="true"/>
        </w:rPr>
        <w:t>:</w:t>
      </w:r>
      <w:bookmarkEnd w:id="180"/>
    </w:p>
    <w:p>
      <w:pPr>
        <w:pStyle w:val="BookText"/>
        <w:rPr/>
      </w:pPr>
      <w:r>
        <w:rPr>
          <w:rFonts w:ascii="Amiri" w:hAnsi="Amiri" w:eastAsia="Amiri" w:cs="Amiri"/>
          <w:color w:val="111111"/>
          <w:sz w:val="28"/>
          <w:sz w:val="28"/>
          <w:szCs w:val="28"/>
          <w:rtl w:val="true"/>
          <w:lang w:bidi="ar-SA"/>
        </w:rPr>
        <w:t>إن المتراءى بعد استعراض جميع ما يمكن أن يستدل به من الروايات على الطهارة والنجاسة هو التعارض بين الروايات، فلابد من رفعه وإنما يتم رفع التعارض بالجمع بينها بأحد وجوه الجمع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روايات النجاسة على الحكم التنزيهي والكراهية دون الحكم التحريمي، بأن ترفع اليد عن دلالة الروايات على النهي وتحمل على الكراهة، وأن تحمل روايات الطهارة على وجود الحزازة بأن ترفع اليد عن دلالة الروايات على الجواز المطلق وتحمل على أن فيه غضاضة، فتكون النتيجة في كلا الأمرين هي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هذا الجمع لا يخلو إما أن يكون للتجنب عن النجاسة العرضية المظنونة في أهل الكتاب عادة، ولئلاّ يقع المكلف في هذه المظنة يحكم تنزيهاً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للحزازة الباطنية وهو كفرهم، ويحكم تنزيهاً بالتجنب عنهم لذلك، وقد يعبر عن هذا بالحكم الأخلاقي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الجمع ينسجم مع جلّ هذه الروايات لا كلها كما تقدم في مواردها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روايات المنع على النجاسة العرضية، وروايات الطهارة على عدم النجاسة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يلتئم مع جميع الروايات وفي بعضها دلالة على هذا الجمع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روايات الطهارة على التقية لموافقتها مشهور العامة كما تقدمت كلماتهم، وهذا الوجه ينطبق على أكثر روايات الطهارة لا كلها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هي الوجوه المتصوّرة في مقام الثبوت، والمهم هو تعيين أحدها في مقام الدلالة، وقد يقال في ترجيح الوجه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الفقهاء قاطبةفهموا ذلك، وحملوا أخبار الطهارة على التقية، ولا ينبغي وقوع الخطأ عن مثل هؤلاء الأعلام ومهرة الفن بجميع طبقاتهم مع ملاحظة أنهم على التفات للوجهين الأولين كما يظهر ذلك من كلمات الشيخ كما تقدم، مضافاً إلى أن المنشأ لهذا الحمل إما أنهم رأوا أن روايات الطهارة مخالفة للكتاب دون روايات النجاسة إذ أنّ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كالشيخ والمحقق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بالآيات وقد تقدم البحث عن ذلك مفصلاً، وإما أنهم رأوا أن السيرة القطعية المتصلة بزمان الأصحاب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على ذلك، فكان هذا الحكم معلوماً ومفروغاً عنه عندهم حتى عدّه صاحب السرائر من أصول المذهب</w:t>
      </w:r>
      <w:r>
        <w:rPr>
          <w:rStyle w:val="FootnoteAnchor"/>
          <w:rtl w:val="true"/>
        </w:rPr>
        <w:footnoteReference w:id="442"/>
      </w:r>
      <w:r>
        <w:rPr>
          <w:rFonts w:ascii="Amiri" w:hAnsi="Amiri" w:eastAsia="Amiri" w:cs="Amiri"/>
          <w:color w:val="111111"/>
          <w:sz w:val="28"/>
          <w:sz w:val="28"/>
          <w:szCs w:val="28"/>
          <w:rtl w:val="true"/>
          <w:lang w:bidi="ar-SA"/>
        </w:rPr>
        <w:t>، أو أن المنشأ كلا الأمرين معاً، وبناء على ذلك حكموا بالنجاسة وحملوا روايات الطهارة على التقية جمعاً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يلاحظ على الأمر الثاني أن</w:t>
      </w:r>
    </w:p>
    <w:p>
      <w:pPr>
        <w:pStyle w:val="BookText"/>
        <w:rPr/>
      </w:pPr>
      <w:r>
        <w:rPr>
          <w:rFonts w:ascii="Amiri" w:hAnsi="Amiri" w:eastAsia="Amiri" w:cs="Amiri"/>
          <w:color w:val="111111"/>
          <w:sz w:val="28"/>
          <w:sz w:val="28"/>
          <w:szCs w:val="28"/>
          <w:rtl w:val="true"/>
          <w:lang w:bidi="ar-SA"/>
        </w:rPr>
        <w:t>الذي يظهر من غير واحدة من الروايات أن الحكم ليس بهذه المثابة من الارتكاز في أذهان الأصحاب، بل الظاهر أن المرتكز في أذهانهم هو النجاسة العرضية، ويدل على ذلك عدة روايات تقدم أكثرها ومنها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صحيحة إبراهيم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الخياط أو القصار </w:t>
      </w:r>
    </w:p>
    <w:p>
      <w:pPr>
        <w:pStyle w:val="BookText"/>
        <w:rPr/>
      </w:pPr>
      <w:r>
        <w:rPr>
          <w:rFonts w:ascii="Amiri" w:hAnsi="Amiri" w:eastAsia="Amiri" w:cs="Amiri"/>
          <w:color w:val="111111"/>
          <w:sz w:val="28"/>
          <w:sz w:val="28"/>
          <w:szCs w:val="28"/>
          <w:rtl w:val="true"/>
          <w:lang w:bidi="ar-SA"/>
        </w:rPr>
        <w:t>يكون يهودياً أو نصرانياً وأنت تعلم أنّه يبول ولا يتوضأ</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صحيحته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الجارية النصرانية تخدمك وأنت تعلم أنها نصرانية لا تتوضأ ولا تغتسل من جنابة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الثياب السابرية يعملها المجوس وهم أخباث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يشربون الخمر، ونساؤهم على تلك الحال</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أبي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أعير الذمي ثوبي، وأنا أعلم أنّه يشرب الخمر ويأكل لحم الخنزير، فيرده عليّ فأغسله قبل أن أصلي فيه؟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ولا تغسله من أجل ذلك، فإنك أعرته إياه وهو طاهر ولم تستيقن أنّه نجسه، فلا بأس أن تصلي فيه حتى تستيقن أنّه نجسه</w:t>
      </w:r>
      <w:r>
        <w:rPr>
          <w:rStyle w:val="FootnoteAnchor"/>
          <w:rtl w:val="true"/>
        </w:rPr>
        <w:footnoteReference w:id="446"/>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الاحتجاج عن محمّد بن عبد الله بن جعفر الحميري أنّه كتب إلى صاحب الزمان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حاكة مجوس يأكلون الميتة لا يغتسلون من الجنابة، وينسجون لنا ثياباً فهل تجوز الصلاة فيها من قبل أن تغسل؟ فكتب إليه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فيها</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جميلة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ثوب المجوسي ألبسه وأصلي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يشربون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نشتري الثياب السابرية فنلبسها ولا نغسلها</w:t>
      </w:r>
      <w:r>
        <w:rPr>
          <w:rStyle w:val="FootnoteAnchor"/>
          <w:rtl w:val="true"/>
        </w:rPr>
        <w:footnoteReference w:id="44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زكريا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bookmarkStart w:id="181" w:name="pg16387_188227"/>
    </w:p>
    <w:p>
      <w:pPr>
        <w:pStyle w:val="BookText"/>
        <w:rPr/>
      </w:pPr>
      <w:bookmarkEnd w:id="181"/>
      <w:r>
        <w:rPr>
          <w:rFonts w:ascii="Amiri" w:hAnsi="Amiri" w:eastAsia="Amiri" w:cs="Amiri"/>
          <w:color w:val="111111"/>
          <w:sz w:val="28"/>
          <w:sz w:val="28"/>
          <w:szCs w:val="28"/>
          <w:rtl w:val="true"/>
          <w:lang w:bidi="ar-SA"/>
        </w:rPr>
        <w:t>إني رجل من أهل الكتاب، وإني أسلمت وبقي أهلي كلهم على النصرانية، وأنا معهم في بيت واحد لم أفارقهم بعد، فآكل من طعامهم؟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الخنزير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ولكنهم يشربون الخمر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معهم واشرب</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آنية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في آنيتهم إذا كانوا يأكلون فيه الميتة والدم ولحم الخنزير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في الثياب التي تعملها المجوس والنصارى واليهود</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وغيرها من الروايات فالقول بأن السيرة القطعية قائمة، وأن المركوز في أذهانهم هو النجاسة الذاتية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الإضافات والتقييدات للإيهام بإرادة الأمر المقبول عند التقية، ولكن التصديق بهذا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بالنسبة إلى المشرك ومن ساواه، ومن هو دونه كالملحد ونحوه، هو النجاسة بلا خلاف بين الفقهاء، لدلالة الآية والروايات ولمقتضى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أهل الكتاب فالحكم بنجاستهم موضع تأمل، والاحتياط لا يترك</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6877771_1280447820"/>
      <w:bookmarkStart w:id="183" w:name="_Toc63"/>
      <w:bookmarkEnd w:id="182"/>
      <w:r>
        <w:rPr>
          <w:rtl w:val="true"/>
        </w:rPr>
        <w:t>المسألة الثانية</w:t>
      </w:r>
      <w:r>
        <w:rPr>
          <w:rtl w:val="true"/>
        </w:rPr>
        <w:t>:</w:t>
      </w:r>
      <w:bookmarkEnd w:id="18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مرّ من حرمة تولّي الكفار وكراهة بدئهم بالسلام وغيرهما، لا ينافي التعامل معهم بسائر الأخلاق الشرعية والإنسانية كحق الجوار، والمصاحبة، والمجالسة، والبشاشة في وجوههم، وعلى المسلم أن يتحلّى بالآداب الإسلامية </w:t>
      </w:r>
      <w:bookmarkStart w:id="184" w:name="pg16387_188228"/>
    </w:p>
    <w:p>
      <w:pPr>
        <w:pStyle w:val="BookText"/>
        <w:rPr/>
      </w:pPr>
      <w:bookmarkEnd w:id="184"/>
      <w:r>
        <w:rPr>
          <w:rFonts w:ascii="Amiri" w:hAnsi="Amiri" w:eastAsia="Amiri" w:cs="Amiri"/>
          <w:color w:val="111111"/>
          <w:sz w:val="28"/>
          <w:sz w:val="28"/>
          <w:szCs w:val="28"/>
          <w:rtl w:val="true"/>
          <w:lang w:bidi="ar-SA"/>
        </w:rPr>
        <w:t>والأخلاق الشرعية بغض النظر عن حقيقة الطرف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وبناء على ذلك فالحب والموالاة للكفار شيء ومعاشرتهم بالتي هي أحسن شيء آخر، ولا ملازمة بينهما، وقد ورد في بعض الروايات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ذلك ففي معتبرة مسعدة بن صدقة عن أبي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رجلاً ذمياً فقال له 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يا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الكوفة، فلما عدل الطريق بالذمي عدل معه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عدلت معي؟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تمام حسن الصحبة أن يشيع الرجل صاحبه هنيئة إذا فارقه، وكذلك أمرنا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وفيه أن الذمي أسلم لذلك</w:t>
      </w:r>
      <w:r>
        <w:rPr>
          <w:rStyle w:val="FootnoteAnchor"/>
          <w:rtl w:val="true"/>
        </w:rPr>
        <w:footnoteReference w:id="452"/>
      </w:r>
    </w:p>
    <w:p>
      <w:pPr>
        <w:pStyle w:val="Heading5"/>
        <w:numPr>
          <w:ilvl w:val="4"/>
          <w:numId w:val="1"/>
        </w:numPr>
        <w:rPr/>
      </w:pPr>
      <w:bookmarkStart w:id="185" w:name="__RefHeading___Toc6877773_1280447820"/>
      <w:bookmarkStart w:id="186" w:name="_Toc64"/>
      <w:bookmarkEnd w:id="185"/>
      <w:r>
        <w:rPr>
          <w:rtl w:val="true"/>
        </w:rPr>
        <w:t>المسألة الثالثة</w:t>
      </w:r>
      <w:r>
        <w:rPr>
          <w:rtl w:val="true"/>
        </w:rPr>
        <w:t>:</w:t>
      </w:r>
      <w:bookmarkEnd w:id="186"/>
    </w:p>
    <w:p>
      <w:pPr>
        <w:pStyle w:val="BookText"/>
        <w:rPr/>
      </w:pPr>
      <w:r>
        <w:rPr>
          <w:rFonts w:ascii="Amiri" w:hAnsi="Amiri" w:eastAsia="Amiri" w:cs="Amiri"/>
          <w:color w:val="111111"/>
          <w:sz w:val="28"/>
          <w:sz w:val="28"/>
          <w:szCs w:val="28"/>
          <w:rtl w:val="true"/>
          <w:lang w:bidi="ar-SA"/>
        </w:rPr>
        <w:t>هل الحرمة تختص بالكافر أو أنها شاملة لأهل الكتاب والمخالفين؟</w:t>
      </w:r>
    </w:p>
    <w:p>
      <w:pPr>
        <w:pStyle w:val="BookText"/>
        <w:rPr/>
      </w:pPr>
      <w:r>
        <w:rPr>
          <w:rFonts w:ascii="Amiri" w:hAnsi="Amiri" w:eastAsia="Amiri" w:cs="Amiri"/>
          <w:color w:val="111111"/>
          <w:sz w:val="28"/>
          <w:sz w:val="28"/>
          <w:szCs w:val="28"/>
          <w:rtl w:val="true"/>
          <w:lang w:bidi="ar-SA"/>
        </w:rPr>
        <w:t>أما ما ورد من الآيات فأكثرها متعلق بالكفار، وبعضها يتعلق بأهل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بالنسبة إلى المخالفين فلم يرد من الآيات فيهم شيء، نعم يمكن استظهار ذلك من الروايات، ومنها ما تقدم ذكره من الروايات التي لم يرد فيها عنوان الكافر، وإنما ورد فيها عنوان العدو فإن عدو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لله، وهذا شامل للمخالفين المنكرين ولاية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في بعض الروايات اختصاص للحرمة بالمخالفين الغلاة كما في رواية الحسين بن خالد عن أبي الحسن علي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بعضها عام كما في رواية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ورد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 أولياء الله واجب وكذلك بغض أعداء الله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شامل للغلاة وغيرهم من المخالفين، ومثلها في الدلالة رواية يعقوب بن ميثم التمارمولى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w:t>
      </w:r>
    </w:p>
    <w:p>
      <w:pPr>
        <w:pStyle w:val="BookText"/>
        <w:rPr/>
      </w:pPr>
      <w:r>
        <w:rPr>
          <w:rFonts w:ascii="IRNazanin" w:hAnsi="IRNazanin" w:eastAsia="IRNazanin"/>
          <w:color w:val="111111"/>
          <w:sz w:val="28"/>
          <w:sz w:val="28"/>
          <w:szCs w:val="28"/>
          <w:rtl w:val="true"/>
          <w:lang w:bidi="fa-IR"/>
        </w:rPr>
        <w:t>وجدت في كتب أبي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ميثم احبب حبيب آل محمّد وإن كان فاسقاً زانياً، وابغض مبغض آل محمّد وإن كان صواماً قواماً،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 أنت وشيعتك وميعادك وميعادهم الحوض غداً غراً محجّلين متوّجين،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هو عندنا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إلاّ أن هذه الرواية اشتملت على الأمر ببغض مبغض آل محمّد فهي تختص ببعض المخالفين لا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الاستدلال بها للتعميم أي سواء كان كافراً، أو مبغضاً لآل محمد، أو منكراً للولاية، فإن محبة هؤلاء منهي عنها وبغضهم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أحكام أخرى تختص بالكفار نشير إليها على نحو الإجمال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بيعهم المصحف وما في حكمه، والمسألة وإن كانت خلافية إلاّ أن القول بالحرمة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بيع العبد المسلم للكافر، وحرمة ذبيحة الكافر ومن بحكمه من المسلمين كالغلاة والنواصب والخوارج وكل من أنكر ضرورياً من ضروريات الدين، وهذه المسألة طويلة الذيل وردت فيها روايات مختلفة والمشهور هو القول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مناكحتهم وعدم جواز تزوج المؤمنة من الكافر وكذلك العكس، إلاّ ما استثني من جواز المتعة بالكتابية، وما عداها محل إشكال وسيأتي البحث حول هذه المسائل في مواضعها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الأحكام المتعلّقة بالكفار ولعل هناك غيرها أيضاً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الكلام بعد هذا حول التقية في هذه الأحكام</w:t>
      </w:r>
      <w:r>
        <w:rPr>
          <w:rFonts w:eastAsia="Amiri" w:cs="Amiri" w:ascii="Amiri" w:hAnsi="Amiri"/>
          <w:color w:val="111111"/>
          <w:sz w:val="28"/>
          <w:szCs w:val="28"/>
          <w:rtl w:val="true"/>
          <w:lang w:bidi="ar-SA"/>
        </w:rPr>
        <w:t xml:space="preserve">. </w:t>
      </w:r>
      <w:bookmarkStart w:id="187" w:name="pg16387_188230"/>
    </w:p>
    <w:p>
      <w:pPr>
        <w:pStyle w:val="Heading4"/>
        <w:numPr>
          <w:ilvl w:val="3"/>
          <w:numId w:val="1"/>
        </w:numPr>
        <w:rPr/>
      </w:pPr>
      <w:bookmarkStart w:id="188" w:name="__RefHeading___Toc6877775_1280447820"/>
      <w:bookmarkStart w:id="189" w:name="_Toc65"/>
      <w:bookmarkEnd w:id="187"/>
      <w:bookmarkEnd w:id="188"/>
      <w:r>
        <w:rPr>
          <w:rtl w:val="true"/>
        </w:rPr>
        <w:t>التقية مع الكفار</w:t>
      </w:r>
      <w:r>
        <w:rPr>
          <w:rtl w:val="true"/>
        </w:rPr>
        <w:t>:</w:t>
      </w:r>
      <w:bookmarkEnd w:id="189"/>
    </w:p>
    <w:p>
      <w:pPr>
        <w:pStyle w:val="BookText"/>
        <w:rPr/>
      </w:pPr>
      <w:r>
        <w:rPr>
          <w:rFonts w:ascii="Amiri" w:hAnsi="Amiri" w:eastAsia="Amiri" w:cs="Amiri"/>
          <w:color w:val="111111"/>
          <w:sz w:val="28"/>
          <w:sz w:val="28"/>
          <w:szCs w:val="28"/>
          <w:rtl w:val="true"/>
          <w:lang w:bidi="ar-SA"/>
        </w:rPr>
        <w:t>ذكرنا فيما تقدم جملة من الأحكام المتعلقة بالكفار، وهنا نذكر شمول التقية لهذه الأحكام وعدمه،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الحكم الأول وهو التولي فقد تقدم، والآيات والروايات الواردة في المقام تشير إلى أنّه من موارد التقية، ومن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إلى سائر الأحكام 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أخف من 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فأدلة التقية الواردة في التولي شاملة له كالسلام، والكتابة، والدعاء ابتداء، والأكل من الذبيحة، والدخول في المسجد، وهذا بالأولوية القطعية لأنه إذا كانت التقية جارية في التولي فهي في السلام والكتابة والدعاء من باب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التقية الوارد هناك شامل لما نحن فيه، مضافاً إلى ورود الروايات الخاصة في المقام، كما في مورد الحاجة إلى الطبيب مثلاً، والحاجة أعم من أن تكون لضرورة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شمول أدلة التقية لهذا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كالمناكحة وبيع العبد والمصحف فالتمسك بأدلة التولي مشكل، ولابد من التماس دليل آخر غير دليل التقية في التولي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على ذلك بما تقدم من الأدلة العامة من أن التقية في كل شيء يضطر إليه ابن آدم، وإن التقية في كل ضرورة وصاحبها أعلم بها حين </w:t>
      </w:r>
    </w:p>
    <w:p>
      <w:pPr>
        <w:pStyle w:val="BookText"/>
        <w:rPr/>
      </w:pPr>
      <w:r>
        <w:rPr>
          <w:rFonts w:ascii="Amiri" w:hAnsi="Amiri" w:eastAsia="Amiri" w:cs="Amiri"/>
          <w:color w:val="111111"/>
          <w:sz w:val="28"/>
          <w:sz w:val="28"/>
          <w:szCs w:val="28"/>
          <w:rtl w:val="true"/>
          <w:lang w:bidi="ar-SA"/>
        </w:rPr>
        <w:t>تنزل به، وغيرها من الروايات الصحيحة الدالة بمنطوقها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وردت بعض الروايات يستفاد من مفهومها جواز التقية في موارد هذا القسم،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الخفين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أتقي فيهن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ومسح الخفين، ومتعة الحج</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فيفهم أن ما عداها يتقى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لابد من بيان ضابط الضرورة والاضطرار، فهل هما بمعنى واحد؟ أو متغايران؟ والظاهر هو الأول فقد جاء في بعض الروايات تفسير أحدهما بالآخر كما في صحيحة زرارة، ورواية الفضلاء المتقدمتين فهما من حيث المفهوم شيء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وهاهنا مبحثان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التقية مع الكافر عدم المندوحة أم لا؟</w:t>
      </w:r>
    </w:p>
    <w:p>
      <w:pPr>
        <w:pStyle w:val="BookText"/>
        <w:rPr/>
      </w:pPr>
      <w:r>
        <w:rPr>
          <w:rFonts w:ascii="IRNazanin" w:hAnsi="IRNazanin" w:eastAsia="IRNazanin"/>
          <w:color w:val="111111"/>
          <w:sz w:val="28"/>
          <w:sz w:val="28"/>
          <w:szCs w:val="28"/>
          <w:rtl w:val="true"/>
          <w:lang w:bidi="fa-IR"/>
        </w:rPr>
        <w:t>الظاهر أنها تعتبر فلا تجوز</w:t>
      </w:r>
    </w:p>
    <w:p>
      <w:pPr>
        <w:pStyle w:val="BookText"/>
        <w:rPr/>
      </w:pPr>
      <w:r>
        <w:rPr>
          <w:rFonts w:ascii="Amiri" w:hAnsi="Amiri" w:eastAsia="Amiri" w:cs="Amiri"/>
          <w:color w:val="111111"/>
          <w:sz w:val="28"/>
          <w:sz w:val="28"/>
          <w:szCs w:val="28"/>
          <w:rtl w:val="true"/>
          <w:lang w:bidi="ar-SA"/>
        </w:rPr>
        <w:t>التقية مع وجود المندوحة، وذلك لأنه مقتضى القاعدة الأولية، إذ مع المندوحة لا يصدق الاضطرار الموجب للتقية، وليس لنا دليل مستقل على أن التقية مع الكافر مطلقة، فلابد من الاقتصار في التقية على عدم المندوحة، نعم في التقية مع المخالف لا تعتبر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اعتبارها مع الكافر بالأولوية، وذلك لأنه إذا كانت مع المخالف غير معتبرة والتقية معه مطلقة فهي مع الكافر من باب أولى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محل كلام فإنه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مسألة المخالف مصلحة تقتضي المداراة، وتوجب عدم اعتبار قيد المندوحة، وهذه المصلحة مفقودة في مسألة الكافر، مضافاً إلى أن كون الكافر أشد من المخالف في هذا الحكم محل 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هذا فلابد من ملاحظة المندوحة وينبغي مراعاتها، وإذا لم تكن في البين مندوحة أمكنه الاتقاء سواء كان في التولي أو غيره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المرفوع بالنسبة إلى التقية مع الكافر هو الحكم التكليفي؟ أو يشمل الحكم الوضعي الذي نسبته إلى الفعل كنسبة الحكم إلى موضوعه مثل الضمان والكفارة والحد وغير ذلك؟ أو يعمهما ويعم الشرطية والمانعية والجزئية؟ وهذه المسألة عامة تأتي في جميع موارد التقية التي تكون مشتملة على الحكم الوضعي أيضاً، فلابد من التحقيق فيها، والكلام يقع في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ارتفاع الحكم التكليفي بواسطة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القدر المتيقن، وذلك لأن التقية وإن كان يظهر منها رفع المؤاخذة والعقاب إلاّ أن المؤاخذة منتزعة من الأحكام التكليفية، والشارع بما هو شارع لا نظر له إلى الثواب والعقاب، فإنه أمر آخر، وإنما نظره إلى الأحكام التكليفية، وبناء عليه فكل حكم وجوبي يرتفع بواسطة التقية وهكذا الحرمة، فإذا اضطر الإنسان إلى أن يخالف واجباً تقية أو يفعل محرماً كذلك، فلا يبقى الحكم الإلزامي، وتجوز له المخالفة إذ لا يجتمع حكمان في شيء واحد، وهذا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ارتفاع الحكم الوضعي كالملكية والزوجية ونحوهما وما يترتب عليها من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الخلاف في ذلك بين الأعلام،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بالارتفاع مطلقاً،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مطلقاً،ومنهم من فصل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إلى القول الأول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هو مقتضى القاعدة، مضافاً إلى الأدلة الخاصة الواردة في خصوص المقام، نعم استثنى من ذلك موردين تأتي الإشارة إليهما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أنّه مقتضى القاعدة فلأن المرفوع في حال الاضطرار هو العمل، ومعناه </w:t>
      </w:r>
    </w:p>
    <w:p>
      <w:pPr>
        <w:pStyle w:val="BookText"/>
        <w:rPr/>
      </w:pPr>
      <w:r>
        <w:rPr>
          <w:rFonts w:ascii="Amiri" w:hAnsi="Amiri" w:eastAsia="Amiri" w:cs="Amiri"/>
          <w:color w:val="111111"/>
          <w:sz w:val="28"/>
          <w:sz w:val="28"/>
          <w:szCs w:val="28"/>
          <w:rtl w:val="true"/>
          <w:lang w:bidi="ar-SA"/>
        </w:rPr>
        <w:t xml:space="preserve">أنّ عمله كلا عمل، فإذا لم يعمل بالوظيفة الأولية تقية فلا يترتب على ذلك بطلان عمله أو يُلزم بالكفارة مثلاً، فإن هذا هو معنى الرفع، فكأنه لم يأت به أصلاً، أو أن ما أتى به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الدين، فإذا كان الحال كذلك فترتفع عنه جميع الآثار المترتبة عليه لارتفاع الموضوع تعبداً، فالقاعدة تقتضي ارتفاع جميع الآثار المترتبة على الفعل عند التقية والاضطرار</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وأما أنّه مفاد الروايات الخاصة فقد وردت عدة روايات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صحيحة أحمد بن أبي عبد الله، عن أبيه، عن صفوان، وأحمد بن محمّد بن أبي نصر، جميعاً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الرجل يستكره على اليمين، فيحلف بالطلاق والعتاق وصدقة ما يملك يلزمه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أمتي ما أكرهوا عليه، وما لم يطيقوا وما أخطأوا</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وهذه الصحيحة مؤيدة لمقتضى القاعدة، حيث استشهد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الإلزام بالعتق والطلاق لأنه مستكره ومضطر إليه، والاضطرار رافع لما يترتب من الآثار فلا يلزم بمضمون يمينه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الحلف بهذه الأمور وإن كان غير صحيح حتى اختياراً إلاّ أن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لرفعها بالحديث يدل على أن الرفع يشمل جميع الآثار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داود بن الحصين، عن رجل من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وهو بالحيرة في زمان أبي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دخلت عليه وقد شك الناس في الصوم، وهو والله من شهر رمضان فسلمت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أصمت اليوم؟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والمائدة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فادن فكل، فدنوت فأكلت،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معك والفطر معك، فقال الرجل لأبيعبد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تفطر يوماً </w:t>
      </w:r>
    </w:p>
    <w:p>
      <w:pPr>
        <w:pStyle w:val="BookText"/>
        <w:rPr/>
      </w:pPr>
      <w:r>
        <w:rPr>
          <w:rFonts w:ascii="Amiri" w:hAnsi="Amiri" w:eastAsia="Amiri" w:cs="Amiri"/>
          <w:color w:val="111111"/>
          <w:sz w:val="28"/>
          <w:sz w:val="28"/>
          <w:szCs w:val="28"/>
          <w:rtl w:val="true"/>
          <w:lang w:bidi="ar-SA"/>
        </w:rPr>
        <w:t>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أفطر يوماً من شهر رمضان أحب إلي من أن يضرب عنقي</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وفي رواية 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العباس بالحيرة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تقول في الصيام اليوم؟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إلى الإمام إن صمت صمنا، وإن أفطرت أفطرنا،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عليّ بالمائدة فأكلت معه، وأنا أعلم والله أنّه يوم من شهر رمضان، فكان إفطاري يوماً وقضاؤه أيسر عليّ من أن يضرب عنقي ولا يعبد الله</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وفي الرواية الثانية ذكر أمر القضاء ولم يذكر الكفارة، ولو كانت الكفارة لازمة لكان الأولى ذكرها لأن الكفارة أشد من القضاء، ففيه إثبات لبعض الآثار، ولكن لقيام الدليل الخاص عليه، وإلاّ فكان عليه أن يلزم بالكفارة أيضاً، وعلى أي حال فالرواية مؤيدة لما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الأعمش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قتل أحد من الكفار والنصاب في التقية إلاّ قاتل أو ساع في فساد، وذلك إذا لم تخف على نفسك ولا على أصحابك، واستعمال التقية في دار التقية واجب، ولا حنث ولا كفارة على من حلف تقية يدفع بذلك ظلماً عن نفسه</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والرواية وإن كان في سندها ضعف إلاّ أنّه يمكن جعلها مؤيدة لمفاد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استثنى من ذلك موردين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ذلك يستوجب خلاف الامتنان على نفس الفاعل، كما إذا اضطر إلى بيع داره أو ثيابه لصرف ثمنها في معالجة أو معاش، فإن الحكم ببطلان البيع خلاف الامتنان، لأنه يوقعه في ضرر أشد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يستوجب خلاف الامتنان في حق الغير، كما إذا اضطر إلى إتلاف مال الغير فإن الحكم بعدم الضمان لمال الغير يوقع مالك المال في الضرر، وهو خلاف الامتنان</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هذا وقد ذهب إلى ذلك أيضاً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وأضاف إلى ما تقدم بعض الروايات التي يمكن الاستدلال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عن الرجل يصلي فدخل الإمام وقد صلى الرجل ركعة من صلاة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إماماً عادلاً فليصل أخرى وينصرف ويجعلها تطوعاً وليدخل مع الإمام في صلاته، وإن لم يكن إمام عدل فليبن على صلاته كما هو ويصلي ركعة أخرى، ويجلس قدر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ثمّ يتم صلاته معه على ما استطاع، فإن التقية واسعة، وليس شيء من التقية إلاّ وصاحبها مأجور عليها إن شاء الله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يأتم بالإمام ويصلي في نفس الوقت مع اتساعه، ودلالتها واضحة،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بالائتمام مع اتساع الوقت، ولم يأمره بالإعادة أو القضاء</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إذا أظهر الإيمان، ثمّ ظهر منه ما يدل على نقضه خرج بما وصف وأظهر، وكان له ناقضاً، إلاّ أن يدعي أنّه إنما عمل ذلك تقية، ومع ذلك ينظر فيه فإن كان ليس مما يمكن أن تكون التقية في مثله لم يقبل منه ذلك، لأن للتقية مواضع من أزالها عن مواضعها لم تستقم له، وتفسير ما يُتقى مثل أن يكون قوم سوء ظاهر حكمهم وفعلهم على غير حكم الحق وفعله، فكل شيء يعمل المؤمن بينهم لمكان التقية مما </w:t>
      </w:r>
    </w:p>
    <w:p>
      <w:pPr>
        <w:pStyle w:val="BookText"/>
        <w:rPr/>
      </w:pPr>
      <w:r>
        <w:rPr>
          <w:rFonts w:ascii="Amiri" w:hAnsi="Amiri" w:eastAsia="Amiri" w:cs="Amiri"/>
          <w:color w:val="111111"/>
          <w:sz w:val="28"/>
          <w:sz w:val="28"/>
          <w:szCs w:val="28"/>
          <w:rtl w:val="true"/>
          <w:lang w:bidi="ar-SA"/>
        </w:rPr>
        <w:t>لا يؤدي إلى الفساد في الدين فإنه جائز</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ومحل الشاهد من الرواية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شيء يعمل المؤمن بينهم لمكان التقية مما لا يؤدي إلى الفساد في الدين فإنه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قوم السوء مطلق يشمل كل من ينطبق عليه هذا الوصف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كافراً أو مخالفاً أو كان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يترتب عليه شيء من الآثار لأنه جائز، والجواز معناه عدم الإشكال فيه، وإن ما أتى به نافذ ومشروع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أبي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من شيء أو حلفتم عليه من يمين في تقية فأنتم منه في سعة</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وهذه الرواية نظير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سعة ما لم يعلموا</w:t>
      </w:r>
      <w:r>
        <w:rPr>
          <w:rStyle w:val="FootnoteAnchor"/>
          <w:rtl w:val="true"/>
        </w:rPr>
        <w:footnoteReference w:id="465"/>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يترتب في مقام التقية أثر من الآثار كالكفارات والقضاء والإعادة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فيمكن الاستدلال بهذه الروايات على المدعى، كما يمكن الاستدلال بمفهوم الروايات المشتملة على استثناء النبيذ أو المسكر ومتعة الحج والمسح على الخفين، وقد تقدمت، وبمقتضى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في غير هذه الموارد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الأدلة التي استدل بها الشيخ الأنصاري على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عمله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يرتفع بارتفاع موضوعها أم أنّه يبقى؟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المحقق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الأثر وعدم ارتفاعه، وذكر وجهه وهو استصحاب أثر الحكم الوضعي، فإن من صلى تقية أو </w:t>
      </w:r>
    </w:p>
    <w:p>
      <w:pPr>
        <w:pStyle w:val="BookText"/>
        <w:rPr/>
      </w:pPr>
      <w:r>
        <w:rPr>
          <w:rFonts w:ascii="Amiri" w:hAnsi="Amiri" w:eastAsia="Amiri" w:cs="Amiri"/>
          <w:color w:val="111111"/>
          <w:sz w:val="28"/>
          <w:sz w:val="28"/>
          <w:szCs w:val="28"/>
          <w:rtl w:val="true"/>
          <w:lang w:bidi="ar-SA"/>
        </w:rPr>
        <w:t>توضأ كذلك فهو محكوم بالصحة، وبعد ارتفاع موضوع التقية لا ندري هل ارتفع أم لا؟ ومع الشك في ارتفاعه نستصحب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أن استفادة صحة ما صدر من الأعمال تقية إذا أخلّ بشيء من أجزائها وشرائطها التي هي من مقومات ماهية ذلك العمل كالطهارة في الصلاة أو إطلاق الماء في الوضوء أو طهارته ما لم يرد فيه دليل بالخصوص من عمومات أخبار التقية في غاية الإشكال، بل غاية ما يمكن استفادته منها إنما هو كون التقية من الأعذار المسوغة للإخلال بأجزاء العبادات وشرائطها التي ينتفي اعتبارها لدى الضرورة، فتصح العبادات في مثل الفرض لا مطلقاً حتى فيما لو أخل بما يختص شرطيته بحال التمكن كالأمثلة المتقدمة، ولذا لو صلى الظهر جمعة تقية لم يجز فتوى ونصاً، فكذا لو صلى بلا طهارة فإنها ليست بصلاة لا اختيارية ولا اضطرارية، وكذلك الوضوء بالمسكر أو بماء متنجس فإنه ليس بوضوء أصلاً، فالتقية إنما تبيح فعله بدلاً عن الواقع لا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وأما الجهة الثالثة وهي حول التحقيق في المقام فالكلام فيها يقتضي تقسيم هذه الآثار إلى أقسام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الإعادة والقضاء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الآثار الوضعية من الطهارة والنجاسة والصحة والبطلان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الضمان والكفارات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الجزئية والشرطية والمانعية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من الأحكام الغيرية لا النفسية، وعليه فالكلام يقع في ثلاثة مواضع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داخلاً في المؤاخذة والقرارات الشرعية كالكفارات </w:t>
      </w:r>
    </w:p>
    <w:p>
      <w:pPr>
        <w:pStyle w:val="BookText"/>
        <w:rPr/>
      </w:pPr>
      <w:r>
        <w:rPr>
          <w:rFonts w:ascii="Amiri" w:hAnsi="Amiri" w:eastAsia="Amiri" w:cs="Amiri"/>
          <w:color w:val="111111"/>
          <w:sz w:val="28"/>
          <w:sz w:val="28"/>
          <w:szCs w:val="28"/>
          <w:rtl w:val="true"/>
          <w:lang w:bidi="ar-SA"/>
        </w:rPr>
        <w:t>والحدود ونحوها، والذي يظهر أنها مرتفعة في حالة التقية سواء كانت من الكافر أو من غيره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القاعدة الأولية وقد تقدم ذلك، فإن العمل الصادر من الإنسان تقية هو كلا عمل، فلا يترتب عليه الحد أو الكفارة وغيرها من الآثار التي لوحظت فيها المؤاخذة، إذ بعد أن جعل الشارع ذلك من الدين فلا معنى لمؤاخذته بشيء، فالقاعدة تقتضي عدم ترتب شيء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الأدلة الخاصة، فقد وردت عدة روايات في هذا المعنى،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إسماعيل بن سعد الأشعري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أحلفه السلطان بالطلاق أو غير ذلك فحلف؟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عليه، وعن رجل يخاف على ماله من السلطان فيحلف لينجو به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عليه، وسألته هل يحلف الرجل على مال أخيه كما يحلف على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قال لي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علم نبيه التنزيل فعلمه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وعلمنا والله،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من شيء أو حلفتم عليه من يمين في تقية فأنتم منه في سعة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أن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الرواية ونقلنا موضع الشاهد منها وهذه الرواية أوسع دائرة من السابقة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من شيء شامل لغير الحلف أيضاً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 بالمال على العشار فيطلبون منا أن نحلف لهم ويخلّون سبيلنا ولا يرضون منا إلاّ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فاحلف لهم، فهو أحل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التمر والزبد</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صاحب الوسائل عن الصدوق في الخصال بإسناده عنالأعمش، عن جعفر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قتل أحد من الكفار والنصاب في التقية إلاّ قاتل أو ساع في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لم تخف على نفسك ولا على أصحابك، واستعمال التقية في دار التقية واجب، ولا حنث ولا كفارة على من حلف تقية يدفع بذلك ظلماً عن نفسه</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وهذه الرواية رواها الصدوق في عيون الأخبار</w:t>
      </w:r>
      <w:r>
        <w:rPr>
          <w:rStyle w:val="FootnoteAnchor"/>
          <w:rtl w:val="true"/>
        </w:rPr>
        <w:footnoteReference w:id="471"/>
      </w:r>
      <w:r>
        <w:rPr>
          <w:rFonts w:ascii="IRNazanin" w:hAnsi="IRNazanin" w:eastAsia="IRNazanin"/>
          <w:color w:val="111111"/>
          <w:sz w:val="28"/>
          <w:sz w:val="28"/>
          <w:szCs w:val="28"/>
          <w:rtl w:val="true"/>
          <w:lang w:bidi="fa-IR"/>
        </w:rPr>
        <w:t xml:space="preserve">بإسناده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الصدوق إلى الفضل في هذه الرواية فيه بحث، وقد تقدم ذكر هذه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الصحيحة المتقدمة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IRNazanin" w:hAnsi="IRNazanin" w:eastAsia="IRNazanin"/>
          <w:color w:val="111111"/>
          <w:sz w:val="28"/>
          <w:sz w:val="28"/>
          <w:szCs w:val="28"/>
          <w:rtl w:val="true"/>
          <w:lang w:bidi="fa-IR"/>
        </w:rPr>
        <w:t>الرجل يستكره على اليمين فيحلف بالطلاق والعتاق وصدقة ما يملك أيلزمه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أمتي ما أكرهوا عليه، وما لم يطيقوا، وما أخطأوا</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والرواية صريحة الدلالة في عدم الإلزام بآثار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واردة في غير التقية فهي قابلة للمناقشة من هذه الجهة مع إمكان الاستدلال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نمر على هؤلاء القوم فيستحلفونا على أموالنا وقد أدّينا زكاتها،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إذا خفت فاحلف لهم ما شاؤا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شاؤا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بالطلاق والعتاق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شاؤا</w:t>
      </w:r>
      <w:r>
        <w:rPr>
          <w:rStyle w:val="FootnoteAnchor"/>
          <w:rtl w:val="true"/>
        </w:rPr>
        <w:footnoteReference w:id="47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معمر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معي بضايع للناس ونحن نمر بها على هؤلاء العشار فيحلفونا عليها </w:t>
      </w:r>
    </w:p>
    <w:p>
      <w:pPr>
        <w:pStyle w:val="BookText"/>
        <w:rPr/>
      </w:pPr>
      <w:r>
        <w:rPr>
          <w:rFonts w:ascii="Amiri" w:hAnsi="Amiri" w:eastAsia="Amiri" w:cs="Amiri"/>
          <w:color w:val="111111"/>
          <w:sz w:val="28"/>
          <w:sz w:val="28"/>
          <w:szCs w:val="28"/>
          <w:rtl w:val="true"/>
          <w:lang w:bidi="ar-SA"/>
        </w:rPr>
        <w:t>فنحلف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أقدر على أن أجيز أموال المسلمين كلها وأحلف عليها، كلما خاف المؤمن على نفسه فيه ضرورة، فله فيه التقية</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وقد ذكر في ذيل الروايتين الأخيرتين أن مصدرهما كتاب فقه الرضا،وهذا الكتاب فيه بحث ذكرناه مفصلاً في بحوثنا الرجالية</w:t>
      </w:r>
      <w:r>
        <w:rPr>
          <w:rStyle w:val="FootnoteAnchor"/>
          <w:rtl w:val="true"/>
        </w:rPr>
        <w:footnoteReference w:id="475"/>
      </w:r>
      <w:r>
        <w:rPr>
          <w:rFonts w:ascii="Amiri" w:hAnsi="Amiri" w:eastAsia="Amiri" w:cs="Amiri"/>
          <w:color w:val="111111"/>
          <w:sz w:val="28"/>
          <w:sz w:val="28"/>
          <w:szCs w:val="28"/>
          <w:rtl w:val="true"/>
          <w:lang w:bidi="ar-SA"/>
        </w:rPr>
        <w:t>، ولعلنا نشير إلى بعض ما يتعلق به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الأحكام في حال التقية مرتفعة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الآثار الوضعية من الطهارة والنجاسة والصحة والبطلان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أحكام الطهارة والنجاسة فالظاهر عدم ارتفاعها بناء على القول بأنها آثار واقعية، بل هي غير قابلة للرفع لأن رفعها ووضعها ليس بيد الشارع، نعم الشارع كاشف عنها فمن اغتسل غسلاً باطلاً فالحدث باق، وبعد ارتفاع التقية لابد من رفع الحدث بغسل صحيح، وهكذا الحال بالنسبة للطهارة من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هذه الآثار باقية ببقاء الموضوع، نعم المرفوع هو الحكم التكليفي كحرمة أكل النجس، وكذلك بالنسبة إلى المؤاخذة كما تقدم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أيضاً بناء على القول بأنها مجعولة من الشارع، وذلك لعدم الدليل الواضح على رفع هذه الآثارلأن الأدلة المتقدمة إما راجعة إلى الأحكام التكليفية أو إلى الأحكام الوضعية، وأما دلالتها على ارتفاع آثار الطهارة والنجاسة فليست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المستفاد من أدلة الاضطرار والإكراه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الحلية ورفع المؤاخذة، وشمولها للطهارة والنجاسة بعد ارتفاع التقية والحكم بالطهارة وعدم النجاسة مشكل جداً، فإن الأدلة اللفظية خاصة بالأحكام التكليفية، وأما الأدلة اللبية فلم يقم إجماع، أو تثبت سيرة متصلة بالشارع بحيث يمكن أن يستدل </w:t>
      </w:r>
    </w:p>
    <w:p>
      <w:pPr>
        <w:pStyle w:val="BookText"/>
        <w:rPr/>
      </w:pPr>
      <w:r>
        <w:rPr>
          <w:rFonts w:ascii="Amiri" w:hAnsi="Amiri" w:eastAsia="Amiri" w:cs="Amiri"/>
          <w:color w:val="111111"/>
          <w:sz w:val="28"/>
          <w:sz w:val="28"/>
          <w:szCs w:val="28"/>
          <w:rtl w:val="true"/>
          <w:lang w:bidi="ar-SA"/>
        </w:rPr>
        <w:t>بها، فالأدلة اللفظية واللبية قاصرة عن شمول آثار الطهارة والنجاسة، ولعل هذا هو المتسالم عليه عند المتشرعة فإنهم لا يرتبون أحكام الطهارة على المتنجس بعد زوال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الابتلاء مع الكفار كان قليلاً، فلم تعلم كيفية التعامل معهم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لنا على ارتفاع أحكام الطهارة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آثار الصحة والبطلان بمعنى أن ما أتى به من عمل حالة التقية كما إذا باع أو اشترى أو عقد على امرأة أو نحو ذلك، فهل يحكم بالصحة أو يحكم بالبطلان بعد ارتفاع التقية؟</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والبطلان إما أن تكون راجعة إلى الجزء أوالشرط أو المانع، وإما أن تكون راجعة إلى أصل العمل، فإن كانت راجعة إلى الأول فسيأتي الكلام عنه قريباً، وإن كانت راجعة إلى الثاني فما ذكرناه بالنسبة إلى آثار الطهارة والنجاسة يأتي هنا حرفاً بحرف، فإن الأدلة اللفظية واللبية قاصرة عن إثبات ذلك، وغاية ما تدل عليه رفع الحكم التكليفي والمؤاخذة عليه، أما من جهة الصحة فلا دليل عليها، فمن تزوج بامرأة كافرة أو بعقد فاسد فلا يمكن الحكم بصحة العقد بعد ارتفاع التقية، ولا يستفاد ذلك من أدلة التقية كما ذكرنا في آثار الطهارة والنجاسة، وإن كانت آثار الولدية مثلاً مترتبة ولا ربط لها بالصحة والبطلان، فإنها مسألة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فلابد من القول بالبطلان وعدم ترتب آثار العقد، ولابد من الإعادة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يرجع إلى الصحة والبطلان بالنسبة إلى الأجزاء والشرائط والموانع، فمن اضطر في حالة التقية إلى الإخلال بجزء أو الإتيان بمانع فهل يوجب ذلك بطلان عمله أم لا؟ ويترتب على هذا الأمر مسألة القضاء والإعادة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المانعية تارة تكون مترتبة على الحكم التكليفي لا أنها مستقلة في مورد التكليف، فمثلاً حينما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حرام، فهذا الحكم موجب لمانعية الغصب في الصلاة من جهة المكان أو اللباس أو الماء، فالصلاة في اللباس المغصوب باطلة، إذ لا يتحقق قصد القربة بذلك، فمن هذه الجهة يكون الغصب مانعاً وهكذا بالنسبة إلى الشرطية والجزئية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يكون الشيء بنفسه مانعاً لا أنّه ناشىء من حكم 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المانعية على النحو الأول فالظاهر أنّه ملحق بالقسم الأول من الآثار وهو المؤاخذات والقرارات، فإذا صدر الأمر فيه تقية كما إذا لبس ثوباً مغصوباً وصلى أو توضأ بماء مغصوب فصلاته ووضوءه صحيحان، ولا تلزمه الإعادة أو القضاء، وهذا يجري في كل أمر يكون دليله منتزعاً من الأحكام التكليفية، وذلك لأنه إذا ارتفعت المانعية وهي حرمة الغصب فلا يبقى ما يمنع من الحكم بالصحة، فإن المفروض أن المانعية هي الحرمة فإذا صارت جائزة بواسطة التقية فيحكم تبعاً بصحة الصلاة لعدم وجود المانع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الحرمة موجود فلا يمكن الحكم بالصحة لعدم ارتفاع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هو الحكم التكليفي ومع ارتفاع الحرمة يرتفعملاكها تبعاً لها، وبناء عليه فيحكم بالصحة ولا حاجة إلى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المانعية على النحو الثاني وهي ما إذا لم تكن ناشئة من الحكم التكليفي بل بنفسها مانعاً مستقلاً وتسمى بالأحكام الغيرية فهي على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لأدلتها إطلاق إما لفقدانه كأن يكون الدليل منحصراً في الإجماع والسيرة، وإما لأن الدليل اللفظي وإن كان موجوداً إلاّ أنّه لا إطلاق 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لأدلة المانعية والجزئية والشرطية 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فيها هو الصحة، وذلك لأنه بعد فرض عدم الإطلاق لهذه الأدلة وعدم علمنا أن الشرط أو المانع في جميع الأحوال، أو أنّه مختص بحال الاختيار فقط، فالقدر المتيقن من ذلك هو حال الاختيار، وأما في حال التقية والاضطرار فلا نعلم أنّه شامل للحالين أم لا، فإن كان لدليل الواجب إطلاق فلنا أن نتمسك به ونحكم بصحة الصلاة حتى مع عدم وجود الشرط، وإن لم يكن له إطلاق فالحكم هو البراءة عن التكليف الزائد، فمثلاً إذا لم نعلم أن لدليل المانعية أو الشرطية في الصلاة إطلاقاً أم لا فالقدر المتيقن اعتبار ذلك في حال الاختيار، ثمّ إن كان هناك إطلاق من جهة المتعلق وهو الواجب أخذنا به وحكمنا بصحة الصلاة حتى مع عدم وجود الشرط، وإن لم يكن لدليل الواجب إطلاق نحكم بالبراءة، لأن الشك حينئذ يكون في التكليف بين الأقل والأكثر وحكمه الأخذ بالأقل، فنحكم بالصحة مع عدم الشرط أو وجود المانع في 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يكن لأدلة الجزئية والشرطية والمانعية إطلاق سواء كان لدليل الواجب إطلاق أو لم يكن فعلى الأول نأخذ بالإطلاق وعلى الثاني نأخذ بالبراءة وعلى كلا الحالين نحكم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 للأدلة إطلاق فهل الحكم هو الصحة أو البطلان؟ والمسألة محل خلاف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بعضهم إلى القول بالصحة، واستدل له بأدلة الاضطرار كحديث الرفع</w:t>
      </w:r>
      <w:r>
        <w:rPr>
          <w:rStyle w:val="FootnoteAnchor"/>
          <w:rtl w:val="true"/>
        </w:rPr>
        <w:footnoteReference w:id="476"/>
      </w:r>
      <w:r>
        <w:rPr>
          <w:rFonts w:ascii="Amiri" w:hAnsi="Amiri" w:eastAsia="Amiri" w:cs="Amiri"/>
          <w:color w:val="111111"/>
          <w:sz w:val="28"/>
          <w:sz w:val="28"/>
          <w:szCs w:val="28"/>
          <w:rtl w:val="true"/>
          <w:lang w:bidi="ar-SA"/>
        </w:rPr>
        <w:t>ونحوه فهي تدل على عدم التكليف به، فإذا كانت الأجزاء والموانع والشرائط مرفوعة وكأنها لم تكن مجعولة فتكون الصلاة بدونهاصحيحة، وهذا نظير الجهل قصوراً، ونظير ما لا يعلم إلاّ أن يقوم دليل خاص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ويؤيده رواية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فانقطع ظفري فجعلت على إصبعي مرارة، فكيف أصنع بالوضوء؟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هذا وأشباهه من كتاب الله عزوجل،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عَلَيْكُمْ فِي الدِّينِ مِنْ حَرَجٍ</w:t>
      </w:r>
      <w:r>
        <w:rPr>
          <w:rFonts w:eastAsia="IRNazanin" w:cs="IRNazanin"/>
          <w:color w:val="111111"/>
          <w:sz w:val="28"/>
          <w:szCs w:val="28"/>
          <w:rtl w:val="true"/>
          <w:lang w:bidi="fa-IR"/>
        </w:rPr>
        <w:t>)</w:t>
      </w:r>
      <w:r>
        <w:rPr>
          <w:rStyle w:val="FootnoteAnchor"/>
          <w:rtl w:val="true"/>
        </w:rPr>
        <w:footnoteReference w:id="477"/>
      </w:r>
      <w:r>
        <w:rPr>
          <w:rFonts w:ascii="Amiri" w:hAnsi="Amiri" w:eastAsia="Amiri" w:cs="Amiri"/>
          <w:color w:val="111111"/>
          <w:sz w:val="28"/>
          <w:sz w:val="28"/>
          <w:szCs w:val="28"/>
          <w:rtl w:val="true"/>
          <w:lang w:bidi="ar-SA"/>
        </w:rPr>
        <w:t>امسح عليه</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أحاله على هذه الآية ومعناه رفع الشرط وهو المسح بالمباشرة، ويستفاد من ذلك أن رفع الحرج كرفع الاضطرار ولا أولوية لأحدهما على الآخر فيكون هذا مؤيداً لما تقدم، ووجه التأييد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الرواية محل كلام من جهة السند والدلالة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جهة السند فإن فيه عبد الأعلى مولى آل سام وقد نوقش في جميع الوجوه التي ذكرت للدلالة على وثاقته</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وأما من جهة الدلالة فكذلك نوقش فيها 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هذا وأشباهه من كتاب الله وارد في مورد الرفع، وأما الحكم بالمسح فإنه من الإمام لا من الكتاب فلا يمكن جعل أحدهما كالآخر</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ولكن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هذا يفهم من الكتاب فإن الإمام أحال التكليف إلى الآية الشريفة، لا أن الإمام في مقام التفصيل وأن بعضها من الكتاب وبعضها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الحكم وإن كان دقيقاً ولا يلتفت إليه كل أحد إلاّ أنّه يستفاد من الكتاب سواء فهمنا ذلك أم لم نفهمه، وبناء على ذلك فيبقى الإشكال من جهة السند فتكون الرواية مؤيدة لما تقدم كما ذكرنا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حالها حال الأحكام التكليفية فكما أن نفس الأحكام </w:t>
      </w:r>
    </w:p>
    <w:p>
      <w:pPr>
        <w:pStyle w:val="BookText"/>
        <w:rPr/>
      </w:pPr>
      <w:r>
        <w:rPr>
          <w:rFonts w:ascii="Amiri" w:hAnsi="Amiri" w:eastAsia="Amiri" w:cs="Amiri"/>
          <w:color w:val="111111"/>
          <w:sz w:val="28"/>
          <w:sz w:val="28"/>
          <w:szCs w:val="28"/>
          <w:rtl w:val="true"/>
          <w:lang w:bidi="ar-SA"/>
        </w:rPr>
        <w:t>التكليفية مرفوعة حال التقية فكذلك الجزئية والشرطية والمانعية، وأما ما عداها فلابد من الإتيان به ويحكم بصحته، وإلى هذا ذهب صاحب الوسائل</w:t>
      </w:r>
      <w:r>
        <w:rPr>
          <w:rStyle w:val="FootnoteAnchor"/>
          <w:rtl w:val="true"/>
        </w:rPr>
        <w:footnoteReference w:id="48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الاستدلال يتوقف على ما يفهم من الروايات من أن المرفوع ما هو؟ هل هو المؤاخذة؟ أو الأحكام التكليفية؟ أو مطلق الآثار؟ وقد تقدمالكلام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إلى أن المرفوع هو المؤاخذة والعقاب فقط، كما ذهب بعض إلى أن المرفوع هو الأحكام التكليفية فقط، وذهب غيرهم إلى أن المرفوع هو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تأييد القول الثاني بأن المؤاخذة أمر مترتب على الأحكام التكليفية، وليس وضعها ورفعها بيد الشارع فالمرفوع والموضوع شرعاً هو ما يكون تحت تصرّف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فينحصر الكلام في اختيار أحد القولين الأخيرين، وهما أن المرفوع هو منشأ المؤاخذة وهي الأحكام التكليفية، أو أنّه مطلق الآثار وإن كانت بالواسطة بمعنى أنّه ليس حكماً تكليفياً مجعولاً ابتداء من الشارع كالجزئية والشرطية والمانعية بمعنى أنها مجعولات تبعاً للمشروط والمركب لا أنها مجعولات على نحو الاستقلال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ادعي أن الظاهر من الرواية أن المرفوع هو خصوص ما جعله الشارع ابتداء،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التكليفية ولا تشمل ما جعله الشارع بالواسطة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يعني ما يكون حكماً تكليفياً، نعم ترتفع تبعاً له المؤاخذة والآثار المترتبة عليه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المجعول لا مستقلاً تابع لجعل منشئه، فلابد أن يكون المرفوع والمجعول هو المنشأ وهو نفس المركب والمشروط، وأما نفس الجزئية والشرطية فهي تابعة لنفس المركب والمشروط، وبناء على هذا فإذا اضطر المكلف إلى ترك </w:t>
      </w:r>
    </w:p>
    <w:p>
      <w:pPr>
        <w:pStyle w:val="BookText"/>
        <w:rPr/>
      </w:pPr>
      <w:r>
        <w:rPr>
          <w:rFonts w:ascii="Amiri" w:hAnsi="Amiri" w:eastAsia="Amiri" w:cs="Amiri"/>
          <w:color w:val="111111"/>
          <w:sz w:val="28"/>
          <w:sz w:val="28"/>
          <w:szCs w:val="28"/>
          <w:rtl w:val="true"/>
          <w:lang w:bidi="ar-SA"/>
        </w:rPr>
        <w:t>جزء أو شرط والإتيان بمانع فالباقي لا يقتضي الإجزاء ولا تسقط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سقوط الإعادة فلأنه مع بقاء الوقت لا يصدق عليه عنوان الاضطرار إلى طبيعي المأمور به إذ يمكنه أن يأتي بالمأمور به شاملاً للأجزاء والشرائط في جزء آخر من الوقت وحينئذ فالإشكال صغروي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خرج الوقت أو كان الوقت مضيقاً فكذلك لأن الدليل لا يفيد سقوط القضاء، وإنما المستفاد من الرواية هو رفع منشأ الجزئية والشرطية أي الحكم المتعلق بالمركب والمشروط، ورفعه في الوقت لا يقتضي إيجاب الباقي والاجتزاء به، وإذا كان الأمر كذلك وقام دليل على القضاء وجب القضاء خارج الوقت، وإلى هذا ذهب أكثر المحققين</w:t>
      </w:r>
      <w:r>
        <w:rPr>
          <w:rStyle w:val="FootnoteAnchor"/>
          <w:rtl w:val="true"/>
        </w:rPr>
        <w:footnoteReference w:id="482"/>
      </w:r>
      <w:r>
        <w:rPr>
          <w:rFonts w:ascii="Amiri" w:hAnsi="Amiri" w:eastAsia="Amiri" w:cs="Amiri"/>
          <w:color w:val="111111"/>
          <w:sz w:val="28"/>
          <w:sz w:val="28"/>
          <w:szCs w:val="28"/>
          <w:rtl w:val="true"/>
          <w:lang w:bidi="ar-SA"/>
        </w:rPr>
        <w:t>وهكذا الحال بالنسبة إلى الجهل إلاّ أن يقوم دليل على الاكتفاء بالباقي،وحينئذ لا تجب الإعادة ولا القضاء، ومع عدمه فالقاعدة تقتضي عدم الإجزاء والاجتزاء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تتبعنا أدلة الأجزاء والشرائط وظفرنا بعدة روايات وبضمها إلى أدلة العسر والحرج والاضطرار يمكن استفادة القول بسقوط الإعادة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فهي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محرم وقع على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جاهلاً فليس عليه شيء، وإن لم يكن جاهلاً فإن عليه أن يسوق بدنة، ويفرق بينهما حتى يقضيا المناسك ويرجعا إلى المكان الذي أصابا فيه ما أصابا، وعليه الحج من قابل</w:t>
      </w:r>
      <w:r>
        <w:rPr>
          <w:rStyle w:val="FootnoteAnchor"/>
          <w:rtl w:val="true"/>
        </w:rPr>
        <w:footnoteReference w:id="48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الرواية واردة في الجاهل فإنه إذا كان جاهلاً فليس عليه شيء،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الجهل داخل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فالرواية شاهدة على ما نحن فيه من سقوط الإعادة والقضاء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الصمد بن بشير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أعجمياً دخل المسجد يلبّي وعليه قميصه، فقال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رجلاً أعمل بيدي واجتمعت لي نفقة فجئت أحج لم أسأل أحداً عن شيء، وأفتوني هؤلاء أن أشق قميصي وأنزعه من قبل رجلي، وأنّ حجي فاسد، وأنّ علي بدنة،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لبست قميصك أبعد ما لبّيت أم 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من رأسك، فإنه ليس عليك بدنة وليس عليك الحج من قابل أي رجل ركب أمراً بجهالة فلا شيء عليه، طف بالبيت سبعاً وصل ركعتين عند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واسع بين الصفا والمروة، وقصّر من شعرك، فإذا كان يوم التروية فاغتسل وأهلّ بالحج واصنع كما يصنع الناس</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وإن كانت واردة في فساد الحج إلاّ أنّه يمكن تعميمها للأمور التكليفية كالقضاء والإعادة، مضافاً إلى أن مورد الرواية هو الحكم بالحج من قابل وإن كان غير ثابت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الرواية يمكن الاستدلال بها في كل الموارد بمقتضى مفاد كلمة شيء الشاملة لكل الموارد، والقضاء شيء داخل في العموم، ودلالة الرواية قوية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متمتع وقع على امرأته قبل أن يقصّر؟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ينحر جزوراً، وقد خشيت أن يكون قد ثلم حجه إن كان عالماً، وإن كان جاهلاً فلا شيء عليه</w:t>
      </w:r>
      <w:r>
        <w:rPr>
          <w:rStyle w:val="FootnoteAnchor"/>
          <w:rtl w:val="true"/>
        </w:rPr>
        <w:footnoteReference w:id="48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ومحل الشاهد هو الجملة الأخيرة، ولا كلام لنا في انثلام حجه فإنه منوط بالعلم، وهذه الرواية يمكن أن تكون أيضاً كالصحيحة الأولى مصداقاً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قلنا بذلك فهو شامل لجميع ما يُضطر إليه في جميع الأحكام سواء كان بالواسطة أو عدمها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ضممنا إلى هذه الروايات أدلة العسر والحرج والاضطرار يتم الدليل العام الشامل للتكليف الابتدائي أو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هذه الروايات على المدعى بأن غاية ما يفيده هذا الدليل هو رفع الجزء والشرط برفع منشئه، أما أن يكون الباقي واجباً أم لا، فلا دلالة فيه</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ذكرناها يمكن الاستدلال بها على عدم لزوم الإعادة، والقضاء في الحج كما هو الظاهر منها، كما أن أدلة الاضطرار كافية في عدم لزوم الإعادة والقضاء، ونضيف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قاعدة الميسور يمكن الاستدلال بها على ثبوت الباقي، وفي القاعدة بحث أشرنا إليه في أبحاثنا الفقهية وذكرنا أنها وإن كانت واردة في كتاب العوالي</w:t>
      </w:r>
      <w:r>
        <w:rPr>
          <w:rStyle w:val="FootnoteAnchor"/>
          <w:rtl w:val="true"/>
        </w:rPr>
        <w:footnoteReference w:id="487"/>
      </w:r>
      <w:r>
        <w:rPr>
          <w:rFonts w:ascii="Amiri" w:hAnsi="Amiri" w:eastAsia="Amiri" w:cs="Amiri"/>
          <w:color w:val="111111"/>
          <w:sz w:val="28"/>
          <w:sz w:val="28"/>
          <w:szCs w:val="28"/>
          <w:rtl w:val="true"/>
          <w:lang w:bidi="ar-SA"/>
        </w:rPr>
        <w:t>إلاّ أن لنا تحقيقاً حول الكتاب فصلناه في أبحاثنا الرجالية</w:t>
      </w:r>
      <w:r>
        <w:rPr>
          <w:rStyle w:val="FootnoteAnchor"/>
          <w:rtl w:val="true"/>
        </w:rPr>
        <w:footnoteReference w:id="488"/>
      </w:r>
      <w:r>
        <w:rPr>
          <w:rFonts w:ascii="Amiri" w:hAnsi="Amiri" w:eastAsia="Amiri" w:cs="Amiri"/>
          <w:color w:val="111111"/>
          <w:sz w:val="28"/>
          <w:sz w:val="28"/>
          <w:szCs w:val="28"/>
          <w:rtl w:val="true"/>
          <w:lang w:bidi="ar-SA"/>
        </w:rPr>
        <w:t>، ونتيجته إمكان القول بثبوت القاعدة والاستدلال بها، وحينئذ فهي شاملة للأجزاء والشرائط فمن ترك جزءاً أو شرطاً فالباقي باق على وجوبه بمقتضى هذه القاعدة ولا حاجة إلى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وجهاً آخر يمكن الاستدلال به وهو استصحاب وجوب الباقي، فإنّنا بعد ارتفاع الجزء أو الشرط نشك في وجوب الباقي فنستصحب بقاءه، إلاّ أن الاستدلال بالاستصحاب محل إشكال، وفي ما ذكرناه من الوجهين الأولين كفاية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وردت في المقام روايات أخرى استدل بها على الإجزاء وعدم الحاجة إلى الإعادة أو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الصباح وقد تقدم ذكرها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من شيء أو حلفتم عليه من يمين في تقية فأنتم منه في سعة</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ومحل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منه في سعة، فإنه عام يشمل الأجزاء والشرائط والإعادة والقضاء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ناقش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هذه الجملة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فيما إذا كان فيه ضيق، وأما ما ليس فيه ضيق فلا يرد هذا، فمورد الرواية هو الضيق لا السعة، والإعادة والقضاء ليسا من موارد الضيق وما جاء به ناقصاً في حالة التقية يقتضي الإعادة لأنّ التبعية أمر واقعي وهذا مقتضى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على ذلك بأن من غسل ثوبه المتنجس بالبول مرة تقية فهل ترتفع النجاسة بعد ارتفاع التقية؟ ولا يمكن الالتزام بذلك، وهكذا الحال بالنسبة إلى ما نحن فيه، فإن التمامية والنقصان والصحة والبطلان ليست من حكم الشارع</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ويمكن المناقشة في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السعة أعم من الأحكام التكليفية وما يترتب عليها، بل تشمل حتى القضاء والإعادة، فإن الحكم بهما لا يتناسب مع التوسعة، ثمّ إن ما أفاده من أن التمامية والنقصان ليسا بيد الشارع، في غير محلّه وذلك لأن الشارع إذا حدد مقدار ما يكتفي به من المكلف وذلك أمر بيد الشارع، فالقضاء والإعادة وإن كانا مترتبين على المأتي به لكن المأتي به بيد الشارع، فإذا حكم بالإتيان بمقدار معين وهو تكليفه الفعلي فما أتى به المكلف على طبق تحديد الشارع له لا يحتاج إلى إعادة أو قضاء، سواء كانت الإعادة تشتمل على حرج ومشقة أم لا، فالموضوع لا يختص بالحكم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الاستشهاد فهذا له دليل خاص</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ما في كلام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المناقشة إلاّ أن الجزم بالحكم وشموله للإعادة والقضاء مشكل، نعم فيه إشعار بأنه شامل لكون السعة شاملة </w:t>
      </w:r>
    </w:p>
    <w:p>
      <w:pPr>
        <w:pStyle w:val="BookText"/>
        <w:rPr/>
      </w:pPr>
      <w:r>
        <w:rPr>
          <w:rFonts w:ascii="Amiri" w:hAnsi="Amiri" w:eastAsia="Amiri" w:cs="Amiri"/>
          <w:color w:val="111111"/>
          <w:sz w:val="28"/>
          <w:sz w:val="28"/>
          <w:szCs w:val="28"/>
          <w:rtl w:val="true"/>
          <w:lang w:bidi="ar-SA"/>
        </w:rPr>
        <w:t>للقضاء والإعادة والمسألة ترجع إلى الاطمئنان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الأعجمي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دين لمن لا تقية له، والتقية في كل شيء إلاّ في النبيذوالمسح على الخفين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الشيخ الأنصاري</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بهذه الرواية على الشمول للأجزاء والشرائط، 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فإنه عام يشمل الأحكام التكليفية مع الواسطة أو بدونها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الاستثناء فإن الرواية استثنت النبيذ والمسح على الخفين، والأول حكم والثاني شرط، فيكون المستثنى منه دالاًّ على العموم ويشمل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الرواية محل نقاش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السند فإن الأعجمي لم يرد فيه توثيق، وإن كان الراوي عنه هشام بن سالم وهو من الأجلاء ورواية الأجلاء عن شخص لا تدل على وثاقته كما حققناه في محلّه</w:t>
      </w:r>
      <w:r>
        <w:rPr>
          <w:rStyle w:val="FootnoteAnchor"/>
          <w:rtl w:val="true"/>
        </w:rPr>
        <w:footnoteReference w:id="493"/>
      </w:r>
      <w:r>
        <w:rPr>
          <w:rFonts w:ascii="Amiri" w:hAnsi="Amiri" w:eastAsia="Amiri" w:cs="Amiri"/>
          <w:color w:val="111111"/>
          <w:sz w:val="28"/>
          <w:sz w:val="28"/>
          <w:szCs w:val="28"/>
          <w:rtl w:val="true"/>
          <w:lang w:bidi="ar-SA"/>
        </w:rPr>
        <w:t>، كما أنّه لم يثبت أن هشام بن سالم لا يروي إلاّ عن الثقات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في الخصال عن أبيه، عن أحمد بن إدريس، عن أبي سعيد الآدمي، عن الحسن بن الحسين اللؤلؤي، عن ابن أبي عمير، عن عبد الله بن جندب، عن أبي عمر الأعجمي،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عمر إن تسعة أعشار الدين في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94"/>
      </w:r>
      <w:r>
        <w:rPr>
          <w:rFonts w:ascii="Amiri" w:hAnsi="Amiri" w:eastAsia="Amiri" w:cs="Amiri"/>
          <w:color w:val="111111"/>
          <w:sz w:val="28"/>
          <w:sz w:val="28"/>
          <w:szCs w:val="28"/>
          <w:rtl w:val="true"/>
          <w:lang w:bidi="ar-SA"/>
        </w:rPr>
        <w:t>، وقد ذكرناها فيما تقدم، ووردت أيضاً في المحاسن</w:t>
      </w:r>
      <w:r>
        <w:rPr>
          <w:rStyle w:val="FootnoteAnchor"/>
          <w:rtl w:val="true"/>
        </w:rPr>
        <w:footnoteReference w:id="495"/>
      </w:r>
      <w:r>
        <w:rPr>
          <w:rFonts w:ascii="Amiri" w:hAnsi="Amiri" w:eastAsia="Amiri" w:cs="Amiri"/>
          <w:color w:val="111111"/>
          <w:sz w:val="28"/>
          <w:sz w:val="28"/>
          <w:szCs w:val="28"/>
          <w:rtl w:val="true"/>
          <w:lang w:bidi="ar-SA"/>
        </w:rPr>
        <w:t>إلاّ أن فيها عن هشام وعن أبي عمر العجمي، فإذا كان الأمر كذلك فالرواية معتبرة، إذ الراوي لها شخصان، ولكن في بقية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سالم عن أبي عمر الأعجمي، ولما لم نحرز أن الراوي شخصان فلا يمكن الاعتماد </w:t>
      </w:r>
    </w:p>
    <w:p>
      <w:pPr>
        <w:pStyle w:val="BookText"/>
        <w:rPr/>
      </w:pPr>
      <w:r>
        <w:rPr>
          <w:rFonts w:ascii="Amiri" w:hAnsi="Amiri" w:eastAsia="Amiri" w:cs="Amiri"/>
          <w:color w:val="111111"/>
          <w:sz w:val="28"/>
          <w:sz w:val="28"/>
          <w:szCs w:val="28"/>
          <w:rtl w:val="true"/>
          <w:lang w:bidi="ar-SA"/>
        </w:rPr>
        <w:t>عليها والقول بأن السند معتبر، ثمّ إنه ورد بمضمون هذه الرواية روايات أخرى وقد تقدم ذكر بعضها كصحيحة زرارة، وصحيحة محمّد بن الفضيل بن هاشم، وغيرهما إلاّ أنها وردت خالية عن ذكر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فقد ناقش فيها السيد</w:t>
      </w:r>
      <w:r>
        <w:rPr>
          <w:rStyle w:val="FootnoteAnchor"/>
          <w:rtl w:val="true"/>
        </w:rPr>
        <w:footnoteReference w:id="496"/>
      </w:r>
      <w:r>
        <w:rPr>
          <w:rFonts w:ascii="Amiri" w:hAnsi="Amiri" w:eastAsia="Amiri" w:cs="Amiri"/>
          <w:color w:val="111111"/>
          <w:sz w:val="28"/>
          <w:sz w:val="28"/>
          <w:szCs w:val="28"/>
          <w:rtl w:val="true"/>
          <w:lang w:bidi="ar-SA"/>
        </w:rPr>
        <w:t xml:space="preserve">الأستاذ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المسكرمما وقع الاتفاق على تحريمه عند الجميع، وأنه ليس من موارد التقية، وأما المسح على الخفين فلم يقل أحد بوجوب المسح عليهما، فلا يمكن حمل الاستثناء على التخصيص، فالموردان لم يشرع فيهما التقية حتى يمكن الاستثناء وإثبات العموم في ما عداهما للمستثنى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الشيخ كيف استدل بهذه الرواية؟ ولم يلتفت إلى هذه النقطة مع وجود القرينة، وهو أن شرب المسكر مما لا تقية فيه، فهو خارج تخصصاً لا تخصيصاً، مضافاً إلى الروايات الواردة في أن المسكر لا تقية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للمناقشة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مورد واحد تخصصاً لا يعني خروج جميع الموارد كذلك، فمثلاً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إلاّ زيد وعمرو وبكر وعلمنا بدليل خاص أن أحد هؤلاء الثلاثة خارج تخصصاً فلا معنى لإخراج الآخرين تخصصاً أيضاً، وهكذا بالنسبة إلى ما نحن فيه، وبناء على هذا فلا تكون القرينة تامة على الشمول بمجرد علمنا أن فرداً واحداً خارج تخصصاً وأنه شامل لكل الأفراد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قابلية المورد للدخول في المستثنى منه كافية للتخصيص رفعاً للتوهم، وإن كان المورد في نفسه خارجاً بدليل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الجزء والشرط فإذا فرضنا أنهما خارجان تخصصاً ولكن قابليتهما لأن يكونا من موارد التقية يكفي في ذلك، ويتمسك حينئذ بإطلاق المخصص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فالتقية كما تجري في الأحكام التكليفية كذلك تجري في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في تمامية دلالتها على المدعى محل تأمّل، مضافاً إلى عدم الاعتماد عليها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يصلي فخرج الإمام وقد صلّى الرجل ركعة من صلاة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إماماً عدلاً فليصلّ أخرى وينصرف، ويجعلهما تطوعاً وليدخل مع الإمام في صلاته كما هو، وإن لم يكن إمام عدل فليبنِ على صلاته كما هو ويصلي ركعة أخرى ويجلس قدر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ثمّ ليتم صلاته معه على ما استطاع، فإنالتقية واسعة وليس شيء من التقية إلاّ وصاحبها مأجور عليها إن شاء الله</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واستدل الشيخ</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استطاع، أن صلاته صحيحة، وإن زاد أو نقص، وهو شامل للأجزاء والشرائط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الاستدلال بذلك مشكل جداً،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استطاع، مجمل غير مبين، فيحتمل أن المراد أنّه ما استطاع متابعته، كما يحتمل أنّه ما استطاع من تحقيق صورة الائتمام كما إذا كان المأموم في الرابعة والإمام في الثانية، وأما أن ذلك شامل لزيادة ركعة أو نقصانها فغير معلوم، ومورد الرواية أن الإمام دخل الصلاة والمأموم في الثانية، فالتمسك بهذه الرواية للاستدلال بها على المدعى محل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السيد الأستاذ</w:t>
      </w:r>
      <w:r>
        <w:rPr>
          <w:rStyle w:val="FootnoteAnchor"/>
          <w:rtl w:val="true"/>
        </w:rPr>
        <w:footnoteReference w:id="499"/>
      </w:r>
      <w:r>
        <w:rPr>
          <w:rFonts w:ascii="Amiri" w:hAnsi="Amiri" w:eastAsia="Amiri" w:cs="Amiri"/>
          <w:color w:val="111111"/>
          <w:sz w:val="28"/>
          <w:sz w:val="28"/>
          <w:szCs w:val="28"/>
          <w:rtl w:val="true"/>
          <w:lang w:bidi="ar-SA"/>
        </w:rPr>
        <w:t>أن الرواية لا دلالة لها على المدعى أصلاً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الدلالة إلاّ أنها ليست بواضحة، مضافاً إلى أن الرواية مضمرة، وإن كان الإضمار لا يضر في روايات سماعة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مسعدة بن صدقة المتقدمة، وورد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أظهر الإيمان ثمّ ظهر منه ما يدل على نقضه خرج مما وصف وأظهر، وكان له ناقضاً، إلاّ أن يدعي أنّه إنما عمل ذلك تقية، ومع ذلك ينظر فيه، فإن كان ليس مما يمكن أن تكون التقية في مثله لم يقبل منه ذلك، لأن للتقية مواضع من أزالها عن مواضعها لم تستقم له، وتفسير ما يتقى مثل أن يكون قوم سوء ظاهر حكمهم وفعلهم على غير حكم الحق وفعله، وكل شيء يعمل المؤمن بينهم لمكان التقية مما لا يؤدي إلى الفساد في الدين فإنه جائز</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ومحل الشاهد هو الجملة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يعمل المؤمن بينهم لمكان التقية مما لا يؤدي إلى الفساد في الدين فإنه جائز، واستدل بها على الأجزاء فإن مفادها أن ما أتى به ممضى من قبل الشارع فلا يحتاج إلى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بذلك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إلاّ أن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 في الرواية من جهة السند وقد تقدم أن الرواية معتبرة فالمناقشة من هذهالجهة غير واردة، كما ناقش فيها من جهة الدلالة بأن ظاهر الرواية أن المفهوم من الجواز هو الجواز التكليفي لا الوضعي بمعنى أن فعله ليس بحرام لا بمعنى أن ما جاء به صحيح، فإنه خلاف المتفاهم العرفي المستفاد من ظاهر الرواية، مضافاً إلى أن صدر الرواية قرينة على أن المورد هو جهة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يدعي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أن ما أتى به صحيح أو غير صحيح فأجنبي عن مورد الرواية، لأنها في مقام تشريع التقية لا في مقام تصحيح العمل أو الحكم بصحته، وبناء على هذا فلا مجال للاستدلال بها على المدعى، وما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في محله ومع التنزل فلا أقل من الشك في شمول الرواية وحينئذ فالدلالة ساقطة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السيد المرتضى في رسالة المحكم والمتشابه، نقلاً من تفسير </w:t>
      </w:r>
    </w:p>
    <w:p>
      <w:pPr>
        <w:pStyle w:val="BookText"/>
        <w:rPr/>
      </w:pPr>
      <w:r>
        <w:rPr>
          <w:rFonts w:ascii="Amiri" w:hAnsi="Amiri" w:eastAsia="Amiri" w:cs="Amiri"/>
          <w:color w:val="111111"/>
          <w:sz w:val="28"/>
          <w:sz w:val="28"/>
          <w:szCs w:val="28"/>
          <w:rtl w:val="true"/>
          <w:lang w:bidi="ar-SA"/>
        </w:rPr>
        <w:t xml:space="preserve">النعماني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الرخصة التي صاحبها فيها بالخيار فإن الله نهى المؤمن أن يتخذ الكافر ولياً، ثمّ منّ عليه بإطلاق الرخصة له عند التقية في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 وَيُحَذِّرُكُمْ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رحمة تفضّل الله بها على المؤمنين رحمة لهم ليستعملوها عند التقية في الظاهر،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أن يؤخذ برخصه كما يحب أن يؤخذ بعزائمه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ذكره صاحب الوسائل من هذه الرواية إلاّ أنّه ورد في ذيلها من كتاب الوسائل مكان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الظاهر أن يصوم لصيامه ويفطر بإفطاره ويصلي بصلاته ويعمل بعمله ويظهر له استعمال ذلك موسعاً عليه فيه، وعليه أن يدين الله تعالى في الباطن بخلاف ما يظهر لمن يخافه من المخالفين المستولين على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كما أن صدر الرواية يختلف عما في الذيل، والمهم أن محل الشاهد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ويظهر له استعمال ذلك موسعاً عليه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هذه الأعمال الصادرة منه تقية مظهراً للجواز والرخصة فلازمه أن تكون ممضاة من قبل الشارع بمقتضى كونه موسعاً عليه فيه، مضافاً إلى ما ورد في نفس الرواية إن الله يحب أن يؤخذ برخصه كما يحب أن يؤخذ بعزائمه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الرواية على الأجزاء تامة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الكلام في سند الرواية فإن السيد المرتضى يرويها عن كتاب التفسير لأبي عبد الله محمّد بن إبراهيم بن جعفر النعماني، والسند المذكور في الوسائل أن النعماني يرويها عن أحمد بن محمّد بن سعيد بن عقدة، عن أحمد بن يونس بن يعقوب الجعفي، عن إسماعيل بن مهران، عن الحسين بن علي بن أبي حمزة، عن </w:t>
      </w:r>
    </w:p>
    <w:p>
      <w:pPr>
        <w:pStyle w:val="BookText"/>
        <w:rPr/>
      </w:pPr>
      <w:r>
        <w:rPr>
          <w:rFonts w:ascii="Amiri" w:hAnsi="Amiri" w:eastAsia="Amiri" w:cs="Amiri"/>
          <w:color w:val="111111"/>
          <w:sz w:val="28"/>
          <w:sz w:val="28"/>
          <w:szCs w:val="28"/>
          <w:rtl w:val="true"/>
          <w:lang w:bidi="ar-SA"/>
        </w:rPr>
        <w:t>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عن آبائه عن أمير المؤمنين</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ومحل الكلام هو أحمد بن يونس بن يعقوب الجعفي فمع أنّه شيخ ابن عقدة إلاّ أنّه لم يرد فيه توثيق، وبناء عليه تكون الرواية غير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هذا السند في كتاب جامع أحاديث الشيعة في رواية أخرى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عن أحمد بن يوسف بن يعقوب، عن إسماعيل بن مهران، عن الحسن بن علي بن أبي حمزة، عن أبيه، عن إسماعيل بن جابر</w:t>
      </w:r>
      <w:r>
        <w:rPr>
          <w:rStyle w:val="FootnoteAnchor"/>
          <w:rtl w:val="true"/>
        </w:rPr>
        <w:footnoteReference w:id="503"/>
      </w:r>
      <w:r>
        <w:rPr>
          <w:rFonts w:ascii="Amiri" w:hAnsi="Amiri" w:eastAsia="Amiri" w:cs="Amiri"/>
          <w:color w:val="111111"/>
          <w:sz w:val="28"/>
          <w:sz w:val="28"/>
          <w:szCs w:val="28"/>
          <w:rtl w:val="true"/>
          <w:lang w:bidi="ar-SA"/>
        </w:rPr>
        <w:t>، والاختلاف بين السندين في شخصين ففي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يونس بن يعقوب والحسين بن علي بن أبي حمزة وفي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يوسف بن يعقوب والحسن بن علي بن أبي حمزة، ومن المعلوم أن هذا سند واحد فلابد أن يكون قد حصل اشتباه في أحد النقلين والأكثر أن التصحيف والاشتباه وقع في نسخة صاحب الوسائل وذلك لأنّ السند عين الطريق إلى كتاب الحسن بن علي بن أبي حمزة</w:t>
      </w:r>
      <w:r>
        <w:rPr>
          <w:rStyle w:val="FootnoteAnchor"/>
          <w:rtl w:val="true"/>
        </w:rPr>
        <w:footnoteReference w:id="504"/>
      </w:r>
      <w:r>
        <w:rPr>
          <w:rFonts w:ascii="Amiri" w:hAnsi="Amiri" w:eastAsia="Amiri" w:cs="Amiri"/>
          <w:color w:val="111111"/>
          <w:sz w:val="28"/>
          <w:sz w:val="28"/>
          <w:szCs w:val="28"/>
          <w:rtl w:val="true"/>
          <w:lang w:bidi="ar-SA"/>
        </w:rPr>
        <w:t>، والطريق إلى الحسن بن علي فيه أحمد بن يوسف لا أحمد بن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أحمد بن يوسف ثقة كما ذكر ذلك الشيخ في رجاله وأنه من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المذكور في الجامع هو الصحيح، وهو الموافق للمذكور في رسالة المحكم والمتشابه المطبوعة ضمن كتاب بحار الأنوار</w:t>
      </w:r>
      <w:r>
        <w:rPr>
          <w:rStyle w:val="FootnoteAnchor"/>
          <w:rtl w:val="true"/>
        </w:rPr>
        <w:footnoteReference w:id="50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يكون محل الكلام هو الحسن بن علي بن أبي حمزة فإن كان </w:t>
      </w:r>
    </w:p>
    <w:p>
      <w:pPr>
        <w:pStyle w:val="BookText"/>
        <w:rPr/>
      </w:pPr>
      <w:r>
        <w:rPr>
          <w:rFonts w:ascii="Amiri" w:hAnsi="Amiri" w:eastAsia="Amiri" w:cs="Amiri"/>
          <w:color w:val="111111"/>
          <w:sz w:val="28"/>
          <w:sz w:val="28"/>
          <w:szCs w:val="28"/>
          <w:rtl w:val="true"/>
          <w:lang w:bidi="ar-SA"/>
        </w:rPr>
        <w:t>هو البطائني كما هو الصحيح فالسند ضعيف، وإن كان هوالثمالي فالرواية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رسالة إلى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بمجاملة أهل الباطل، تحمّلوا الضيم منهم، وإياكم ومماظتهم، دينوا فيما بينكم وبينهم إذا أنتم جالستموهم وخالطتموهم ونازعتموهم الكلام بالتقية التي أمركم الله أن تأخذوا بها فيما بينكم وبينهم الحديث</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والرواية طويلة وفيها مطالب 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ومحل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دينوا فيما بينكم وبينهم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بالتقية أي اجعلوها ديناً فهي شاملة لما نحن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دلالتها على المراد ليست بواضحة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السند فلها طريقان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فضال، عن حفص المؤذن،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بن بزيع عن محمّد بن سنان عن إسماعيل بن جابر</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أما الأول ففيه حفص المؤذن ولم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ففيه محمّد بن سنان وقد استظهرنا وثاقته كما حققنا ذلك في بحوثنا الرجالية خلافاً للسيد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وبناء على ذلك فالرواية معتبرة سنداً إلاّ أن الكلام في الدلالة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معلّى اكتم أمرنا ولا تذعه، فإنه من كتم أمرنا ولا يذيعه، أعزّه الله في الدنيا، وجعله نوراً بين عينيه يقوده إلى الجنة، يا معلّى، إن التقية ديني ودين آبائي، ولا دين لمن لا تقية له، يا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أن يعبد في السر كما يحب أن يعبد في العلانية، والمذيع لأمرنا كالجاحد له</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وهذه الرواية قد يستظهر منها صحة المأتي به تقية، وإن كان غير تام الأجزاء والشرائط وذلك بمفاد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أن يعبد في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معنى ذلك هو التقية، وأن ما يأتي به تقية هو عبادة سرية، ومقتضى كونه محبوباً أن يكون صحيحاً ومجزياً فلا حاجة إلى الإعادة أوالقضاء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مع أن الرواية معتبرة السند إلاّ أن دلالتها على المدعى ليست بواضحة، إذ يتوقف هذا على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يعبد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الإتيان بالعمل تقية مع ترك الواقع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 المراد به هو الإتيان بالواقع سراً وخفيةً وإن كان يعمل في الظاهر والعلانية بخلافه فلا يكون شاهداً على المدّعى، وإن كان المعنى الأولى أظهر فحينئذ لا ملازمة بين كتمان العبادة وصحتها، ولا يمكن الالتزام بعدم لزوم الإعادة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الكشي بإسناده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كم عدة الطهارة؟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أوجبه الله فواحدة، وأضاف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لضعف الناس، ومن توضأ ثلاثاً ثلاثاً فلا صلاة له أنا معه في ذا حتى جاء داود بن زربي، فأخذ زاوية من البيت فسأله عما سألته في عدة الطهارة،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ثلاثاً من نقص عنه فلا صلاة 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فرائصي وكاد أن يدخلني الشيطان، فأبصر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وقد تغيّر لوني،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 يا داود هذا هو الكفر أو ضرب الأعناق،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وكان بيت ابن زربي إلى جوار بستان أبي جعفر المنصور، وكان قد ألقي إلى أبي جعفر أمر داود بن زربي، وأنه رافضي يختلف إلى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مطّلع على أمر طهارته فإن هو توضأ وضوء جعفر بن محمّد فإني لأعرف طهارته حققت عليه القول وقتلته، فاطلع وداود يتهيأ للصلاة من حيث لا يراه، فأسبغ داود بن زربي الوضوء ثلاثاً ثلاثاً كما أمره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تم وضوؤه حتى بعث إليه أبو جعفر فدعاه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رحب 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قيل فيك شيء باطل وما أنت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اطلعت على طهارتك وليست طهارتك طهارة الرافضة فاجعلني في حل، فأمر له بمائة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داود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التقيت أنا وداود بن زربي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داود بن زربي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حقنت دماءنا في دار الدنيا ونرجوا أن ندخل بيمنك وبركتك الجنة،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الله ذلك بك وبإخوانك من جميع المؤمنين،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لداود بن زربي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داود الرقي بما مر عليكم حتى تسكن روعته،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فحدثته بالأمر 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أفتيته لأنه كان أشرف على القتل منيد هذا العدو،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بن زربي توضأ مثنى مثنى، ولا تزيدن عليه، وإنك زدت عليه فلا صلاة لك</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وهذه الرواية أصرح من جميع الروايات السابقة في الدلالة على أن ترك الجزء والشرط تقية لا يوجب البطلان، وذلك بمفاد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ثلاثاً ثلاثاً من نقص عنه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فالمستفاد من هذه العبارة صحة الصلاة يقيناً، فمن أتى بالثلاث حال التقية فصلاته صحيحة بلا إشكال، أما من خالف التقية فهل تكون صلاته صحيحة أم لا؟ فهذا أمر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من حيث دلالتها على المدعى لا إشكال فيها،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واردة في خصوص الوضوء للصلاة والأجزاء فيهما لا إشكال فيه، وإنما الكلام في غيرهما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حيث السند فقد رواها الكشي عن حمدويه وإبراهيم، عن محمّد بن إسماعيل الرازي، عن أحمد بن سليمان، عن داود الرقي، والإشكال في أحمد بن سليمان، فإنا في حدود ما فحصنا لم نعثر على توثيق وارد في </w:t>
      </w:r>
    </w:p>
    <w:p>
      <w:pPr>
        <w:pStyle w:val="BookText"/>
        <w:rPr/>
      </w:pPr>
      <w:r>
        <w:rPr>
          <w:rFonts w:ascii="Amiri" w:hAnsi="Amiri" w:eastAsia="Amiri" w:cs="Amiri"/>
          <w:color w:val="111111"/>
          <w:sz w:val="28"/>
          <w:sz w:val="28"/>
          <w:szCs w:val="28"/>
          <w:rtl w:val="true"/>
          <w:lang w:bidi="ar-SA"/>
        </w:rPr>
        <w:t xml:space="preserve">حقه، فإن ورد في حقه توثيق فالرواية معتبرة سنداً ودلالة، وإلاّ فالإشكال في سندها فقط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هشام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بشيء أحب إليه من الخباء،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أتى به في حال التقية من العبادات أحب العبادات عند الله، ومن البديهي امتناع اجتماع المحبوبية مع الفساد والبطلان، لأنهما كاشفان عن عدم المحبوبية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واضحة دلالة ومعتبرة سنداً، ولكن ربما يشكل بأن المراد بالتقية إذا كان العمل الذي يتقى به فالدلالة تامة، وأما إذا كان المراد به نفس</w:t>
      </w:r>
    </w:p>
    <w:p>
      <w:pPr>
        <w:pStyle w:val="BookText"/>
        <w:rPr/>
      </w:pPr>
      <w:r>
        <w:rPr>
          <w:rFonts w:ascii="IRNazanin" w:hAnsi="IRNazanin" w:eastAsia="IRNazanin"/>
          <w:color w:val="111111"/>
          <w:sz w:val="28"/>
          <w:sz w:val="28"/>
          <w:szCs w:val="28"/>
          <w:rtl w:val="true"/>
          <w:lang w:bidi="fa-IR"/>
        </w:rPr>
        <w:t xml:space="preserve">الاتقاء فهو محبوب وعبادة والعمل مقدمة لذلك لا أنّه محبوب في نفسه، فلا يدل على ذلك كما ورد في الروايات من أن التقية من الدين أو دين آبائي وأمثال ذلك، ومما يؤيد المعنى الأول ما ورد في رواية إسحاق بن عمار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فادخل معهم في الركعة واعتد بها فإنها من أفضل ركعاتك </w:t>
      </w:r>
      <w:r>
        <w:rPr>
          <w:rFonts w:eastAsia="IRNazanin" w:cs="IRNazanin"/>
          <w:color w:val="111111"/>
          <w:sz w:val="28"/>
          <w:szCs w:val="28"/>
          <w:rtl w:val="true"/>
          <w:lang w:bidi="fa-IR"/>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إلاّ أن في سندها محمّد بن الحصين على نسخة وكذلك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وكلاهما موردان للإشكال ولولا ذلك لكان دليلاً مستقلاً على الأجزاء وعدم لزوم الإعادة والقضاء في الصلاة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مجموع ما ذكره الشيخ والسيد الأستاذ وغيرهما قدس سرهم مما يمكن الاستدلال به على عدم لزوم الإعادة والقضاء،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العمدة في الروايات هي الطائفتان الأولى والثانية، وأما بقية الروايات فهي محل نقاش من جهة الدلالة أو السند أو من كلتا الجهتين، ونحن نلتزم بالإجزاء في مقام التقية جزءاً كان المتقى فيه أو شرطاً، خلافاً للسيد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لا يخفى أن هذه المسألة هي من أهم مسائل هذا الباب </w:t>
      </w:r>
      <w:r>
        <w:rPr>
          <w:rFonts w:eastAsia="Amiri" w:cs="Amiri" w:ascii="Amiri" w:hAnsi="Amiri"/>
          <w:color w:val="111111"/>
          <w:sz w:val="28"/>
          <w:szCs w:val="28"/>
          <w:rtl w:val="true"/>
          <w:lang w:bidi="ar-SA"/>
        </w:rPr>
        <w:t xml:space="preserve">. </w:t>
      </w:r>
      <w:bookmarkStart w:id="190" w:name="pg16387_188260"/>
    </w:p>
    <w:p>
      <w:pPr>
        <w:pStyle w:val="Heading4"/>
        <w:numPr>
          <w:ilvl w:val="3"/>
          <w:numId w:val="1"/>
        </w:numPr>
        <w:rPr/>
      </w:pPr>
      <w:bookmarkStart w:id="191" w:name="__RefHeading___Toc6877777_1280447820"/>
      <w:bookmarkStart w:id="192" w:name="_Toc66"/>
      <w:bookmarkEnd w:id="190"/>
      <w:bookmarkEnd w:id="191"/>
      <w:r>
        <w:rPr>
          <w:rtl w:val="true"/>
        </w:rPr>
        <w:t>أقسام التقية مع الكافر والمخالف</w:t>
      </w:r>
      <w:r>
        <w:rPr>
          <w:rtl w:val="true"/>
        </w:rPr>
        <w:t>:</w:t>
      </w:r>
      <w:bookmarkEnd w:id="192"/>
    </w:p>
    <w:p>
      <w:pPr>
        <w:pStyle w:val="BookText"/>
        <w:rPr/>
      </w:pPr>
      <w:r>
        <w:rPr>
          <w:rFonts w:ascii="Amiri" w:hAnsi="Amiri" w:eastAsia="Amiri" w:cs="Amiri"/>
          <w:color w:val="111111"/>
          <w:sz w:val="28"/>
          <w:sz w:val="28"/>
          <w:szCs w:val="28"/>
          <w:rtl w:val="true"/>
          <w:lang w:bidi="ar-SA"/>
        </w:rPr>
        <w:t>ولا يخفى أن التقية تختلف باختلاف الدوافع، فتارة تكون اضطرارية والدافع فيها الخوف على النفس والمال والعرض، وتارة يكون الدافع فيها المداراة لا من جهة الخوف، وثالثة يكون الدافع هو الكتمان، وهو أعم من الخوف وعدمه، فالأقسام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الأقسام الثلاثة مشروعة مع الكافر والمخالف أو يختص الحكم ببعض دون بعض؟</w:t>
      </w:r>
    </w:p>
    <w:p>
      <w:pPr>
        <w:pStyle w:val="BookText"/>
        <w:rPr/>
      </w:pPr>
      <w:r>
        <w:rPr>
          <w:rFonts w:ascii="Amiri" w:hAnsi="Amiri" w:eastAsia="Amiri" w:cs="Amiri"/>
          <w:color w:val="111111"/>
          <w:sz w:val="28"/>
          <w:sz w:val="28"/>
          <w:szCs w:val="28"/>
          <w:rtl w:val="true"/>
          <w:lang w:bidi="ar-SA"/>
        </w:rPr>
        <w:t>أما القسم الأول فلا إشكال في مشروعية التقية فيه مطلقاً، فإن من خاف على نفسه أو ماله أو عرضه أو إخوانه وجبت التقية عليه، بلا فرق بين الكافر والمخالف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فالظاهر أنها ليست مشروعة مع الكافر، فإنا لم نظفر بدليل يسوّغ التقية بدافع المداراة، وأدلة هذا القسم تختص بالمخالفين في المذهب، أما بالنسبة إلى الكفار فلم يثبت الدليل على ذلك، إذ لا خوف ولا موجب لإخفاء العقيدة عن الكفار ولا سيما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المورد الخامس من الموارد المبحوث عنها في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 الكلام ولذلك أفردناه بالبحث وجعلناه عنواناً مستقلاً ويقع الكلام فيه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الكتمان عن الكافر والمخالف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الكتمان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الجهة الأولى فبالنسبة إلى الكافر فإن كان سببه الخوف فقد تقدم، وإن كان سببه غير الخوف فحيث إنّ بعض الروايات الواردة في المقام مطلقة فتكون </w:t>
      </w:r>
    </w:p>
    <w:p>
      <w:pPr>
        <w:pStyle w:val="BookText"/>
        <w:rPr/>
      </w:pPr>
      <w:r>
        <w:rPr>
          <w:rFonts w:ascii="Amiri" w:hAnsi="Amiri" w:eastAsia="Amiri" w:cs="Amiri"/>
          <w:color w:val="111111"/>
          <w:sz w:val="28"/>
          <w:sz w:val="28"/>
          <w:szCs w:val="28"/>
          <w:rtl w:val="true"/>
          <w:lang w:bidi="ar-SA"/>
        </w:rPr>
        <w:t>شاملة للكافر، وأمّا بالنسبة إلى المخالفين فلا إشكال في مشروعية التقية معهم بل في وجوبها للأدلة الخاصة الواردة فيخصوص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غير الكافر والمخالف كمن يخشى منه إذاعة السر وإن كان من الخاصة فهو مشمول لإطلاق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التي يستفاد منها الإطلاق فهي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على دينكم واحجبوه بالتقية، فإنه لا إيمان لمن لا تقية له إنما أنتم في الناس كالنحل في الطير، ولو أنّ الطير يعلم ما في أجوف النحل ما بقي منها شيء إلاّ أكلته، ولو أن الناس علموا ما في أجوافكم أنكم تحبونا أهل البيت لأكلوكم بألسنتهم ولنحلوكم في السر والعلانية، رحم الله عبداً منكم كان على ولايتنا</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وسند الرواية معتبر فإن عبد الله بن أبي يعفور من الأجلاء وجابر المكفوف قد عده ابن شهراشوب من خواص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دلالتها فالمستفاد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على دينكم واحجبوه بالتقية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الإطلاق فيشمل الكتمان عن الكافر وغيره إلاّ أن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الناس علموا ما في أجوافكم أنكم تحبونا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كان على ولايتنا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خاص بأمر الولاية وينبغي كتمانها،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الدين هو الولاية فالرواية مطلقة وحينئذ تكون شاملة للكافر والمخالف وإن قلنا إنّ الولاية أمر خاص فالرواية لا تشمل الكافر بل هي خاصة بالمخالفين، وبناء على ذلك فدلالة الرواية على المراد غير صريحة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ذكره من رسالة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 بمجاملة أهل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دينوا فيما بينكم وبينهم إذا أنتم جالستموهم </w:t>
      </w:r>
    </w:p>
    <w:p>
      <w:pPr>
        <w:pStyle w:val="BookText"/>
        <w:rPr/>
      </w:pPr>
      <w:r>
        <w:rPr>
          <w:rFonts w:ascii="Amiri" w:hAnsi="Amiri" w:eastAsia="Amiri" w:cs="Amiri"/>
          <w:color w:val="111111"/>
          <w:sz w:val="28"/>
          <w:sz w:val="28"/>
          <w:szCs w:val="28"/>
          <w:rtl w:val="true"/>
          <w:lang w:bidi="ar-SA"/>
        </w:rPr>
        <w:t xml:space="preserve">وخالطتموهم ونازعتموهم بالتقية </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وقد ذكرنا أن لها سندين واحدهما معتبر، وأما من جهة الدلالة فالمقدار المنقول في الوسائل مطلق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للكافر والمخالف، وبعد الوقوف على متن الرسالة من كتاب روضة الكافي</w:t>
      </w:r>
      <w:r>
        <w:rPr>
          <w:rStyle w:val="FootnoteAnchor"/>
          <w:rtl w:val="true"/>
        </w:rPr>
        <w:footnoteReference w:id="515"/>
      </w:r>
      <w:r>
        <w:rPr>
          <w:rFonts w:ascii="IRNazanin" w:hAnsi="IRNazanin" w:eastAsia="IRNazanin"/>
          <w:color w:val="111111"/>
          <w:sz w:val="28"/>
          <w:sz w:val="28"/>
          <w:szCs w:val="28"/>
          <w:rtl w:val="true"/>
          <w:lang w:bidi="fa-IR"/>
        </w:rPr>
        <w:t xml:space="preserve">تبيّن أنها وردت على شبه فصول ومقاطع، وهي بمثابة منهاج خاطب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 يوجههم فيه لإدراك سعادة الدارين، ولم يرد في المقطع الذياشتمل على ما نقله صاحب الوسائل منها على قرينة خاصة تختص بالعامة، بل جاء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أعداء الله إن استطاعوا صدوكم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من التعابير العامة الشاملة للكافر وغيره، كما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من كلامه ببعض الآيات الواردة في صبر الأنبياء وتكذيب أممهم لهم، وليس في هذا المقطع ما يشير إلى أمر الولاية، نعم في بقية الفصول الأخرى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إلى اختلاف الأمّة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والرد على أهل البدع والمقاييس والأهواء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ذلك قرينة يصح التعويل عليها فالرواية خاصة بالمخالفين، وإلاّ فهي مطلقة شاملة للكافر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جعفر بن محمّد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والمؤمن مجاهد، لأنه يجاهد أعداء الله عزوجل في دولة الباطل بالتقية، وفي دولة الحق بالسيف</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والرواية وإن كانت من جهة الدلالة تامة فإن دولة الباطل شاملة للكفار وغيرهم، إلاّ أن سند الرواية غير تام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معلى اكتم </w:t>
      </w:r>
    </w:p>
    <w:p>
      <w:pPr>
        <w:pStyle w:val="BookText"/>
        <w:rPr/>
      </w:pP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وقد تقدمت الرواية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سندها معتبر، ووردت في موضع آخر من كتاب الوسائل بسند آخر</w:t>
      </w:r>
      <w:r>
        <w:rPr>
          <w:rStyle w:val="FootnoteAnchor"/>
          <w:rtl w:val="true"/>
        </w:rPr>
        <w:footnoteReference w:id="518"/>
      </w:r>
      <w:r>
        <w:rPr>
          <w:rFonts w:ascii="Amiri" w:hAnsi="Amiri" w:eastAsia="Amiri" w:cs="Amiri"/>
          <w:color w:val="111111"/>
          <w:sz w:val="28"/>
          <w:sz w:val="28"/>
          <w:szCs w:val="28"/>
          <w:rtl w:val="true"/>
          <w:lang w:bidi="ar-SA"/>
        </w:rPr>
        <w:t>ينتهي إلى حريز عن المعلى، وفيها بعض الإضافات وكأنما هي رواية واحدة وردت بطريقين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الرواية يمكن أن يستدل بها على الشمول، لأنّها مطلقة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أمر الولاية، فإن جعلنا هذا قرينة على ذلك فهي خاصة بالمخالفين، وإلاّ فهي عامة تشمل الكفار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خالد بن نجيح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أمرنا مستور مقنع بالميثاق، فمن هتك علينا أذلّه الله</w:t>
      </w:r>
      <w:r>
        <w:rPr>
          <w:rStyle w:val="FootnoteAnchor"/>
          <w:rtl w:val="true"/>
        </w:rPr>
        <w:footnoteReference w:id="519"/>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عيسى بن أبي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لنا المغتم لظلمنا تسبيح، وهمّه لأمرنا عبادة، وكتمانه لسرنا جهاد في سبيل الله، قال لي محمّد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هذا بالذهب، فما كتبت شيئاً أحسن منه</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الخزاز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أذاع علينا حديثنا فهو بمنزلة من جحدنا حقنا،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المذيع لحديثنا كالجاحد له</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والروايات في هذا المعنى كثيرة، وهي من قبيل رواية المعلى بن خنيس، ومن مجموعها يستفاد أن كتمان السر وعدم الإذاعة أمر اهتم به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شامل للكفار وغيرهم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ويستثنى من ذلك ما إذا كان للإرشاد مع قابلية المحل للرشاد، وورد الحثّ </w:t>
      </w:r>
    </w:p>
    <w:p>
      <w:pPr>
        <w:pStyle w:val="BookText"/>
        <w:rPr/>
      </w:pPr>
      <w:r>
        <w:rPr>
          <w:rFonts w:ascii="Amiri" w:hAnsi="Amiri" w:eastAsia="Amiri" w:cs="Amiri"/>
          <w:color w:val="111111"/>
          <w:sz w:val="28"/>
          <w:sz w:val="28"/>
          <w:szCs w:val="28"/>
          <w:rtl w:val="true"/>
          <w:lang w:bidi="ar-SA"/>
        </w:rPr>
        <w:t>عليه في عدة روايات، وأما مع عدمه فالكتمان هو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وردت روايات في الحثّ على الكتمان بالنسبة إلى الكفار في خصوص سبّ آلهتهم ومقدساتهم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الشرك أخفى من دبيب النمل على صفاة سوداء في ليلة ظلماء،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المؤمنون يسبّون ما يعبد المشركون من دون الله، وكان المشركون يسبّون ما يعبد المؤمنون، فنهى الله المؤمنين عن سبّ آلهتهم لكي لا يسبّ الكفار إله المؤمنين، فيكون المؤمنون قد أشركوا بالله من حيث لا يعلمون،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تسبوا الذين يدعون من دون الله فيسبوا الله عدواً بغير علم</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ووردت هذه الرواية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من تفسير القمّي</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وأما الجهة الثانية وهو متعلق الكتمان فالروايات الواردة مختلفة، ففي بعضها ورد فيها مطلق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ترس المؤمن، والتقية حرز المؤمن، ولا إيمان لمن لا تقية له إن العبد ليقع إليه الحديث من حديثنا فيدين الله عزوجل به فيما بينه وبينه فيكون له عزّاً في الدنيا ونوراً في الآخرة، وإن العبد ليقع إليه الحديث من حديثنا فيذيعه فيكون له ذلاًّ في الدنيا وينزع الله ذلك النور منه</w:t>
      </w:r>
      <w:r>
        <w:rPr>
          <w:rStyle w:val="FootnoteAnchor"/>
          <w:rtl w:val="true"/>
        </w:rPr>
        <w:footnoteReference w:id="52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الخزاز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أذاع علينا حديثنا فهو بمنزلة من جحدنا حقنا،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المذيع لحديثنا كالجاحد له</w:t>
      </w:r>
      <w:r>
        <w:rPr>
          <w:rStyle w:val="FootnoteAnchor"/>
          <w:rtl w:val="true"/>
        </w:rPr>
        <w:footnoteReference w:id="526"/>
      </w:r>
      <w:r>
        <w:rPr>
          <w:rFonts w:ascii="Amiri" w:hAnsi="Amiri" w:eastAsia="Amiri" w:cs="Amiri"/>
          <w:color w:val="111111"/>
          <w:sz w:val="28"/>
          <w:sz w:val="28"/>
          <w:szCs w:val="28"/>
          <w:rtl w:val="true"/>
          <w:lang w:bidi="ar-SA"/>
        </w:rPr>
        <w:t xml:space="preserve">وقد تقدمت الرواية قريباً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أذاع علينا حديثنا سلبه الله الإيمان</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يونس بن يعقوب، عن بعض أصحابه،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قتلنا من أذاع حديثنا قتل خطأ ولكن قتلنا قتل عمد</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وغيرها من الروايات الصريحة في أن المنهي عنه هو إذاعة مطلق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بعضها ورد فيها النهي عن إذاعة الأمر، وقد تقدمت عدة روايات كرواية خالد بن نجيح، ورواية المعلى بن خنيس، ومن ذلك أيضاً صحيحة داود الرقي ومفضل وفضيل في حديث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تذيعوا أمرنا ولا تحدثوا به إلاّ أهله، فإنّ المذيع علينا أمرنا أشد علينا مؤنة من عدونا، انصرفوا رحمكم الله ولا تذيعوا سرنا</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ومرسلة الحسين بن عثمان عمن أخبره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أذاع علينا شيئاً من أمرنا فهو كمن قتلنا عمداً ولم يقتلنا خطأ</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وفي هذا المعنى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 ورد فيها الصعب من حديثنا وقد وردت في ذلك 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رواية حفص الأبيض،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قتلالمعلى بن خنيس وصلب،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حفص إني نهيت المعلّى عن أمر فأذاعه، فاقبل بما ترى،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حديثاً من حفظه حفظ الله عليه دينه ودنياه، ومن أذاعه علينا سلبه الله دينه، يا معلّى لا تكونوا أسرى في أيدي الناس لحديثنا إن شاؤا منّوا عليكم، وإن شاؤا قتلوكم، يا معلّى إنه من كتم الصعب من حديثنا جعله الله نوراً بين عينيه ورزقه العزّ في الناس، يا معلّى من أذاع الصعب من حديثنا لم يمت </w:t>
      </w:r>
    </w:p>
    <w:p>
      <w:pPr>
        <w:pStyle w:val="BookText"/>
        <w:rPr/>
      </w:pPr>
      <w:r>
        <w:rPr>
          <w:rFonts w:ascii="Amiri" w:hAnsi="Amiri" w:eastAsia="Amiri" w:cs="Amiri"/>
          <w:color w:val="111111"/>
          <w:sz w:val="28"/>
          <w:sz w:val="28"/>
          <w:szCs w:val="28"/>
          <w:rtl w:val="true"/>
          <w:lang w:bidi="ar-SA"/>
        </w:rPr>
        <w:t>حتى يعضه السلاح أو يموت بخبل، إني رأيته يوماً حزيناً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أذكرت أهلك وعيالك؟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فمسحت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تراك،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في بيتي مع زوجتي وعيالي، فتركته في تلك الحال مليّاً، ثمّ مسحت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معك في المدينة،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رأيت فلا تذعه، فقال لأهل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تطوى لي فأصابه ما قد رأيت</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وهذه الرواية أوردها الكشي </w:t>
      </w:r>
      <w:r>
        <w:rPr>
          <w:rStyle w:val="FootnoteAnchor"/>
          <w:rtl w:val="true"/>
        </w:rPr>
        <w:footnoteReference w:id="532"/>
      </w:r>
      <w:r>
        <w:rPr>
          <w:rFonts w:ascii="Amiri" w:hAnsi="Amiri" w:eastAsia="Amiri" w:cs="Amiri"/>
          <w:color w:val="111111"/>
          <w:sz w:val="28"/>
          <w:sz w:val="28"/>
          <w:szCs w:val="28"/>
          <w:rtl w:val="true"/>
          <w:lang w:bidi="ar-SA"/>
        </w:rPr>
        <w:t>مع اختلاف في صدر السند وفي بعض ألفاظ المتن، كما وردت هذه الرواية في جامع أحاديث الشيعة</w:t>
      </w:r>
      <w:r>
        <w:rPr>
          <w:rStyle w:val="FootnoteAnchor"/>
          <w:rtl w:val="true"/>
        </w:rPr>
        <w:footnoteReference w:id="533"/>
      </w:r>
      <w:r>
        <w:rPr>
          <w:rFonts w:ascii="IRNazanin" w:hAnsi="IRNazanin" w:eastAsia="IRNazanin"/>
          <w:color w:val="111111"/>
          <w:sz w:val="28"/>
          <w:sz w:val="28"/>
          <w:szCs w:val="28"/>
          <w:rtl w:val="true"/>
          <w:lang w:bidi="fa-IR"/>
        </w:rPr>
        <w:t xml:space="preserve">، نقلاً عن بصائر الدرجات مع الاختلاف في السند وبعض العبارات فلاحظ، فإن محل الشاهد من الرواية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تذعه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لم يرد في رواية الكشي والجامع، وإنما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مقتول فاستعد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حديثنا صعب مستصعب ذكوان، أجرد، مقنع،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فسر لي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ذكوان ذكي أبداً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 أبداً،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ومنها رواية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حديثنا صعب مستصعب لا يحتمله إلاّ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مرسل أو ملك مقرب أو عبد امتحن الله قلبه للإيمان،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ألا ترى أنّه اختار لأمرنا من الملائكة المقربين ومن النبيين المرسلين ومن المؤمنين الممتحنين</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وغيرها من الروايات الكثيرة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بعضها ورد السر وسرنا وقد تقدمت جملة من الروايات، ومن ذلك </w:t>
      </w:r>
    </w:p>
    <w:p>
      <w:pPr>
        <w:pStyle w:val="BookText"/>
        <w:rPr/>
      </w:pP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جابر،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سر في سر، وسر مستسر، وسر لا نعيده، إلاّ سر، وسر على سر، وسر مقنع بسر</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وهذه الرواية معتبرة على الأظهر فإنّ في سندها محمّد بن سنان وجابر وقد استظهرنا وثاقتهما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ورواية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هو الحق، وحق الحق، وهو الظاهر، وباطن الظاهر، وباطن الباطن، وهو السر، وسر السر، وسر المستسر، وسر مقنع بسر</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وغيرهما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هي العناوين الواردة في الروايات والظاهر من مطلق الحديث هو حديث الإمامة والولاية وما يكون من مختصات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المعجزات، والأحكام الخاصة بالإمامية التي لا يفتي بها غيرهم، وليس المراد هو كل حديث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في غير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الظاهر من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الولاية، ويشهد على ذلك بعض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المراد من الصعب والسر فهو ما لا يكون قابلاً للتحمل كالمغيبات ونحوها فيكون شاملاً لخوارق العادة والمعجزات، ويحتمل أن يكون المراد من الصعب هو أمر الولاية وقد فسرت الأمانة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بالإمامة وهي لا يتحملها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الجمع بهذا النحو من الجمع بين هذه العناوين الواردة في الروايات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أن يستشهد على ما ذكرنا ببعض الروايات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الرحمن بن كثير،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فقالوا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 عبد الله حدثنا بفضلكم الذي جعله الله لكم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تحتملونه ولا تطيقونه،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نحتمل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فليتنح اثنان وأحدّث واحداً، فإن احتمله حدّثتكم، فتنحّى اثنان وحدّث واحداً، فقام طاير العقل ومرّ على وجهه وذهب فكلمه صاحباه فلم يرد عليهما شيئاًوانصرفوا</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وفي روايته الأخرى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فرغ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حتى ابيض رأس الرجل ولحيته وأنسي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وهاتان الروايتان واضحتان من حيث الدلالة إلاّ أنهما من حيث السند غير تامتين فإن فيها عبد الرحمن بن كثير وهو محل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علي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الرؤيا؟ فأمسك عني،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أنا أعطيناكم ما تريدون كان شراً لكم، وأخذ برقبة صاحب هذا الأمر،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ولاية الله أسرّها إلى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وأسرّها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وأسرّها علي صلوات الله عليه إلى من شاء، ثمّ أنتم تذيعون ذلك من الذي أمسك حرفاً سمع به؟</w:t>
      </w:r>
      <w:r>
        <w:rPr>
          <w:rFonts w:eastAsia="IRNazanin" w:cs="IRNazanin"/>
          <w:color w:val="111111"/>
          <w:sz w:val="28"/>
          <w:szCs w:val="28"/>
          <w:rtl w:val="true"/>
          <w:lang w:bidi="fa-IR"/>
        </w:rPr>
        <w:t xml:space="preserve">» </w:t>
      </w:r>
      <w:r>
        <w:rPr>
          <w:rStyle w:val="FootnoteAnchor"/>
          <w:rtl w:val="true"/>
        </w:rPr>
        <w:footnoteReference w:id="540"/>
      </w:r>
      <w:r>
        <w:rPr>
          <w:rFonts w:ascii="Amiri" w:hAnsi="Amiri" w:eastAsia="Amiri" w:cs="Amiri"/>
          <w:color w:val="111111"/>
          <w:sz w:val="28"/>
          <w:sz w:val="28"/>
          <w:szCs w:val="28"/>
          <w:rtl w:val="true"/>
          <w:lang w:bidi="ar-SA"/>
        </w:rPr>
        <w:t>والرواية طويلة وهي معتبرة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بعض الروايات اشتملت على عنوان آخر وإن كان غير خارج في المراد منه عن العناوين المتقدمة، وهو عنوان الدين فقد وردت صحيحة سليمان بن خالد في هذا المعنى،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على دين من كتمه أعزّه الله ومن أذاعه أذله الله</w:t>
      </w:r>
      <w:r>
        <w:rPr>
          <w:rStyle w:val="FootnoteAnchor"/>
          <w:rtl w:val="true"/>
        </w:rPr>
        <w:footnoteReference w:id="54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الدين هو الولاية كما أشرنا إلى ذلك فيما تقدم وليس المراد من الدين هو الإسلام</w:t>
      </w:r>
      <w:r>
        <w:rPr>
          <w:rFonts w:eastAsia="Amiri" w:cs="Amiri" w:ascii="Amiri" w:hAnsi="Amiri"/>
          <w:color w:val="111111"/>
          <w:sz w:val="28"/>
          <w:szCs w:val="28"/>
          <w:rtl w:val="true"/>
          <w:lang w:bidi="ar-SA"/>
        </w:rPr>
        <w:t xml:space="preserve">. </w:t>
      </w:r>
      <w:bookmarkStart w:id="193" w:name="pg16387_188269"/>
    </w:p>
    <w:p>
      <w:pPr>
        <w:pStyle w:val="Heading4"/>
        <w:numPr>
          <w:ilvl w:val="3"/>
          <w:numId w:val="1"/>
        </w:numPr>
        <w:rPr/>
      </w:pPr>
      <w:bookmarkStart w:id="194" w:name="__RefHeading___Toc6877779_1280447820"/>
      <w:bookmarkStart w:id="195" w:name="_Toc67"/>
      <w:bookmarkEnd w:id="193"/>
      <w:bookmarkEnd w:id="194"/>
      <w:r>
        <w:rPr>
          <w:rtl w:val="true"/>
        </w:rPr>
        <w:t>مسألتان</w:t>
      </w:r>
      <w:r>
        <w:rPr>
          <w:rtl w:val="true"/>
        </w:rPr>
        <w:t>:</w:t>
      </w:r>
      <w:bookmarkEnd w:id="195"/>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الكتمان عن مطلق المخالفين أم لا؟</w:t>
      </w:r>
    </w:p>
    <w:p>
      <w:pPr>
        <w:pStyle w:val="BookText"/>
        <w:rPr/>
      </w:pPr>
      <w:r>
        <w:rPr>
          <w:rFonts w:ascii="Amiri" w:hAnsi="Amiri" w:eastAsia="Amiri" w:cs="Amiri"/>
          <w:color w:val="111111"/>
          <w:sz w:val="28"/>
          <w:sz w:val="28"/>
          <w:szCs w:val="28"/>
          <w:rtl w:val="true"/>
          <w:lang w:bidi="ar-SA"/>
        </w:rPr>
        <w:t>والذي يظهر من الروايات جواز الإظهار لمن يوثق به، سواء كان الأصحاب أو الأهل أو غيرهم، وأما غيرهم فلا يجوز سواء كان من المخالفين أو غيرهم، فيكون شاملاً لبعض أفراد الخاصة ممّن لا يوثق به أو لا يتحمل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ذلك عدة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كتمت علي شيئاً قط؟ فبقيت أتذكر فلما رأى ما 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حدثت به أصحابك فلا بأس، وإنما الإذاعة أن تحدّث به غير أصحابك</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واصرح منها صحيحة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حديثنا إلاّ أهلك أو من تثق به</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تثق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سواء كان من الأصحاب أو من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هذا فالشخص إذا كان من الأهل، أو كان مورداً للوثوق فلا مانع من التحدّث إليه بمقتضى مفاد هذه الرواية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الأعلى بن أعين عن أبي عبد الله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الأمر معرفته وولايته فقط حتى تستره عمن ليس من أهله، وبحسبكم أن تقولوا ما قلنا وتصمتوا عما صمتنا، فإنكم إذا قلتم ما نقول وسلمتم لنا فيما سكتنا عنه فقد آمنتم بمثل ما آمنا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آمَنُوا بِمِثْلِ مَا آمَنتُمْ بِهِ فَقَدْ اهْتَدَوا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الناس بما يعرفون، ولا </w:t>
      </w:r>
    </w:p>
    <w:p>
      <w:pPr>
        <w:pStyle w:val="BookText"/>
        <w:rPr/>
      </w:pPr>
      <w:r>
        <w:rPr>
          <w:rFonts w:ascii="Amiri" w:hAnsi="Amiri" w:eastAsia="Amiri" w:cs="Amiri"/>
          <w:color w:val="111111"/>
          <w:sz w:val="28"/>
          <w:sz w:val="28"/>
          <w:szCs w:val="28"/>
          <w:rtl w:val="true"/>
          <w:lang w:bidi="ar-SA"/>
        </w:rPr>
        <w:t>تحملونهم ما لا يطيقون فتغروهم بنا</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ويؤيده رواية عبد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احتمال أمرنا التصديق له والقبول فقط، من احتمال أمرنا ستره وصيانته عن غير أهله، فاقرأهم السلام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اجترّ مودة الناس إلى نفسه، حدثوهم بما يعرفون واستروا عنهم ما ينكرون،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الناصب لنا حرباً بأشدّ علينا مؤنة من الناطق علينا بما نكره، فإذا عرفتم من عبد إذاعة فامشوا إليه وردوه عنها، فإن قبل منكم وإلاّ فتحملوا عليه بمن يثقل عليه ويسمع منه، فإن الرجل منكم يطلب الحاجة فيلطف فيها حتى تقضى له، فالطفوا في حاجتي كما تلطفون في حوائجكم، فإن هو قبل منكم وإلاّ فادفنوا كلامه تحت أقدامكم ولا تقولوا إنه يقول ويقول، فإنّ ذلك يحمل عليّ وعليكم، أما والله لو كنتم تقولون ما أقول لكم لأقررت أنكم أصحابي، هذا أبو حنيفة له أصحاب، وهذا الحسن البصري له أصحاب، وأنا امرؤ من قريش قد ولدني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وعلمت كتاب الله وفيه تبيان كل شيء، بدء الخلق وأمر السماء، وأمرالأرض، وأمر الأولين وأمر الآخرين، وأمر ما كان، وأمر ما يكون، كأني أنظر إلى ذلك نصب عيني</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وفي هذا المعنى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التحدث للأهل ولمن يوثق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الكتمان واجب من جهة الخوف فقط؟ أو يشمل حالة المداراة وجلب القلوب والمودة وإن لم يكن فيه خوف؟</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كثير من الروايات أنّه من جهة الخوف، وذلك للتعليل الوارد في بعض هذه الروايات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قتلنا من أذاع حديثنا قتل خطأ ولكن </w:t>
      </w:r>
    </w:p>
    <w:p>
      <w:pPr>
        <w:pStyle w:val="BookText"/>
        <w:rPr/>
      </w:pPr>
      <w:r>
        <w:rPr>
          <w:rFonts w:ascii="IRNazanin" w:hAnsi="IRNazanin" w:eastAsia="IRNazanin"/>
          <w:color w:val="111111"/>
          <w:sz w:val="28"/>
          <w:sz w:val="28"/>
          <w:szCs w:val="28"/>
          <w:rtl w:val="true"/>
          <w:lang w:bidi="fa-IR"/>
        </w:rPr>
        <w:t>قتلنا قتل عمد</w:t>
      </w:r>
      <w:r>
        <w:rPr>
          <w:rFonts w:eastAsia="IRNazanin" w:cs="IRNazanin"/>
          <w:color w:val="111111"/>
          <w:sz w:val="28"/>
          <w:szCs w:val="28"/>
          <w:rtl w:val="true"/>
          <w:lang w:bidi="fa-IR"/>
        </w:rPr>
        <w:t xml:space="preserve">» </w:t>
      </w:r>
      <w:r>
        <w:rPr>
          <w:rStyle w:val="FootnoteAnchor"/>
          <w:rtl w:val="true"/>
        </w:rPr>
        <w:footnoteReference w:id="547"/>
      </w:r>
      <w:r>
        <w:rPr>
          <w:rFonts w:ascii="Amiri" w:hAnsi="Amiri" w:eastAsia="Amiri" w:cs="Amiri"/>
          <w:color w:val="111111"/>
          <w:sz w:val="28"/>
          <w:sz w:val="28"/>
          <w:szCs w:val="28"/>
          <w:rtl w:val="true"/>
          <w:lang w:bidi="ar-SA"/>
        </w:rPr>
        <w:t>، فإنّ الإذاعة توجب الهتك والقتل فيكون مرجع وجوب الكتمان إلى الخوف، ثمّ إنّ الإذاعة لا يشترط فيها أن تكون لشخص يخاف منه، بل هي في نفسها كافية بمعنى أنّه لو لم يكن هناك من يخاف منه فالإذاعة أيضاً غير جائزة، لأن إذاعة السر تنتهي بالمآل إلى الخوف، وبناء على هذا فإذاعة السر غير جائزة مطلقاً إلاّ في ما استثني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من جهة المداراة فقد وردت عدة روايات، منها ما تقدم من رواية عبد الأعلى بن أعين، ورواية عبد الأعلى مولى آل سام، وورد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اجتر مودة الناس إلى نفسه وإلينا، وورد في إحدى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حدثوا الناس بما يعرفون ولا تحملونهم 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الروايتان وردتا بأسانيد متعددة، كما أنّ هناك بعض الروايات اشتملت على هذا المضمون، منها رواية مدرك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الهزهازك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إن أمرنا ليس بقبوله فقط، ولكن بصيانته وكتمانه عن غير أهله، أقرأ أصحابنا السلام ورحمة الله وبركاته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اجترّ مودة الناس إلينا فحدثهم بما يعرفون وترك ما ينكرون</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استفادة الوجوب من ذلك مشكل، فإن لسان الدليل لا يساعد عليه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على الوجوب، ومع الشك فالأصل عدمه، نعم القول بالاستحباب المؤكّد له وجه، وعليه فجلب القلوبواجترار مودة الناس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مؤكد</w:t>
      </w:r>
      <w:r>
        <w:rPr>
          <w:rFonts w:eastAsia="IRNazanin" w:cs="IRNazanin"/>
          <w:color w:val="111111"/>
          <w:sz w:val="28"/>
          <w:szCs w:val="28"/>
          <w:rtl w:val="true"/>
          <w:lang w:bidi="fa-IR"/>
        </w:rPr>
        <w:t xml:space="preserve">. </w:t>
      </w:r>
      <w:bookmarkStart w:id="196" w:name="pg16387_188272"/>
    </w:p>
    <w:p>
      <w:pPr>
        <w:pStyle w:val="Heading3"/>
        <w:numPr>
          <w:ilvl w:val="2"/>
          <w:numId w:val="1"/>
        </w:numPr>
        <w:rPr/>
      </w:pPr>
      <w:bookmarkStart w:id="197" w:name="__RefHeading___Toc6877781_1280447820"/>
      <w:bookmarkStart w:id="198" w:name="_Toc68"/>
      <w:bookmarkEnd w:id="196"/>
      <w:bookmarkEnd w:id="197"/>
      <w:r>
        <w:rPr>
          <w:rtl w:val="true"/>
        </w:rPr>
        <w:t>المورد السادس</w:t>
      </w:r>
      <w:r>
        <w:rPr>
          <w:rtl w:val="true"/>
        </w:rPr>
        <w:t xml:space="preserve">: </w:t>
      </w:r>
      <w:r>
        <w:rPr>
          <w:rtl w:val="true"/>
        </w:rPr>
        <w:t xml:space="preserve">التقية في تسمية الحجة </w:t>
      </w:r>
      <w:r>
        <w:rPr/>
        <w:t></w:t>
      </w:r>
      <w:r>
        <w:rPr>
          <w:rtl w:val="true"/>
        </w:rPr>
        <w:t xml:space="preserve"> </w:t>
      </w:r>
      <w:r>
        <w:rPr>
          <w:rtl w:val="true"/>
        </w:rPr>
        <w:t>:</w:t>
      </w:r>
      <w:bookmarkEnd w:id="198"/>
    </w:p>
    <w:p>
      <w:pPr>
        <w:pStyle w:val="Heading4"/>
        <w:numPr>
          <w:ilvl w:val="3"/>
          <w:numId w:val="1"/>
        </w:numPr>
        <w:rPr/>
      </w:pPr>
      <w:bookmarkStart w:id="199" w:name="__RefHeading___Toc6877783_1280447820"/>
      <w:bookmarkStart w:id="200" w:name="_Toc69"/>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اختلفت الأقوال في جواز تسمية الإمام الثاني عشر الحجة بن الحسن العسكري عجل الله تعالى فرجه الشريف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التقية وعدمها، وأشهر هذه الأقوال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مطلقاً إلاّ في زمن التقية، وهو قول 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ونسب إلى المشهور، وهو ظاهر كلام الشيخ المفيد</w:t>
      </w:r>
      <w:r>
        <w:rPr>
          <w:rStyle w:val="FootnoteAnchor"/>
          <w:rtl w:val="true"/>
        </w:rPr>
        <w:footnoteReference w:id="550"/>
      </w:r>
      <w:r>
        <w:rPr>
          <w:rFonts w:ascii="IRNazanin" w:hAnsi="IRNazanin" w:eastAsia="IRNazanin"/>
          <w:color w:val="111111"/>
          <w:sz w:val="28"/>
          <w:sz w:val="28"/>
          <w:szCs w:val="28"/>
          <w:rtl w:val="true"/>
          <w:lang w:bidi="fa-IR"/>
        </w:rPr>
        <w:t>والصدوق</w:t>
      </w:r>
      <w:r>
        <w:rPr>
          <w:rStyle w:val="FootnoteAnchor"/>
          <w:rtl w:val="true"/>
        </w:rPr>
        <w:footnoteReference w:id="551"/>
      </w:r>
      <w:r>
        <w:rPr>
          <w:rFonts w:ascii="Amiri" w:hAnsi="Amiri" w:eastAsia="Amiri" w:cs="Amiri"/>
          <w:color w:val="111111"/>
          <w:sz w:val="28"/>
          <w:sz w:val="28"/>
          <w:szCs w:val="28"/>
          <w:rtl w:val="true"/>
          <w:lang w:bidi="ar-SA"/>
        </w:rPr>
        <w:t>والطبرسي</w:t>
      </w:r>
      <w:r>
        <w:rPr>
          <w:rStyle w:val="FootnoteAnchor"/>
          <w:rtl w:val="true"/>
        </w:rPr>
        <w:footnoteReference w:id="552"/>
      </w:r>
      <w:r>
        <w:rPr>
          <w:rFonts w:ascii="Amiri" w:hAnsi="Amiri" w:eastAsia="Amiri" w:cs="Amiri"/>
          <w:color w:val="111111"/>
          <w:sz w:val="28"/>
          <w:sz w:val="28"/>
          <w:szCs w:val="28"/>
          <w:rtl w:val="true"/>
          <w:lang w:bidi="ar-SA"/>
        </w:rPr>
        <w:t>والمحدث النوري</w:t>
      </w:r>
      <w:r>
        <w:rPr>
          <w:rStyle w:val="FootnoteAnchor"/>
          <w:rtl w:val="true"/>
        </w:rPr>
        <w:footnoteReference w:id="553"/>
      </w:r>
      <w:r>
        <w:rPr>
          <w:rFonts w:ascii="Amiri" w:hAnsi="Amiri" w:eastAsia="Amiri" w:cs="Amiri"/>
          <w:color w:val="111111"/>
          <w:sz w:val="28"/>
          <w:sz w:val="28"/>
          <w:szCs w:val="28"/>
          <w:rtl w:val="true"/>
          <w:lang w:bidi="ar-SA"/>
        </w:rPr>
        <w:t>وغيرهم</w:t>
      </w:r>
      <w:r>
        <w:rPr>
          <w:rStyle w:val="FootnoteAnchor"/>
          <w:rtl w:val="true"/>
        </w:rPr>
        <w:footnoteReference w:id="554"/>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في المحافل والمجالس ومجمع الناس، ونسب إلى المحقق الداماد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ونسب إلى الشيخ الأنصاري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زمان الغيبة الصغرى وزمان الغيبة الكبرى، فيحرم في الأول دون الثاني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الأخير ذكره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ينسبه إلى قائل معين</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اختلاف الأقوال متفرع على اختلاف الروايات الواردة ولابد من استعراض جملة منها لنتبيّن حقيقة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يخفى أن هذا وارد في حق الإمام الثاني عشر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كما ذكرنا، وأمابقية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إشكال في جواز تسميتهم، وإن صعب على بعض العامة سماع اسم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ورد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ليس شيء أبغض إليهم من ذكر علي وفاطمة</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وأما الروايات فيمكن تقسيمها إلى أربع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حرمة التسمية وعدم جواز ذكره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بالاسم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الجواز بل ورد التصريح فيها باسمه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المنع عن ذكر اسمه لعدم الأمن عليه وللخوف من وقوع الطلب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المنع عن ذكر اسمه في المحافل ومجامع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 فهي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داود بن القاسم الجعفري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 على رجل من ولد الحسن لا يسمى ولا يكنى حتى يظهر أمره فيملأها عدلاً كما ملئت جوراً إنه القائم بأمر الحسن بن علي </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الرواية بالإضافة إلى صحة السند واضحة الدلالة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يسمى ولا يكنى دال على الحرمة، ونظير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فمفاد الرواية النهي عن التسمية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ابن رئاب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الأمر لا يسميه باسمه إلاّ كافر</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وهذه الرواية أوردها الصدوق في كمال الدين عن علي بن الريان، وفي نسخة عن علي بن زياد،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الراوي هوابن الريان أو ابن رئاب فلا بأس، والرواية حينئذ معتبرة وهي واضحة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القائم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جسمه ولا يسمى اسمه</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والمستفاد من الرواية النهي عن الرؤية والتسمية إلاّ أن الأول تكويني والثاني تشريعي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داود بن القاسم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بعدي الحسن، فكيف لكم بالخلف من بعد الخلف؟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جعلني الله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لا ترون شخصه ولا يحل لكم ذكره باسمه،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الحجّة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الرواية واضحة، وأما من جهة السند فهو وإن كان فيه محمّد بن أحمد العلوي إلاّ أنّه وارد في أسناد تفسير القمي</w:t>
      </w:r>
      <w:r>
        <w:rPr>
          <w:rStyle w:val="FootnoteAnchor"/>
          <w:rtl w:val="true"/>
        </w:rPr>
        <w:footnoteReference w:id="564"/>
      </w:r>
      <w:r>
        <w:rPr>
          <w:rFonts w:ascii="Amiri" w:hAnsi="Amiri" w:eastAsia="Amiri" w:cs="Amiri"/>
          <w:color w:val="111111"/>
          <w:sz w:val="28"/>
          <w:sz w:val="28"/>
          <w:szCs w:val="28"/>
          <w:rtl w:val="true"/>
          <w:lang w:bidi="ar-SA"/>
        </w:rPr>
        <w:t>وفي نوادر الحكمة في المستثنى منه</w:t>
      </w:r>
      <w:r>
        <w:rPr>
          <w:rStyle w:val="FootnoteAnchor"/>
          <w:rtl w:val="true"/>
        </w:rPr>
        <w:footnoteReference w:id="565"/>
      </w:r>
      <w:r>
        <w:rPr>
          <w:rFonts w:ascii="Amiri" w:hAnsi="Amiri" w:eastAsia="Amiri" w:cs="Amiri"/>
          <w:color w:val="111111"/>
          <w:sz w:val="28"/>
          <w:sz w:val="28"/>
          <w:szCs w:val="28"/>
          <w:rtl w:val="true"/>
          <w:lang w:bidi="ar-SA"/>
        </w:rPr>
        <w:t xml:space="preserve">وقد ذكرنا غير مرة أن وقوع الراوي في أسناد أحد هذين الكتابين علامة </w:t>
      </w:r>
    </w:p>
    <w:p>
      <w:pPr>
        <w:pStyle w:val="BookText"/>
        <w:rPr/>
      </w:pPr>
      <w:r>
        <w:rPr>
          <w:rFonts w:ascii="Amiri" w:hAnsi="Amiri" w:eastAsia="Amiri" w:cs="Amiri"/>
          <w:color w:val="111111"/>
          <w:sz w:val="28"/>
          <w:sz w:val="28"/>
          <w:szCs w:val="28"/>
          <w:rtl w:val="true"/>
          <w:lang w:bidi="ar-SA"/>
        </w:rPr>
        <w:t>على الوثاقة، وقد حققنا ذلك في محله وعليه فلا إشكال في اعتبار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السيد عبد العظيم الحسني عن سيدنا 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عرض عليه اعتقاده وإقراره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 يا مولاي،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بعدي ابني الحسن، فكيف للناس بالخلف من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يرى شخصه، ولا يحل ذكره باسمه حتى يخرج فيملأ الأرض قسطاً وعدلاً،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ديني ودين آبائي</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أحمد محمّد بن زياد الأزدي عن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أوصاف الإمام الثاني عشر وغيبته،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تخفى على الناس ولادته، ولا تحل لهم تسميته حتى يظهره الله فيملأ الأرض عدلاً وقسطاً،كما ملئت جوراً وظلماً</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ودلالة هاتين الروايتين واضحة فإن ذكر اسمه منهي عنه إلى أن يظهر عجل الله تعالى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صفوان بن مهران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المهدي من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ولد السابع، يغيب عنكم شخصه ولا يحل لكم تسميته</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والرواية وإن جاء في سندها محمّد بن سنان إلاّ أننا استظهرنا وثاقته كما ذكرنا سابقاً، فالرواية من جهة سندها لا إشكال فيها، كما أنها من جهة الدلالة واضحة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تكون القائم من أهل بيت محمّد الذي يملأ الأرض قسطاً وعدلاً كما </w:t>
      </w:r>
    </w:p>
    <w:p>
      <w:pPr>
        <w:pStyle w:val="BookText"/>
        <w:rPr/>
      </w:pPr>
      <w:r>
        <w:rPr>
          <w:rFonts w:ascii="IRNazanin" w:hAnsi="IRNazanin" w:eastAsia="IRNazanin"/>
          <w:color w:val="111111"/>
          <w:sz w:val="28"/>
          <w:sz w:val="28"/>
          <w:szCs w:val="28"/>
          <w:rtl w:val="true"/>
          <w:lang w:bidi="fa-IR"/>
        </w:rPr>
        <w:t xml:space="preserve">ملئت جوراً وظلماً،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ما منّا إلاّ قائم بأمر الله عزوجل وهاد إلى دين الله، ولكن القائم الذي يطهر الله عزوجل به الأرض من أهل الكفر والجحود ويملأها عدلاً وقسطاً هو الذي تخفى على الناس ولادته، ويغيب عنهم شخصه، ويحرم عليهم تسميته، وهو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وكنيّه، وهو الذي تطوى له الأرض، ويذل له كل صعب، ويجتمع من أصحابه عدة أهل بدر ثلاثمائة وثلاثة عشر رجلاً من أقاصي الأرض، وذلك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مَا تَكُونُوا يَأْتِ بِكُمْ اللهُ جَمِيعاً إِنَّ اللهَ عَلَى كُلِّ شَيْءٍ قَدِيرٌ</w:t>
      </w:r>
      <w:r>
        <w:rPr>
          <w:rFonts w:eastAsia="IRNazanin" w:cs="IRNazanin"/>
          <w:color w:val="111111"/>
          <w:sz w:val="28"/>
          <w:szCs w:val="28"/>
          <w:rtl w:val="true"/>
          <w:lang w:bidi="fa-IR"/>
        </w:rPr>
        <w:t>)</w:t>
      </w:r>
      <w:r>
        <w:rPr>
          <w:rStyle w:val="FootnoteAnchor"/>
          <w:rtl w:val="true"/>
        </w:rPr>
        <w:footnoteReference w:id="569"/>
      </w:r>
      <w:r>
        <w:rPr>
          <w:rFonts w:ascii="Amiri" w:hAnsi="Amiri" w:eastAsia="Amiri" w:cs="Amiri"/>
          <w:color w:val="111111"/>
          <w:sz w:val="28"/>
          <w:sz w:val="28"/>
          <w:szCs w:val="28"/>
          <w:rtl w:val="true"/>
          <w:lang w:bidi="ar-SA"/>
        </w:rPr>
        <w:t>فإذا اجتمعت له هذه العدة من أهل الإخلاص أظهر الله أمره، فإذا كمل له العقد وهو عشرة آلاف رجل خرج بإذن الله عزوجل، فلا يزال يقتل أعداء الله حتى يرضى الله عزوجل، 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وكيف يعلم أن الله عزوجل قد 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في قلبه الرحمة، فإذا دخل المدينة أخرج اللات والعزى فأحرقهما</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لسيدي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جعلت فداك أحب أن أعلم من الإمام وحجة الله على عباده من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والحجة بعدي ابني سمي رسول اللهوكنيه الذي هو خاتم حجج الله وخلفائه،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يحل لأحد أن يسميه أو يكنيه باسمه وكنيته قبل خروجه صلوات الله عليه</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وغيرها من الروايات الدالة على حرمة التسمية مطلقاً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الروايات التي صرح فيها باسمه الشريف في كلمات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والرواة فهي أيضاً عدة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رواية محمّد بن إبراهيم الكوفي أن أبا محمّد الحسن بن علي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بعض من سماه شاة مذبوحة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عقيقة ابني محمد</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غانم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فسماه محمداً وعرضه على أصحابه يوم الثالث،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صاحبكم من بعدي، وخليفتي عليكم وهو القائم</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وفي هذه الرواية نقل الراوي أنّ الإمام سماه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علان الرازي عن بعض أصحابنا، أنّه لما حملت جارية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ستحملين ولداً واسمه محمد، وهو القائم من بعدي</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جابر بن عبد الله أنّه رأى قدام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لوحاً يكاد ضوؤه يغشي الأبصار، فيه اثنا عشر 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من هؤلاء؟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الأوصياء أولهم ابن عمي وأحد عشر من ولدي، آخرهم القائم،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فيه محمداً محمداً محمداً في ثلاثة مواضع وعلياً علياً علياً علياً في أربعة مواضع</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وحديث اللوح ورد بعدة طرق وبعضها صحيح وورد بعبارات مختلفة وبمضمون واحد، وإن هذا اللوح ضم أسم القائم وكنيته وخصوصياته، وكان جابر يحدث بما رآه في ذلك اللوح</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عهدت إلينا في الخلف من بعدك،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الإمام من بعدي موسى والخلف المأمول المنتظر محمّد بنالحسن بن علي بن محمّد بن علي بن موسى</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محمّد بن عثمان العمري عن أبيه عن أبي محمّد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الخبر الذي روي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لا تخلو من حجة الله على خلقه، وإن من مات ولم يعرف إمام زمانه مات ميتة جاهلية،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حق كما أن النهار حق،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فمن الحجة والإمام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محمّد هو الإمام والحجة بعدي، فمن مات ولم يعرفه مات ميتة جاهلية</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الجارود عن أبي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من ولدي 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صفة القائم وأحواله 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اسمان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يخفى واسم يعلن، فأما الذي يخفى فأحمد، وأما الذي يعلن فمحمّد الحديث</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فهذه الروايات تشتمل على التصريح باسم الحجة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على لسان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ألسنة الرواة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الدالة على المنع من جهة الخوف، ووقوع الطلب عليه لا مطلقاً فهي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عبد الله الصالحي،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أصحابنا بعد مضي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أسأل عن الاسم والمكان؟ فخرج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دللتم على الاسم أذاعوه وإن عرفوا المكان دلّوا عليه</w:t>
      </w:r>
      <w:r>
        <w:rPr>
          <w:rStyle w:val="FootnoteAnchor"/>
          <w:rtl w:val="true"/>
        </w:rPr>
        <w:footnoteReference w:id="57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جعفر الحميري، عن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رأيت الخلف؟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عليكم أن تسألوا عن ذلك، ولا أقول هذا من عندي فليس لي أن أحلّل ولا أحرّم، ولكن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الأمر عند السلطان أن أبا محمّد مضى ولم </w:t>
      </w:r>
    </w:p>
    <w:p>
      <w:pPr>
        <w:pStyle w:val="BookText"/>
        <w:rPr/>
      </w:pPr>
      <w:r>
        <w:rPr>
          <w:rFonts w:ascii="Amiri" w:hAnsi="Amiri" w:eastAsia="Amiri" w:cs="Amiri"/>
          <w:color w:val="111111"/>
          <w:sz w:val="28"/>
          <w:sz w:val="28"/>
          <w:szCs w:val="28"/>
          <w:rtl w:val="true"/>
          <w:lang w:bidi="ar-SA"/>
        </w:rPr>
        <w:t xml:space="preserve">يخلف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الاسم وقع الطلب، فاتقوا الله وامسكوا عن ذلك</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علي بن الحسين دخلت على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عرفت انقطاعيإلى أبيك وأنسي به ووحشتي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خالد تريد 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وصف لي أبوك صاحب هذا الأمر بصفة لو رأيته في بعض الطريق لأخذت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ماذا يا أبا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تسميه لي حتى أعرفه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والله يا أبا خالد عن سؤال مجهد، ولقد سألتني عن أمر ما لو كنت محدثاً به أحداً لحدثتك، ولقد سألتني عن أمر لو أن بني فاطمة عرفوه حرصوا على أن يقطعوه بضعة بضعة</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الحسين بن حمدان الحضيني في كتابه، عن علي بن الحسين بن فضال،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المهدي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ابن ابني الحسن، لا يرى جسمه ولا يسمى باسمه بعد غيبته أحد حتى يراه ويعلن باسمه فليسمه كل الخلق،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الغيبة، وصاحب الزمان والمهدي،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كله جائز مطلقاً وإنما نهيتكم عن التصريح باسمه الخفي عن أعدائنا فلا يعرفوه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ومحل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الخفي عن أعدائنا فلا يعرفوه، فالإخفاء إنما هو عن الأعداء، وأما غير الأعداء فلا نهي</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الروايات صريحة الدلالة على أن المنع عن ذكر اسمه الشريف إنما هو للخوف عليه من طلب الأعداء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الروايات الدالة على المنع عن التسمية في محافل الناس ومجامعهم فهما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الحسين الدقاق وإبراهيم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 بن عاصم الكوفي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توقيعات صاحب الزمان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سماني في محفل من الناس</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عثمان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توقيع بخط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سماني في مجمع من الناس فعليه لعنة الله</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هذه جملة من الروايات الواردة في التسمية، وهناك روايات أخرى غير ما ذكرنا لكنها لا تخرج عن واحدة من هذه الطوائف الأربع، ولعلنانشير إلى بعضها فيما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للقول بالمنع عن التسمية مطلقاً بأدلة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فسيأتي الكلام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فلا يمكن الاعتماد عليه لأنه لم يحرز أنّه إجماع تعبدي، وإن ورد في كلمات المحقق الداماد وغيره، ونسبوا القول بالمنع إلى قاطبة الأصحاب والمشايخ</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السيرة فكذلك لأنه لا يعلم دلالتها على الحرمة أو الكراهة، ولم يحرز أنها متصلة بزمن الأئمة فتبقى الروايات المانعة وهي معارضة بالطوائف الثلاث الأخرى فلابد من البحث والتأمل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الدالة على المنع مطلقاً هي الأرجح من بين الروايات لأن أكثرها صحيح السند وواضح الدلالة، وظاهر النهي هو التحريم فالذي يقوى في النفس هو القول بالنهي عن التسمية مطلقاً ولابد حينئذ من توجيه بقية الروايات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ورد فيها التصريح باسمه الشريف فهي على 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التصريح فيها على ألسنة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التصريح فيها على ألسنة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بالنسبة إلى النحو الأول فهو غير مشمول للحرمة والدليل الوارد في النهي عن التسمية خاص بما عدا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فتصريح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بالاسم الشريف للحجة لا مانع منه، وأكثر هذه الروايات من هذا القبيل كخبر اللوح الذي رآه جابر بن عبد الله، ورواية تسمية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وغيرها كرواية المفضل ورواية السؤال عن معرفة إمام الزمان، مضافاً إلى أن بعضها ضعيف السند، كرواية أبي الجارود فإن في سندها إسماعيل بن مالك وهو لم يعرف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والمتحصّل إن هذا القسم من هذه الطائفة خارج عن محل الكلام، ولا يصلح لأن يعارض به الروايات الناهية عن التسمية مطلقاً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النحو الثاني فمع الإغماض عن المناقشة في أسناد هذه الروايات إلاّ أنّه يمكن القول إن الراوي ينقل نفس الألفاظ الواردة عنالمعصوم فتكون من قبيل الحكاية للدعاء أو القراءة للمكتوب، وهذا غير مشمول للأدلة فلابد من ملاحظة الرواية، فإن كانت التسمية من الراوي حكاية عن الإمام ونقلاً لألفاظه فلا إشكال، والإشكال فيما إذا كانت التسمية من نفس الراوي وفعل الراوي ليس حجة علينا، نعم لو صدرت التسمية من الراوي في محضر الإمام </w:t>
      </w:r>
    </w:p>
    <w:p>
      <w:pPr>
        <w:pStyle w:val="BookText"/>
        <w:rPr/>
      </w:pPr>
      <w:r>
        <w:rPr>
          <w:rFonts w:ascii="Amiri" w:hAnsi="Amiri" w:eastAsia="Amiri" w:cs="Amiri"/>
          <w:color w:val="111111"/>
          <w:sz w:val="28"/>
          <w:sz w:val="28"/>
          <w:szCs w:val="28"/>
          <w:rtl w:val="true"/>
          <w:lang w:bidi="ar-SA"/>
        </w:rPr>
        <w:t>ومجلسه وسكت الإمام كان ذلك تقريراً من المعصوم، ولم نعثر على شيء من ذلك في الروايات، هذا بالنسبة إلى الطائفة الثانية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للطائفة الثالثة وهي الواردة في النهي عن التسمية لجهة الخوف وطلب الأعداء فقد ذكرنا أربع روايات وهي محل نقاش إما من جهة الدلالة، وإما من جهة السند، وإما من كلتا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الرواية الأولى أبو عبد الله الصالحي وورد في بعض الروايات الأخرى أبو عبد الله بن صالح فلعلهما واحد، وعلى كل تقدير فهو مجهول فالرواية لا يعتمد عليها من جهة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جهة الدلالة ففيها غموض وذلك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دللتم على الاسم أذاعوه وإن عرفوا على المكان دلوا عليه وإن كان وارداً في مقام التعليل من جهة الخوف، ولكن إذا كان الإمام غائباً ولا يرى جسمه ولا شخصه فأي خوف عليه من معرفة الاسم أو المكان، فالحق أن دلالة الرواية غامضة وعليه فلا يمكن الاعتماد عليها سنداً ودلالة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الرواية الثانية فهي من حيث السند معتبرة إلاّ أن الكلام من حيث الدلالة، فقد يستدل بها على أن الحرمة مخصوصة بظرف معين، وذلك بجملتين من الرواية الأولى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الأمر عند السلطان أن أبا محمّد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فالحرمة خاصة بزمان السلطان،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الاسم وقع الطلب 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فالتسمية توجب أن يقع عليه الطلب، ولذلك تحرم تسميته وهذه الجملة وإن كانت متفرعة عن الأولى 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السلطان الأعم من سلطان زمانه أو غيره، فيمكن الاستدلال بها على أن الحرمة خاصة بزمان الغيبة الصغرى أو مطلقاً، وعلى كل تقدير فالحرمة خاصة لأجل الخوف عليه من طلب الأعداء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وإن كانت معتبرة السند إلاّ أنها من حيث الدلالة </w:t>
      </w:r>
    </w:p>
    <w:p>
      <w:pPr>
        <w:pStyle w:val="BookText"/>
        <w:rPr/>
      </w:pPr>
      <w:r>
        <w:rPr>
          <w:rFonts w:ascii="IRNazanin" w:hAnsi="IRNazanin" w:eastAsia="IRNazanin"/>
          <w:color w:val="111111"/>
          <w:sz w:val="28"/>
          <w:sz w:val="28"/>
          <w:szCs w:val="28"/>
          <w:rtl w:val="true"/>
          <w:lang w:bidi="fa-IR"/>
        </w:rPr>
        <w:t xml:space="preserve">غير تامة، وذلك لأنّ التعليل الوارد في الرواية لم يعلم أنّه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العمري، فإنه هو الذي علل الكلام بذلك، نعم الحكم بالحرمة من الإمام إلاّ أن التعليل من غيره، ومع الشك في ذلك لا يمكن الاستدلال بهاعلى المدعى، مضافاً إلى أنّه يرد على الرواية على أحد التقديرين ما يرد على الرواية الأولى، فتكون دلالتها غامضة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لا يمكن الاعتماد عليها لتقييد الروايات الناهية عن التسمية مطلقاً حتى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الثالثة وهي رواية الكابلي فهي معتبرة السند ولا إشكال فيها من هذه الناحية فإن عبد الواحد بن عبد الله</w:t>
      </w:r>
      <w:r>
        <w:rPr>
          <w:rStyle w:val="FootnoteAnchor"/>
          <w:rtl w:val="true"/>
        </w:rPr>
        <w:footnoteReference w:id="585"/>
      </w:r>
      <w:r>
        <w:rPr>
          <w:rFonts w:ascii="Amiri" w:hAnsi="Amiri" w:eastAsia="Amiri" w:cs="Amiri"/>
          <w:color w:val="111111"/>
          <w:sz w:val="28"/>
          <w:sz w:val="28"/>
          <w:szCs w:val="28"/>
          <w:rtl w:val="true"/>
          <w:lang w:bidi="ar-SA"/>
        </w:rPr>
        <w:t xml:space="preserve">ثقة ومحمّد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سند البحار نقلاً عن 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أيضاً، وذلك لأنّ محمّد بن جعفر الذي يروي عن ابن أبي الخطاب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ثقة وهو الرزاز</w:t>
      </w:r>
      <w:r>
        <w:rPr>
          <w:rStyle w:val="FootnoteAnchor"/>
          <w:rtl w:val="true"/>
        </w:rPr>
        <w:footnoteReference w:id="586"/>
      </w:r>
      <w:r>
        <w:rPr>
          <w:rFonts w:ascii="Amiri" w:hAnsi="Amiri" w:eastAsia="Amiri" w:cs="Amiri"/>
          <w:color w:val="111111"/>
          <w:sz w:val="28"/>
          <w:sz w:val="28"/>
          <w:szCs w:val="28"/>
          <w:rtl w:val="true"/>
          <w:lang w:bidi="ar-SA"/>
        </w:rPr>
        <w:t>، والآخر ضعيف وهو ابن بطة</w:t>
      </w:r>
      <w:r>
        <w:rPr>
          <w:rStyle w:val="FootnoteAnchor"/>
          <w:rtl w:val="true"/>
        </w:rPr>
        <w:footnoteReference w:id="587"/>
      </w:r>
      <w:r>
        <w:rPr>
          <w:rFonts w:ascii="Amiri" w:hAnsi="Amiri" w:eastAsia="Amiri" w:cs="Amiri"/>
          <w:color w:val="111111"/>
          <w:sz w:val="28"/>
          <w:sz w:val="28"/>
          <w:szCs w:val="28"/>
          <w:rtl w:val="true"/>
          <w:lang w:bidi="ar-SA"/>
        </w:rPr>
        <w:t>، والوارد في الرواية هو الأول دون الثاني، فإن النعماني في غيبته</w:t>
      </w:r>
      <w:r>
        <w:rPr>
          <w:rStyle w:val="FootnoteAnchor"/>
          <w:rtl w:val="true"/>
        </w:rPr>
        <w:footnoteReference w:id="588"/>
      </w:r>
      <w:r>
        <w:rPr>
          <w:rFonts w:ascii="Amiri" w:hAnsi="Amiri" w:eastAsia="Amiri" w:cs="Amiri"/>
          <w:color w:val="111111"/>
          <w:sz w:val="28"/>
          <w:sz w:val="28"/>
          <w:szCs w:val="28"/>
          <w:rtl w:val="true"/>
          <w:lang w:bidi="ar-SA"/>
        </w:rPr>
        <w:t>صرح بأنه محمّد بن جعفر القرشي وهو أبو الحسين الكوفي الرزاز، ولولا ذلك لتوقفنا في سند الرواية، ثمّ إنّ ابن أبي الخطاب</w:t>
      </w:r>
      <w:r>
        <w:rPr>
          <w:rStyle w:val="FootnoteAnchor"/>
          <w:rtl w:val="true"/>
        </w:rPr>
        <w:footnoteReference w:id="589"/>
      </w:r>
      <w:r>
        <w:rPr>
          <w:rFonts w:ascii="Amiri" w:hAnsi="Amiri" w:eastAsia="Amiri" w:cs="Amiri"/>
          <w:color w:val="111111"/>
          <w:sz w:val="28"/>
          <w:sz w:val="28"/>
          <w:szCs w:val="28"/>
          <w:rtl w:val="true"/>
          <w:lang w:bidi="ar-SA"/>
        </w:rPr>
        <w:t>ومحمّد بن يحيى الخثعمي</w:t>
      </w:r>
      <w:r>
        <w:rPr>
          <w:rStyle w:val="FootnoteAnchor"/>
          <w:rtl w:val="true"/>
        </w:rPr>
        <w:footnoteReference w:id="590"/>
      </w:r>
      <w:r>
        <w:rPr>
          <w:rFonts w:ascii="Amiri" w:hAnsi="Amiri" w:eastAsia="Amiri" w:cs="Amiri"/>
          <w:color w:val="111111"/>
          <w:sz w:val="28"/>
          <w:sz w:val="28"/>
          <w:szCs w:val="28"/>
          <w:rtl w:val="true"/>
          <w:lang w:bidi="ar-SA"/>
        </w:rPr>
        <w:t>وضريس</w:t>
      </w:r>
      <w:r>
        <w:rPr>
          <w:rStyle w:val="FootnoteAnchor"/>
          <w:rtl w:val="true"/>
        </w:rPr>
        <w:footnoteReference w:id="591"/>
      </w:r>
      <w:r>
        <w:rPr>
          <w:rFonts w:ascii="Amiri" w:hAnsi="Amiri" w:eastAsia="Amiri" w:cs="Amiri"/>
          <w:color w:val="111111"/>
          <w:sz w:val="28"/>
          <w:sz w:val="28"/>
          <w:szCs w:val="28"/>
          <w:rtl w:val="true"/>
          <w:lang w:bidi="ar-SA"/>
        </w:rPr>
        <w:t>وأبا خالد الكابلي</w:t>
      </w:r>
      <w:r>
        <w:rPr>
          <w:rStyle w:val="FootnoteAnchor"/>
          <w:rtl w:val="true"/>
        </w:rPr>
        <w:footnoteReference w:id="592"/>
      </w:r>
      <w:r>
        <w:rPr>
          <w:rFonts w:ascii="Amiri" w:hAnsi="Amiri" w:eastAsia="Amiri" w:cs="Amiri"/>
          <w:color w:val="111111"/>
          <w:sz w:val="28"/>
          <w:sz w:val="28"/>
          <w:szCs w:val="28"/>
          <w:rtl w:val="true"/>
          <w:lang w:bidi="ar-SA"/>
        </w:rPr>
        <w:t>كلهم ثقات ومحمّد بن سنان وإن كان فيه نقاش إلاّ أننا استظهرنا وثاقته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سند الرواية معتبر كما أنها وردت في غيبة الطوسي بسند </w:t>
      </w:r>
    </w:p>
    <w:p>
      <w:pPr>
        <w:pStyle w:val="BookText"/>
        <w:rPr/>
      </w:pPr>
      <w:r>
        <w:rPr>
          <w:rFonts w:ascii="Amiri" w:hAnsi="Amiri" w:eastAsia="Amiri" w:cs="Amiri"/>
          <w:color w:val="111111"/>
          <w:sz w:val="28"/>
          <w:sz w:val="28"/>
          <w:szCs w:val="28"/>
          <w:rtl w:val="true"/>
          <w:lang w:bidi="ar-SA"/>
        </w:rPr>
        <w:t>صحيح</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وأما من جهة الدلالة فهي تامة أيضاً، فإن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على الاسم ولم يذكره لأبي خالد، ومنه يعلم أنّ التحريم لا يختص بزمان ولادته بل قبل ولادته أيضاً، وإذا كان يخاف على الإمام من بني فاطمة وهم أقرب الناس إلى الأئمة فكيف بغيرهم؟</w:t>
      </w:r>
    </w:p>
    <w:p>
      <w:pPr>
        <w:pStyle w:val="BookText"/>
        <w:rPr/>
      </w:pPr>
      <w:r>
        <w:rPr>
          <w:rFonts w:ascii="Amiri" w:hAnsi="Amiri" w:eastAsia="Amiri" w:cs="Amiri"/>
          <w:color w:val="111111"/>
          <w:sz w:val="28"/>
          <w:sz w:val="28"/>
          <w:szCs w:val="28"/>
          <w:rtl w:val="true"/>
          <w:lang w:bidi="ar-SA"/>
        </w:rPr>
        <w:t>ولكن هذا التعليل لا يستفاد منه اختصاص الحرمة بزمان دون زمان بل إلى زمان الظهور، فيكون وجهاً لحرمة التسمية مطلقاً ومؤيداً للطائفة الأولى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الرواية الرابعة وهي رواية المستدرك فسندها صحيح،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 عن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الأعداء لا تقية عنهم، وقد استدل بعضهم بهذه الرواية على اختصاص النهي عن التسمية بالخوف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وإن كانت صحيحة السند إلاّ أنّ الكلام في صاحب الكتاب وهو الحسين بن حمدان الحضيني، فقد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المذهب</w:t>
      </w:r>
      <w:r>
        <w:rPr>
          <w:rStyle w:val="FootnoteAnchor"/>
          <w:rtl w:val="true"/>
        </w:rPr>
        <w:footnoteReference w:id="594"/>
      </w:r>
      <w:r>
        <w:rPr>
          <w:rFonts w:ascii="Amiri" w:hAnsi="Amiri" w:eastAsia="Amiri" w:cs="Amiri"/>
          <w:color w:val="111111"/>
          <w:sz w:val="28"/>
          <w:sz w:val="28"/>
          <w:szCs w:val="28"/>
          <w:rtl w:val="true"/>
          <w:lang w:bidi="ar-SA"/>
        </w:rPr>
        <w:t xml:space="preserve">وقال عنه ابن الغضائري كذّاب فاسد المذهب </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ولا أقل من أنّه لم يرد فيه توثيق، فلا يمكن الاعتماد على هذه الرواية، هذا ما يتعلق بالطائفة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الرابعة التي يستفاد منها أنّ النهي عن التسمية في المجامع والمحافل فقد قلنا إنّها روايتان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الرواية الأولى فهي من حيث السند ضعيفة، فإنّ فيه آدم بن محمّد البلخي وهو لم يوثق وإن كان بقية أفراد السند لا بأس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جهة الدلالة فقد استدل بها على أن المراد من الناس في الرواية هم العامة كما يطلق ذلك عليهم كثيراً، وأن النهي مختص بمحافلهم وهو مظنة التقية والمفسدة، وذهب إلى ذلك صاحب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الرواية هو شدة الحرمة وتأكدها في المحافل لا أنّ النهي مختص بها، وبناء على ذلك فالرواية سنداً ودلالة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 فهي من حيث السند معتبرة فإن محمّد بن إبراهيم بن إسحاق من مشايخ الصدوق وقد ترضى عنه، وبناء على أن الترضي علامة على الوثاقة كما حققناه في محله فيكون محمّد بن إبراهيم ثقة، كما أن محمّد بن همام، ومحمّد بن عثمان ثقتان فلا إشكال في اعتبار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هم العامة كما قيل في الرواية السابقة، وبناء عليه فحرمة التسمية مختصة بالتقية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يحرز أن الناس هم خصوص العامة وقد وردت روايات أخرى يستفاد منها أن الناس هم مطلق الناس، كما وردت روايات أخرى يستفاد منها أن الناس هم العامة، والظاهر من الرواية هو مطلق الناس وليس فيها قرينة تعينهم بالعامة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التسمية في مجمع الناس لا يدل على أنّه في غيرالمجمع غير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تشتمل الرواية على ما يصرف ظاهرها إلى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فلا يمكن رفع اليد عن الإطلاقات الكثيرة بهذه الرواية، فإنّ التمسك بها لرفع اليد عن الروايات الصحيحة سنداً والتامة دلالة يلزم منه تخصيص الأكثر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لم نقف على رواية معتبرة السند والدلالة تنهض </w:t>
      </w:r>
      <w:bookmarkStart w:id="201" w:name="pg16387_188286"/>
    </w:p>
    <w:p>
      <w:pPr>
        <w:pStyle w:val="BookText"/>
        <w:rPr/>
      </w:pPr>
      <w:bookmarkEnd w:id="201"/>
      <w:r>
        <w:rPr>
          <w:rFonts w:ascii="Amiri" w:hAnsi="Amiri" w:eastAsia="Amiri" w:cs="Amiri"/>
          <w:color w:val="111111"/>
          <w:sz w:val="28"/>
          <w:sz w:val="28"/>
          <w:szCs w:val="28"/>
          <w:rtl w:val="true"/>
          <w:lang w:bidi="ar-SA"/>
        </w:rPr>
        <w:t>لمعارضة الروايات المتعددة الصحيحة في سندها والصريحة في دلالتها على أن الحرمة لا تختص بزمان دون زمان، فالتقييد بزمان الغيبة أو بالخوف أو بمحافل الناس ضعيف جداً، والقول بالحرمة مطلقاً هو الأقوى</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6877785_1280447820"/>
      <w:bookmarkStart w:id="203" w:name="_Toc70"/>
      <w:bookmarkEnd w:id="202"/>
      <w:r>
        <w:rPr>
          <w:rtl w:val="true"/>
        </w:rPr>
        <w:t>فروع</w:t>
      </w:r>
      <w:r>
        <w:rPr>
          <w:rtl w:val="true"/>
        </w:rPr>
        <w:t>:</w:t>
      </w:r>
      <w:bookmarkEnd w:id="20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الحرمة بذكر الاسم الشريف للغير؟ أو أنها مطلقة فتشمل الذكر للنفس أيضاً؟</w:t>
      </w:r>
    </w:p>
    <w:p>
      <w:pPr>
        <w:pStyle w:val="BookText"/>
        <w:rPr/>
      </w:pPr>
      <w:r>
        <w:rPr>
          <w:rFonts w:ascii="Amiri" w:hAnsi="Amiri" w:eastAsia="Amiri" w:cs="Amiri"/>
          <w:color w:val="111111"/>
          <w:sz w:val="28"/>
          <w:sz w:val="28"/>
          <w:szCs w:val="28"/>
          <w:rtl w:val="true"/>
          <w:lang w:bidi="ar-SA"/>
        </w:rPr>
        <w:t>ظاهر الروايات هو الأول وإن كان الذكر في نفسه شاملاً لكلا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الذكر في روايتين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داود بن القاسم الجعفري ففيها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يحل لكم ذكره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 العظيم الحسني 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يحل ذكره باسمه حتى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والروايتان مطلقتان إلاّ أن انصراف التحريم عرفاً هو الذكر بالنسبة إلى الغير، ولا ينافيه كون الذكر شاملاً للذكر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الروايات المانعة عن التسمية في محافل الناس ومجامعهم، أو عند الخوف من الطلب، ومع الشك في الشمول فالقدر المتيقن هو الذكر للغير، وما عداه يكون مجرى أصالة البراءة للشك في التكليف حينئذ، فالظاهر هو الجواز والاحتياط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تشمل الحرمة كتابة الاسم الشريف أو أنها تختص بالتلفظ؟</w:t>
      </w:r>
    </w:p>
    <w:p>
      <w:pPr>
        <w:pStyle w:val="BookText"/>
        <w:rPr/>
      </w:pPr>
      <w:r>
        <w:rPr>
          <w:rFonts w:ascii="Amiri" w:hAnsi="Amiri" w:eastAsia="Amiri" w:cs="Amiri"/>
          <w:color w:val="111111"/>
          <w:sz w:val="28"/>
          <w:sz w:val="28"/>
          <w:szCs w:val="28"/>
          <w:rtl w:val="true"/>
          <w:lang w:bidi="ar-SA"/>
        </w:rPr>
        <w:t>يمكن القول بأن الكتابة خارجة وهي غير مشمولة للحرمة، وذلك لأن الكتابة لا يصدق عليها أنها تسمية، مضافاً إلى ما تقدم من التصريح في النهي عن الذكر، والكتابة ليست من الذكر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المناط واحد فكما أن الذكر محرم فكذلك الكتابة، مدفوع </w:t>
      </w:r>
    </w:p>
    <w:p>
      <w:pPr>
        <w:pStyle w:val="BookText"/>
        <w:rPr/>
      </w:pPr>
      <w:r>
        <w:rPr>
          <w:rFonts w:ascii="Amiri" w:hAnsi="Amiri" w:eastAsia="Amiri" w:cs="Amiri"/>
          <w:color w:val="111111"/>
          <w:sz w:val="28"/>
          <w:sz w:val="28"/>
          <w:szCs w:val="28"/>
          <w:rtl w:val="true"/>
          <w:lang w:bidi="ar-SA"/>
        </w:rPr>
        <w:t>بأنّ المناط هنا غير معتبر، فإن الناس وإن كانوا يعرفون الاسم إلاّأن الذكر في نفسه محرم، فلم يحرز أن العلم هو المناط في الحرمة، فالقول بالجواز هو الأقوى والاحتياط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الحرمة بناء على القول بها بالاسم الشريف؟ أم أنها تعم الكنية أيضاً؟</w:t>
      </w:r>
    </w:p>
    <w:p>
      <w:pPr>
        <w:pStyle w:val="BookText"/>
        <w:rPr/>
      </w:pPr>
      <w:r>
        <w:rPr>
          <w:rFonts w:ascii="Amiri" w:hAnsi="Amiri" w:eastAsia="Amiri" w:cs="Amiri"/>
          <w:color w:val="111111"/>
          <w:sz w:val="28"/>
          <w:sz w:val="28"/>
          <w:szCs w:val="28"/>
          <w:rtl w:val="true"/>
          <w:lang w:bidi="ar-SA"/>
        </w:rPr>
        <w:t>والوارد من الروايات في هذا المعنى ثلاث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هاشم داود بن القاسم الجعفري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 على رجل من ولد الحسن لا يسمى ولا يكنى حتى يظهر أمره، فيملأها عدلاً كما ملئت جوراً إنه القائم بأمر الحسن بن علي </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وهذه الرواية وإن كانت صحيحة السند إلاّ أن دلالتها على الحرمة ليست واضحة، بخلاف الاسم فإنّ الروايات الناهية عن التسمية صريحة الدلالة، كما أنها صحيحة الأسناد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صاحب المستدرك نقلاً عن كتاب الغيبة للفضل بن شاذان، عن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لسيدي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أعلم من الإمام وحجة الله على عباده من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والحجة بعدي ابني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وكنيه الذي هو خاتم حجج الله وخلفائه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يحل لأحد أن يسميه أو يكنيه باسمه وكنيته قبل خروجه صلوات الله عليه</w:t>
      </w:r>
      <w:r>
        <w:rPr>
          <w:rStyle w:val="FootnoteAnchor"/>
          <w:rtl w:val="true"/>
        </w:rPr>
        <w:footnoteReference w:id="59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الفضل بن شاذان أيضاً في كتاب الغيبة عن إبراهيم بن محمّد بن فارس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همّ الوالي عمرو بن عوف بقتلي، وهو رجل </w:t>
      </w:r>
    </w:p>
    <w:p>
      <w:pPr>
        <w:pStyle w:val="BookText"/>
        <w:rPr/>
      </w:pPr>
      <w:r>
        <w:rPr>
          <w:rFonts w:ascii="IRNazanin" w:hAnsi="IRNazanin" w:eastAsia="IRNazanin"/>
          <w:color w:val="111111"/>
          <w:sz w:val="28"/>
          <w:sz w:val="28"/>
          <w:szCs w:val="28"/>
          <w:rtl w:val="true"/>
          <w:lang w:bidi="fa-IR"/>
        </w:rPr>
        <w:t xml:space="preserve">شديد وكان مولعاً بقتل الشيعة، فأخبرت بذلك وغلب عليّ خوف عظيم، فودّعت أهلي وأحبائي وتوجهت إلى دار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لأودعه، وكنت أردت الهرب، فلما دخلت عليه رأيت غلاماً جالساً في جنبه، وكان وجهه مضيئاً كالقمر ليلة البدر، فتحيرت من نوره وضيائه، وكاد أن أنسى ما كنت فيه من الخوف والهرب،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لا تهرب فإن الله تبارك وتعالى سيكفيك شره فازداد تحيري، فقلت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جعلني الله فداك من هو وقد أخبرني بما كان في ضميري؟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ابني وخليفتي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يغيب غيبة طويلة، ويظهر بعد امتلاء الأرض جوراًوظلماً، فيملأها قسطاً وعدلاً فسألته عن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وكنيّه، ولا يحلّ لأحد أن يسميه أن يكنيه بكنيته إلى أن يظهر الله دولته وسلطنته، فاكتم يا إبراهيم ما رأيت وسمعت منّا اليوم إلاّ عن أهله، فصليت عليهما وآبائهما وخرجت مستظهراً بفضل الله تعالى واثقاً بما سمعت من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والروايتان وإن كانتا معتبرتين سنداً وواضحتين دلالة وهما أصرح في الحرمة من الرواية الأولى، واحتمال أن الحرمة فيهما إنما هي للجمع بين الاسم والكنية مدفوع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بأو دون الواو، إلاّ أن الكلام في الطريق إلى كتاب الغيبة، فبناء على ثبوت الطريق فالحكم بالحرمة ثابت، وأمّا بناء على عدم ثبوت الطريق وانحصاراستفادة الحكم من الرواية الأولى فلا، لعدم وضوح الدلالة فيها على الحرمة كما ذكرنا، ومع الشك فأصالة البراءة جارية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 الاسم والكنية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المشهور الحكم بالكراهة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يكنيه أبا القاسم إذا كان اسمه محمداً</w:t>
      </w:r>
      <w:r>
        <w:rPr>
          <w:rFonts w:eastAsia="Amiri" w:cs="Amiri" w:ascii="Amiri" w:hAnsi="Amiri"/>
          <w:color w:val="111111"/>
          <w:sz w:val="28"/>
          <w:szCs w:val="28"/>
          <w:rtl w:val="true"/>
          <w:lang w:bidi="ar-SA"/>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ولم </w:t>
      </w:r>
    </w:p>
    <w:p>
      <w:pPr>
        <w:pStyle w:val="BookText"/>
        <w:rPr/>
      </w:pPr>
      <w:r>
        <w:rPr>
          <w:rFonts w:ascii="Amiri" w:hAnsi="Amiri" w:eastAsia="Amiri" w:cs="Amiri"/>
          <w:color w:val="111111"/>
          <w:sz w:val="28"/>
          <w:sz w:val="28"/>
          <w:szCs w:val="28"/>
          <w:rtl w:val="true"/>
          <w:lang w:bidi="ar-SA"/>
        </w:rPr>
        <w:t>ينقل في المسألة خلافاً وقال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اسمه محمداً فلا تكنه بأبي القاسم</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وقال في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يكنّيه بعيسى ولا بالحكم ولا بالحارث لا بأبي القاسم، إذا كان الاسم محمداً</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ولم يعبر الشيخ الصدوق بالكراهة أو الحرمة بل عبر بالنهي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السيد الأستاذ في 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غسل المولود والأذان في أذنه اليمنى والإقامة في اليسرى وتحنيكه بتربة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وتسميته باسم أحد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يكنى محمّد بأبي القاسم</w:t>
      </w:r>
      <w:r>
        <w:rPr>
          <w:rFonts w:eastAsia="IRNazanin" w:cs="IRNazanin"/>
          <w:color w:val="111111"/>
          <w:sz w:val="28"/>
          <w:szCs w:val="28"/>
          <w:rtl w:val="true"/>
          <w:lang w:bidi="fa-IR"/>
        </w:rPr>
        <w:t xml:space="preserve">) </w:t>
      </w:r>
      <w:r>
        <w:rPr>
          <w:rStyle w:val="FootnoteAnchor"/>
          <w:rtl w:val="true"/>
        </w:rPr>
        <w:footnoteReference w:id="602"/>
      </w:r>
      <w:r>
        <w:rPr>
          <w:rFonts w:ascii="Amiri" w:hAnsi="Amiri" w:eastAsia="Amiri" w:cs="Amiri"/>
          <w:color w:val="111111"/>
          <w:sz w:val="28"/>
          <w:sz w:val="28"/>
          <w:szCs w:val="28"/>
          <w:rtl w:val="true"/>
          <w:lang w:bidi="ar-SA"/>
        </w:rPr>
        <w:t>، وهكذا في كلمات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الروايات النهي عن الجمع بين الاسم والكنية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أربع كنىعن أبي عيسى وعن أبي الحكم وعن أبي مالك وعن أبي القاسم إذا كان الاسم محمداً</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وهذه الرواية أوردها الكليني في الكافي </w:t>
      </w:r>
      <w:r>
        <w:rPr>
          <w:rStyle w:val="FootnoteAnchor"/>
          <w:rtl w:val="true"/>
        </w:rPr>
        <w:footnoteReference w:id="604"/>
      </w:r>
      <w:r>
        <w:rPr>
          <w:rFonts w:ascii="Amiri" w:hAnsi="Amiri" w:eastAsia="Amiri" w:cs="Amiri"/>
          <w:color w:val="111111"/>
          <w:sz w:val="28"/>
          <w:sz w:val="28"/>
          <w:szCs w:val="28"/>
          <w:rtl w:val="true"/>
          <w:lang w:bidi="ar-SA"/>
        </w:rPr>
        <w:t>والصدوق في الخصال</w:t>
      </w:r>
      <w:r>
        <w:rPr>
          <w:rStyle w:val="FootnoteAnchor"/>
          <w:rtl w:val="true"/>
        </w:rPr>
        <w:footnoteReference w:id="605"/>
      </w:r>
      <w:r>
        <w:rPr>
          <w:rFonts w:ascii="Amiri" w:hAnsi="Amiri" w:eastAsia="Amiri" w:cs="Amiri"/>
          <w:color w:val="111111"/>
          <w:sz w:val="28"/>
          <w:sz w:val="28"/>
          <w:szCs w:val="28"/>
          <w:rtl w:val="true"/>
          <w:lang w:bidi="ar-SA"/>
        </w:rPr>
        <w:t>والشيخ في التهذيب</w:t>
      </w:r>
      <w:r>
        <w:rPr>
          <w:rStyle w:val="FootnoteAnchor"/>
          <w:rtl w:val="true"/>
        </w:rPr>
        <w:footnoteReference w:id="60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المستدرك نقلاً عن دعائم الإسلام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نهى عن أربع كنى عن أبي عيسى، وأبي الحكم، وعن أبي مالك، وعن أبي القاسم إذا كان الاسم محمداً، نهى عن ذلك سائر الناس، ورخص فيه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المهدي من ولدي يضاهي اسمه اسمي وكنيته كنيتي</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تكنِّ بأبي عيسى ولا بأبي الحكم، ولا بأبي الحارث، ولا بأبي القاسم إذا كان الاسم محمداً</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الجعفريات بإسناده عن جعفر بن محمد، عن أبيه، عن جده علي بن الحسين عن أبيه، عن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أحل لأحد أن يتسمى باسمي ولا يتكنى بكنيتي، إلاّ مولود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ابنتي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نحلته اسمي وكنيتي وهو محمّد بن علي</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الرواية الأخيرة هو الحرمة في الجمع بين الاسم والكنية إلاّ لمن استثني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الكلام في سند الكتاب، فإن كان معتبراً أمكن القول بالاحتياط، وقد ذكرنا في بحوثنا الرجالية أن كتاب الجعفريات لم يثبت منه عندنا إلاّ بمقدار الثلث، وما عداه فهو محلّ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كتاب فقه الرضا فهو أيضاً محلّ كلام وبحث، وفصلنا القول فيه في محله، وهكذا الكلام بالنسبة إلى كتاب دعائم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فتبقى معتبرة السكوني وهي غير تامة الدلالة، لأنّ النهي مطلق يشمل الكراهة والحرمة، مضافاً إلى أن التكنية بأبي عيسى وأبي الحكم وأبي مالك مكروهة، ولم يقل أحد بحرمتها فهذه كذلك، فإنها جميعاً على نسقواحد، نعم ورد النهي عن التسمية بحكم وحكيم وخالد ومالك وحارث وحرب ومرة وضرار وظالم وضريس</w:t>
      </w:r>
      <w:r>
        <w:rPr>
          <w:rStyle w:val="FootnoteAnchor"/>
          <w:rtl w:val="true"/>
        </w:rPr>
        <w:footnoteReference w:id="610"/>
      </w:r>
      <w:r>
        <w:rPr>
          <w:rFonts w:ascii="Amiri" w:hAnsi="Amiri" w:eastAsia="Amiri" w:cs="Amiri"/>
          <w:color w:val="111111"/>
          <w:sz w:val="28"/>
          <w:sz w:val="28"/>
          <w:szCs w:val="28"/>
          <w:rtl w:val="true"/>
          <w:lang w:bidi="ar-SA"/>
        </w:rPr>
        <w:t xml:space="preserve">وهو أيضاً محمول على الكراهة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التسمية بمحمّد فهي من المستحبات كما يستفاد ذلك من جملة من الروايات ولا بأس بإيراد بعضها تيمناً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عاصم الكوزي عن أبي عبد الله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له أربعة أولاد ولم يسم أحدهم باسمي فقد جفاني</w:t>
      </w:r>
      <w:r>
        <w:rPr>
          <w:rStyle w:val="FootnoteAnchor"/>
          <w:rtl w:val="true"/>
        </w:rPr>
        <w:footnoteReference w:id="611"/>
      </w:r>
      <w:r>
        <w:rPr>
          <w:rFonts w:ascii="Amiri" w:hAnsi="Amiri" w:eastAsia="Amiri" w:cs="Amiri"/>
          <w:color w:val="111111"/>
          <w:sz w:val="28"/>
          <w:sz w:val="28"/>
          <w:szCs w:val="28"/>
          <w:rtl w:val="true"/>
          <w:lang w:bidi="ar-SA"/>
        </w:rPr>
        <w:t>، وفي رواية أخرى ثلاث بنين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حديث أنّه قال لابن صغير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تكنى؟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احتظرت من الشيطان احتظاراً شديداً، إنّ الشيطان إذا سمع منادياً ينادي يا محمّد أو يا علي ذاب كما يذوب الرصاص، حتى إذا سمع منادياً ينادي باسم عدو من أعدائنا اهتز واختال</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هارون مولى آل جعدة،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جليساً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ففقدني أياماً، ثمّ إني جئت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أرك منذ أيام يا أبا هارون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لي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 فما سميته؟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محمداً، فأقبل بخده نحو الأرض وهو يقول محمّد محمّد محمد، حتى كاد يلصق خده بالأرض،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وبولدي وبأهلي وبأبوي وبأهل الأرض كلهم جميعاً الفداء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تسبه ولا تضربه ولا تسيء إليه، واعلم أنّه ليس في الأرض دار فيها اسم محمّد إلاّ وهي تقدّس كل يوم الحديث</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عدة الداعي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الذي فيه محمّد يصبح أهله بخير ويمسون بخير</w:t>
      </w:r>
      <w:r>
        <w:rPr>
          <w:rStyle w:val="FootnoteAnchor"/>
          <w:rtl w:val="true"/>
        </w:rPr>
        <w:footnoteReference w:id="61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صحيفة الرضا عن آبائه،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سميتم </w:t>
      </w:r>
    </w:p>
    <w:p>
      <w:pPr>
        <w:pStyle w:val="BookText"/>
        <w:rPr/>
      </w:pPr>
      <w:r>
        <w:rPr>
          <w:rFonts w:ascii="Amiri" w:hAnsi="Amiri" w:eastAsia="Amiri" w:cs="Amiri"/>
          <w:color w:val="111111"/>
          <w:sz w:val="28"/>
          <w:sz w:val="28"/>
          <w:szCs w:val="28"/>
          <w:rtl w:val="true"/>
          <w:lang w:bidi="ar-SA"/>
        </w:rPr>
        <w:t>الولد محمداً فأكرموه وأوسعوا له في المجلس ولا تقبّحوا لهوجهاً</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وغيرها من الروايات الكثيرة التي يستفاد منها الترغيب في التسمية بمحمد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الجمع بين الاسم والكنية محمول على الكراهة، ولم نجد قولاً بالحرمة، وقد تقدم أنّ صاحب الجواهر ذكر قولاً واحداً وهو الكراهة ومع الشك فالقدر المتيقّن هو الكراهة، وما زاد فهو مجرى أصالة البراءة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فيما تقدم في الطائفة الثانية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الأمر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اسمين أحدهما معلن والآخر خفي وقد عثرنا على رواية أخرى جاءت في مختصر بصائر الدرجات، وهي أخبرنا جماعة عن أبي عبد الله الحسين بن علي بن سفيان البزوفري، عن علي بن سنان الموصلي العدل، عن علي بن الحسين، عن أحمد بن محمّد بن الخليل، عن جعفر بن محمّد المصري، عن عمه الحسن بن علي، عن أبيه، عن أبي عبد الله جعفر بن محمد، عن الباقرعن أبيه ذي الثفنات سيد العابدين، عن أبيه الحسين الزكي الشهيد، عن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الليلة التي كانت فيها وفاته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احضر صحيفة ودواة فأملى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وصيته حتى انتهى إلى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إنه سيكون بعدي اثنا عشر إماماً ، ومن بعدهم اثنا عشر مهدياً، فأنت يا علي أول الاثني عشر الإمام، سمّاك الله في سمائه علياً المرتضى وأمير المؤمنين والصديق الأكبر والفاروق الأعظم والمأمون والمهدي، فلا تصلح هذه الأسماء لأحد غيرك، يا علي أنت وصيي على أهل بيتي حيهم وميتهم، وعلى نسائي فمن ثبّتها لقيتني غداً، ومن طلقتها فأنا بريء منها لم ترني ولم أرها في عرصات القيامة، وأنت خليفتي على </w:t>
      </w:r>
    </w:p>
    <w:p>
      <w:pPr>
        <w:pStyle w:val="BookText"/>
        <w:rPr/>
      </w:pPr>
      <w:r>
        <w:rPr>
          <w:rFonts w:ascii="Amiri" w:hAnsi="Amiri" w:eastAsia="Amiri" w:cs="Amiri"/>
          <w:color w:val="111111"/>
          <w:sz w:val="28"/>
          <w:sz w:val="28"/>
          <w:szCs w:val="28"/>
          <w:rtl w:val="true"/>
          <w:lang w:bidi="ar-SA"/>
        </w:rPr>
        <w:t>أمتي من بعدي، فإذا حضرتك الوفاة فسلمها إلى ابني الحسن البر الوصول، فإذا حضرته الوفاة فليسلمها إلى ابني الحسين الشهيد المقتول، فإذا حضرته الوفاة فليسلمها إلى ابنه سيد العابدين ذي الثفنات علي، فإذا حضرته الوفاة فليسلمها إلى ابنه محمّد الباقر، فإذا حضرته الوفاة فليسلمها إلى ابنه جعفر الصادق، فإذا حضرته الوفاة فليسلمها إلى ابنه موسى الكاظم، فإذا حضرته الوفاة فليسلمها إلى علي الرضا، فإذا حضرته الوفاة فليسلمها إلى ابنه محمّد التقي، فإذا حضرته الوفاة فليسلمها إلى ابنه علي الناصح، فإذا حضرته الوفاة فليسلمها إلى ابنه الحسن الفاضل، فإذاحضرته الوفاة فليسلمها إلى ابنه محمّد المستحفظ من آل محمّد صلى الله عليه وعليهم، فذلك اثنا عشر إماماً، ثمّ يكون من بعده اثنا عشر مهدياً فإذا حضرته الوفاة فليسلمها إلى ابنه أول المهديين، له ثلاثة أسامي اسم كاسمي واسم أبي وهو عبد الله، وأحمد، والاسم الثالث المهدي، وهو أول المؤمنين</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ووردت بهذا المعنى روايات متعددة، إلاّ أنها غير واضحة الدلالة فلعل المراد منها هو الرجعة، ويحتمل أن الأسماء الثلاثة ترجع إلى المهدي الأول، وهو أول المؤمنين لا إلى آخر الأئمة، مضافاً إلى أنّ هذه الرواية يرد عليها ما ورد على الرواية المتقدمة في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الدلالة، وأما من جهة السند فهي تشتمل على عدة من المجاهيل، وعليه فلا يمكن الاعتماد عليها، والداعي لذكر الرواية هو ورود التسمية بأحمد كما في الرواية المتقدمة في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الوجه والحكمة لحرمة التسمية؟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تقدم من بعض الروايات من أنّه للخوف عليه من طلب الأعداء فلم نفهم له معنى، إذ من الثابت أن له غيبة لا يرى فيها شخصه فكيف يخاف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مضافاً إلى أن اسمه معروف فإنه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ما ذكر من أن المنع إنما هو للتقية فهذا لا كلام فيه، فإن التقية في كل شيء حتى بالنسبة لغير الحجّة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ذكرت وجوه أخرى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نراه أنّ وراء هذه الحرمة المشددة والنهي المؤكد شيئاً آخر، وهو أن وجه المنع في ذلك إنما هو لسد الباب على المدعين لهذا الأمر، حتى يظهر بنفسه ويعلن عن نفسه مؤيداً بالدلائل والآيات، وإن في التحفّظ عن ذكر اسمه الشريف إحداث شوق في نفوس المؤمنين، وحرص على التمسك به، وتطلّع إليه، والشعور بأهميته كما أنّ في كتمان اسمه والتحفّظ عليه ربطاً بالإمام الحجّة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 لأن المؤمن إذا التفت إلى أنّه يحمل أمانة وسرّاً ازداد تعلّقه وارتباطه، وليس المنع هو مجرد الخوف عليه من طلب الأعداء، وهكذا الأمر بالنسبة إلى عدم الرؤية، ولعل في الروايات التي تتحدّث عن الظهور وما بعده إشارة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هناك وجوهاً ومصالح أخرى لم ندركها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 وجعلنا من أنصاره وأعوانه وثبّتنا على القول بعصمته وغيبته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يتم الكلام عن الفصل الثاني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6387_188296"/>
      <w:bookmarkStart w:id="205" w:name="pg16387_188296"/>
      <w:bookmarkEnd w:id="205"/>
    </w:p>
    <w:p>
      <w:pPr>
        <w:pStyle w:val="Heading2"/>
        <w:numPr>
          <w:ilvl w:val="1"/>
          <w:numId w:val="1"/>
        </w:numPr>
        <w:rPr/>
      </w:pPr>
      <w:bookmarkStart w:id="206" w:name="pg16387_188296"/>
      <w:bookmarkStart w:id="207" w:name="__RefHeading___Toc6877787_1280447820"/>
      <w:bookmarkStart w:id="208" w:name="_Toc71"/>
      <w:bookmarkEnd w:id="206"/>
      <w:bookmarkEnd w:id="207"/>
      <w:r>
        <w:rPr>
          <w:rtl w:val="true"/>
        </w:rPr>
        <w:t>الفصل الثالث</w:t>
      </w:r>
      <w:bookmarkEnd w:id="208"/>
    </w:p>
    <w:p>
      <w:pPr>
        <w:pStyle w:val="Heading3"/>
        <w:numPr>
          <w:ilvl w:val="2"/>
          <w:numId w:val="1"/>
        </w:numPr>
        <w:rPr/>
      </w:pPr>
      <w:bookmarkStart w:id="209" w:name="__RefHeading___Toc6877789_1280447820"/>
      <w:bookmarkStart w:id="210" w:name="_Toc72"/>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فروع الدين المشروطة بقصد القربة التقية في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موارد البحث من هذا الموضوع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الوضوء الواقعي المستفاد من الكتاب والسنة وعمل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الواجب في غسل الأعضاء مرة مرة وأنّ الثالثة 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الغسل من الأعلى لا من الأسفل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الواجب هو مسح مقدم الرأس لا جميعه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وجوب مسح الرجلين لا غسلهما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المسح على الخفين، واعتراف كثير من الصحابة بذلك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التقية في هذه الموارد وبيان الأحكام المترتبة عند المخالفة</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6387_188298"/>
      <w:bookmarkStart w:id="212" w:name="pg16387_188298"/>
      <w:bookmarkEnd w:id="212"/>
    </w:p>
    <w:p>
      <w:pPr>
        <w:pStyle w:val="Heading3"/>
        <w:numPr>
          <w:ilvl w:val="2"/>
          <w:numId w:val="1"/>
        </w:numPr>
        <w:rPr/>
      </w:pPr>
      <w:bookmarkStart w:id="213" w:name="pg16387_188298"/>
      <w:bookmarkStart w:id="214" w:name="__RefHeading___Toc6877791_1280447820"/>
      <w:bookmarkStart w:id="215" w:name="_Toc73"/>
      <w:bookmarkEnd w:id="213"/>
      <w:bookmarkEnd w:id="214"/>
      <w:r>
        <w:rPr>
          <w:rtl w:val="true"/>
        </w:rPr>
        <w:t>التقية في الوضوء</w:t>
      </w:r>
      <w:r>
        <w:rPr>
          <w:rtl w:val="true"/>
        </w:rPr>
        <w:t>:</w:t>
      </w:r>
      <w:bookmarkEnd w:id="215"/>
    </w:p>
    <w:p>
      <w:pPr>
        <w:pStyle w:val="BookText"/>
        <w:rPr/>
      </w:pPr>
      <w:r>
        <w:rPr>
          <w:rFonts w:ascii="Amiri" w:hAnsi="Amiri" w:eastAsia="Amiri" w:cs="Amiri"/>
          <w:color w:val="111111"/>
          <w:sz w:val="28"/>
          <w:sz w:val="28"/>
          <w:szCs w:val="28"/>
          <w:rtl w:val="true"/>
          <w:lang w:bidi="ar-SA"/>
        </w:rPr>
        <w:t>وهذا البحث هو من أهم البحوث في هذا الموضوع وذلك لعموم البلوى به، واحتجاج كل من الفريقين بعدة أدلة على صحة عمله، وكثرة الروايات الواردة فيه واختلافها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لأهمية البحث لا بأس بمعالجة الموضوع من جميع أطرافه بما يناسب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موارد التقية من الوضوء ستة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الوجه واليدين من حيث الكمية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أو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الوجه واليدين من حيث الكيفية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الأعلى إلى الأسفل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الرأس كلاًّ أو بعضاً مع الأذنين أو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الرجلين أو مسحهما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الرأس والرجلين بماء الوضوء أو بماء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المسح على الخفين وعدمه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فالخلاف بيننا وبينهم بيّن، فهم قائلون بالغسل ثلاثاً وعملهم عليه، حتى أنّه يمكن أن يشخّص الإمامي من غيره بهذا الفعل، فإن المتسالم عليه عند الإمامية أن الواجب في الوضوء هو غسل الوجه واليدين مرة مرة، والثانية مستحبة على خلاف سيأتي، وأما الثالثة فهي بدعة، قال الشيخ في </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في غسل الأعضاء مرة واحدة، واثنتان سنة، والثالثة بدعة، وفي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الثانية بدعة، وليس بمعول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ومنهم من قال الثالثة تكلّف، ولم يصرّح بأنها بدعة، والصحيح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واحد واثنتان أفضل، والسنة ثلاثة، وبه قال أبو حنيفة وأحمد،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أفضل من المرتين، وحكى عن بعضهم أن الثلاث مرات واجب</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والمقصود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الثانية بدعة هو الشيخ الصدوق، فقد نسب إليه ذلك كما في السرائر</w:t>
      </w:r>
      <w:r>
        <w:rPr>
          <w:rStyle w:val="FootnoteAnchor"/>
          <w:rtl w:val="true"/>
        </w:rPr>
        <w:footnoteReference w:id="619"/>
      </w:r>
      <w:r>
        <w:rPr>
          <w:rFonts w:ascii="Amiri" w:hAnsi="Amiri" w:eastAsia="Amiri" w:cs="Amiri"/>
          <w:color w:val="111111"/>
          <w:sz w:val="28"/>
          <w:sz w:val="28"/>
          <w:szCs w:val="28"/>
          <w:rtl w:val="true"/>
          <w:lang w:bidi="ar-SA"/>
        </w:rPr>
        <w:t>، كما أن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تكلف، هو الشيخ المفيد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عند الإمامية استحباب الثانية وحرمة الثالثة حرمة تكليفية ووضعية، ونسب الجواز إلى ابن أبي عقيل</w:t>
      </w:r>
      <w:r>
        <w:rPr>
          <w:rStyle w:val="FootnoteAnchor"/>
          <w:rtl w:val="true"/>
        </w:rPr>
        <w:footnoteReference w:id="621"/>
      </w:r>
      <w:r>
        <w:rPr>
          <w:rFonts w:ascii="Amiri" w:hAnsi="Amiri" w:eastAsia="Amiri" w:cs="Amiri"/>
          <w:color w:val="111111"/>
          <w:sz w:val="28"/>
          <w:sz w:val="28"/>
          <w:szCs w:val="28"/>
          <w:rtl w:val="true"/>
          <w:lang w:bidi="ar-SA"/>
        </w:rPr>
        <w:t>، وابن الجنيد</w:t>
      </w:r>
      <w:r>
        <w:rPr>
          <w:rStyle w:val="FootnoteAnchor"/>
          <w:rtl w:val="true"/>
        </w:rPr>
        <w:footnoteReference w:id="622"/>
      </w:r>
      <w:r>
        <w:rPr>
          <w:rFonts w:ascii="Amiri" w:hAnsi="Amiri" w:eastAsia="Amiri" w:cs="Amiri"/>
          <w:color w:val="111111"/>
          <w:sz w:val="28"/>
          <w:sz w:val="28"/>
          <w:szCs w:val="28"/>
          <w:rtl w:val="true"/>
          <w:lang w:bidi="ar-SA"/>
        </w:rPr>
        <w:t>، والشيخ المفيد</w:t>
      </w:r>
      <w:r>
        <w:rPr>
          <w:rStyle w:val="FootnoteAnchor"/>
          <w:rtl w:val="true"/>
        </w:rPr>
        <w:footnoteReference w:id="623"/>
      </w:r>
      <w:r>
        <w:rPr>
          <w:rFonts w:ascii="Amiri" w:hAnsi="Amiri" w:eastAsia="Amiri" w:cs="Amiri"/>
          <w:color w:val="111111"/>
          <w:sz w:val="28"/>
          <w:sz w:val="28"/>
          <w:szCs w:val="28"/>
          <w:rtl w:val="true"/>
          <w:lang w:bidi="ar-SA"/>
        </w:rPr>
        <w:t>وإلى المحقق في المعتبر حيث استوجه عدم البطلان</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كما نسب إلى الشهيد</w:t>
      </w:r>
      <w:r>
        <w:rPr>
          <w:rStyle w:val="FootnoteAnchor"/>
          <w:rtl w:val="true"/>
        </w:rPr>
        <w:footnoteReference w:id="625"/>
      </w:r>
      <w:r>
        <w:rPr>
          <w:rFonts w:ascii="Amiri" w:hAnsi="Amiri" w:eastAsia="Amiri" w:cs="Amiri"/>
          <w:color w:val="111111"/>
          <w:sz w:val="28"/>
          <w:sz w:val="28"/>
          <w:szCs w:val="28"/>
          <w:rtl w:val="true"/>
          <w:lang w:bidi="ar-SA"/>
        </w:rPr>
        <w:t xml:space="preserve">في الدروس والذكرى القول بأنّ الغسلة الثالثة مفسدة للوضوء من جهة أنّ الماء المستخدم فيها ماء جديد مستأنف، فيكون المسح بماء غير ماء الوضوء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قول آخر ينسب إلى النهاية</w:t>
      </w:r>
      <w:r>
        <w:rPr>
          <w:rStyle w:val="FootnoteAnchor"/>
          <w:rtl w:val="true"/>
        </w:rPr>
        <w:footnoteReference w:id="626"/>
      </w:r>
      <w:r>
        <w:rPr>
          <w:rFonts w:ascii="Amiri" w:hAnsi="Amiri" w:eastAsia="Amiri" w:cs="Amiri"/>
          <w:color w:val="111111"/>
          <w:sz w:val="28"/>
          <w:sz w:val="28"/>
          <w:szCs w:val="28"/>
          <w:rtl w:val="true"/>
          <w:lang w:bidi="ar-SA"/>
        </w:rPr>
        <w:t>والمدارك</w:t>
      </w:r>
      <w:r>
        <w:rPr>
          <w:rStyle w:val="FootnoteAnchor"/>
          <w:rtl w:val="true"/>
        </w:rPr>
        <w:footnoteReference w:id="627"/>
      </w:r>
      <w:r>
        <w:rPr>
          <w:rFonts w:ascii="Amiri" w:hAnsi="Amiri" w:eastAsia="Amiri" w:cs="Amiri"/>
          <w:color w:val="111111"/>
          <w:sz w:val="28"/>
          <w:sz w:val="28"/>
          <w:szCs w:val="28"/>
          <w:rtl w:val="true"/>
          <w:lang w:bidi="ar-SA"/>
        </w:rPr>
        <w:t xml:space="preserve">وهو أنّ فساد الوضوء إنما يتحقق إذا كان الغسل بالماء الثالث وقع على اليد اليسرى لا على غيرها من </w:t>
      </w:r>
    </w:p>
    <w:p>
      <w:pPr>
        <w:pStyle w:val="BookText"/>
        <w:rPr/>
      </w:pPr>
      <w:r>
        <w:rPr>
          <w:rFonts w:ascii="Amiri" w:hAnsi="Amiri" w:eastAsia="Amiri" w:cs="Amiri"/>
          <w:color w:val="111111"/>
          <w:sz w:val="28"/>
          <w:sz w:val="28"/>
          <w:szCs w:val="28"/>
          <w:rtl w:val="true"/>
          <w:lang w:bidi="ar-SA"/>
        </w:rPr>
        <w:t xml:space="preserve">سائر الأعضاء، وهذا القول أخص من قول الشهيد وسيأتي بيان الحق في ذلك عند تحقيق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من يرى أنها بدعة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مفسدة للوضوء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أقوال الخاصة في المسألة، وأما العامة فقد ذكرنا بعض أقوالهم في العبارة المتقدمة للشيخ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رشد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العلماء على أن الواجب من طهارة الاعضاء المغسولة مرة مرة إذا أسبغ، وأن الاثنتين والثلاث مندوب إليهما</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والمستحب أن يتوضأ ثلاثاً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اقتصر على مرة وأسبغ أجزأه</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مرة مرة والثلاث أفضل، هذا قول أكثر أهل العلم، وقال الأوزاعي وسعيد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ثلاث ثلاث إلاّ فيغسل الرجلين</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الغرائب ما حكاه الشيخ أبو حامد الاسفرايني، عن بعض العلماء أنّه لا يجوز النقص من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محجوج بالإجماع</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هذه أقوال العامة، ومنها يتبين أنّ الثلاث عندهم سنة بخلاف الخاصة، فإنهم يرونها بدعة وتشريعاً محرماً، ولعل التزام العامة بهذه السنّة عملاً وكأنما يرونها واجباً لهذه الجهة أي لجهة أنّ الخاصة يرون أن الثالثة بدعة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الكلام ينبغي أن يكون في مورد الخلاف بيننا وبين العامة وهو خصوص الغسلة الثالثة، وأما الكلام بالنسبة إلى الغسلة الأولى والثانية فهو خارج عن المقام، وقد فصلنا القول فيه في مبحث الطهارة من مباحثنا الفقهية، </w:t>
      </w:r>
    </w:p>
    <w:p>
      <w:pPr>
        <w:pStyle w:val="BookText"/>
        <w:rPr/>
      </w:pPr>
      <w:r>
        <w:rPr>
          <w:rFonts w:ascii="Amiri" w:hAnsi="Amiri" w:eastAsia="Amiri" w:cs="Amiri"/>
          <w:color w:val="111111"/>
          <w:sz w:val="28"/>
          <w:sz w:val="28"/>
          <w:szCs w:val="28"/>
          <w:rtl w:val="true"/>
          <w:lang w:bidi="ar-SA"/>
        </w:rPr>
        <w:t xml:space="preserve">وإن كان سيأتي خلال الأبحاث الآتية ما يتعلق بالغسلة الأولى والثانية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يتعلق بما نحن في صدده فالحق أنّ الغسلة الثالثة بدعة منهي عنها، وهي توجب فساد الوضوء، وإلى ذلك ذهب الشيخ كما تقدم، والدليل على ذلك من الكتاب والروايات الكثيرة المتواترة، ويمكن دعوى الإجماع للعلم بشخص المخالف في ذلك وإن جلّ الفقهاءمن الطائفة يعتبرون الثالثة بدعة مفسدة للوضوء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يستدل به من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فَاغْسِلُوا وُجُوهَكُمْ وَأَيْدِيَكُمْ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هو غسل الوجه واليدين فمتى تحقق الغسل فقد امتثل المكلف الأمر، وتحقق المأمور به، وهذا إنما يتم بغسلة واحدة، وما زاد على ذلك يحتاج إلى دليل خاص، وقد قام الدليل الخاص على مشروعية الغسلة الثانية بل على استحبابها وأنها متممة للغسلة الأولى، وأما ما زاد على الثانية فلا دليل لنا عليه، فلا يمكن القول بأنّ الثالثة جائزة، وهو لا يخرج عن دائرة التشريع المحرم لأنّ العبادات أمور توقيفية، والمقدار الذي دلّ عليه الدليل هو الغسلة الأولى بالأصل والثانية بواسطة الروايات الخاصة في المورد والزايد على الثانية لم يرد فيه دليل بل ورد النهي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بالنسبة إلى الروايات فيمكن الاستدلال بها أيضاً على عدم جواز الغسلة الثالثة، وهي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الاكتفاء بمرة واحدة ولا يجوز التعدي عنها، وإذا كان لا يجوز التعدي عن المرة إلى الثانية فبالأولى لا تجوز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جواز الغسل مرتين، وأن الثانية مستحبة، وأن الاستحباب لا يكون أزيد من مرتين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تنص على أنّ الثالثة بدعة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الطائفة الأولى فهي عدة روايات منها الروايات البيانية التي تحكي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أحكي لكم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فدعا بقعب فيه شيء من ماء فوضعه بين يديه، ثمّ حسر عن ذراعيه، ثمّ غمس فيه كفه اليمنى،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إذا كانت الكف طاهرة، ثمّ غرف مِلأها ماء فوضعها على جبهته،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وسدله على أطراف لحيته، ثمّ أمرّ يده على وجهه وظاهر جبهته مرة واحدة، ثمّ غمس يده اليسرى فغرف بها ملأها ثمّ وضعه على مرفقه اليمنى فأمرّ كفّه على ساعده حتى جرى الماء على أطراف أصابعه، ثمّ غرف بيمينه ملأها فوضعه على مرفقه اليسرى فأمرّ كفّه على ساعده حتى جرى الماء على أطراف أصابعه ومسح مقدم رأسه وظهر قدميه ببلة يساره وبقية بلّة يمناه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وتر يحب الوتر فقد يجزيك من الوضوء ثلاث غرفات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للوجه، واثنتان للذراعين، وتمسح ببلة يمناك ناصيتك، وما بقي من بلة يمينك ظهر قدمك اليمنى، وتمسح ببلة يسارك ظهر قدمك اليسرى،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فحكى له مثل ذلك</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ويستفاد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وتر يحب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أنّ الواحدة تجزي، وأن الاقتصار على الواحدة ينفي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الزائد حتى الاثنتين لأنه ينافي التعليل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زرارة وبكير، أنهما سألا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بطست أو تور فيه ماء، فغمس يده اليمنى فغرف بهاغرفة فصبّها </w:t>
      </w:r>
    </w:p>
    <w:p>
      <w:pPr>
        <w:pStyle w:val="BookText"/>
        <w:rPr/>
      </w:pPr>
      <w:r>
        <w:rPr>
          <w:rFonts w:ascii="Amiri" w:hAnsi="Amiri" w:eastAsia="Amiri" w:cs="Amiri"/>
          <w:color w:val="111111"/>
          <w:sz w:val="28"/>
          <w:sz w:val="28"/>
          <w:szCs w:val="28"/>
          <w:rtl w:val="true"/>
          <w:lang w:bidi="ar-SA"/>
        </w:rPr>
        <w:t>على وجهه فغسل بها وجهه، ثمّ غمس كفه اليسرى فغرف بها غرفة فأفرغ على ذراعه اليمنى فغسل بها ذراعه من المرفق إلى الكف لا يردها إلى المرفق، ثمّ غمس كفه اليمنى فأفرغ بها على ذراعه اليسرى من المرفق وصنع بها مثل ما صنع باليمنى، ثمّ مسح رأسه وقدميه ببلل كفه لم يحدث لهما ماء جديداً،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أصابعه تحت الشراك،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أن يدع شيئاً من وجهه إلاّ غسله، وأمر بغسل اليدين إلى المرفقين فليس له أن يدع من يديه إلى المرفقين شيئاً إلاّ غسله،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 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مسح بشيء من رأسه أو بشيء من قدميه ما بين الكعبين إلى أطراف الأصابع فقد أجزأه،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يعني المفصل دون عظم الساق،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 الساق والكعب أسفل من ذلك،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فالغرفة الواحدة تجزي للوجه وغرفة للذراع؟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بالغت فيها والثنتان تأتيان على ذلك كله</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وصدر الرواية واضح الدلالة في أن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بالغسل مرة مرة، نعم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والثنتان تأتيان على ذلك كله، غير ظاهر فهل المراد هو الثنتان على كل عضو؟ أو للذراعين؟ ولذا وقع الخلاف في تفسير هذه الجملة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بكير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أحكي لكم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فأخذ بكفه اليمنى كفاً من ماء فغسل به وجهه، ثمّ أخذ بيده اليسرى كفاً فغسل به يده اليمنى، ثمّ أخذ بيده اليمنى كفاً من ماء فغسل به يده </w:t>
      </w:r>
    </w:p>
    <w:p>
      <w:pPr>
        <w:pStyle w:val="BookText"/>
        <w:rPr/>
      </w:pPr>
      <w:r>
        <w:rPr>
          <w:rFonts w:ascii="Amiri" w:hAnsi="Amiri" w:eastAsia="Amiri" w:cs="Amiri"/>
          <w:color w:val="111111"/>
          <w:sz w:val="28"/>
          <w:sz w:val="28"/>
          <w:szCs w:val="28"/>
          <w:rtl w:val="true"/>
          <w:lang w:bidi="ar-SA"/>
        </w:rPr>
        <w:t>اليسرى، ثمّ مسح بفضل يديه رأسه ورجليه</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والرواية واضحة الدلالة كما أنها تامة السند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لنا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بقدح من ماء، فأخذ كفاً من ماء فأسدله على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أعلى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من الجانبين جميعاً، ثمّ أعاد يده اليسرى في الإناء فأسدلها على يده اليمنى ثمّ مسح جوانبها، ثمّ أعاد اليمنى في الإناءفصبّها على اليسرى، ثمّ صنع بها كما صنع باليمنى، ثمّ مسح بما بقي في يده رأسه ورجليه ولم يعدهما في الإناء</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أحدكم الراحة من الدهن فيملأ بها جسده والماء أوسع، ألا أحكي لكم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يده في الإناء ولم يغسل يده فأخذ كفاً من ماء فصبه على وجهه، ثمّ مسح جانبيه حتى مسحه كله، ثمّ أخذ كفاً آخر بيمينه فصبه على يساره، ثمّ غسل به ذراعه الأيمن، ثمّ أخذ كفاً آخر فغسل به ذراعه الأيسر، ثمّ مسح رأسه ورجليه بما بقي في يديه</w:t>
      </w:r>
      <w:r>
        <w:rPr>
          <w:rStyle w:val="FootnoteAnchor"/>
          <w:rtl w:val="true"/>
        </w:rPr>
        <w:footnoteReference w:id="6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ميسر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أحكي لكم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كفاً من ماء فصبها على وجهه، ثمّ أخذ كفاً فصبها على ذراعه، ثمّ أخذ كفاً فصبها على ذراعه الأخرى، ثمّ مسح رأسه وقدميه ثمّ وضع يده على ظهر القدم،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الكعب،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بيده إلى الأسفل العرقوب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الظنبوب</w:t>
      </w:r>
      <w:r>
        <w:rPr>
          <w:rStyle w:val="FootnoteAnchor"/>
          <w:rtl w:val="true"/>
        </w:rPr>
        <w:footnoteReference w:id="63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جملة من الروايات البيانية الحاكية لوضوء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وكلها </w:t>
      </w:r>
    </w:p>
    <w:p>
      <w:pPr>
        <w:pStyle w:val="BookText"/>
        <w:rPr/>
      </w:pPr>
      <w:r>
        <w:rPr>
          <w:rFonts w:ascii="IRNazanin" w:hAnsi="IRNazanin" w:eastAsia="IRNazanin"/>
          <w:color w:val="111111"/>
          <w:sz w:val="28"/>
          <w:sz w:val="28"/>
          <w:szCs w:val="28"/>
          <w:rtl w:val="true"/>
          <w:lang w:bidi="fa-IR"/>
        </w:rPr>
        <w:t xml:space="preserve">تنص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يكتفي بالمرة الواحدة في غسل الوجه واليدين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روايات أخرى تنص على المرة الواحدة أو تنفي ما زاد عليها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عبد الكريم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وضوء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مرة مرة</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وهذه الرواية صريحة الدلالة على أن الفرض غسلة واحدة ولا يتعدى عنها، وذلك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الزائد مستحباً لكان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بالالتزام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الفضل في واحدة ومن زاد على اثنتين لم يوجر</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والرواية من جهة السند تامة فإنها واردة في نوادر البزنطي، وهي مما استطرفه صاحب السرائر في آخر كتابه والطريق إليها معتبر، كما أنلصاحب السرائر طريقاً إلى الشيخ، وطريق الشيخ إلى البزنطي صحيح فلا إشكال في سند الرواية، وإنما الكلام في دلالتها إذ يحتمل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في واحدة أنّ الزائد على الواحدة لا فضل فيه إلاّ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زاد على اثنتين ينفي هذا الاحتمال، فهل يستفاد من ذلك استحباب الثانية؟ أو أنها مسكوت عنها؟ كل ذلك محتمل، وعلى كل تقدير فالرواية تنفي الثالثة وهي واضحة الدلالة من هذه الجهة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ميسر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واحد ووصف الكعب في ظهر القدم</w:t>
      </w:r>
      <w:r>
        <w:rPr>
          <w:rStyle w:val="FootnoteAnchor"/>
          <w:rtl w:val="true"/>
        </w:rPr>
        <w:footnoteReference w:id="641"/>
      </w:r>
      <w:r>
        <w:rPr>
          <w:rFonts w:ascii="Amiri" w:hAnsi="Amiri" w:eastAsia="Amiri" w:cs="Amiri"/>
          <w:color w:val="111111"/>
          <w:sz w:val="28"/>
          <w:sz w:val="28"/>
          <w:szCs w:val="28"/>
          <w:rtl w:val="true"/>
          <w:lang w:bidi="ar-SA"/>
        </w:rPr>
        <w:t xml:space="preserve">هذا في رواية الشيخ، وفي رواية الكليني واحدة </w:t>
      </w:r>
    </w:p>
    <w:p>
      <w:pPr>
        <w:pStyle w:val="BookText"/>
        <w:rPr/>
      </w:pPr>
      <w:r>
        <w:rPr>
          <w:rFonts w:ascii="Amiri" w:hAnsi="Amiri" w:eastAsia="Amiri" w:cs="Amiri"/>
          <w:color w:val="111111"/>
          <w:sz w:val="28"/>
          <w:sz w:val="28"/>
          <w:szCs w:val="28"/>
          <w:rtl w:val="true"/>
          <w:lang w:bidi="ar-SA"/>
        </w:rPr>
        <w:t>واحدة</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والرواية من جهة الدلالة لا بأس بها فهي في مقابل الاثنتين أو الثلاث، وتنفي الزائد بنحو الإطلاق وهو الظاهر من الرواية، ويحتمل أنها واردة في مقام بيان الواجب فقط من دون تعرض لما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الرواية من جهة السند غير نقية فإنّ فيه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وهو محل اختلاف، هل هو بن المغيرة؟ أو ابن أبي المغيرة؟ وحيث لا يمكن الاعتماد على الرواية من جهة السند فتصبح مؤيدة للروايات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كثيرة لا يخلو أكثرها عن ضعف السند، وفي ما أوردناه كفاية، وهي بمجموعها تدل على أنّ الغسل في الوضوء مرة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 وهي التي تدل على استحباب الغسل مرتين فهي عدة روايات،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 مثنى</w:t>
      </w:r>
      <w:r>
        <w:rPr>
          <w:rStyle w:val="FootnoteAnchor"/>
          <w:rtl w:val="true"/>
        </w:rPr>
        <w:footnoteReference w:id="6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وصحيحة صفوان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مثنى مثنى</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منها معتبرة علي بن يقطين، أنّه كتب إلى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عن الوضوء، فكتب إليه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فهمت ما ذكرت من الاختلاف في الوضوء، والذي آمرك به في ذلك أن تمضمض ثلاثاً، وتستنشقثلاثاً، وتغسل وجهك ثلاثاً، وتخلل شعر لحيتك وتغسل يديك إلى المرفقين ثلاثاً، وتمسح رأسك كله، وتمسح ظاهر أذنيك وباطنهما، وتغسل رجليك إلى الكعبين ثلاثاً، ولا </w:t>
      </w:r>
    </w:p>
    <w:p>
      <w:pPr>
        <w:pStyle w:val="BookText"/>
        <w:rPr/>
      </w:pPr>
      <w:r>
        <w:rPr>
          <w:rFonts w:ascii="IRNazanin" w:hAnsi="IRNazanin" w:eastAsia="IRNazanin"/>
          <w:color w:val="111111"/>
          <w:sz w:val="28"/>
          <w:sz w:val="28"/>
          <w:szCs w:val="28"/>
          <w:rtl w:val="true"/>
          <w:lang w:bidi="fa-IR"/>
        </w:rPr>
        <w:t xml:space="preserve">تخالف ذلك إلى غيره، فلما وصل الكتاب إلى علي بن يقطين تعجب مما رسم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مما جميع العصابة على خلافه،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أعلم بما قال، وأنا أمتثل أمره، فكان يعمل في وضوئه على هذا الحد ويخالف ما عليه جميع الشيعة امتثالاً لأمر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وسعي بعلي بن يقطين إلى الرشيد،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رافضي فامتحنه الرشيد من حيث لا يشعر، فلما نظر إلى وضوئه ناداه كذب يا علي بن يقطين من زعم أنك من الرافضة، وصلحت حاله عنده، وورد عليه كتاب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من الآن يا علي بن يقطين وتوضأ كما أمرك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وجهك مرة فريضة، وأخرى اسباغاً، واغسل يديك من المرفقين كذلك وامسح بمقدم رأسك وظاهر قدميك من فضل نداوة وضوئك، فقد زال ما كنا نخاف منه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ومحل الشاهد من هذه الرواية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وتوضأ كما أمرك الله تعالى أغسل وجهك مرة فريضة وأخرى اسباغاً واغسل يديك من المرفقين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واضحة الدلالة في استحباب الثانية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كم عدة الطهارة؟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أوجبه الله فواحدة، وأضاف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لضعف الناس، ومن توضأ ثلاثاً ثلاثاً فلا صلاة له، أنا معه في ذا حتى جاءه داود بن زربي، فسأله عن عدة الطهارة،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ثلاثاً من نقص عنه فلا صلاة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فارتعدت فرائصي وكاد أن يدخلني الشيطان، فأبصر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وقد تغيّر لوني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 يا داود هذا هو الكفر، أو ضرب الأعناق،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وكان ابن زربي إلى جوار بستان أبي جعفر المنصور، وكان قد أُلقي إلى أبي جعفر أمر داود بن زربي وأنه رافضي يختلف </w:t>
      </w:r>
    </w:p>
    <w:p>
      <w:pPr>
        <w:pStyle w:val="BookText"/>
        <w:rPr/>
      </w:pPr>
      <w:r>
        <w:rPr>
          <w:rFonts w:ascii="IRNazanin" w:hAnsi="IRNazanin" w:eastAsia="IRNazanin"/>
          <w:color w:val="111111"/>
          <w:sz w:val="28"/>
          <w:sz w:val="28"/>
          <w:szCs w:val="28"/>
          <w:rtl w:val="true"/>
          <w:lang w:bidi="fa-IR"/>
        </w:rPr>
        <w:t>إلى جعفر بن محمد، فقال أبو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مطلع إلى طهارته فإن هو توضأ وضوء جعفر بن محمّد فإني لأعرف طهارته حققت عليه القول وقتلته، فاطلع وداود يتهيأ للصلاة من حيث لا يراه، فأسبغ داود بن زربي الوضوء ثلاثاً ثلاثاً كما أمره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تم وضوءه حتى بعث إليه أبو جعفرالمنصور فدعاه،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دخلت عليه رحب 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قيل فيك شيء باطل، وما أنت كذلك، قد أطلعت على طهارتك وليس طهارتك طهارة الرافضة، فاجعلني في حلّ وأمر له بمائة ألف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داود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التقيت أنا وداود بن زربي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داود بن زربي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حقنت دماءنا في دار الدنيا ونرجوا أن ندخل بيمنك وبركتك الجنة،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الله ذلك بك وبإخوانك من جميع المؤمنين،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لداود بن زربي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داود الرقي بما مرّ عليكم حتى تسكن روعته،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فحدثته بالأمر 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أفتيته لأنه كان أشرف على القتل من يد هذا العدو،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بن زربي توضأ مثنى مثنى، ولا تزدن عليه، وإنك إن زدت عليه فلا صلاة لك</w:t>
      </w:r>
      <w:r>
        <w:rPr>
          <w:rStyle w:val="FootnoteAnchor"/>
          <w:rtl w:val="true"/>
        </w:rPr>
        <w:footnoteReference w:id="64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والرواية وإن كانت واردة في التقية كالرواية السابقة إلاّ أنّ محل الشاهد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أوجبه الله فواحدة، وأضاف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لضعف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بن زربي توضأ مثنى مثنى، ولا تزدنّ عليه فإنك إن زدت عليه فلا صلاة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والعبارتان صريحتان في الدلالة على استحباب الغسلة الثانية، فلا إشكال في الرواية من هذه الناحية وإنما الإشكال من جهة السند، فإنّ فيه أحمد بن سليمان وهو لم يوثق فتحمل الرواية على التأييد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وهناك روايات أخرى منها ما 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على مرتين لم يوجر</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وكذلك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مرتين أفضل</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 وكذلك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مرتين أنّه اسباغ</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وغيرها من مرسلات الصدوق، وأيضاً ما رواه الفضل بن شاذان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مرة فريضة واثنتان اسباغ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والمستفاد من روايات هذه الطائفة أنّ الغسلة الثانية مستحبة، وأنّ الثالثة غير 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الطائفة الثالثة وهي التي تدل على عدم جواز الثالثة صراحة فهي عدة روايات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مرسلة ابن أبي عمير،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واحدة فرض، واثنتان لا يوجر، والثالث بدعة</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والرواية صريحة في أنّ الثالثة بدعة، فلا إشكال من هذه الجهة وأما من جهة السند فهي وإن كانت مرسلة إلاّ أنّ مراسيل ابن أبي عمير معتبرة كما ذكره الشيخ من دعوى الإجماع على العمل بمراسيله، وقد بسطنا القول فيه في مباحثنا الرجالية، فراجع</w:t>
      </w:r>
      <w:r>
        <w:rPr>
          <w:rStyle w:val="FootnoteAnchor"/>
          <w:rtl w:val="true"/>
        </w:rPr>
        <w:footnoteReference w:id="65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معتبرة علي بن يقطين</w:t>
      </w:r>
      <w:r>
        <w:rPr>
          <w:rStyle w:val="FootnoteAnchor"/>
          <w:rtl w:val="true"/>
        </w:rPr>
        <w:footnoteReference w:id="653"/>
      </w:r>
      <w:r>
        <w:rPr>
          <w:rFonts w:ascii="IRNazanin" w:hAnsi="IRNazanin" w:eastAsia="IRNazanin"/>
          <w:color w:val="111111"/>
          <w:sz w:val="28"/>
          <w:sz w:val="28"/>
          <w:szCs w:val="28"/>
          <w:rtl w:val="true"/>
          <w:lang w:bidi="fa-IR"/>
        </w:rPr>
        <w:t xml:space="preserve">المتقدمة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علي بن يقطين أن يغسل ثلاثاً في حال التقية، وبعد ارتفاع التقية أمره أن يغسل مرّة </w:t>
      </w:r>
    </w:p>
    <w:p>
      <w:pPr>
        <w:pStyle w:val="BookText"/>
        <w:rPr/>
      </w:pPr>
      <w:r>
        <w:rPr>
          <w:rFonts w:ascii="Amiri" w:hAnsi="Amiri" w:eastAsia="Amiri" w:cs="Amiri"/>
          <w:color w:val="111111"/>
          <w:sz w:val="28"/>
          <w:sz w:val="28"/>
          <w:szCs w:val="28"/>
          <w:rtl w:val="true"/>
          <w:lang w:bidi="ar-SA"/>
        </w:rPr>
        <w:t xml:space="preserve">فريضة والثانية اسباغاً، فيعلم أنّه في غير حال التقية لا يجوز الغسل ثلاثاً، كما أنّ الرواية فيها دلالة على أنّ الغسل ثلاثاً على خلاف ما عليه جميع الشيعة، فيكون تسويغ الامام عليه السلام لعلي بن يقطين الغسل ثلاثاً لمكان التقية وبه يجمع بين صدر الرواية وذيلها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داود الرقي</w:t>
      </w:r>
      <w:r>
        <w:rPr>
          <w:rStyle w:val="FootnoteAnchor"/>
          <w:rtl w:val="true"/>
        </w:rPr>
        <w:footnoteReference w:id="654"/>
      </w:r>
      <w:r>
        <w:rPr>
          <w:rFonts w:ascii="Amiri" w:hAnsi="Amiri" w:eastAsia="Amiri" w:cs="Amiri"/>
          <w:color w:val="111111"/>
          <w:sz w:val="28"/>
          <w:sz w:val="28"/>
          <w:szCs w:val="28"/>
          <w:rtl w:val="true"/>
          <w:lang w:bidi="ar-SA"/>
        </w:rPr>
        <w:t xml:space="preserve">المتقدمة أيضاً، والشاهد هو ما ذكرناه فيما تقدم عند ذكر الرواية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داود بن زربي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الوضوء،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ثلاثاً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تشهد بغداد وعساكرهم؟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يوماً أتوضأ في دار المهدي فرآني بعضهم وأنا لا أعلم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أنك فلاني وأنت تتوضأ هذا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والله أمرني</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ودلالة الرواية واضحة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داود بالوضوء ثلاثاً ثلاثاً لشهوده بغداد وعساكر المخالفين، فيعلم من ذلك أنّه فيما عدا ذلك لا يجوز الثلاث، بل إنّ المركوز في ذهن داود هو عدم الجواز ولذلك لما اطلع عليه بعضهم وقال ما قال،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والله أمرني، فالثلاث ليست بمشروعة، والعمل عليها إنما هو من جهة التقية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مثنى مثنى، من زاد لم يوجر عليه، وحكى لنا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وجهه مرة واحدة، وذراعيه مرة واحدة، ومسح رأسه بفضل وضوئه ورجليه</w:t>
      </w:r>
      <w:r>
        <w:rPr>
          <w:rStyle w:val="FootnoteAnchor"/>
          <w:rtl w:val="true"/>
        </w:rPr>
        <w:footnoteReference w:id="65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الرواية أنّ المراد من مثنى هو الغسل مرتين، وبعضهم حمل مثنى </w:t>
      </w:r>
      <w:bookmarkStart w:id="216" w:name="pg16387_188311"/>
    </w:p>
    <w:p>
      <w:pPr>
        <w:pStyle w:val="BookText"/>
        <w:rPr/>
      </w:pPr>
      <w:bookmarkEnd w:id="216"/>
      <w:r>
        <w:rPr>
          <w:rFonts w:ascii="Amiri" w:hAnsi="Amiri" w:eastAsia="Amiri" w:cs="Amiri"/>
          <w:color w:val="111111"/>
          <w:sz w:val="28"/>
          <w:sz w:val="28"/>
          <w:szCs w:val="28"/>
          <w:rtl w:val="true"/>
          <w:lang w:bidi="ar-SA"/>
        </w:rPr>
        <w:t>مثنى على أنّ المراد غسلات ومسحات، أو أن المراد هو التجديد، وغير ذلك من التأويلات، إلاّ أن الظاهر هو ما ذكرناه من أنّ الغسل مرتان، وما زاد فليس بمشروع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ابن أبي يعفور</w:t>
      </w:r>
      <w:r>
        <w:rPr>
          <w:rStyle w:val="FootnoteAnchor"/>
          <w:rtl w:val="true"/>
        </w:rPr>
        <w:footnoteReference w:id="657"/>
      </w:r>
      <w:r>
        <w:rPr>
          <w:rFonts w:ascii="IRNazanin" w:hAnsi="IRNazanin" w:eastAsia="IRNazanin"/>
          <w:color w:val="111111"/>
          <w:sz w:val="28"/>
          <w:sz w:val="28"/>
          <w:szCs w:val="28"/>
          <w:rtl w:val="true"/>
          <w:lang w:bidi="fa-IR"/>
        </w:rPr>
        <w:t xml:space="preserve">الواردة في نوادر البزنطي وقد ذكرناها في الطائفة السابقة ومحل الشاهد هنا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زاد على اثنتين لم يوجر، فتكون الثالثة إما لغواً وإما بدعة، ومثلها في الدلالة ما مر من مرسلة الصدوق</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على مرتين لم يوجر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 الدالة على أنّ الثالثة ليست بمشروعة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بطوائفها الثلاث تدل بالمطابقة والالتزام على أنّ الغسلة الثالثة في الوضوء بدعة، وهي على خلاف الشرع</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6877793_1280447820"/>
      <w:bookmarkStart w:id="218" w:name="_Toc74"/>
      <w:bookmarkEnd w:id="217"/>
      <w:r>
        <w:rPr>
          <w:rtl w:val="true"/>
        </w:rPr>
        <w:t>التحقيق في المقام</w:t>
      </w:r>
      <w:r>
        <w:rPr>
          <w:rtl w:val="true"/>
        </w:rPr>
        <w:t>:</w:t>
      </w:r>
      <w:bookmarkEnd w:id="218"/>
    </w:p>
    <w:p>
      <w:pPr>
        <w:pStyle w:val="BookText"/>
        <w:rPr/>
      </w:pPr>
      <w:r>
        <w:rPr>
          <w:rFonts w:ascii="Amiri" w:hAnsi="Amiri" w:eastAsia="Amiri" w:cs="Amiri"/>
          <w:color w:val="111111"/>
          <w:sz w:val="28"/>
          <w:sz w:val="28"/>
          <w:szCs w:val="28"/>
          <w:rtl w:val="true"/>
          <w:lang w:bidi="ar-SA"/>
        </w:rPr>
        <w:t>وبعد أن استعرضنا جملة من الروايات الدالة على الغسل في الوضوء مرة أو اثنتين أو ثلاث، وحيث يتراءى من ظاهر بعضها التنافي مع البعض الآخر، مضافاً إلى ما يمكن استفادته من بعض الروايات من حيث الصحة والبطلان والحرمة وعدمها فيقع الكلام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الروايات الدالة على المرة، والروايات الدالة على الاثنتين،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قد ذكرنا في مبحث الطهارة مفصلاً وجوه الجمع، وأن المشهور بل ادعي الإجماع على أنّ الغسلة الثانية مستحبة، ولا إشكال فيها من هذه الناحية، وقد أشرنا فيما سبق إلى أنّ هذه المسألة خارجة عن محل كلامنا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أننا نشير هنا إلى ناحية أخرى من نواحي البحث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الغسلة الثانية، غير أنّه قد نسب الخلاف إلى عدد من القدماء وهم الشيخ الصدوق، والشيخ الكليني والبزنطي،وأنهم لا يرون جواز الغسلة الثانية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النسبة لكل من هؤلاء غير متحققة ولا صراحة في عباراتهم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البزنطي فقد ذكر في نوادره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الفضل في واحدة ومن زاد على اثنتين لم يوجر</w:t>
      </w:r>
      <w:r>
        <w:rPr>
          <w:rStyle w:val="FootnoteAnchor"/>
          <w:rtl w:val="true"/>
        </w:rPr>
        <w:footnoteReference w:id="659"/>
      </w:r>
      <w:r>
        <w:rPr>
          <w:rFonts w:ascii="Amiri" w:hAnsi="Amiri" w:eastAsia="Amiri" w:cs="Amiri"/>
          <w:color w:val="111111"/>
          <w:sz w:val="28"/>
          <w:sz w:val="28"/>
          <w:szCs w:val="28"/>
          <w:rtl w:val="true"/>
          <w:lang w:bidi="ar-SA"/>
        </w:rPr>
        <w:t>وهذه العبارة ليست صريحة في الحرمة بل لعلها ظاهرة في الإباحة، فإن الاثنتين مسكوت عنهما وليس في كلامه دلالة على عدم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الكليني فإنه بعد أن أورد رواية عبد الكريم بن عمرو وسؤاله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الوضوء وجواب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وضوء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مرة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دليل على أن الوضوء إنما هو مرة مرة، لأنه إذا كان ورد أمران كلاهما طاعة لله أخذ بأحوطهما وأشدهما على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زاد على مرتين لم يوجر، وهذا أقصى غاية الحد في الوضوء الذي من تجاوزه أثم، ولم يكن له وضوء وكان كمن صلى الظهر خمس ركعات، ولو لم يطلق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المرتين لكان سبيلهما سبيل الثلاث</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وعبارته كالصريحة في أنّ الثانية مباحة وليست هي كالثالثة، فلم يتّضح أنّ الكليني قائل بعدم جواز الثانية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البيانية والتي تدل على المرة، وذكر الروايات التي تدل على المرتين، وتأول بعضها بالتجديد وبعضها بالإسباغ، أورد رواية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مرتين لم يوجر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وفسرها بأنّ من أتى بغير ما أمر به فلا يستحق به أجر</w:t>
      </w:r>
      <w:r>
        <w:rPr>
          <w:rStyle w:val="FootnoteAnchor"/>
          <w:rtl w:val="true"/>
        </w:rPr>
        <w:footnoteReference w:id="661"/>
      </w:r>
      <w:bookmarkStart w:id="219" w:name="pg16387_188313"/>
    </w:p>
    <w:p>
      <w:pPr>
        <w:pStyle w:val="BookText"/>
        <w:rPr/>
      </w:pPr>
      <w:bookmarkEnd w:id="219"/>
      <w:r>
        <w:rPr>
          <w:rFonts w:ascii="Amiri" w:hAnsi="Amiri" w:eastAsia="Amiri" w:cs="Amiri"/>
          <w:color w:val="111111"/>
          <w:sz w:val="28"/>
          <w:sz w:val="28"/>
          <w:szCs w:val="28"/>
          <w:rtl w:val="true"/>
          <w:lang w:bidi="ar-SA"/>
        </w:rPr>
        <w:t>وقال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توضأ مرتين لم يوجر ومن توضأ ثلاثاً فقد أبدع</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في هذه العبارات على أن الصدوق قائل بعدم جواز الثانية، نعم هو يرى أنّ الثالثة بدعة، وأما أنّ الثانية محرمة فلا دلالة في قوله لم يوجر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القدماء من يرى أن المرة الثانية محرمة، ولا يظهر ذلك من كلماتهم صراحة، والصحيح أنّ الظاهر من كلماتهم القولبالجواز كما في كلمات البزنطي، والكليني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فالغسل مرتين في الوضوء جائز بل مستحب، وقد ذكرنا وجوه الجمع بين الروايات في غير المقام</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6877795_1280447820"/>
      <w:bookmarkStart w:id="221" w:name="_Toc75"/>
      <w:bookmarkEnd w:id="220"/>
      <w:r>
        <w:rPr>
          <w:rtl w:val="true"/>
        </w:rPr>
        <w:t>الجهة الثانية</w:t>
      </w:r>
      <w:r>
        <w:rPr>
          <w:rtl w:val="true"/>
        </w:rPr>
        <w:t xml:space="preserve">: </w:t>
      </w:r>
      <w:r>
        <w:rPr>
          <w:rtl w:val="true"/>
        </w:rPr>
        <w:t>في الغسلة الثالثة</w:t>
      </w:r>
      <w:r>
        <w:rPr>
          <w:rtl w:val="true"/>
        </w:rPr>
        <w:t>:</w:t>
      </w:r>
      <w:bookmarkEnd w:id="221"/>
    </w:p>
    <w:p>
      <w:pPr>
        <w:pStyle w:val="BookText"/>
        <w:rPr/>
      </w:pPr>
      <w:r>
        <w:rPr>
          <w:rFonts w:ascii="Amiri" w:hAnsi="Amiri" w:eastAsia="Amiri" w:cs="Amiri"/>
          <w:color w:val="111111"/>
          <w:sz w:val="28"/>
          <w:sz w:val="28"/>
          <w:szCs w:val="28"/>
          <w:rtl w:val="true"/>
          <w:lang w:bidi="ar-SA"/>
        </w:rPr>
        <w:t>ويقع الكلام تارة في حكمها التكليفي وأخرى في حكمها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الأول فأكثر علمائنا قائلون بالحرمة، وأنها بدعة كما ذكر ذلك العلامة في المختلف، بل إنّ دعوى الإجماع غير بعيدة، فإنه لم ينسب الخلاف إلاّ إلى ثلاثة من العلماء وهم الشيخ المفيد، وابن الجنيد، وابن أبي عقيل، فقد نسب إليهم القول بالجواز حيث قال الشيخ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وتثليثه تكلف ومن زاد على الثلاث أبدع وكان مأزوراً</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زيادة غير محتاج إليها</w:t>
      </w:r>
      <w:r>
        <w:rPr>
          <w:rStyle w:val="FootnoteAnchor"/>
          <w:rtl w:val="true"/>
        </w:rPr>
        <w:footnoteReference w:id="664"/>
      </w:r>
      <w:r>
        <w:rPr>
          <w:rFonts w:ascii="Amiri" w:hAnsi="Amiri" w:eastAsia="Amiri" w:cs="Amiri"/>
          <w:color w:val="111111"/>
          <w:sz w:val="28"/>
          <w:sz w:val="28"/>
          <w:szCs w:val="28"/>
          <w:rtl w:val="true"/>
          <w:lang w:bidi="ar-SA"/>
        </w:rPr>
        <w:t>، وقال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تعدّ المرتين لم يوجر عليه</w:t>
      </w:r>
      <w:r>
        <w:rPr>
          <w:rStyle w:val="FootnoteAnchor"/>
          <w:rtl w:val="true"/>
        </w:rPr>
        <w:footnoteReference w:id="665"/>
      </w:r>
      <w:r>
        <w:rPr>
          <w:rFonts w:ascii="Amiri" w:hAnsi="Amiri" w:eastAsia="Amiri" w:cs="Amiri"/>
          <w:color w:val="111111"/>
          <w:sz w:val="28"/>
          <w:sz w:val="28"/>
          <w:szCs w:val="28"/>
          <w:rtl w:val="true"/>
          <w:lang w:bidi="ar-SA"/>
        </w:rPr>
        <w:t>، ولا يخفى أنّ خلاف هؤلاء الأعلام لا يضرّ بدعوى الإجماع، فإن من عداهم من العلماء قائل بالحرمة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كون الغسلة الثالثة غير مستحبة ولا رجحان فيها فهذا بالإجماع نقلاً وتحصيلاً، ولا خلاف فيه بين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الحكم التكليفي</w:t>
      </w:r>
      <w:r>
        <w:rPr>
          <w:rFonts w:eastAsia="Amiri" w:cs="Amiri" w:ascii="Amiri" w:hAnsi="Amiri"/>
          <w:color w:val="111111"/>
          <w:sz w:val="28"/>
          <w:szCs w:val="28"/>
          <w:rtl w:val="true"/>
          <w:lang w:bidi="ar-SA"/>
        </w:rPr>
        <w:t xml:space="preserve">. </w:t>
      </w:r>
      <w:bookmarkStart w:id="222" w:name="pg16387_188314"/>
    </w:p>
    <w:p>
      <w:pPr>
        <w:pStyle w:val="BookText"/>
        <w:rPr/>
      </w:pPr>
      <w:bookmarkEnd w:id="222"/>
      <w:r>
        <w:rPr>
          <w:rFonts w:ascii="Amiri" w:hAnsi="Amiri" w:eastAsia="Amiri" w:cs="Amiri"/>
          <w:color w:val="111111"/>
          <w:sz w:val="28"/>
          <w:sz w:val="28"/>
          <w:szCs w:val="28"/>
          <w:rtl w:val="true"/>
          <w:lang w:bidi="ar-SA"/>
        </w:rPr>
        <w:t>وأما بالنسبة إلى الحكم الوضعي ففي المقام أربعة أقوال وقد أشرنا إليها فيما سبق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بالافساد مطلقاً وهو قول أبي الصلاح</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الافساد مطلقاً وقد استوجهه المحقق في المعتبر</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مفسدة للوضوء من جهة استخدام ماء جديد وهو ظاهر الدروس والذكرى والبيان</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مفسدة للوضوء إذا كانت على اليد اليسرى أما بالنسبة إلى سائر الأعضاء فلا يوجب الإفساد، وهو منسوب إلى النهاية</w:t>
      </w:r>
      <w:r>
        <w:rPr>
          <w:rStyle w:val="FootnoteAnchor"/>
          <w:rtl w:val="true"/>
        </w:rPr>
        <w:footnoteReference w:id="669"/>
      </w:r>
      <w:r>
        <w:rPr>
          <w:rFonts w:ascii="Amiri" w:hAnsi="Amiri" w:eastAsia="Amiri" w:cs="Amiri"/>
          <w:color w:val="111111"/>
          <w:sz w:val="28"/>
          <w:sz w:val="28"/>
          <w:szCs w:val="28"/>
          <w:rtl w:val="true"/>
          <w:lang w:bidi="ar-SA"/>
        </w:rPr>
        <w:t>والمدارك</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القول إنّ جميع الأقوال تذهب إلى البطلان، إلاّ أن جهة البطلان تختلف من أنها تشريع محرم، أو أنها لاستخدام ماء جديد، إلاّ القول الثاني وهو قول المحقق </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6877797_1280447820"/>
      <w:bookmarkStart w:id="224" w:name="_Toc76"/>
      <w:bookmarkEnd w:id="223"/>
      <w:r>
        <w:rPr>
          <w:rtl w:val="true"/>
        </w:rPr>
        <w:t>الجهة الثالثة</w:t>
      </w:r>
      <w:r>
        <w:rPr>
          <w:rtl w:val="true"/>
        </w:rPr>
        <w:t xml:space="preserve">: </w:t>
      </w:r>
      <w:r>
        <w:rPr>
          <w:rtl w:val="true"/>
        </w:rPr>
        <w:t>في ما يستفاد من الروايات</w:t>
      </w:r>
      <w:bookmarkEnd w:id="22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ورفع التنافي فيما بينها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المتقدمة الدالة على أنّ الغسل مرة مرة، وهكذا الروايات الدالة على المرتين تنفي الغسلة الثالثة، فكما أنّ هذه الروايات تثبت مشروعية المرة والمرتين كذلك تنفي المرة الثالثة، مضافاً إلى ما ورد بالخصوص على عدم مشروعية الثالثة، ومن ذلك رواية ابن أبي عمير المتقدمة فقد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بدعة،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وإن كانت مرسلة إلاّ أنها معتبرة بناء على أن مراسيل ابن أبي عمير كالمسانيد كما استظهرناه في محلّه</w:t>
      </w:r>
      <w:r>
        <w:rPr>
          <w:rStyle w:val="FootnoteAnchor"/>
          <w:rtl w:val="true"/>
        </w:rPr>
        <w:footnoteReference w:id="671"/>
      </w:r>
      <w:r>
        <w:rPr>
          <w:rFonts w:ascii="Amiri" w:hAnsi="Amiri" w:eastAsia="Amiri" w:cs="Amiri"/>
          <w:color w:val="111111"/>
          <w:sz w:val="28"/>
          <w:sz w:val="28"/>
          <w:szCs w:val="28"/>
          <w:rtl w:val="true"/>
          <w:lang w:bidi="ar-SA"/>
        </w:rPr>
        <w:t>، فهذه الرواية تامة سنداً ودلالة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أيضاً معتبرة علي بن يقطين، فقد جاء 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وتوضأ كما أمرك الله تعالى اغسل وجهك مرة فريضة وأخرى اسباغاً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فهذه الرواية تدل على أن ما أمر الله به هو أنّ المرة الأولى فريضة والثانية اسباغاً وما زاد فهو ما لم يأمر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داود الرقي، فإنه 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بن زربي توضأ مثنى مثنى، ولا تزدن عليه، وأنك إن زدت عليه فلا صلاة لك</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والرواية من جهة الدلالة واضحة فإن الزيادة منهي عنها موجبة لبطلان الصلاة، وأما من جهة السند فقد ذكرنا أنّ فيه أحمد بن سليمان وهو لم يوثق ولذلك جعلناها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القطب الراوندي في لب اللباب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 فمن ترك شيئاً منه اختياراً، فلا صلاة له، ثمّ توضأ مرتين مرتين،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أتى به يضاعف له الأجر مرتين، فمن زاد أو نقص فقد تعدى وظلم</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والرواية من جهة الدلالة تامة إلاّ أن الكلام فيها من جهة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مقابل هذه الروايات هناك روايات أخرى يمكن الاستدلال بها على عدم الحرمة، منها صحيحة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مثنى مثنى، من زاد لم يوجر عليه </w:t>
      </w:r>
      <w:r>
        <w:rPr>
          <w:rFonts w:eastAsia="IRNazanin" w:cs="IRNazanin"/>
          <w:color w:val="111111"/>
          <w:sz w:val="28"/>
          <w:szCs w:val="28"/>
          <w:rtl w:val="true"/>
          <w:lang w:bidi="fa-IR"/>
        </w:rPr>
        <w:t>...</w:t>
      </w:r>
      <w:r>
        <w:rPr>
          <w:rStyle w:val="FootnoteAnchor"/>
          <w:rtl w:val="true"/>
        </w:rPr>
        <w:footnoteReference w:id="67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وسند الرواية وإن كان فيه القاسم بن عروة وهو لم يذكر بشيء، إلاّ أنّه قد روى عنه ابن أبي عمير فيكون السند معتبراً بناء على ما حققناه في محله من أنّ </w:t>
      </w:r>
    </w:p>
    <w:p>
      <w:pPr>
        <w:pStyle w:val="BookText"/>
        <w:rPr/>
      </w:pPr>
      <w:r>
        <w:rPr>
          <w:rFonts w:ascii="Amiri" w:hAnsi="Amiri" w:eastAsia="Amiri" w:cs="Amiri"/>
          <w:color w:val="111111"/>
          <w:sz w:val="28"/>
          <w:sz w:val="28"/>
          <w:szCs w:val="28"/>
          <w:rtl w:val="true"/>
          <w:lang w:bidi="ar-SA"/>
        </w:rPr>
        <w:t>رواية مثل ابن أبي عمير عن شخص أمارة على التوثيق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جهة الدلالة فإنّ الرواية لم يرد فيها أنها بدعة 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يوجر عليه، فهو بحسب الظاهر فعل لغو والتحريم أخص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ومثلها في الدلالة ما تقدم من مرسلة الصدوق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من زاد على مرتين لم يوجر</w:t>
      </w:r>
      <w:r>
        <w:rPr>
          <w:rStyle w:val="FootnoteAnchor"/>
          <w:rtl w:val="true"/>
        </w:rPr>
        <w:footnoteReference w:id="676"/>
      </w:r>
      <w:r>
        <w:rPr>
          <w:rFonts w:ascii="Amiri" w:hAnsi="Amiri" w:eastAsia="Amiri" w:cs="Amiri"/>
          <w:color w:val="111111"/>
          <w:sz w:val="28"/>
          <w:sz w:val="28"/>
          <w:szCs w:val="28"/>
          <w:rtl w:val="true"/>
          <w:lang w:bidi="ar-SA"/>
        </w:rPr>
        <w:t>، وهكذا موثقة ابن أبي يعفور المتقدمة أيضاً، وقد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زاد على اثنتين لم يوجر</w:t>
      </w:r>
      <w:r>
        <w:rPr>
          <w:rStyle w:val="FootnoteAnchor"/>
          <w:rtl w:val="true"/>
        </w:rPr>
        <w:footnoteReference w:id="677"/>
      </w:r>
      <w:r>
        <w:rPr>
          <w:rFonts w:ascii="Amiri" w:hAnsi="Amiri" w:eastAsia="Amiri" w:cs="Amiri"/>
          <w:color w:val="111111"/>
          <w:sz w:val="28"/>
          <w:sz w:val="28"/>
          <w:szCs w:val="28"/>
          <w:rtl w:val="true"/>
          <w:lang w:bidi="ar-SA"/>
        </w:rPr>
        <w:t>، ولم يرد في هذه الروايات عنوان أنها بدعة أو محرمة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يمكن الجمع بين هذه الروايات والروايات المتقدمة وذلك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يوجر مطلق، وهو إما ساكت عن الحرمة وعدمها، أو مجمل، وأما تلك الروايات فهي صريحة في التحريم وكونها بدعة، فالجمع بين هذه الروايات بأن يؤخذ بالروايات الصريحة في دلالتها وتكون بياناً للروايات الأخرى ورافعة لإجمالها، ويكون المستفاد من الروايات هو حرمة الغسلة الثالثة وأنها بدعة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ولكن هنا روايتان صريحتان في الدلالة على جواز الغسلة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عثمان بن زياد أنّه دخل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سألت أباك عن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مرة فما تقول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 تسألني عن هذه المسألة إلاّ وأنت ترى أني أخالف أبي، توضأ ثلاثاً وخلل أصابعك</w:t>
      </w:r>
      <w:r>
        <w:rPr>
          <w:rStyle w:val="FootnoteAnchor"/>
          <w:rtl w:val="true"/>
        </w:rPr>
        <w:footnoteReference w:id="678"/>
      </w:r>
      <w:r>
        <w:rPr>
          <w:rFonts w:ascii="Amiri" w:hAnsi="Amiri" w:eastAsia="Amiri" w:cs="Amiri"/>
          <w:color w:val="111111"/>
          <w:sz w:val="28"/>
          <w:sz w:val="28"/>
          <w:szCs w:val="28"/>
          <w:rtl w:val="true"/>
          <w:lang w:bidi="ar-SA"/>
        </w:rPr>
        <w:t>وهذه الرواية واضحة الدلالة في الأمر بالغسل ثلاثاً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زيد بن علي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أتوضأ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ابتدأت في الوضوء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تمضمض واستنشق واستن، </w:t>
      </w:r>
    </w:p>
    <w:p>
      <w:pPr>
        <w:pStyle w:val="BookText"/>
        <w:rPr/>
      </w:pPr>
      <w:r>
        <w:rPr>
          <w:rFonts w:ascii="Amiri" w:hAnsi="Amiri" w:eastAsia="Amiri" w:cs="Amiri"/>
          <w:color w:val="111111"/>
          <w:sz w:val="28"/>
          <w:sz w:val="28"/>
          <w:szCs w:val="28"/>
          <w:rtl w:val="true"/>
          <w:lang w:bidi="ar-SA"/>
        </w:rPr>
        <w:t>ثمّ غسلت وجهي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يجزيك من ذلك المرتان،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 ذراعي ومسحت برأسي مرتين،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يجزيك من ذلك المرة، وغسلت 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خلل بين الأصابع لا تُخلّل بالنار</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وقد أورد الشيخ هذه الرواية في الاستبصار، وعقبها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خبر موافق للعامة، وقد ورد مورد التقية لأنّ المعلوم الذي لا يتخالج فيه الشك من مذاهب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بالمسح على الرجلين، وذلك أشهر من أن يدخل فيه شك أو ارتياب بيّن، ذلك أنّ رواة هذا الخبر كلهم عامة ورجال الزيدية وما يختصون بروايته لا يعمل به على ما بين في غير موضع</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فالشيخ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 الرواية من جهة الدلالة وحملها على التقية والمناقشة في محلها، فإن هذه الرواية والرواية السابقة عليها واردتان مورد التقية ويشهد لذلك القرائن الواردة في كلتا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 الروايتين فمعتبر، فإنّ رجال سند</w:t>
      </w:r>
      <w:r>
        <w:rPr>
          <w:rStyle w:val="FootnoteAnchor"/>
          <w:rtl w:val="true"/>
        </w:rPr>
        <w:footnoteReference w:id="681"/>
      </w:r>
      <w:r>
        <w:rPr>
          <w:rFonts w:ascii="Amiri" w:hAnsi="Amiri" w:eastAsia="Amiri" w:cs="Amiri"/>
          <w:color w:val="111111"/>
          <w:sz w:val="28"/>
          <w:sz w:val="28"/>
          <w:szCs w:val="28"/>
          <w:rtl w:val="true"/>
          <w:lang w:bidi="ar-SA"/>
        </w:rPr>
        <w:t>الرواية الأولى كلهم ثقات، ولا إشكال من هذه الجهة وسند</w:t>
      </w:r>
      <w:r>
        <w:rPr>
          <w:rStyle w:val="FootnoteAnchor"/>
          <w:rtl w:val="true"/>
        </w:rPr>
        <w:footnoteReference w:id="682"/>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عبد الله بن المنبه، عن الحسين بن علوان، عن عمرو بن خالد، عن زيد بن علي وهو معتبر وإن كان أغلب رجاله من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الحسين بن علوان فهو ثقة على الظاهر 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علوان الكلبي مولاهم كوفي عامي، وأخوه الحسن يكنى أبا محمد، ثقة رويا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8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رجوع التوثيق للمترجم لا لأخيه كما قيل</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وأما عمرو بن خالد فقد وثقه ابن فضال</w:t>
      </w:r>
      <w:r>
        <w:rPr>
          <w:rStyle w:val="FootnoteAnchor"/>
          <w:rtl w:val="true"/>
        </w:rPr>
        <w:footnoteReference w:id="685"/>
      </w:r>
      <w:r>
        <w:rPr>
          <w:rFonts w:ascii="Amiri" w:hAnsi="Amiri" w:eastAsia="Amiri" w:cs="Amiri"/>
          <w:color w:val="111111"/>
          <w:sz w:val="28"/>
          <w:sz w:val="28"/>
          <w:szCs w:val="28"/>
          <w:rtl w:val="true"/>
          <w:lang w:bidi="ar-SA"/>
        </w:rPr>
        <w:t>، وأما زيد فلا إشكال فيوثاقته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الله بن المنبه فلم يرد في كتب الرجال بهذا الاسم إلاّ في هذا المورد، والظاهر أنّ فيه تصحيفاً بالتقديم والتأخير، والصحيح هو المنبه بن عبد الله وهو ثقة، وقال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رجال سند الرواية وإن كانوا زيدية كما قال الشيخ إلاّ أنهم موثقون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دلالة الرواية فهي وإن كانت تامة إلاّ أنها محمولة على التقية كما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فالمستفاد من الروايات أنّ المرة الثالثة محرمة، لأنها بدعة وإدخال في الدين ما ليس منه، ولكن القدر المتيقن من هذا أنّ الحرمة تختص بما إذا أتى بها بنية الجزئية، وأما مع عدمها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ليست محرمة في نفسها ولا إشكال فيها من هذه الناحية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الحكم الوضعي أي من حيث الصحة والفساد فالمشهور هو القول بالفساد وقد استدل له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وهو أصل الاشتغال أو الاستصحاب، أما الأول فلأن الشك في براءة الذمة من التكليف مع الإتيان بالغسلة الثالثة يرجع إلى الشك في المحصل والمكلف به، مع العلم بالتكليف وهو يقتضي الفراغ اليقيني ومقتضاه الاحتياط والإتيان بوضوء خال من هذه الزيادة، وإلاّ فهو محكوم بالبطلان وعدم الصحة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فلاستصحاب الحدث لأنا كنا على يقين منه وبعد الإتيان </w:t>
      </w:r>
    </w:p>
    <w:p>
      <w:pPr>
        <w:pStyle w:val="BookText"/>
        <w:rPr/>
      </w:pPr>
      <w:r>
        <w:rPr>
          <w:rFonts w:ascii="Amiri" w:hAnsi="Amiri" w:eastAsia="Amiri" w:cs="Amiri"/>
          <w:color w:val="111111"/>
          <w:sz w:val="28"/>
          <w:sz w:val="28"/>
          <w:szCs w:val="28"/>
          <w:rtl w:val="true"/>
          <w:lang w:bidi="ar-SA"/>
        </w:rPr>
        <w:t xml:space="preserve">بالزيادة نشك في ارتفاعه فنستصحب بقاءه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كليهما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أصالة الاشتغال فقد تقدم منا سابقاً أن الشك في مثل هذا المورد من حيث الجزئية والشرطية يختلف باختلاف المباني، فإن كانت الطهارة أمراً واقعياً تكوينياً والشارع كاشف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الشيخ الأنصاري</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من موارد أصالة الاشتغال لأنه شك في المحصل إذ لا نعلم بحصول الطهارة الواقعية، والمرجع حينئذ أصالة 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كانت الطهارة أمراً اعتبارياً فهو من موارد مجرى البراءة لأنه شك في اشتراط عدم الزائد إذ لا نعلم أنّ الشارع اعتبر عدم الزائد أم لا فيعود إلى الشك في التكليف، والمرجع حينئذ هو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تقدم منا أيضاً أنّه يمكن أن يجعل المورد مجرى للبراءة لا للاشتغال حتى على القول الأول، وذلك لأنّ الطهارة وإن كانت أمراً واقعياً إلاّ أننا لسنا مكلفين بالواقع، وإنما مكلفون بما هو محدد لنا من قبل الشارع إذ ليس لنا طريق إلى الواقع إلاّ من طريقه، فكلما حدده الشارع فهو مورد التكليف وما عداه فلا تكليف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فلابد من تحصيل ما</w:t>
      </w:r>
    </w:p>
    <w:p>
      <w:pPr>
        <w:pStyle w:val="BookText"/>
        <w:rPr/>
      </w:pPr>
      <w:r>
        <w:rPr>
          <w:rFonts w:ascii="Amiri" w:hAnsi="Amiri" w:eastAsia="Amiri" w:cs="Amiri"/>
          <w:color w:val="111111"/>
          <w:sz w:val="28"/>
          <w:sz w:val="28"/>
          <w:szCs w:val="28"/>
          <w:rtl w:val="true"/>
          <w:lang w:bidi="ar-SA"/>
        </w:rPr>
        <w:t xml:space="preserve">تيقنا به وندفع ما نشك فيه زيادة أو نقيصة بإجراء البراءة فيه لأنه حينئذ يرجع إلى الشك في التكليف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استصحاب الحدث فلا مورد له فيما نحن فيه، إذ تقرر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إجراء البراءة في الجزء أو الشرط لا يبقى موضوعٌ للاستصحاب وتكون البراءة حاكمة على الاستصحاب، وإن كان الأمر في غير هذا المورد بالعكس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الغسلة الثالثة موجبة لفوات الموالاة في غسل الأعضاء فينخرم أحد شرائط الوضوء وذلك موجب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لا يفيد مطلقاً لأنّ فوت الموالاة لا يتحقق بغسلة واحدة فإنها لا تستغرق زمناً طويلاً بحيث تفوّت الموالاة بين الأعضاء، ولو سلمنا أن ذلك يتحقق بالنسبة إلى بعض الأشخاص إلاّ أن هذا ليس ضابطاً كلياً وعلى نحو الإطلاق، فلا يمكن الحكم بفساد الوضوء لهذه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الغسلة الثالثة توجب المسح بماء جديد غير ماء الوضوء ويكون الماء الواقع على أعضاء المسح ممزوجاً بماء الوضوء وغيره، وهذا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يمكن منعه في بعض الموارد كما إذا كانت الغسلة الثالثة للوجه واليد اليمنى دون اليد اليسرى، وعلى فرض أن غسل اليد اليمنى يوجب امتزاج الماء إلاّ أن غسل الوجه بالغسلة الثالثة لا علاقة له بالمسح، نعم يمكن تصور ذلك في اليد اليمنى فيما إذا كان الماء الباقي من غسلة اليد اليمنى غالباً على ما غسل اليد اليسرى، فيمتزج الماءان ويشكل المسح به على الرأس والرجل اليمنى، ولكنه إذا غسلت اليد اليمنى بغسلة ثالثة ثمّ جففت أو جفت من الهواء فحينئذ لا يلزم من ذلك المسح بماء جديد، فهذه الموارد لا توجب الغسلة الثالثة فيها بطلان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بالنسبة إلى اليد اليسرى فيمكن تصويره بأن تغسل اليد اليسرى بغسلة ثالثة ثمّ تجفف أو تجف، وللمسح يؤخذ الماء من اللحية فيما إذا كان الوجه مغسولاً بغسلة ثالثة، ففي بعض الحالات يمكن تصوير المسألة في اليد اليسرى من دون إشكال ولا ملازمة كلية في جميع الحالات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الغالب هو امتزاج ماء الوضوء بماء أجنبي خارج عنه إما لعدم غلبة الماء واستهلاكه أو لعدم الجفاف، وهذا يوجب البطلان، وعليه فما نسب إلى </w:t>
      </w:r>
    </w:p>
    <w:p>
      <w:pPr>
        <w:pStyle w:val="BookText"/>
        <w:rPr/>
      </w:pP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 xml:space="preserve">!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المسح بماء الوضوء غير صحيح فإن الماء ليس خالصاً بل ممزوجاً بماء خارج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مع ملاحظة الصور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الروايات الواردة في المقام هو الفساد، لأنّ في الزيادة خروجاً عن حدّ الوضوء ويكون حالها حال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الوارد في المقام روايتان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داود الرقي وقد تقدم ومحل الشاهد منها فيما نحن فيه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تزدن عليه وأنك إن زدت عليه فلا صلاة لك</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وهي من جهة الدلالة تامة ولا إشكال فيها وظاهرة في الفساد إلاّ أنها من جهة السند ضعيفة بأحمد بن سليمان فإنه لم يوثق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تعدى في الوضوء كان كناقضه</w:t>
      </w:r>
      <w:r>
        <w:rPr>
          <w:rStyle w:val="FootnoteAnchor"/>
          <w:rtl w:val="true"/>
        </w:rPr>
        <w:footnoteReference w:id="69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من جهة السند معتبرة ولا إشكال فيها، وأما من جهة الدلالة ففيها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التعدي من جهة الكم، ويحتمل أن يكون من جهة الكيف، فهي شاملة لمحل الكلام فإنّ الثلاث تعدٍ بلا إشكال،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كناقضه هذا في أكثر النسخ وقد رواها الصدوق في الفقيه</w:t>
      </w:r>
      <w:r>
        <w:rPr>
          <w:rStyle w:val="FootnoteAnchor"/>
          <w:rtl w:val="true"/>
        </w:rPr>
        <w:footnoteReference w:id="691"/>
      </w:r>
      <w:r>
        <w:rPr>
          <w:rFonts w:ascii="Amiri" w:hAnsi="Amiri" w:eastAsia="Amiri" w:cs="Amiri"/>
          <w:color w:val="111111"/>
          <w:sz w:val="28"/>
          <w:sz w:val="28"/>
          <w:szCs w:val="28"/>
          <w:rtl w:val="true"/>
          <w:lang w:bidi="ar-SA"/>
        </w:rPr>
        <w:t>وفي العلل</w:t>
      </w:r>
      <w:r>
        <w:rPr>
          <w:rStyle w:val="FootnoteAnchor"/>
          <w:rtl w:val="true"/>
        </w:rPr>
        <w:footnoteReference w:id="692"/>
      </w:r>
      <w:r>
        <w:rPr>
          <w:rFonts w:ascii="Amiri" w:hAnsi="Amiri" w:eastAsia="Amiri" w:cs="Amiri"/>
          <w:color w:val="111111"/>
          <w:sz w:val="28"/>
          <w:sz w:val="28"/>
          <w:szCs w:val="28"/>
          <w:rtl w:val="true"/>
          <w:lang w:bidi="ar-SA"/>
        </w:rPr>
        <w:t>كذلك، كما وردت أيضاً في تحف العقول</w:t>
      </w:r>
      <w:r>
        <w:rPr>
          <w:rStyle w:val="FootnoteAnchor"/>
          <w:rtl w:val="true"/>
        </w:rPr>
        <w:footnoteReference w:id="693"/>
      </w:r>
      <w:r>
        <w:rPr>
          <w:rFonts w:ascii="Amiri" w:hAnsi="Amiri" w:eastAsia="Amiri" w:cs="Amiri"/>
          <w:color w:val="111111"/>
          <w:sz w:val="28"/>
          <w:sz w:val="28"/>
          <w:szCs w:val="28"/>
          <w:rtl w:val="true"/>
          <w:lang w:bidi="ar-SA"/>
        </w:rPr>
        <w:t>ولكن فيحاشية الفقيه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نسخة مراد علي التفريشي</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كناقصه بالصاد كما أنها </w:t>
      </w:r>
      <w:bookmarkStart w:id="225" w:name="pg16387_188322"/>
    </w:p>
    <w:p>
      <w:pPr>
        <w:pStyle w:val="BookText"/>
        <w:rPr/>
      </w:pPr>
      <w:bookmarkEnd w:id="225"/>
      <w:r>
        <w:rPr>
          <w:rFonts w:ascii="Amiri" w:hAnsi="Amiri" w:eastAsia="Amiri" w:cs="Amiri"/>
          <w:color w:val="111111"/>
          <w:sz w:val="28"/>
          <w:sz w:val="28"/>
          <w:szCs w:val="28"/>
          <w:rtl w:val="true"/>
          <w:lang w:bidi="ar-SA"/>
        </w:rPr>
        <w:t>في حاشية الوافي</w:t>
      </w:r>
      <w:r>
        <w:rPr>
          <w:rStyle w:val="FootnoteAnchor"/>
          <w:rtl w:val="true"/>
        </w:rPr>
        <w:footnoteReference w:id="695"/>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يفسر التعدي بالنقصان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كانت بالصاد فهي أقوى في الدلالة من نسخة الضاد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التعدي بمنزلة النقصان فتكون الرواية دالة على البطلان، وإن كانت بالضاد فهي ليست صريحة في الدلالة على الفساد، لأنه إن كان المراد بالعبارة من تعدى فهو ناقض للوضوء فالدلالة تامة، وإن كان المراد كناقضه فليست صريحة في إفادة البطلان، فإنه كالناقض وليس ناقضاً وحيث لم يتبين المراد من هذه الرواية ولم تحرز قوة دلالتها فلا يمكن التمسك بها من هذه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في الروايات ما يدل على أنّ الغسلة الثالثة موجبة لبطلان الوضوء، ولكنها لما كانت توجب المسح بماء جديد فيحكم ببطلانه وفساده، ويتأكد هذا في الإتيان بها في اليد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استفادة الحكم بالبطلان من جهة الأصل، أو لفوات الموالاة، أو من جهة الروايات، فغير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فإذا جاء المكلف بالغسلة الثالثة ناوياً بها الجزئية والاستحباب اجتمعت الحرمة التكليفية والوضعية معاً، وأما إذا جاء بها من دون أن ينوي بها الاستحباب وإنما أتى بها لمجرد أنها فعل من الأفعال فهذا وإن لم يكن محرماً تكليفاً إلاّ أنّه محرم وضعاً ويحكم ببطلان الوضوء</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6877799_1280447820"/>
      <w:bookmarkStart w:id="227" w:name="_Toc77"/>
      <w:bookmarkEnd w:id="226"/>
      <w:r>
        <w:rPr>
          <w:rtl w:val="true"/>
        </w:rPr>
        <w:t>الجهة الرابعة</w:t>
      </w:r>
      <w:r>
        <w:rPr>
          <w:rtl w:val="true"/>
        </w:rPr>
        <w:t xml:space="preserve">: </w:t>
      </w:r>
      <w:r>
        <w:rPr>
          <w:rtl w:val="true"/>
        </w:rPr>
        <w:t>في حكم المسألة حال التقية</w:t>
      </w:r>
      <w:r>
        <w:rPr>
          <w:rtl w:val="true"/>
        </w:rPr>
        <w:t>:</w:t>
      </w:r>
      <w:bookmarkEnd w:id="227"/>
    </w:p>
    <w:p>
      <w:pPr>
        <w:pStyle w:val="BookText"/>
        <w:rPr/>
      </w:pPr>
      <w:r>
        <w:rPr>
          <w:rFonts w:ascii="Amiri" w:hAnsi="Amiri" w:eastAsia="Amiri" w:cs="Amiri"/>
          <w:color w:val="111111"/>
          <w:sz w:val="28"/>
          <w:sz w:val="28"/>
          <w:szCs w:val="28"/>
          <w:rtl w:val="true"/>
          <w:lang w:bidi="ar-SA"/>
        </w:rPr>
        <w:t>والكلام فيها من نواح أربع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ولا إشكال في وجوب الإتيان بالغسلة الثالثة في حال التقية للأدلة العامة وقد تقدمت، وللروايات الخاصة الواردة في المقام، </w:t>
      </w:r>
    </w:p>
    <w:p>
      <w:pPr>
        <w:pStyle w:val="BookText"/>
        <w:rPr/>
      </w:pPr>
      <w:r>
        <w:rPr>
          <w:rFonts w:ascii="IRNazanin" w:hAnsi="IRNazanin" w:eastAsia="IRNazanin"/>
          <w:color w:val="111111"/>
          <w:sz w:val="28"/>
          <w:sz w:val="28"/>
          <w:szCs w:val="28"/>
          <w:rtl w:val="true"/>
          <w:lang w:bidi="fa-IR"/>
        </w:rPr>
        <w:t xml:space="preserve">ومنها معتبرة علي بن يقطين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بالغسل ثلاثاً</w:t>
      </w:r>
      <w:r>
        <w:rPr>
          <w:rStyle w:val="FootnoteAnchor"/>
          <w:rtl w:val="true"/>
        </w:rPr>
        <w:footnoteReference w:id="696"/>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داود بن زربي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الوضوء،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ثلاثاً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تشهد بغداد وعساكرهم؟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يوماً أتوضأ في دار المهدي فرآني بعضهم وأنا لا أعلم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أنك فلاني وأنت تتوضأ هذا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والله أمرني</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ويؤيد ذلك رواية داود الرقي وقد تقدمت الإشارة إليها في أكثر من موضع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وجوب الإتيان بالثلاث 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التطبيق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قلنا بأن الغسلة هي الغرفة فكل غرفة غسلة فالأمر واضح، وأما إذا قلنا بأن الغرفة ليست هي الغسلة وإنما الغسلة هي غسل جميع أجزاء العضو فما لم يتحقق غسل الجميع لم تتحقق المرة، وحينئذ فإن كان العامة يعتبرون ذلك وأن مرادهم من الغسلة الثالثة غسلة كاملة فالتقية أيضاً واجبة ولابد من الإتيان بالغسلة الثالثة ولا مجال للتورية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كانوا يكتفون بالغرفة وإن لم تستوعب جميع الأجزاء، ونحن نقول بأن الغسل هو استيعاب الأجزاء بغسلة واحدة فحينئذ لا يتحقق موضوع التقية لأنّ الثالثة ليست حراماً ما لم يكمل غسل العضو بالثانية، فالتطبيق العملي للتقية يتوقف على أحد الأمرين الأولين دون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القصد وعدمه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أنّ الإتيان بها بقصد الجزئية أو الاستحباب تشريع محرم، وأما إذا جيء بها لا بهذا القصد فلا يكون بدعة ولا تشريعاً وحينئذ فهل يجب على </w:t>
      </w:r>
    </w:p>
    <w:p>
      <w:pPr>
        <w:pStyle w:val="BookText"/>
        <w:rPr/>
      </w:pPr>
      <w:r>
        <w:rPr>
          <w:rFonts w:ascii="Amiri" w:hAnsi="Amiri" w:eastAsia="Amiri" w:cs="Amiri"/>
          <w:color w:val="111111"/>
          <w:sz w:val="28"/>
          <w:sz w:val="28"/>
          <w:szCs w:val="28"/>
          <w:rtl w:val="true"/>
          <w:lang w:bidi="ar-SA"/>
        </w:rPr>
        <w:t>المكلف عدم هذا القصد؟ فإنّ التقية لا تتوقف على القصد،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قد تتحقق ولو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المكلف التورية أم لا ويكفي عدم قصد الجزئية؟</w:t>
      </w:r>
    </w:p>
    <w:p>
      <w:pPr>
        <w:pStyle w:val="BookText"/>
        <w:rPr/>
      </w:pPr>
      <w:r>
        <w:rPr>
          <w:rFonts w:ascii="IRNazanin" w:hAnsi="IRNazanin" w:eastAsia="IRNazanin"/>
          <w:color w:val="111111"/>
          <w:sz w:val="28"/>
          <w:sz w:val="28"/>
          <w:szCs w:val="28"/>
          <w:rtl w:val="true"/>
          <w:lang w:bidi="fa-IR"/>
        </w:rPr>
        <w:t xml:space="preserve">ومقتضى القاعدة في غير المورد أنّه إذا كان هناك مندوحة وجبت التورية، ولكن في مثل المقام وبعض الموارد الأخرى حيث إنّ الدليل ورد على نحو الإطلاق كما في معتبرة علي بن يقطين، وموثقة داود بن زربي، فإنه ورد الأمر فيهما بالغسل ثلاثاً مطلقاً ولم يفصل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القصد وغيره، مع أن المورد مما تعم به البلوى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البيان فالظاهر من ذلك عدم وجوب التورية في هذا المقام فيجوز له أن ينوي ويقصد الجزئية ويأتي بها بعنوان كونها جزءاً ويفعل كما يفعل العامة، فإنّ الإطلاق محكم ومقتضاه الجواز مطلقاً سواء قصد أو لم يقصد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بالنسبة للحكم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للحكم الوضعي أي فساد الوضوء وعدمه، من جهة ما ذكرنا من أنّه يلزم استعمال ماء خارج عن الوضوء والمسح به، فلا يفرق فيه هنا بين القصد وعدمه فإنه موجب لبطلان الوضوء، ولكن في حال التقية دل الدليل الخاص على عدم البطلان ولا يفرق فيه بين القصد وعدمه، وأما في غير حال التقية فهو موجب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مخالفة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خالف المكلف وظيفة التقية وأتى بالوضوء بوظيفته الأولية فهل يحكم ببطلان وضوئه أم لا؟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نظير هذه المسألة 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الغسلة الثالثة لما كانت ليست جزءاً ولا شرطاً ولا دخل لها في أي منهما فمقتضى القاعدة الحكم بصحة الوضوء، والاقتصار على المرتين حال التقية لا يوجب بطلانه،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التكليف الخاص لهذا المكلف المعين هو الوضوء على نحو التقية، والوضوء الاختياري ليس واجباً في حقه بل مبغوضاً عند الشارع وحينئذ يحكم ببطلان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لا يختص بهذا المورد وقد تقدم الكلام فيه،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استفادة المبغوضية عند الشارع من الروايات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الحكم بصحة الوضوء وإن لم يأت بالغسلة الثالثة أي لم يأت بوظيفة التقية وأتى بالوظيفة الواقعية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جهة القاعدة، وأما من جهة الرواية 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رواية داود الرقي تدل على بطلان الوضوء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سأله داود بن زربي عن عدة الطهارة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ثلاثاً من نقص عنه فلا صلاة 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ودلالة الرواية تامة، وإن أمكن المناقشة بأن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له لا تدل على البطلان بل على عدم تمامية الصلاة من جهة الثواب مثلاً أو نحو ذلك إلاّ أن هذه المناقشة غير تامة، فإنّ الظاهر من هذا التعبير هو نفي الطبيعة وهو يقتضي بطلان الصلاة كما في ذيل الرواية وهو شاهد على ذلك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زدت فلا صلاة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الرواية وإن كانت تامة دلالة إلاّ أنها ضعيفة سنداً، وعليه فلا مناص من العمل على طبق القاعدة وهي تقتضي الحكم بالصحة</w:t>
      </w:r>
      <w:r>
        <w:rPr>
          <w:rFonts w:eastAsia="IRNazanin" w:cs="IRNazanin"/>
          <w:color w:val="111111"/>
          <w:sz w:val="28"/>
          <w:szCs w:val="28"/>
          <w:rtl w:val="true"/>
          <w:lang w:bidi="fa-IR"/>
        </w:rPr>
        <w:t xml:space="preserve">. </w:t>
      </w:r>
      <w:bookmarkStart w:id="228" w:name="pg16387_188326"/>
    </w:p>
    <w:p>
      <w:pPr>
        <w:pStyle w:val="Heading3"/>
        <w:numPr>
          <w:ilvl w:val="2"/>
          <w:numId w:val="1"/>
        </w:numPr>
        <w:rPr/>
      </w:pPr>
      <w:bookmarkStart w:id="229" w:name="__RefHeading___Toc6877801_1280447820"/>
      <w:bookmarkStart w:id="230" w:name="_Toc78"/>
      <w:bookmarkEnd w:id="228"/>
      <w:bookmarkEnd w:id="229"/>
      <w:r>
        <w:rPr>
          <w:rtl w:val="true"/>
        </w:rPr>
        <w:t>المورد الثاني</w:t>
      </w:r>
      <w:r>
        <w:rPr>
          <w:rtl w:val="true"/>
        </w:rPr>
        <w:t>:</w:t>
      </w:r>
      <w:bookmarkEnd w:id="230"/>
    </w:p>
    <w:p>
      <w:pPr>
        <w:pStyle w:val="BookText"/>
        <w:rPr/>
      </w:pPr>
      <w:r>
        <w:rPr>
          <w:rFonts w:ascii="Amiri" w:hAnsi="Amiri" w:eastAsia="Amiri" w:cs="Amiri"/>
          <w:color w:val="111111"/>
          <w:sz w:val="28"/>
          <w:sz w:val="28"/>
          <w:szCs w:val="28"/>
          <w:rtl w:val="true"/>
          <w:lang w:bidi="ar-SA"/>
        </w:rPr>
        <w:t xml:space="preserve">في غسل الوجه واليدين من حيث الكيفية أي من الأعلى إلى الأسفل أو بالعكس، وهو محل الخلاف بين الخاصة والعامة، فالمتسالم عليه عند الخاصة هو وجوب الغسل من قصاص الشعر إلى الذقن في الوجه ومن المرفق إلى أطراف الأصابع في اليدين، بل ادعي عليه الإجماع، ونسب الخلاف إلى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قوليه فقد نقل عنه في المصباح</w:t>
      </w:r>
      <w:r>
        <w:rPr>
          <w:rStyle w:val="FootnoteAnchor"/>
          <w:rtl w:val="true"/>
        </w:rPr>
        <w:footnoteReference w:id="698"/>
      </w:r>
      <w:r>
        <w:rPr>
          <w:rFonts w:ascii="Amiri" w:hAnsi="Amiri" w:eastAsia="Amiri" w:cs="Amiri"/>
          <w:color w:val="111111"/>
          <w:sz w:val="28"/>
          <w:sz w:val="28"/>
          <w:szCs w:val="28"/>
          <w:rtl w:val="true"/>
          <w:lang w:bidi="ar-SA"/>
        </w:rPr>
        <w:t>القول بعدم الوجوب وذهب ابن إدريس في السرائر</w:t>
      </w:r>
      <w:r>
        <w:rPr>
          <w:rStyle w:val="FootnoteAnchor"/>
          <w:rtl w:val="true"/>
        </w:rPr>
        <w:footnoteReference w:id="699"/>
      </w:r>
      <w:r>
        <w:rPr>
          <w:rFonts w:ascii="Amiri" w:hAnsi="Amiri" w:eastAsia="Amiri" w:cs="Amiri"/>
          <w:color w:val="111111"/>
          <w:sz w:val="28"/>
          <w:sz w:val="28"/>
          <w:szCs w:val="28"/>
          <w:rtl w:val="true"/>
          <w:lang w:bidi="ar-SA"/>
        </w:rPr>
        <w:t>إلى القول بكراهة النكس ومال إليه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فقالوا بجواز النكس، بل نسب إلى بعضهم القول بالاستحباب، ففي مفاتيح الغيب للرازي أنّه جعل من السنة الابتداء من الأصابع، ونسبه إلى جمهور الفقهاء</w:t>
      </w:r>
      <w:r>
        <w:rPr>
          <w:rStyle w:val="FootnoteAnchor"/>
          <w:rtl w:val="true"/>
        </w:rPr>
        <w:footnoteReference w:id="700"/>
      </w:r>
      <w:r>
        <w:rPr>
          <w:rFonts w:ascii="Amiri" w:hAnsi="Amiri" w:eastAsia="Amiri" w:cs="Amiri"/>
          <w:color w:val="111111"/>
          <w:sz w:val="28"/>
          <w:sz w:val="28"/>
          <w:szCs w:val="28"/>
          <w:rtl w:val="true"/>
          <w:lang w:bidi="ar-SA"/>
        </w:rPr>
        <w:t>وقريب منه ما في الفقه على المذاهب الأربعة</w:t>
      </w:r>
      <w:r>
        <w:rPr>
          <w:rStyle w:val="FootnoteAnchor"/>
          <w:rtl w:val="true"/>
        </w:rPr>
        <w:footnoteReference w:id="701"/>
      </w:r>
      <w:r>
        <w:rPr>
          <w:rFonts w:ascii="Amiri" w:hAnsi="Amiri" w:eastAsia="Amiri" w:cs="Amiri"/>
          <w:color w:val="111111"/>
          <w:sz w:val="28"/>
          <w:sz w:val="28"/>
          <w:szCs w:val="28"/>
          <w:rtl w:val="true"/>
          <w:lang w:bidi="ar-SA"/>
        </w:rPr>
        <w:t>ومثله ما في البدايع</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فهم بين من يقول بالجواز وبين من يقول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البحث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المسألة حال التقية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 تارة في الأصل العملي وأخرى في الأصل اللفظي وثالثة في الأدلة الخاصة الواردة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بالنسبة إلى الأصل العملي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منا أنّ الأصل العملي ومقتضاه يبتني على كون الواجب هو الطهارة المسببة عن الغسلات والمسحات، أو هو نفس الأفعال وبعبارة أخرى يتوقف الأصل على أنّ الطهارة أمر تكويني وهو الواجب، فيجب تحصيله والشارع إنما هو كاشف عنه فتكون الأجزاء والشرائط محصلة لذلك الأمر التكويني أيالطهارة الواقعية، أو ليس الأمر كذلك بل الطهارة هي نفس الغسلات والمسحات، وقد تقدم منّا أنّ الأصل يختلف باختلاف المباني في المقام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فالمشهور أنّ الشك هنا شك في المحصل ولابد من الاحتياط بمعنى أنا إذا شككنا أنّ الابتداء من الأعلى معتبر أم لا في تحصيل الواجب فمقتضى الاشتغال اليقيني إبراء الذمة بلزوم الابتداء من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وليس وراء الغسلات والمسحات شيء آخر فالشك حينئذ في اعتبار الابتداء من الأعلى أو بالعكس شك في الزائد، ومرجعه إلى الشك في التكليف وهو مجرى أصالة البراءة، بناء على أنّ مجرى الشك بين الأقل والأكثر هو البراءة، وأما على القول بعدم جريان البراءة عند الشك فيه فمقتضى الأصل حينئذ هو الاحتياط، ولكن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على المبنى الأول يمكن إجراء البراءة، وذلك فيما إذا كان المدار هو الطهارة المحددة من قبل الشارع لا طبيعي الطهارة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الأصل اللفظي فها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w:t>
      </w:r>
      <w:r>
        <w:rPr>
          <w:rFonts w:eastAsia="Amiri" w:cs="Amiri" w:ascii="Amiri" w:hAnsi="Amiri"/>
          <w:color w:val="111111"/>
          <w:sz w:val="28"/>
          <w:szCs w:val="28"/>
          <w:rtl w:val="true"/>
          <w:lang w:bidi="ar-SA"/>
        </w:rPr>
        <w:t>... )</w:t>
      </w:r>
      <w:r>
        <w:rPr>
          <w:rStyle w:val="FootnoteAnchor"/>
          <w:rtl w:val="true"/>
        </w:rPr>
        <w:footnoteReference w:id="70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الآية مطلقة بالنسبة إلى الوجه واليدين، وإنما وردت لتحديد مواضع الغسل وحدودها، وأما كيفية الغسل هل هو من الأعلى أو بالعكس؟ فهي غير </w:t>
      </w:r>
    </w:p>
    <w:p>
      <w:pPr>
        <w:pStyle w:val="BookText"/>
        <w:rPr/>
      </w:pPr>
      <w:r>
        <w:rPr>
          <w:rFonts w:ascii="Amiri" w:hAnsi="Amiri" w:eastAsia="Amiri" w:cs="Amiri"/>
          <w:color w:val="111111"/>
          <w:sz w:val="28"/>
          <w:sz w:val="28"/>
          <w:szCs w:val="28"/>
          <w:rtl w:val="true"/>
          <w:lang w:bidi="ar-SA"/>
        </w:rPr>
        <w:t>دالة على أحدهما،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منصرفة إلى ما هو المتعارف بين الناس من أنهم يبدأون في الغسل من الأعلى فتكون الآية دليلاً على ما ذهب إليه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بيان الإطلاق في الآية فهو من جهة المعاني المحتملة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الآية، 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بمعناها الظاهر منها وهو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بمعنى من كما فسرت في بعض الروايات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بمعنى مع كما ورد في بعض الآيات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أَمْوَالَهُمْ إِلَى أَمْوَالِكُمْ</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أي مع أموالكم، وورد في بعض الروايات أن إلى بمعنى مع تفسيراً لآية الوضوء أي اغسلوا اليدين مع المرافق، ولم يخالف في ذلك أحد إلاّ نفر من العامة،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إنّالمرفق ليس داخلاً في اليد</w:t>
      </w:r>
      <w:r>
        <w:rPr>
          <w:rStyle w:val="FootnoteAnchor"/>
          <w:rtl w:val="true"/>
        </w:rPr>
        <w:footnoteReference w:id="705"/>
      </w:r>
      <w:r>
        <w:rPr>
          <w:rFonts w:ascii="Amiri" w:hAnsi="Amiri" w:eastAsia="Amiri" w:cs="Amiri"/>
          <w:color w:val="111111"/>
          <w:sz w:val="28"/>
          <w:sz w:val="28"/>
          <w:szCs w:val="28"/>
          <w:rtl w:val="true"/>
          <w:lang w:bidi="ar-SA"/>
        </w:rPr>
        <w:t xml:space="preserve">، ومن عداهم من كافة المسلمين متفقون على دخول المرفق في المغسول، والظاهر من هذه الاحتمالات هو الأول،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الانتهاء والآية مع ذلك مطلقة لأن الانتهاء المستفاد من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قيداً للمغسول، أو قيداً للغسل، أو قيداً لكليهما، والأول هو المتيقن دون الأخيرين، وذلك لأنّ اليد لفظ مشترك أو كالمشترك يستعمل في معان متعددة بواسطة الأفعال المتعلقة بها، فتارة تطلق على جميع العضو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المنكب إلى أطراف الأصابع كما في العرف واللغة</w:t>
      </w:r>
      <w:r>
        <w:rPr>
          <w:rStyle w:val="FootnoteAnchor"/>
          <w:rtl w:val="true"/>
        </w:rPr>
        <w:footnoteReference w:id="706"/>
      </w:r>
      <w:r>
        <w:rPr>
          <w:rFonts w:ascii="Amiri" w:hAnsi="Amiri" w:eastAsia="Amiri" w:cs="Amiri"/>
          <w:color w:val="111111"/>
          <w:sz w:val="28"/>
          <w:sz w:val="28"/>
          <w:szCs w:val="28"/>
          <w:rtl w:val="true"/>
          <w:lang w:bidi="ar-SA"/>
        </w:rPr>
        <w:t>، وأخرى تطلق على المرفق فما تحته كما في آية الوضوء</w:t>
      </w:r>
      <w:r>
        <w:rPr>
          <w:rStyle w:val="FootnoteAnchor"/>
          <w:rtl w:val="true"/>
        </w:rPr>
        <w:footnoteReference w:id="707"/>
      </w:r>
      <w:r>
        <w:rPr>
          <w:rFonts w:ascii="Amiri" w:hAnsi="Amiri" w:eastAsia="Amiri" w:cs="Amiri"/>
          <w:color w:val="111111"/>
          <w:sz w:val="28"/>
          <w:sz w:val="28"/>
          <w:szCs w:val="28"/>
          <w:rtl w:val="true"/>
          <w:lang w:bidi="ar-SA"/>
        </w:rPr>
        <w:t>، وثالثة تطلق على الزند فما تحته كما في آية التيمم</w:t>
      </w:r>
      <w:r>
        <w:rPr>
          <w:rStyle w:val="FootnoteAnchor"/>
          <w:rtl w:val="true"/>
        </w:rPr>
        <w:footnoteReference w:id="708"/>
      </w:r>
      <w:r>
        <w:rPr>
          <w:rFonts w:ascii="Amiri" w:hAnsi="Amiri" w:eastAsia="Amiri" w:cs="Amiri"/>
          <w:color w:val="111111"/>
          <w:sz w:val="28"/>
          <w:sz w:val="28"/>
          <w:szCs w:val="28"/>
          <w:rtl w:val="true"/>
          <w:lang w:bidi="ar-SA"/>
        </w:rPr>
        <w:t>، وقد تطلق على أصول الأصابع كما في آية السرقة</w:t>
      </w:r>
      <w:r>
        <w:rPr>
          <w:rStyle w:val="FootnoteAnchor"/>
          <w:rtl w:val="true"/>
        </w:rPr>
        <w:footnoteReference w:id="70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خلال هذه الاستعمالات يتبين أنّ معنى اليد مجمل، ولابد في بيان المراد منها من قرينة وهي تختلف باختلاف الموارد، وحيث إنّ الغسل لا قرينة فيه على تعيين العضو المغسول فهو قابل للانطباق على جميع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قد تقرر أنّ المراد ليس هو جميع العضو فلابد من البيان فهذا القيد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للمقدار المغسول وهو إلى المرفق، وحينئذ فالقدر المتيقن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للمغسول هذا من جهة، ومن جهة أخرى أنّ كون إلى قيداً إلى المغسول وهو اليد أقرب منه إلى الغسل، وعند الدوران بين رجوع القيد إلى الغسل أو إلى اليد فالمرجح رجوعه إلى اليد، وأما القول برجوع القيد إلى الغسل فهو باطل قطعاً وذلك لأنّه يلزم الحكم بخلاف ما أجمعت الأمة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البيان</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الأمة قاطبة من الخاصة والعامة اتفقت على جواز الغسل من المرفق إلى الأصابع ولا يوجبون العكس، وغاية ما ذهب إليه العامة هو القول باستحباب النكس لا بوجوبه، ولم يذكر في ذلك خلاف إلاّ عن بعض العامة، فعلى القول برجوع القيد إلى الغسل لابد من الالتزام بعدم جواز الغسل من المرفق إلى الأصابع ولا يمكن الالتزام به حتى من العامة، فإنهم لا يقولون بذلك، فإنّ الآية عندهم مطلقة وإنما قالوا بجواز النكس أواستحبابه للروايات التي استندوا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برجوع القيد إلى كل منهما فهو أيضاً لا يمكن الالتزام به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المحذور المتقدم وهو الحكم بخلاف ما أجمعت عليه الأمة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استعمال اللفظ وهو القيد في أمرين أي الغسل والمغسول ومحذوره أشدّ من محذور استعمال اللفظ في معنيين، وذلك لأنّ الغسل والمغسول هنا في مرتبتين فإنّ المغسول بمنزلة الموضوع وهو متعلق الغسل فلابد من فرض </w:t>
      </w:r>
    </w:p>
    <w:p>
      <w:pPr>
        <w:pStyle w:val="BookText"/>
        <w:rPr/>
      </w:pPr>
      <w:r>
        <w:rPr>
          <w:rFonts w:ascii="Amiri" w:hAnsi="Amiri" w:eastAsia="Amiri" w:cs="Amiri"/>
          <w:color w:val="111111"/>
          <w:sz w:val="28"/>
          <w:sz w:val="28"/>
          <w:szCs w:val="28"/>
          <w:rtl w:val="true"/>
          <w:lang w:bidi="ar-SA"/>
        </w:rPr>
        <w:t xml:space="preserve">وجوده قبل الغسل حتى يجب غسله فيكون قيداً في حال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متقدماً ومتأخراً وفيه ما لا يخفى، وبناء على ذلك فالقاعدة تقتضي أن يكون القيد راجعاً إلى المغسول فيتعين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مطلقة إن لم نقل بالانصراف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فقد ورد في كثير منها الأمر بغسل الوجه واليدين من دون بيان لكيفية الغسل، فهي مطلقة من هذه الناحية وحينئذ تصل النوبة إلى الدليل الثالث الخاص الوارد في المقام وبه يقيد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 الإطلاق من الآية الشريفة ومن بعض الروايات لابد من التماس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تعيين كيفية الغسل، وهذا الأمر مشترك بيننا وبين العامة فكما أنّ علينا أن نستدل بالأدلة الخاصة من السنة وغيرها لإثبات اعتبار الابتداء في الغسل من الأعلى، كذلك العامة لابد لهم من دليل خاص على استحباب النكس لأنّه تقييد لإطلاق الآية، ولابد من بيانه ولعلنا نشير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أدلتنا على وجوب الابتداء في الغسل من الأعلى فهي الروايات والإجماع والسيرة، وعمدتها الروايات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ورد من الروايات دال على وجوب الابتداء من الأعلى ولم يرد ولو في رواية واحدة الدلالة على جواز النكس، وأما هذه الروايات فهي على طوائف</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البيانية التي تحكي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عدة 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أحكي لكم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فدعا بقعب فيه شيء من ماء فوضعه بين يديه، ثمّ حسر عن ذراعيه، ثمّ غمس فيه كفه اليمنى،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إذا كانت الكف طاهرة، </w:t>
      </w:r>
    </w:p>
    <w:p>
      <w:pPr>
        <w:pStyle w:val="BookText"/>
        <w:rPr/>
      </w:pPr>
      <w:r>
        <w:rPr>
          <w:rFonts w:ascii="Amiri" w:hAnsi="Amiri" w:eastAsia="Amiri" w:cs="Amiri"/>
          <w:color w:val="111111"/>
          <w:sz w:val="28"/>
          <w:sz w:val="28"/>
          <w:szCs w:val="28"/>
          <w:rtl w:val="true"/>
          <w:lang w:bidi="ar-SA"/>
        </w:rPr>
        <w:t>ثمّ غرف ملأها ماء فوضعها على 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وسدله على أطراف لحيته، ثمّ أمر يده على وجهه وظاهر جبهته مرةواحدة، ثمّ غمس يده اليسرى فغرف بها ملأها، ثمّ وضعه على مرفقه اليمنى فأمر كفه على ساعده حتى جرى الماء على أطراف أصابعه، ثمّ غرف بيمينه ملأها فوضعه على مرفقه اليسرى فأمر كفه على ساعده حتى جرى الماء على أطراف أصابعه </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والرواية صريحة الدلالة في أن الابتداء في غسل الوجه من الجبهة وهي أعلى الوجه وفي غسل اليدين من المرفقين،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الحكاية لفعل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كان هناك استحباب للنكس أو غيره لكان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يحكيه فعدم حكايته إلاّ هذه الصورة واقتصاره على هذه الكيفية دليل على عدم وجود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وبكير، أنهما سألا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فدعا بطست أو تور فيه ماء، فغمس يده اليمنى فغرف بها غرفة فصبها على وجهه فغسل بها وجهه، ثمّ غمس كفه اليسرى فغرف بها غرفة وأفرغ على ذراعه اليمنى فغسل بها ذراعه من المرفق، إلى الكف لا يردها إلى المرفق، ثمّ غمس كفّه اليمنى وأفرغ بها على ذراعه اليسرى من المرفق وصنع بها مثل ما صنع باليمنى </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وهذه الرواية أظهر من الرواية السابقة، وفيها تأكيد على أنّ الغسل كان من الأعلى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بها ذراعه من المرفق إلى الكف لا يردها إلى المرفق، وهذه العبارة وما بعدها وإن كانت من كلام الراوي إلاّ أنّه كان ينقل فعل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حكاية لفعل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دالة على ما نحن فيه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بكير وزرارة ابني أعين، أنهما سألا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وضوء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بطست أو بتور فيه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غمس كفه اليمنى في الماء واغترف بها من الماء فغسل يده اليمنى من المرفق إلى الأصابع لا يرد الماء إلى المرفقين </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وهذه الرواية عين الرواية السابقة إلاّ في بعض الألفاظ وقد رواها الشيخ في التهذيب</w:t>
      </w:r>
      <w:r>
        <w:rPr>
          <w:rStyle w:val="FootnoteAnchor"/>
          <w:rtl w:val="true"/>
        </w:rPr>
        <w:footnoteReference w:id="714"/>
      </w:r>
      <w:r>
        <w:rPr>
          <w:rFonts w:ascii="Amiri" w:hAnsi="Amiri" w:eastAsia="Amiri" w:cs="Amiri"/>
          <w:color w:val="111111"/>
          <w:sz w:val="28"/>
          <w:sz w:val="28"/>
          <w:szCs w:val="28"/>
          <w:rtl w:val="true"/>
          <w:lang w:bidi="ar-SA"/>
        </w:rPr>
        <w:t>بطريقه إلى بكير وزرارة، وأما الرواية السابقة فهي بطريق الكليني ولا يبعد أنها رواية واحدة كما أشار إليه صاحبالوسائل</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تدل على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في الكافي عن محمّد بن الحسن وغيره، عن سهل بن زياد، عن علي بن الحكم، عن الهيثم بن عروة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وُجُوهَكُمْ وَأَيْدِيَكُمْ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ومسحت من ظهر كفي إلى المرفق،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هكذا تنزيلها وإنما هي فاغسلوا وجوهكم وأيديكم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المرافق، ثمّ أمر يده من مرفقه إلى أصابعه</w:t>
      </w:r>
      <w:r>
        <w:rPr>
          <w:rStyle w:val="FootnoteAnchor"/>
          <w:rtl w:val="true"/>
        </w:rPr>
        <w:footnoteReference w:id="71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والرواية من جهة دلالتها واضحة،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يده من مرفقه إلى أصابعه وفسر المراد من الآية بهذه الكيفية، فلابد من الغسل بهذا النحو، إلاّ أن الرواية وردت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نسخة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نسخة أخرى كما في نسخة الوافي</w:t>
      </w:r>
      <w:r>
        <w:rPr>
          <w:rStyle w:val="FootnoteAnchor"/>
          <w:rtl w:val="true"/>
        </w:rPr>
        <w:footnoteReference w:id="717"/>
      </w:r>
      <w:r>
        <w:rPr>
          <w:rFonts w:ascii="Amiri" w:hAnsi="Amiri" w:eastAsia="Amiri" w:cs="Amiri"/>
          <w:color w:val="111111"/>
          <w:sz w:val="28"/>
          <w:sz w:val="28"/>
          <w:szCs w:val="28"/>
          <w:rtl w:val="true"/>
          <w:lang w:bidi="ar-SA"/>
        </w:rPr>
        <w:t xml:space="preserve">، والظاهر أنّ النسخة الصحيحة هي المشتملة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نسخة جامع الأحاديث</w:t>
      </w:r>
      <w:r>
        <w:rPr>
          <w:rStyle w:val="FootnoteAnchor"/>
          <w:rtl w:val="true"/>
        </w:rPr>
        <w:footnoteReference w:id="718"/>
      </w:r>
      <w:r>
        <w:rPr>
          <w:rFonts w:ascii="IRNazanin" w:hAnsi="IRNazanin" w:eastAsia="IRNazanin"/>
          <w:color w:val="111111"/>
          <w:sz w:val="28"/>
          <w:sz w:val="28"/>
          <w:szCs w:val="28"/>
          <w:rtl w:val="true"/>
          <w:lang w:bidi="fa-IR"/>
        </w:rPr>
        <w:t xml:space="preserve">وإلاّ فلا فرق بين كلام الراوي وكلام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قراءة </w:t>
      </w:r>
    </w:p>
    <w:p>
      <w:pPr>
        <w:pStyle w:val="BookText"/>
        <w:rPr/>
      </w:pPr>
      <w:r>
        <w:rPr>
          <w:rFonts w:ascii="IRNazanin" w:hAnsi="IRNazanin" w:eastAsia="IRNazanin"/>
          <w:color w:val="111111"/>
          <w:sz w:val="28"/>
          <w:sz w:val="28"/>
          <w:szCs w:val="28"/>
          <w:rtl w:val="true"/>
          <w:lang w:bidi="fa-IR"/>
        </w:rPr>
        <w:t xml:space="preserve">الآية، ولا معنى لاعتراض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السائل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هكذا تنزيلها، مضافاً إلى أنّ الشيخ حملها على أن هذا قراءة جائزة في الآية، أو بحمل التنزيل على التفسير، وهذا دليل على أنّ نسخة الشيخ جاءت بمن أيضاً وإلاّ فلا حاجة إلى التماس المحامل، ثمّ إنّ معنى التنزيل في الرواية يدور بين محتملات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هكذا تنزيلها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نزول الوحي بها يعني أنّ الوحي نزل بها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هذا هو المراد فالرواية ساقطة عن الاعتبار ولا يمكن الأخذ بها لأنها حينئذ منافية لما تقدم من الروايات البيانية وغيرها من أنّ الآية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منافية لما ورد من أنّها بمعنى 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جواز القراءة بها بمعنى أنّ في الآية قراءتينإحداهما بمن ، والاُخرى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هذا الاحتمال خلاف ظاهر الرواية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هكذا تنزيلها</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التنزيل هو التأويل أو التفسير بمعنى أن تفسير الآية هو ما ذكره لا ما فعله الراوي، وحينئذ فلا يرد إشكال عليه ويكون موافقاً للروايات البيانية، ولا يتنافى مع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قطع النظر عن هذه الجملة فذيل الرواية صريح في أنّ الغسل إنما هو من المرفق، هذا من جهة الدلالة، وأما من جهة السند ففيه سهل بن زياد وهو مورد للخلاف وقد رجحنا في محله عدم ثبوت وثاقته، إلاّ أنّه يمكن تصحيح طريق هذه الرواية من جهة أنّ لعلي بن الحكم المذكور في الرواية بعد سهل كتاباً وليس له رواية، وقد روى كتابه جماعة</w:t>
      </w:r>
      <w:r>
        <w:rPr>
          <w:rStyle w:val="FootnoteAnchor"/>
          <w:rtl w:val="true"/>
        </w:rPr>
        <w:footnoteReference w:id="719"/>
      </w:r>
      <w:r>
        <w:rPr>
          <w:rFonts w:ascii="Amiri" w:hAnsi="Amiri" w:eastAsia="Amiri" w:cs="Amiri"/>
          <w:color w:val="111111"/>
          <w:sz w:val="28"/>
          <w:sz w:val="28"/>
          <w:szCs w:val="28"/>
          <w:rtl w:val="true"/>
          <w:lang w:bidi="ar-SA"/>
        </w:rPr>
        <w:t>من الأصحاب وللشيخ طرق متعددة إلى كتابه، وجاء في فهرست</w:t>
      </w:r>
      <w:r>
        <w:rPr>
          <w:rStyle w:val="FootnoteAnchor"/>
          <w:rtl w:val="true"/>
        </w:rPr>
        <w:footnoteReference w:id="720"/>
      </w:r>
      <w:r>
        <w:rPr>
          <w:rFonts w:ascii="Amiri" w:hAnsi="Amiri" w:eastAsia="Amiri" w:cs="Amiri"/>
          <w:color w:val="111111"/>
          <w:sz w:val="28"/>
          <w:sz w:val="28"/>
          <w:szCs w:val="28"/>
          <w:rtl w:val="true"/>
          <w:lang w:bidi="ar-SA"/>
        </w:rPr>
        <w:t>الشيخ ورجال النجاشي</w:t>
      </w:r>
      <w:r>
        <w:rPr>
          <w:rStyle w:val="FootnoteAnchor"/>
          <w:rtl w:val="true"/>
        </w:rPr>
        <w:footnoteReference w:id="721"/>
      </w:r>
      <w:r>
        <w:rPr>
          <w:rFonts w:ascii="Amiri" w:hAnsi="Amiri" w:eastAsia="Amiri" w:cs="Amiri"/>
          <w:color w:val="111111"/>
          <w:sz w:val="28"/>
          <w:sz w:val="28"/>
          <w:szCs w:val="28"/>
          <w:rtl w:val="true"/>
          <w:lang w:bidi="ar-SA"/>
        </w:rPr>
        <w:t xml:space="preserve">أنّ محمّد بن السندي وأحمد بن محمد، ومحمّد بن </w:t>
      </w:r>
    </w:p>
    <w:p>
      <w:pPr>
        <w:pStyle w:val="BookText"/>
        <w:rPr/>
      </w:pPr>
      <w:r>
        <w:rPr>
          <w:rFonts w:ascii="Amiri" w:hAnsi="Amiri" w:eastAsia="Amiri" w:cs="Amiri"/>
          <w:color w:val="111111"/>
          <w:sz w:val="28"/>
          <w:sz w:val="28"/>
          <w:szCs w:val="28"/>
          <w:rtl w:val="true"/>
          <w:lang w:bidi="ar-SA"/>
        </w:rPr>
        <w:t>إسماعيل وأحمد بن أبي عبد الله يروون الكتاب فلا يختص الطريق بسهل بن زياد، وبناء على هذا فيمكن تصحيح الرواية ولا بأس بالاستدلال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المستدرك عن كشف الغمة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حديثاً في ابتداء النبوة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عليه جبرئيل وأنزل عليه ماء من السماء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قم توضأ للصلاة، فعلّمه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على الوجه واليدين من المرفق ومسح الرأس والرجلين إلى الكعبين</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المستدرك أيضاً عن كتاب الاستغاثة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مصحف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الأئمة من ولده صلوات الله عليهم من المرافق وإلى الكعبين، حدثنا بذلك علي بن إبراهيم بن هاشم القمي، عن أبيه، عن الحسن بن محبوب عن علي بن رئاب، عن جعفر بن محمد، عن آبائه صلوات الله عليهم أنّ التنزيل في مصحف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قمتم إلى الصلاة فاغسلوا وجوهكم وأيديكم من المرافق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ورواية كشف الغمة وإن لم تشتمل على الآية وتفسير إلى بمعنى من، إلاّ أنّه لما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جبرئيل الوضوء على الوجه واليدين منالمرفق، فتدخل في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الروايتين الأخيرتين غير تامتين من حيث السند فيمكن اعتبارهما مؤيدتين للرواية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أنّ الغسل إلى المرافق حال التقية ولزوم الغسل من المرافق بعد ارتفاعها، ومنها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معتبرة علي بن يقطين فقد جاء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آمرك به في ذلك أن تمضمض ثلاثاً، وتستنشق ثلاثاً، وتغسل وجهك ثلاثاً، وتخلل شعر لحيتك، وتغسل يديك إلى المرفقين ثلاثاً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وجاء في ذيل الرواية بعد ارتفاع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ابتدء من الآن يا علي بن يقطين وتوضأ كما أمرك الله تعالى اغسل وجهك مرة فريضة وأخرى اسباغاً، واغسل يديك من المرفقين </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والرواية تامة السند صريحة الدلالة على أن ابتداء الغسل من المرفقين في حال 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التي تدل على عدم رد الشعر في غسل اليدين ومن ذلك صحيحة زرارة بن أعين قال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حد الوجه الذي ينبغي أن يوضأ الذي قال الله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الذي قال الله تعالى وأمر الله بغسله الذي لا ينبغي لأحد أن يزيد عليه ولا ينقص منه، إن زاد عليه لم يوجر وإن نقص منه أثم، ما دارت عليه الوسطى والإبهام من قصاص شعر الرأس إلى الذقن وما جرت عليه الاصبعان مستديراً فهو من الوجه، وما سوى ذلك فليس من الوجه،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الصدغ من الوجه؟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أحاط به 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أحاط به من الشعر فليس على العباد أن يطلبوه ولا يبحثوا عنه ولكن يجري عليه الماء، وحد غسل اليدين من المرفق إلى أطراف الأصابع، وحد مسح الرأس أن تمسح بثلاث أصابع مضمومة من مقدم الرأس، وحد مسح الرجلين أن تضع كفيك على أطراف أصابع رجليك وتمدهما إلى الكعبين فتبدأ بالرجل اليمنى في المسح قبل اليسرى، ويكون ذلك بما بقي في اليدين من النداوة من غير أن تجدد له ماء ولا ترد الشعر في غسل اليدين ولا في مسح الرأس والقدمين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ومحل الشاهد من هذه الرواية هي الجملة الأخيرة فلا معنى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ترد الشعر، إلاّ عدم جواز النكس وهو لزوم الغسل من المرفق، وهذه الجملة </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غسل اليدين من المرفق إلى أطراف الأصابع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المستدرك عن العياشي في تفسيره،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 رجل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يعني المسح على الرأس والرجلين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أيديكم إلى المرافق فكيف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 يأخذ الماء بيده اليمنى فيصبه في اليسرى، ثمّ يفضه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المرفق ثمّ يمسح إلى الكف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 مرتين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آخر فعل، وإلاّ فلا</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ومفاد الجملة الأخيرة أنّه لا يجوز رد الشعر إلاّ في 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واضحة الدلالة إلاّ أنها من جهة السند غير معتبرة لعدم وضوح طريق العياشي إلى صفوان، نعم إذا كان كتاب صفوان مشهوراً معروفاً أمكن الاستدلال بها وإلاّ فهي مؤيدة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استحباب البدئة في الغسل بباطن الذراع للنساء وبظاهره للرجال، ومنها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صحيحة محمّد بن إسماعيل بن بزيع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على النساء في الوضوء للصلاة أن يبتدئن بباطن أذرعهن وفي الرجال بظاهر الذراع</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في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عزوجل على النساء في الوضوء أن تبدأ بباطن ذراعيها والرجل بظاهر الذراع</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في الخصال بسنده عن جابر بن يزيد الجعفي، عن </w:t>
      </w:r>
    </w:p>
    <w:p>
      <w:pPr>
        <w:pStyle w:val="BookText"/>
        <w:rPr/>
      </w:pPr>
      <w:r>
        <w:rPr>
          <w:rFonts w:ascii="Amiri" w:hAnsi="Amiri" w:eastAsia="Amiri" w:cs="Amiri"/>
          <w:color w:val="111111"/>
          <w:sz w:val="28"/>
          <w:sz w:val="28"/>
          <w:szCs w:val="28"/>
          <w:rtl w:val="true"/>
          <w:lang w:bidi="ar-SA"/>
        </w:rPr>
        <w:t xml:space="preserve">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وتبدأ في الوضوء بباطن الذراع، والرجل بظاهره</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وهذه الروايات تدل على ما ذكرنا، وأنه لا يستحب الغسل من الأصابعبل المستحب هو من الذراع إما باطنه أو ظاهره، وهذا الاستحباب في مقابل القول باستحباب البدئة من الأصابع، وإلاّ فالواجب هو الابتداء من الأعلى وهو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الاستحباب يتوقف على أنّ المراد من الذراع غير الكف والأصابع كما هو الظاهر، وأما إذا كانت الذراع شاملة للكف والأصابع فلا دلالة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الروايات بطوائفها الخمس وغيرها تدل على عدم جواز النكس، بل المعتبر هو الغسل من المرفق، وقد ادعى صاحب الوسائل تواتر النصوص على ذلك، ونضيف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يرد ولو في رواية واحدة جواز النكس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الاستحباب، هذا، ويمكن الاستدلال على ذلك أيضاً بسيرة المتشرعة القائمة على أنّ الوضوء من المرفق، والمراد من سيرة المتشرعة هي سيرة الخاصة فإنها متصلة بزمان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يمكن الاستدلال بالإجماع المدعى في المقام ولا يقدح فيه مخالفة من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المتسالم عليه عند الخاصة استناداً إلى الروايات والسيرة والإجماع أنّ الغسل في الوضوء مشروط بالابتداء من الأعلى في الوجه من قصاص الشعر وفي اليدين من المرفقين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مما ذهب إليه العامة من القول باستحباب النكس من دون أن يذكروا دليلاً على مدعاهم</w:t>
      </w:r>
      <w:r>
        <w:rPr>
          <w:rFonts w:eastAsia="Amiri" w:cs="Amiri" w:ascii="Amiri" w:hAnsi="Amiri"/>
          <w:color w:val="111111"/>
          <w:sz w:val="28"/>
          <w:szCs w:val="28"/>
          <w:rtl w:val="true"/>
          <w:lang w:bidi="ar-SA"/>
        </w:rPr>
        <w:t xml:space="preserve">. </w:t>
      </w:r>
      <w:bookmarkStart w:id="231" w:name="pg16387_188338"/>
    </w:p>
    <w:p>
      <w:pPr>
        <w:pStyle w:val="Heading3"/>
        <w:numPr>
          <w:ilvl w:val="2"/>
          <w:numId w:val="1"/>
        </w:numPr>
        <w:rPr/>
      </w:pPr>
      <w:bookmarkStart w:id="232" w:name="__RefHeading___Toc6877803_1280447820"/>
      <w:bookmarkStart w:id="233" w:name="_Toc79"/>
      <w:bookmarkEnd w:id="231"/>
      <w:bookmarkEnd w:id="232"/>
      <w:r>
        <w:rPr>
          <w:rtl w:val="true"/>
        </w:rPr>
        <w:t>الجهة الثانية</w:t>
      </w:r>
      <w:r>
        <w:rPr>
          <w:rtl w:val="true"/>
        </w:rPr>
        <w:t xml:space="preserve">: </w:t>
      </w:r>
      <w:r>
        <w:rPr>
          <w:rtl w:val="true"/>
        </w:rPr>
        <w:t>في حكم المسألة حال التقية</w:t>
      </w:r>
      <w:r>
        <w:rPr>
          <w:rtl w:val="true"/>
        </w:rPr>
        <w:t>:</w:t>
      </w:r>
      <w:bookmarkEnd w:id="233"/>
    </w:p>
    <w:p>
      <w:pPr>
        <w:pStyle w:val="BookText"/>
        <w:rPr/>
      </w:pPr>
      <w:r>
        <w:rPr>
          <w:rFonts w:ascii="Amiri" w:hAnsi="Amiri" w:eastAsia="Amiri" w:cs="Amiri"/>
          <w:color w:val="111111"/>
          <w:sz w:val="28"/>
          <w:sz w:val="28"/>
          <w:szCs w:val="28"/>
          <w:rtl w:val="true"/>
          <w:lang w:bidi="ar-SA"/>
        </w:rPr>
        <w:t>ويقع الكلام فيها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وجوب الغسل منكوساً 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الأدلة العامة من أن التقية لكل ضرورة وهي شاملة لهذا المورد بلا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الخاصة الواردة في المقام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علي بن يقطين المتقدمة،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آمرك به في ذلك أن تمضمض ثلاثاً، وتستنشق ثلاثاً، وتغسل وجهك ثلاثاً، وتخلل شعر لحيتك، وتغسل يديك إلى المرفقين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ويؤيدها رواية العياشي عن صفوان المتقدمة أيضاً ومحل الشاهد منها قول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يرد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عنده آخر فعل 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فالحكم بوجوب العمل على مقتضى التقية ومتابعة العامة في ذلك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يعمل بما تقتضيه التقية وعمل بالوظيفة الأولية فهل يحكم بصحة وضوئه أم لا؟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هو الحكم بالصحة وذلك لما تقدم من أنّ وظيفة المكلف أن يأتي بالغسل جرياً وعكساً، فالمكلف قد أتى بأصل الواجب فيحكم بصحة فعله وإن لم يراع اعتبار النكس، نعم إذا كان الواجب خصوص الغسل نكساً فلم يأت بوظيفته الفعلية وحينئذ فما أتى به لم يكن مأموراً به بل هو مبغوض عند الشارع ومقتضى القاعدة هو الحكم بالبطلان</w:t>
      </w:r>
      <w:r>
        <w:rPr>
          <w:rFonts w:eastAsia="Amiri" w:cs="Amiri" w:ascii="Amiri" w:hAnsi="Amiri"/>
          <w:color w:val="111111"/>
          <w:sz w:val="28"/>
          <w:szCs w:val="28"/>
          <w:rtl w:val="true"/>
          <w:lang w:bidi="ar-SA"/>
        </w:rPr>
        <w:t xml:space="preserve">. </w:t>
      </w:r>
      <w:bookmarkStart w:id="234" w:name="pg16387_188339"/>
    </w:p>
    <w:p>
      <w:pPr>
        <w:pStyle w:val="Heading3"/>
        <w:numPr>
          <w:ilvl w:val="2"/>
          <w:numId w:val="1"/>
        </w:numPr>
        <w:rPr/>
      </w:pPr>
      <w:bookmarkStart w:id="235" w:name="__RefHeading___Toc6877805_1280447820"/>
      <w:bookmarkStart w:id="236" w:name="_Toc80"/>
      <w:bookmarkEnd w:id="234"/>
      <w:bookmarkEnd w:id="235"/>
      <w:r>
        <w:rPr>
          <w:rtl w:val="true"/>
        </w:rPr>
        <w:t>المورد الثالث</w:t>
      </w:r>
      <w:r>
        <w:rPr>
          <w:rtl w:val="true"/>
        </w:rPr>
        <w:t xml:space="preserve">: </w:t>
      </w:r>
      <w:r>
        <w:rPr>
          <w:rtl w:val="true"/>
        </w:rPr>
        <w:t>في مسح الرأس كلاًّ أو بعضاً مع الأذنين أو بدونهما</w:t>
      </w:r>
      <w:r>
        <w:rPr>
          <w:rtl w:val="true"/>
        </w:rPr>
        <w:t>:</w:t>
      </w:r>
      <w:bookmarkEnd w:id="236"/>
    </w:p>
    <w:p>
      <w:pPr>
        <w:pStyle w:val="BookText"/>
        <w:rPr/>
      </w:pPr>
      <w:r>
        <w:rPr>
          <w:rFonts w:ascii="Amiri" w:hAnsi="Amiri" w:eastAsia="Amiri" w:cs="Amiri"/>
          <w:color w:val="111111"/>
          <w:sz w:val="28"/>
          <w:sz w:val="28"/>
          <w:szCs w:val="28"/>
          <w:rtl w:val="true"/>
          <w:lang w:bidi="ar-SA"/>
        </w:rPr>
        <w:t>ويقع الكلام فيه في جهات</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6877807_1280447820"/>
      <w:bookmarkStart w:id="238" w:name="_Toc81"/>
      <w:bookmarkEnd w:id="237"/>
      <w:r>
        <w:rPr>
          <w:rtl w:val="true"/>
        </w:rPr>
        <w:t>الجهة الأولى</w:t>
      </w:r>
      <w:r>
        <w:rPr>
          <w:rtl w:val="true"/>
        </w:rPr>
        <w:t xml:space="preserve">: </w:t>
      </w:r>
      <w:r>
        <w:rPr>
          <w:rtl w:val="true"/>
        </w:rPr>
        <w:t>في المسح على الرأس</w:t>
      </w:r>
      <w:r>
        <w:rPr>
          <w:rtl w:val="true"/>
        </w:rPr>
        <w:t>:</w:t>
      </w:r>
      <w:bookmarkEnd w:id="238"/>
    </w:p>
    <w:p>
      <w:pPr>
        <w:pStyle w:val="BookText"/>
        <w:rPr/>
      </w:pPr>
      <w:r>
        <w:rPr>
          <w:rFonts w:ascii="Amiri" w:hAnsi="Amiri" w:eastAsia="Amiri" w:cs="Amiri"/>
          <w:color w:val="111111"/>
          <w:sz w:val="28"/>
          <w:sz w:val="28"/>
          <w:szCs w:val="28"/>
          <w:rtl w:val="true"/>
          <w:lang w:bidi="ar-SA"/>
        </w:rPr>
        <w:t>ذهب الخاصة إلى وجوب المسح على جزء من الرأس، والمشهور هو الاكتفاء بمسمى المسح، وخالف في ذلك الشيخ الصدوق فقد قال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مسح الرأس أن تمسح بثلاثة أصابع مضمومة من مقدم الرأس</w:t>
      </w:r>
      <w:r>
        <w:rPr>
          <w:rStyle w:val="FootnoteAnchor"/>
          <w:rtl w:val="true"/>
        </w:rPr>
        <w:footnoteReference w:id="729"/>
      </w:r>
      <w:r>
        <w:rPr>
          <w:rFonts w:ascii="Amiri" w:hAnsi="Amiri" w:eastAsia="Amiri" w:cs="Amiri"/>
          <w:color w:val="111111"/>
          <w:sz w:val="28"/>
          <w:sz w:val="28"/>
          <w:szCs w:val="28"/>
          <w:rtl w:val="true"/>
          <w:lang w:bidi="ar-SA"/>
        </w:rPr>
        <w:t>، وهكذا ظاهر النهاية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أقل من ثلاث أصابع مضمومة مع الاختيار</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وأما المسح على جميع الرأس فقد أجمعت الطائفة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ذهب إليه المشهور هو الموافق للروايات الواردة في تفسير الآية الشريفة وللروايات الأخرى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فقد اختلفت كلماتهم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أحمد مسح جميعه في حق كل أحد، وهو ظاهر كلام الخرقي ومذهب مالك، وروي عنه إجزاء مسح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الظاهر عن أحمد رحمه الله في حق الرجل وجوب الاستيعاب وأن المرأة يجزئها مسح مقدم رأسها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بداية المجتهد ذهب مالك أنّ الواجب مسحه كله، وذهب الشافعي وبعض أصحاب مالك وأبو حنيفة إلى أن مسح بعضه هو الفرض، ومن أصحاب مالك من حد هذا البعض بالثلث، ومنهم من حده بالثلثين، وأما أبو حنيفة فحده بالربع، وحد مع هذا القدر من اليد الذي يكون به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مسحه بأقل من ثلاثة أصابع لم يجزه، وأما الشافعي فلم يحد في الماسح ولا في الممسوح حدّاً</w:t>
      </w:r>
      <w:r>
        <w:rPr>
          <w:rStyle w:val="FootnoteAnchor"/>
          <w:rtl w:val="true"/>
        </w:rPr>
        <w:footnoteReference w:id="73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قولنا في المسح فإن الناس اختلفوا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مسح الرأس في الوضوء،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من الرأس فرضاً مقدار ثلاث </w:t>
      </w:r>
    </w:p>
    <w:p>
      <w:pPr>
        <w:pStyle w:val="BookText"/>
        <w:rPr/>
      </w:pPr>
      <w:r>
        <w:rPr>
          <w:rFonts w:ascii="Amiri" w:hAnsi="Amiri" w:eastAsia="Amiri" w:cs="Amiri"/>
          <w:color w:val="111111"/>
          <w:sz w:val="28"/>
          <w:sz w:val="28"/>
          <w:szCs w:val="28"/>
          <w:rtl w:val="true"/>
          <w:lang w:bidi="ar-SA"/>
        </w:rPr>
        <w:t>أصابع، وذكر عنه تحديد الفرض بما يمسح من الرأس بأنه ربع الرأس وأنه إن مسح رأسه باصبعين أو بأصابع لم يجزه ذلك، فإن مسح بثلاث أصابع أجزأه، وقال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يجزىء من الرأس مسح بعضه ولو شعرة واحدة، ويجزىء مسحه بإصبع وببعض إصبع، وحد أصحاب الشافعي ما يجزي من مسح الرأس بشعرتين ويجزي باصبع وببعض اصبع، وأحب ذلك إلى الشافعي العموم بثلاث مرات، 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يجزىء المرأة أن تمسح بمقدم رأسها، وقال الاوزاعي والليث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يجزىء مسح مقدم الرأس فقط ومسح بعضه كذلك، وقال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من ذلك ما وقع عليه اسم مسح وكذلك بما مسح من أصبع أو أقل أو أكثر وأحب إليه العموم ثلاثاً</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وقد استدلّ الخاصة على ما ذهبوا إليه بالآية الشريفة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وَامْسَحُوا بِرُءُوسِكُمْ وَأَرْجُلَكُمْ </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وقد فسرت 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للتبعيض</w:t>
      </w:r>
      <w:r>
        <w:rPr>
          <w:rStyle w:val="FootnoteAnchor"/>
          <w:rtl w:val="true"/>
        </w:rPr>
        <w:footnoteReference w:id="735"/>
      </w:r>
      <w:r>
        <w:rPr>
          <w:rFonts w:ascii="Amiri" w:hAnsi="Amiri" w:eastAsia="Amiri" w:cs="Amiri"/>
          <w:color w:val="111111"/>
          <w:sz w:val="28"/>
          <w:sz w:val="28"/>
          <w:szCs w:val="28"/>
          <w:rtl w:val="true"/>
          <w:lang w:bidi="ar-SA"/>
        </w:rPr>
        <w:t xml:space="preserve">أي ببعض رؤسكم، فيكون مفاد الآية المسح ببعض الرأس وهو الواجب، وذلك لأنّ الظاهر من الآية الشريفة هو الفرق بين تعدية الفعل بالحرف وعدمه، فإنه لما كان المراد هو غسل جميع الوجه واليدين عدّي الغسل بنفسه، وأما المسح فإنه حيث عدي بالباء علم أنّ المراد بعض الرأس،ولو كان المراد مسح كل الرأس لعدي المسح بنفسه من دون حاجة إلى الباء، فالفرق بين التعدية وعدمها مع أنّ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بنفسه يدل على أنّ المراد غسل جميع الوجه واليدين، وأما المسح فالمراد منه بعض الرأس والرجلين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الآية بمعونة الروايات الواردة في تفسير الآية تدل على ما ذكرنا من أن الباء تفيد التبعيض ومن تلك الروايات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تخبرني من أين علمت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المسح ببعض الرأس وبعض الرجلين، فضحك،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به الكتاب من الله عزوجل، لأنّ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وجوهكم فعرفنا أنّ الوجه كله ينبغي أن يغسل،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وأيديكم إلى المرافق فوصل اليدين إلى المرفقين بالوجه فعرفنا أنّه ينبغي لهما أن يغسلا إلى المرفقين، ثمّ فصل بين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وامسحوا برؤسكم فعرفنا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برؤسكم أنّ المسح ببعض الرأس لمكان الباء، ثمّ وصل الرجلين بالرأس كما وصل اليدين بالوجه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وأرجلكم إلى الكعبين فعرفنا حين وصلهما بالرأس أنّ المسح على بعضهما ثمّ فسّر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فضيعوه</w:t>
      </w:r>
      <w:r>
        <w:rPr>
          <w:rStyle w:val="FootnoteAnchor"/>
          <w:rtl w:val="true"/>
        </w:rPr>
        <w:footnoteReference w:id="73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وبكير المتقدمة وقد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أن يدع شيئاً من وجهه إلاّ غسله، وأمر بغسل اليدين إلى المرفقين فليس له أن يدع من يديه إلى المرفقين شيئاً إلاّ غسله،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وأيديكم إلى المرافق،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إلى الكعبين، فإذا مسح بشيء من رأسه أو بشيء من قدميه ما بين الكعبين إلى أطراف الأصابع فقد أجزأه </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ومحل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مسح بشيء من رأسه، وهو صريح في الدلالة على أنّ المراد هو مسح بعض الرأس لا جميعه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وبكير ابني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تمسح على النعلين ولا تدخل يدك تحت الشراك، وإذا مسحت بشيء من رأسك أو بشيء من قدميك ما بين كعبيك إلى أطرافالأصابع فقد أجزأك</w:t>
      </w:r>
      <w:r>
        <w:rPr>
          <w:rStyle w:val="FootnoteAnchor"/>
          <w:rtl w:val="true"/>
        </w:rPr>
        <w:footnoteReference w:id="738"/>
      </w:r>
      <w:bookmarkStart w:id="239" w:name="pg16387_188342"/>
    </w:p>
    <w:p>
      <w:pPr>
        <w:pStyle w:val="BookText"/>
        <w:rPr/>
      </w:pPr>
      <w:bookmarkEnd w:id="239"/>
      <w:r>
        <w:rPr>
          <w:rFonts w:ascii="Amiri" w:hAnsi="Amiri" w:eastAsia="Amiri" w:cs="Amiri"/>
          <w:color w:val="111111"/>
          <w:sz w:val="28"/>
          <w:sz w:val="28"/>
          <w:szCs w:val="28"/>
          <w:rtl w:val="true"/>
          <w:lang w:bidi="ar-SA"/>
        </w:rPr>
        <w:t>وهي صريحة الدلالة أيضاً في أنّ المسح ببعض الرأس، ولا يجب استيعاب جميع الرأس، وغيرها من الروايات الواردة في هذا المعنى، وسيأتي ذكر بعض الروايات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إشكال في أنّ المسح يختص ببعض الرأس لدلالة الكتاب والسنة وهكذا السيرة العملية بين المتشرعة المتصلة بزمان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وكذلك الإجماع على عدم مسح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حمل بعض العامة الباء في الآية الشريفة على الزيادة قياساً على آية التيمم وهو قوله تعالى فامسحوا بوجوهكم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قياس باطل لا نقول به، مضافاً إلى ورود المناقشة في أصل المقيس عليه، والصحيح أنّ الباء للتبعيض في كلتا الآيتين ولا موجب لحمل الباء على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ذكرنا فلا إشكال في ثبوت الحكم وهو المسح ببعض الرأس لا جميعه</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6877809_1280447820"/>
      <w:bookmarkStart w:id="241" w:name="_Toc82"/>
      <w:bookmarkEnd w:id="240"/>
      <w:r>
        <w:rPr>
          <w:rtl w:val="true"/>
        </w:rPr>
        <w:t>الجهة الثانية</w:t>
      </w:r>
      <w:r>
        <w:rPr>
          <w:rtl w:val="true"/>
        </w:rPr>
        <w:t xml:space="preserve">: </w:t>
      </w:r>
      <w:r>
        <w:rPr>
          <w:rtl w:val="true"/>
        </w:rPr>
        <w:t>في الإتيان بالمسح على جميع الرأس</w:t>
      </w:r>
      <w:r>
        <w:rPr>
          <w:rtl w:val="true"/>
        </w:rPr>
        <w:t>:</w:t>
      </w:r>
      <w:bookmarkEnd w:id="241"/>
    </w:p>
    <w:p>
      <w:pPr>
        <w:pStyle w:val="BookText"/>
        <w:rPr/>
      </w:pPr>
      <w:r>
        <w:rPr>
          <w:rFonts w:ascii="Amiri" w:hAnsi="Amiri" w:eastAsia="Amiri" w:cs="Amiri"/>
          <w:color w:val="111111"/>
          <w:sz w:val="28"/>
          <w:sz w:val="28"/>
          <w:szCs w:val="28"/>
          <w:rtl w:val="true"/>
          <w:lang w:bidi="ar-SA"/>
        </w:rPr>
        <w:t>فتارة يكون بقصد الجزئية، وأخرى بلا قصد، فإن أتى المكلف به بقصد الجزئية فلا إشكال في حرمة الفعل لأنه تشريع منهي عنه، ولكن لا يحكم ببطلان الوضوء لأنه أتى بمقدار الواجب من المسح، والزيادة لا تضر بما وقع صحيحاً، وأما إذا كان بغير هذا القصد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حال الاختيار، وأما في حال التقية فيجب المسح على جميع الرأس 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العامة وهي شاملة لهذا المورد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 المعتبرة الواردة في خصوص التقية وهي معتبرة علي بن يقطين المتقدمة وقد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وتمسح رأسك كله وتمسح ظاهر أذنيك وباطنهما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يأمره بمسح الرأس كله فلا إشكال من هذه الجهة ولا فرق </w:t>
      </w:r>
      <w:bookmarkStart w:id="242" w:name="pg16387_188343"/>
    </w:p>
    <w:p>
      <w:pPr>
        <w:pStyle w:val="BookText"/>
        <w:rPr/>
      </w:pPr>
      <w:bookmarkEnd w:id="242"/>
      <w:r>
        <w:rPr>
          <w:rFonts w:ascii="IRNazanin" w:hAnsi="IRNazanin" w:eastAsia="IRNazanin"/>
          <w:color w:val="111111"/>
          <w:sz w:val="28"/>
          <w:sz w:val="28"/>
          <w:szCs w:val="28"/>
          <w:rtl w:val="true"/>
          <w:lang w:bidi="fa-IR"/>
        </w:rPr>
        <w:t xml:space="preserve">حينئذ بين قصد الجزئية والاستحباب وعدمه فإن إطلاق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الشمول</w:t>
      </w:r>
      <w:r>
        <w:rPr>
          <w:rFonts w:eastAsia="IRNazanin" w:cs="IRNazanin"/>
          <w:color w:val="111111"/>
          <w:sz w:val="28"/>
          <w:szCs w:val="28"/>
          <w:rtl w:val="true"/>
          <w:lang w:bidi="fa-IR"/>
        </w:rPr>
        <w:t>.</w:t>
      </w:r>
    </w:p>
    <w:p>
      <w:pPr>
        <w:pStyle w:val="Heading3"/>
        <w:numPr>
          <w:ilvl w:val="2"/>
          <w:numId w:val="1"/>
        </w:numPr>
        <w:rPr/>
      </w:pPr>
      <w:bookmarkStart w:id="243" w:name="__RefHeading___Toc6877811_1280447820"/>
      <w:bookmarkStart w:id="244" w:name="_Toc83"/>
      <w:bookmarkEnd w:id="243"/>
      <w:r>
        <w:rPr>
          <w:rtl w:val="true"/>
        </w:rPr>
        <w:t>الجهة الثالثة</w:t>
      </w:r>
      <w:r>
        <w:rPr>
          <w:rtl w:val="true"/>
        </w:rPr>
        <w:t xml:space="preserve">: </w:t>
      </w:r>
      <w:r>
        <w:rPr>
          <w:rtl w:val="true"/>
        </w:rPr>
        <w:t>في مسح الأذنين</w:t>
      </w:r>
      <w:r>
        <w:rPr>
          <w:rtl w:val="true"/>
        </w:rPr>
        <w:t>:</w:t>
      </w:r>
      <w:bookmarkEnd w:id="244"/>
    </w:p>
    <w:p>
      <w:pPr>
        <w:pStyle w:val="BookText"/>
        <w:rPr/>
      </w:pPr>
      <w:r>
        <w:rPr>
          <w:rFonts w:ascii="Amiri" w:hAnsi="Amiri" w:eastAsia="Amiri" w:cs="Amiri"/>
          <w:color w:val="111111"/>
          <w:sz w:val="28"/>
          <w:sz w:val="28"/>
          <w:szCs w:val="28"/>
          <w:rtl w:val="true"/>
          <w:lang w:bidi="ar-SA"/>
        </w:rPr>
        <w:t>وقد أجمعت الإمامية على أن مسحهما ليس جزءاً من الوضوء ولا خلاف بينهم في عدم الوجوب، واختلفت العامة في ذلك فذهب بعضهم إلى القول بالاستحباب وبه قال الشافعي، وابن حزم، وذهب أبو حنيفة إلى وجوب مسحهما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الرأس يمسحان معه، وذهب بعضهم إلى القول بوجوب غسلهما وإليه ذهب الزهري،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من الوجه يغسلان معه، وذهب مالك وأحمد إلى أنهما من الرأس لكنهما يمسحان بماء جديد، وذهب الشعبي والحسن البصري وإسحاق إلى التفصيل فما أقبل منهما يغسل وما أدبر يمسح مع الرأس</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استدل الإمامية على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والسنة، أما الكتاب فبالآية الشريفة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فَاغْسِلُوا وُجُوهَكُمْ وَأَيْدِيَكُمْ إِلَى الْمَرَافِقِ وَامْسَحُوا بِرُءُوسِكُمْ وَأَرْجُلَكُمْ إِلَى الْكَعْبَيْنِ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غسل الوجه واليدين ومسح الرأس والرجلين وحيث لم تذكر الأذنان فعلم أنّه لا حكم يتعلق بهما في الوضوء فلا يجب غسلهما ولا مسحهما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ففي المقام عدة روايات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صحيحة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الأذنان ليسا من الوجه ولا من الرأس</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والرواية صريحة الدلالة، وحينئذ فلا تدخل الأذنان في الغسل أو المسح</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بطن الأذنين من الوجه وظهرهما من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عليهما غسل ولا مسح</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في مقابل ذلك وردت رواية صحيحة السند وفيها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الأذنين من الرأس، وحينئذ يجري عليهما حكم الرأس من وجوب المسح وهي صحيحة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الأذنان من الرأس؟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مسحت رأسي مسحت أذني؟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كأني اليه أنظر إلى أبي وفي عنقه عكنة، وكان يحفي رأسه إذا جزّه، كأني أنظر اليه والماء ينحدر على عنقه</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بحسب ظاهرها مخالفة للروايتين السابقتين كما ذكرنا، وقد حملهما الشيخ على التقية</w:t>
      </w:r>
      <w:r>
        <w:rPr>
          <w:rStyle w:val="FootnoteAnchor"/>
          <w:rtl w:val="true"/>
        </w:rPr>
        <w:footnoteReference w:id="744"/>
      </w:r>
      <w:r>
        <w:rPr>
          <w:rFonts w:ascii="Amiri" w:hAnsi="Amiri" w:eastAsia="Amiri" w:cs="Amiri"/>
          <w:color w:val="111111"/>
          <w:sz w:val="28"/>
          <w:sz w:val="28"/>
          <w:szCs w:val="28"/>
          <w:rtl w:val="true"/>
          <w:lang w:bidi="ar-SA"/>
        </w:rPr>
        <w:t>وهكذا صاحب المنتقى</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ولعل التقية فيها واضحة وذلك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السائل بعد أن 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الأذنين من الرأس سأل مرة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مسحت رأسي مسحت أذني؟ فكأن السائل في شك من الأمر والمرتكز في ذهنه عدم وجوب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كلامه بشيء آخر اجنبي عن موضوع السؤال ولا علاقة له به ولا مناسبة بين المسح وبين انحدار الماء على العنق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صاحب الوسائل كون السؤال عن مسح الرأس المستحب بعد الحلق بقرينة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يحفي رأسه إذا جزه،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يغسل رأسه والماء ينحدر على عنقه، وإلاّ لو كان يمسح رأسه لما كان يلزم من ذلك انحدار الماء على عنقه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محمولة على التقية، والحكم في المسألة واضح وليس على الأذنين مسح ولا غسل لا ظاهراً ولا باطناً</w:t>
      </w:r>
      <w:r>
        <w:rPr>
          <w:rFonts w:eastAsia="Amiri" w:cs="Amiri" w:ascii="Amiri" w:hAnsi="Amiri"/>
          <w:color w:val="111111"/>
          <w:sz w:val="28"/>
          <w:szCs w:val="28"/>
          <w:rtl w:val="true"/>
          <w:lang w:bidi="ar-SA"/>
        </w:rPr>
        <w:t xml:space="preserve">. </w:t>
      </w:r>
      <w:bookmarkStart w:id="245" w:name="pg16387_188345"/>
    </w:p>
    <w:p>
      <w:pPr>
        <w:pStyle w:val="Heading3"/>
        <w:numPr>
          <w:ilvl w:val="2"/>
          <w:numId w:val="1"/>
        </w:numPr>
        <w:rPr/>
      </w:pPr>
      <w:bookmarkStart w:id="246" w:name="__RefHeading___Toc6877813_1280447820"/>
      <w:bookmarkStart w:id="247" w:name="_Toc84"/>
      <w:bookmarkEnd w:id="245"/>
      <w:bookmarkEnd w:id="246"/>
      <w:r>
        <w:rPr>
          <w:rtl w:val="true"/>
        </w:rPr>
        <w:t>الجهة الرابعة</w:t>
      </w:r>
      <w:r>
        <w:rPr>
          <w:rtl w:val="true"/>
        </w:rPr>
        <w:t xml:space="preserve">: </w:t>
      </w:r>
      <w:r>
        <w:rPr>
          <w:rtl w:val="true"/>
        </w:rPr>
        <w:t>في حكم المسألة حال التقية</w:t>
      </w:r>
      <w:r>
        <w:rPr>
          <w:rtl w:val="true"/>
        </w:rPr>
        <w:t>:</w:t>
      </w:r>
      <w:bookmarkEnd w:id="247"/>
    </w:p>
    <w:p>
      <w:pPr>
        <w:pStyle w:val="BookText"/>
        <w:rPr/>
      </w:pPr>
      <w:r>
        <w:rPr>
          <w:rFonts w:ascii="Amiri" w:hAnsi="Amiri" w:eastAsia="Amiri" w:cs="Amiri"/>
          <w:color w:val="111111"/>
          <w:sz w:val="28"/>
          <w:sz w:val="28"/>
          <w:szCs w:val="28"/>
          <w:rtl w:val="true"/>
          <w:lang w:bidi="ar-SA"/>
        </w:rPr>
        <w:t>ولا إشكال في لزوم المسح على الأذنين أو غسلهما بحسب ما تقتضيه الحال من التقية، وذلك لما ذكرنا من شمول الأدلة العامة لهذا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خالف التقية وأتى بالوظيفة الواقعية فهل يحكم بصحة الوضوء أم لا؟</w:t>
      </w:r>
    </w:p>
    <w:p>
      <w:pPr>
        <w:pStyle w:val="BookText"/>
        <w:rPr/>
      </w:pPr>
      <w:r>
        <w:rPr>
          <w:rFonts w:ascii="Amiri" w:hAnsi="Amiri" w:eastAsia="Amiri" w:cs="Amiri"/>
          <w:color w:val="111111"/>
          <w:sz w:val="28"/>
          <w:sz w:val="28"/>
          <w:szCs w:val="28"/>
          <w:rtl w:val="true"/>
          <w:lang w:bidi="ar-SA"/>
        </w:rPr>
        <w:t>وهذا الأمر يجري في مسح كل الرأس أيضاً، فيما إذا خالف مقتضى التقية ومسح على بعض الرأس فكلتا المسألتين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إشكال في الصحة لأنّهما خارجان عن الوضوء وعن المسح الواجب، وهو بحسب الفرض قد أتى بالواجب وإنما لم يأت بشيء زائد وهذا لا يوجب بطلان الوضوء، وعليه فمخالفة التقية في كلا الموردين لا توجب فساد الوضوء</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6877815_1280447820"/>
      <w:bookmarkStart w:id="249" w:name="_Toc85"/>
      <w:bookmarkEnd w:id="248"/>
      <w:r>
        <w:rPr>
          <w:rtl w:val="true"/>
        </w:rPr>
        <w:t>المورد الرابع</w:t>
      </w:r>
      <w:r>
        <w:rPr>
          <w:rtl w:val="true"/>
        </w:rPr>
        <w:t xml:space="preserve">: </w:t>
      </w:r>
      <w:r>
        <w:rPr>
          <w:rtl w:val="true"/>
        </w:rPr>
        <w:t>في غسل الرجلين أو مسحهما</w:t>
      </w:r>
      <w:r>
        <w:rPr>
          <w:rtl w:val="true"/>
        </w:rPr>
        <w:t>:</w:t>
      </w:r>
      <w:bookmarkEnd w:id="249"/>
    </w:p>
    <w:p>
      <w:pPr>
        <w:pStyle w:val="BookText"/>
        <w:rPr/>
      </w:pPr>
      <w:r>
        <w:rPr>
          <w:rFonts w:ascii="Amiri" w:hAnsi="Amiri" w:eastAsia="Amiri" w:cs="Amiri"/>
          <w:color w:val="111111"/>
          <w:sz w:val="28"/>
          <w:sz w:val="28"/>
          <w:szCs w:val="28"/>
          <w:rtl w:val="true"/>
          <w:lang w:bidi="ar-SA"/>
        </w:rPr>
        <w:t>لا خلاف عند الإمامية في وجوب المسح على الرجلين فقط، دون الغسل ودون التخيير، ولم يخالف في ذلك أحد من العلماء بل عد من ضروريات المذهب عندهم، وهذا هو المطابق لظاهر الكتاب والأخبار المتواترة من طريق الخاصة ومن طرق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فقد اختلفت كلماتهم في ذلك، فذهب بعضهم إلى وجوب المسح فقط، وذهب بعضهم إلى وجوب الغسل فقط، وذهب آخرون إلى التخيير، ومنهم من قال الجمع بين المسح والغسل وقد جمع الشوكاني كلماتهم 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الشريفة اختلف في قراءتها، فقرأ نافع والحسن البصري، والأعمش، 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بهذه القراءة على وجوب الغسل، وذهب جمهور العلماء على هذه القراءة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 ابن كثير، وأبو عمرو، وحمزة، بالجر، ومن قال بالمسح استدل بهذه القراءة وإليه ذهب ابن جرير الطبري وهو مروي عن ابن عباس،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bookmarkStart w:id="250" w:name="pg16387_188346"/>
    </w:p>
    <w:p>
      <w:pPr>
        <w:pStyle w:val="BookText"/>
        <w:rPr/>
      </w:pPr>
      <w:bookmarkEnd w:id="250"/>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الأمة على وجوب غسلهما وما علمت من رد ذلك إلاّ الطبري من فقهاء المسلمين والرافضة من غيرهم، قال الطبري قد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غسلتان ومسحتان،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عكرمة يمسح 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الرجلين غسل وإنما نزل فيهما مسح، وقال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بالمسح، 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المسحتين والغسلتين،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ابن جرير الطبري إلى أنّ فرضهما التخيير بين الغسل والمسح وجعل القراءتين كالروايتين وقواه النحاس</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هذه هي كلماتهم حول الآية الشريفة وقد رووا في ذلك روايات في كيفية وضوء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غسل أو مسح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آراءهم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المقام في جهتين</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6877817_1280447820"/>
      <w:bookmarkStart w:id="252" w:name="_Toc86"/>
      <w:bookmarkEnd w:id="251"/>
      <w:r>
        <w:rPr>
          <w:rtl w:val="true"/>
        </w:rPr>
        <w:t>الجهة الأولى</w:t>
      </w:r>
      <w:r>
        <w:rPr>
          <w:rtl w:val="true"/>
        </w:rPr>
        <w:t>:</w:t>
      </w:r>
      <w:bookmarkEnd w:id="252"/>
    </w:p>
    <w:p>
      <w:pPr>
        <w:pStyle w:val="Heading4"/>
        <w:numPr>
          <w:ilvl w:val="3"/>
          <w:numId w:val="1"/>
        </w:numPr>
        <w:rPr/>
      </w:pPr>
      <w:bookmarkStart w:id="253" w:name="__RefHeading___Toc6877819_1280447820"/>
      <w:bookmarkStart w:id="254" w:name="_Toc87"/>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في ما تقتضيه الأدلة،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فَاغْسِلُواوُجُوهَكُمْ وَأَيْدِيَكُمْ إِلَى الْمَرَافِقِ وَامْسَحُوا بِرُءُوسِكُمْ وَأَرْجُلَكُمْ إِلَى الْكَعْبَيْنِ</w:t>
      </w:r>
      <w:r>
        <w:rPr>
          <w:rFonts w:eastAsia="Amiri" w:cs="Amiri" w:ascii="Amiri" w:hAnsi="Amiri"/>
          <w:color w:val="111111"/>
          <w:sz w:val="28"/>
          <w:szCs w:val="28"/>
          <w:rtl w:val="true"/>
          <w:lang w:bidi="ar-SA"/>
        </w:rPr>
        <w:t>)</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الآية الشريفة تقتضي وجوب المسح كما يقوله الإمامية؟ أو غيره كما يقوله غيرهم؟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الآية هو وجوب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كثير من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يقرأ بالجر كما هو قراءة أربعة من القراء، وإما أن يقرأ بالنصب كما هو قراءة ثلاثة منهم، وعلى كلا التقديرين فالمستفاد من الآية هو وجوب المسح، أما على قراءة الجر كما هو المعروف بين القراء وغيرهم من الصحابة والتابعين فيكون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على رؤسكم والمستفاد حينئذ هو وجوب المسح كالرأس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أن يكون الجر للجوار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جُحر ضبّ خرب، فهو فاسد،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الجر للجوار مخالف للقواعد العربية، وهو شاذ نادر وإنما يرتكب للضرورة، وما يكون هذا شأنه لا يحمل القرآن عليه وينزه كلام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 للجوار إنما يصار إليه فيما إذا أمن اللبس كما في المثال المتقدم فإن جعل خرب مجروراً عطفاً على الجوار لا لبس فيه، ولا يحتمل أن يكون نعتاً للضبّ، وأما الآية فهي توجب الوقوع في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العطف على الجوار لا يستعمل بالحرف وفي الآية الكريمة جيء بالواو قبل المعطوف، وعلى هذا فالقول بأنّ الجر عطفاً على الجوار غير صحيح، والصحيح هو العطف على الرؤوس وهو يقتضي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قراءة النصب فالأمر كذلك أيضاً وذلك لأنّ النصب يحتمل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على محل الرؤوس لأنها وإن كانت مجرورة لفظاً إلاّ أنها منصوبة محلاًّ لما تقرر في العربية من أنّ الجار والمجرور مفعول به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على الوجوه والأيدي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بل الصحيح هو الأول لأنه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الرؤوس أقرب إلى المعطوف والعطف على الأقرب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العطف على المحل سائغ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العطف على الوجوه والأيدي فصلاً بالأجنبي وذلك غير جائز بحسب القواعد العربية، وعلى هذا فالعطف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قراءة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محل رؤوسكم ويكون أرجلكم متعلق بقوله وامسحوا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القواعد العربية هو المسح ولا مجال لاستفادة الغسل منها أصلاً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جاء بمعنيين فهو في الرأس بمعناه الظاهر، وفي الأرجل بمعنى الغسل، ففيه من التكلف والتعسف بما لا يصدر </w:t>
      </w:r>
      <w:bookmarkStart w:id="255" w:name="pg16387_188348"/>
    </w:p>
    <w:p>
      <w:pPr>
        <w:pStyle w:val="BookText"/>
        <w:rPr/>
      </w:pPr>
      <w:bookmarkEnd w:id="255"/>
      <w:r>
        <w:rPr>
          <w:rFonts w:ascii="Amiri" w:hAnsi="Amiri" w:eastAsia="Amiri" w:cs="Amiri"/>
          <w:color w:val="111111"/>
          <w:sz w:val="28"/>
          <w:sz w:val="28"/>
          <w:szCs w:val="28"/>
          <w:rtl w:val="true"/>
          <w:lang w:bidi="ar-SA"/>
        </w:rPr>
        <w:t>عن منصف، وأما القول بالتخيير بين المسح والغسل فهو خلاف ظاهر الآية، فإنها لم تذكر إلاّ المسح فقط ومقتضى التخيير أن يذكر العدل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الجر، وذهاب عدة من الصحابة والتابعين إلى القول بوجوب المسح، وأنهم قرأوا الآية بالجر ويبلغ عددهم قريباً من ثلاثين شخصاً منهم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عباس، وتميم بن زيد الأنصاري وعبد الله بن زيد الأنصاري، وحذيفة بن اليمان وغيرهم فإنهم قرأوا بالجر وأفتوا بالمسح ونقلت أقوالهم وفتاواهم في تفاسير العامة ومسانيدهم وكتبهم الفقهية</w:t>
      </w:r>
      <w:r>
        <w:rPr>
          <w:rFonts w:eastAsia="IRNazanin" w:cs="IRNazanin"/>
          <w:color w:val="111111"/>
          <w:sz w:val="28"/>
          <w:szCs w:val="28"/>
          <w:rtl w:val="true"/>
          <w:lang w:bidi="fa-IR"/>
        </w:rPr>
        <w:t>.</w:t>
      </w:r>
    </w:p>
    <w:p>
      <w:pPr>
        <w:pStyle w:val="Heading4"/>
        <w:numPr>
          <w:ilvl w:val="3"/>
          <w:numId w:val="1"/>
        </w:numPr>
        <w:rPr/>
      </w:pPr>
      <w:bookmarkStart w:id="256" w:name="__RefHeading___Toc6877821_1280447820"/>
      <w:bookmarkStart w:id="257" w:name="_Toc88"/>
      <w:bookmarkEnd w:id="256"/>
      <w:r>
        <w:rPr>
          <w:rtl w:val="true"/>
        </w:rPr>
        <w:t>تنبيهان</w:t>
      </w:r>
      <w:r>
        <w:rPr>
          <w:rtl w:val="true"/>
        </w:rPr>
        <w:t>:</w:t>
      </w:r>
      <w:bookmarkEnd w:id="2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آنفاً أنّ كثيراً من علماء العامة قد اعترف بدلالة الآية على المسح ومنهم الرازي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رفع اليد عن ظاهر الآية بالروايات لأنها آحاد</w:t>
      </w:r>
      <w:r>
        <w:rPr>
          <w:rStyle w:val="FootnoteAnchor"/>
          <w:rtl w:val="true"/>
        </w:rPr>
        <w:footnoteReference w:id="748"/>
      </w:r>
      <w:r>
        <w:rPr>
          <w:rFonts w:ascii="Amiri" w:hAnsi="Amiri" w:eastAsia="Amiri" w:cs="Amiri"/>
          <w:color w:val="111111"/>
          <w:sz w:val="28"/>
          <w:sz w:val="28"/>
          <w:szCs w:val="28"/>
          <w:rtl w:val="true"/>
          <w:lang w:bidi="ar-SA"/>
        </w:rPr>
        <w:t>، ومع ذلك فقد تمسك الرازي بأنّ الغسل مشتمل على المسح والاتيان بالغسل أحوط وهو المتعين، وهو كما ترى إذ لازم كلامه دلالة الآية على المسح إلاّ أنّه قال بالغسل لاشتماله على المسح فكأن الآية في نظره قاصرة عن تأدية المعنى، أليس في ذلك نسبة العجز إلى الله تعالى عن تأدية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ظهر مما ذكرنا من ذهاب عدة من الصحابة والتابعين إلىالقول بالمسح وقراءتهم الآية بالجر وفتواهم على لزوم المسح واعتراف عدة من علماء العامة كالرازي وابن حزم وغيرهما بدلالة الآية على المسح ما في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نقلناه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الأمة على وجوب غسلهما، وما علمت من رد ذلك إلاّ </w:t>
      </w:r>
    </w:p>
    <w:p>
      <w:pPr>
        <w:pStyle w:val="BookText"/>
        <w:rPr/>
      </w:pPr>
      <w:r>
        <w:rPr>
          <w:rFonts w:ascii="Amiri" w:hAnsi="Amiri" w:eastAsia="Amiri" w:cs="Amiri"/>
          <w:color w:val="111111"/>
          <w:sz w:val="28"/>
          <w:sz w:val="28"/>
          <w:szCs w:val="28"/>
          <w:rtl w:val="true"/>
          <w:lang w:bidi="ar-SA"/>
        </w:rPr>
        <w:t xml:space="preserve">الطبري من فقهاء المسلمين والرافضة من غيرهم، فكيف يكون كلامه هذا مطابقاً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غيرهم، ما لا يخفى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الروايات الواردة في المقام فهي كثيرة جداً من طرقنا ومن طرق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المسح فهي من الكثرة بلغت إلى حد التواتر، حتى نسب إلى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أكثر من الرمل والحصى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طوائف، ونحن نكتفي بذكر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من أين علمت أنّ المسح ببعض الرأس وبعض الرجلين؟ 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قاله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به الكتاب من الله عزوجل، لأنّ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فعرفنا أنّ الوجه كله ينبغي أن يغسل،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وَأَيْدِيَكُمْ إِلَى الْمَرَافِقِ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فوصل اليدين إلى المرفقين بالوجه، فعرفنا أنّه ينبغي لهما أن يغسلا إلى المرفقين، ثمّ فصل بين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وَامْسَحُوا بِرُءُوسِكُمْ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بِرُءُوسِكُمْ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لمكان الباء، ثمّ وصل الرجلين بالرأس كما وصل اليدين بالوجه،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حين وصلهما بالرأس أنّ المسح على بعضهما، ثمّ فسر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فضيعوه</w:t>
      </w:r>
      <w:r>
        <w:rPr>
          <w:rStyle w:val="FootnoteAnchor"/>
          <w:rtl w:val="true"/>
        </w:rPr>
        <w:footnoteReference w:id="75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يأتي على الرجل ستون وسبعون سنة ما قبل الله منه 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يغسل ما أمر الله بمسحه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الرواية يشير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عليه المخالفين من التزامهم بغسل الرجلين خلافاً لما أمر الله به ، فالصلاة باطلة وغير مقبولة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سالم وغالب بن هذيل،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عنالمسح على الرجلين،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نزل به جبرئيل</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توضأ ومسح على قدميه ونعليه</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أيضاً عن ابن عباس أنّه وصف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على رجليه</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المسح، ويأبى الناس إلاّ الغسل</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القرآن إلاّ بالمسح</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إلى غير ذلك من الروايات الكثيرة الدالة على أن الواجب هو المسح فقط ولا يجزي الغسل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ذلك أوضح من أن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بعض الروايات الدالة على جواز الغسل فهي بالإضافة إلى شذوذها وندرتها وحملها على التقية لا تقاوم روايات المسح ولا تعارضها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روايات الخاصة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روايات العامة فقد ظفرنا بأكثر من عشرين رواية في صحاحهم ومسانيدهم وكتبهم، وأسانيدها معتبرة عندهم، وهي تدل على المسح، نعم </w:t>
      </w:r>
      <w:bookmarkStart w:id="258" w:name="pg16387_188351"/>
    </w:p>
    <w:p>
      <w:pPr>
        <w:pStyle w:val="BookText"/>
        <w:rPr/>
      </w:pPr>
      <w:bookmarkEnd w:id="258"/>
      <w:r>
        <w:rPr>
          <w:rFonts w:ascii="Amiri" w:hAnsi="Amiri" w:eastAsia="Amiri" w:cs="Amiri"/>
          <w:color w:val="111111"/>
          <w:sz w:val="28"/>
          <w:sz w:val="28"/>
          <w:szCs w:val="28"/>
          <w:rtl w:val="true"/>
          <w:lang w:bidi="ar-SA"/>
        </w:rPr>
        <w:t>وردت عنهم بعض الروايات في مقابلها حيث يدل بعضها على وجوب الغسل، وهذه الروايات القليلة في مقابل تلك الروايات الكثيرة المعتضدة بالكتاب العزيز الدالة على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تقتضي القواعد العلمية الترجيح لتلك الروايات وإسقاط هذه العدة القليلة؟ أو أنها تقتضي إسقاطهما معاً لتعارضهما والرجوع إلى الكتاب؟ أو أنها تقتضي الأخذ بخصوص هذه الروايات ورد تلك الروايات المعتضدة بالكتاب؟ أو أنها تقتضي الاعتماد على الاستحسانات والأقيسة والخيالات؟ وهذا أمر متروك إليهم وهم أدرى بما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عندنا فلا إشكال في وضوح الحكم، وأنّ المسح واجب بالكتاب والسنة، هذا ويمكن الاستدلال أيضاً بالإجماع والسيرة العملية المتحققةولم ينقل عن أحد خلاف في ذلك</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6877823_1280447820"/>
      <w:bookmarkStart w:id="260" w:name="_Toc89"/>
      <w:bookmarkEnd w:id="259"/>
      <w:r>
        <w:rPr>
          <w:rtl w:val="true"/>
        </w:rPr>
        <w:t>الجهة الثانية</w:t>
      </w:r>
      <w:r>
        <w:rPr>
          <w:rtl w:val="true"/>
        </w:rPr>
        <w:t xml:space="preserve">: </w:t>
      </w:r>
      <w:r>
        <w:rPr>
          <w:rtl w:val="true"/>
        </w:rPr>
        <w:t>في حكم المسألة حال التقية</w:t>
      </w:r>
      <w:r>
        <w:rPr>
          <w:rtl w:val="true"/>
        </w:rPr>
        <w:t>:</w:t>
      </w:r>
      <w:bookmarkEnd w:id="260"/>
    </w:p>
    <w:p>
      <w:pPr>
        <w:pStyle w:val="BookText"/>
        <w:rPr/>
      </w:pPr>
      <w:r>
        <w:rPr>
          <w:rFonts w:ascii="Amiri" w:hAnsi="Amiri" w:eastAsia="Amiri" w:cs="Amiri"/>
          <w:color w:val="111111"/>
          <w:sz w:val="28"/>
          <w:sz w:val="28"/>
          <w:szCs w:val="28"/>
          <w:rtl w:val="true"/>
          <w:lang w:bidi="ar-SA"/>
        </w:rPr>
        <w:t>والكلام فيها في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غسل الرجلين حال التقية أم لا؟</w:t>
      </w:r>
    </w:p>
    <w:p>
      <w:pPr>
        <w:pStyle w:val="BookText"/>
        <w:rPr/>
      </w:pPr>
      <w:r>
        <w:rPr>
          <w:rFonts w:ascii="IRNazanin" w:hAnsi="IRNazanin" w:eastAsia="IRNazanin"/>
          <w:color w:val="111111"/>
          <w:sz w:val="28"/>
          <w:sz w:val="28"/>
          <w:szCs w:val="28"/>
          <w:rtl w:val="true"/>
          <w:lang w:bidi="fa-IR"/>
        </w:rPr>
        <w:t>الظاهر هو الوجوب وذلك للأدلة العامة فإنها شاملة لهذا المورد بلا إشكال، مضافاً إلى الدليل الخاص الوارد في المقام، ومنه معتبرة علي بن يقطين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وتمسح ظاهر أذنيك وباطنهما وتغسل رجليك إلى الكعبين ثلاثاً</w:t>
      </w:r>
      <w:r>
        <w:rPr>
          <w:rStyle w:val="FootnoteAnchor"/>
          <w:rtl w:val="true"/>
        </w:rPr>
        <w:footnoteReference w:id="757"/>
      </w:r>
      <w:r>
        <w:rPr>
          <w:rFonts w:ascii="Amiri" w:hAnsi="Amiri" w:eastAsia="Amiri" w:cs="Amiri"/>
          <w:color w:val="111111"/>
          <w:sz w:val="28"/>
          <w:sz w:val="28"/>
          <w:szCs w:val="28"/>
          <w:rtl w:val="true"/>
          <w:lang w:bidi="ar-SA"/>
        </w:rPr>
        <w:t>، وذلك يدل على وجوب متابعة المخالفين حال التقية ولابد من غسل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التقية وأتى بالوظيفة الواقعية فمسح على الرجلين ولم يغسلهما، فهل يحكم بصحة الوضوء؟</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مقتضى القاعدة هو بطلان الوضوء، لأنه لم يأت بالواجب فإن </w:t>
      </w:r>
      <w:bookmarkStart w:id="261" w:name="pg16387_188352"/>
    </w:p>
    <w:p>
      <w:pPr>
        <w:pStyle w:val="BookText"/>
        <w:rPr/>
      </w:pPr>
      <w:bookmarkEnd w:id="261"/>
      <w:r>
        <w:rPr>
          <w:rFonts w:ascii="Amiri" w:hAnsi="Amiri" w:eastAsia="Amiri" w:cs="Amiri"/>
          <w:color w:val="111111"/>
          <w:sz w:val="28"/>
          <w:sz w:val="28"/>
          <w:szCs w:val="28"/>
          <w:rtl w:val="true"/>
          <w:lang w:bidi="ar-SA"/>
        </w:rPr>
        <w:t>المسح لم يكن واجباً عليه، وإنما الواجب حال التقية هو الغسل، فما أتى به لم يكن واجباً عليه فقد أنقص جزءاً واجباً من الوضوء، وعليه فالقاعدة تقتضي البطلان</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6877825_1280447820"/>
      <w:bookmarkStart w:id="263" w:name="_Toc90"/>
      <w:bookmarkEnd w:id="262"/>
      <w:r>
        <w:rPr>
          <w:rtl w:val="true"/>
        </w:rPr>
        <w:t>المورد الخامس</w:t>
      </w:r>
      <w:r>
        <w:rPr>
          <w:rtl w:val="true"/>
        </w:rPr>
        <w:t xml:space="preserve">: </w:t>
      </w:r>
      <w:r>
        <w:rPr>
          <w:rtl w:val="true"/>
        </w:rPr>
        <w:t>في مسح الرأس والرجلين بنفس ماء الوضوء أو بماء مستأنف</w:t>
      </w:r>
      <w:r>
        <w:rPr>
          <w:rtl w:val="true"/>
        </w:rPr>
        <w:t>:</w:t>
      </w:r>
      <w:bookmarkEnd w:id="263"/>
    </w:p>
    <w:p>
      <w:pPr>
        <w:pStyle w:val="BookText"/>
        <w:rPr/>
      </w:pPr>
      <w:r>
        <w:rPr>
          <w:rFonts w:ascii="Amiri" w:hAnsi="Amiri" w:eastAsia="Amiri" w:cs="Amiri"/>
          <w:color w:val="111111"/>
          <w:sz w:val="28"/>
          <w:sz w:val="28"/>
          <w:szCs w:val="28"/>
          <w:rtl w:val="true"/>
          <w:lang w:bidi="ar-SA"/>
        </w:rPr>
        <w:t>لا خلاف بين الأصحاب رضوان الله عليهم في أنّ المسح لابد أن يكون بنداوة الوضوء ما دامت النداوة باقية، فإذا جفت فالمشهور أن يأخذ من سائر أعضائه كلحيته أو حاجبيه ولا يعيد وضوءه، وذكر الشيخ في الخلاف</w:t>
      </w:r>
      <w:r>
        <w:rPr>
          <w:rStyle w:val="FootnoteAnchor"/>
          <w:rtl w:val="true"/>
        </w:rPr>
        <w:footnoteReference w:id="758"/>
      </w:r>
      <w:r>
        <w:rPr>
          <w:rFonts w:ascii="Amiri" w:hAnsi="Amiri" w:eastAsia="Amiri" w:cs="Amiri"/>
          <w:color w:val="111111"/>
          <w:sz w:val="28"/>
          <w:sz w:val="28"/>
          <w:szCs w:val="28"/>
          <w:rtl w:val="true"/>
          <w:lang w:bidi="ar-SA"/>
        </w:rPr>
        <w:t>أنّ أكثر الأصحاب لا يجوّز أن يستأنف لمسح الرأس والرجلين ماء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مختلف</w:t>
      </w:r>
      <w:r>
        <w:rPr>
          <w:rStyle w:val="FootnoteAnchor"/>
          <w:rtl w:val="true"/>
        </w:rPr>
        <w:footnoteReference w:id="759"/>
      </w:r>
      <w:r>
        <w:rPr>
          <w:rFonts w:ascii="Amiri" w:hAnsi="Amiri" w:eastAsia="Amiri" w:cs="Amiri"/>
          <w:color w:val="111111"/>
          <w:sz w:val="28"/>
          <w:sz w:val="28"/>
          <w:szCs w:val="28"/>
          <w:rtl w:val="true"/>
          <w:lang w:bidi="ar-SA"/>
        </w:rPr>
        <w:t>العلامة نسب إلى ابن الجنيد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يستبق النداوة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ماءاً جديداً لرأسه ولرجليه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كلامه يشمل ما إذا كان الجفاف وعدم البقاء في يديه مع بقاء النداوة في لحيته وسائر أعضائه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فقد نقل الشيخ في الخلاف</w:t>
      </w:r>
      <w:r>
        <w:rPr>
          <w:rStyle w:val="FootnoteAnchor"/>
          <w:rtl w:val="true"/>
        </w:rPr>
        <w:footnoteReference w:id="760"/>
      </w:r>
      <w:r>
        <w:rPr>
          <w:rFonts w:ascii="Amiri" w:hAnsi="Amiri" w:eastAsia="Amiri" w:cs="Amiri"/>
          <w:color w:val="111111"/>
          <w:sz w:val="28"/>
          <w:sz w:val="28"/>
          <w:szCs w:val="28"/>
          <w:rtl w:val="true"/>
          <w:lang w:bidi="ar-SA"/>
        </w:rPr>
        <w:t>عنهم أنهم يوجبون استئناف الماء إلاّ مالكاً فإنه أجاز المسح ببقية الماء وإن كان الأفضل عنده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المغني</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ويمسح رأسه بماء جديد غير ما فضل عن ذراعيه وهو قول أبي حنيفة، والشافعي، والعمل عليه عند أكثر أهل العلم، قاله الترمذي وجوزه الحسن وعروة والاوزاعي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ولنا ما روى عن عبد الله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غير فضل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البلل الباقي في يده مستعمل فلا يجزي المسح به كما لو فصله في إناء ثمّ استعمله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بداية المجتهد</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العلماء أوجب تجديد الماء لمسح الرأس قياساً </w:t>
      </w:r>
    </w:p>
    <w:p>
      <w:pPr>
        <w:pStyle w:val="BookText"/>
        <w:rPr/>
      </w:pPr>
      <w:r>
        <w:rPr>
          <w:rFonts w:ascii="IRNazanin" w:hAnsi="IRNazanin" w:eastAsia="IRNazanin"/>
          <w:color w:val="111111"/>
          <w:sz w:val="28"/>
          <w:sz w:val="28"/>
          <w:szCs w:val="28"/>
          <w:rtl w:val="true"/>
          <w:lang w:bidi="fa-IR"/>
        </w:rPr>
        <w:t>على سائر الأعضاء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جامع الترمذي</w:t>
      </w:r>
      <w:r>
        <w:rPr>
          <w:rStyle w:val="FootnoteAnchor"/>
          <w:rtl w:val="true"/>
        </w:rPr>
        <w:footnoteReference w:id="763"/>
      </w:r>
      <w:r>
        <w:rPr>
          <w:rFonts w:ascii="Amiri" w:hAnsi="Amiri" w:eastAsia="Amiri" w:cs="Amiri"/>
          <w:color w:val="111111"/>
          <w:sz w:val="28"/>
          <w:sz w:val="28"/>
          <w:szCs w:val="28"/>
          <w:rtl w:val="true"/>
          <w:lang w:bidi="ar-SA"/>
        </w:rPr>
        <w:t>بعد ذكر رواية عبد الله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هذا عند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أن يأخذ لرأسه ماء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أحكام القرآن</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عضو ماءً جديداً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يتبيّن مورد الخلاف بيننا وبينهم، فإنا نعتبر أن يكون المسح بماء الوضوء وهم يعتبرونه بماء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الأصول العملية واللفظية وما يستفاد من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العملي فتقريره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دائر بين اعتبار أن يكون المسح بماء الوضوء وبالنداوة الباقية أو لا يعتبر ذلك، بل يجوز أخذه من الخارج، ويستفاد هذا مما تقدم الكلام في نظائره من أنّه هل يكون المقاممورداً للبراءة أو للاشتغال؟ من جهة الاختلاف الواقع في الطهارة وكونها أمراً بسيطاً يحصل من الغسلات والمسحات، أو كونها أمراً مركباً هي نفس الغسلات والمسحات وقد تقدم الكلام فيه مفصلاً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قلنا بأنّ المكلف به مردد بين أن يكون الواجب هو المسح بالنداوة الباقية كما ذهب إليه أكثر الخاصة، أو أنّ الواجب هو استئناف ماء جديد للمسح به كما ذهب إليه العامة، وحينئذ فمقتضى الأصل هو الاحتياط لأنّ الشك فيه يرجع إلى الشك في المكلف به وبراءة الذمة من الفعل المأتي به، ومقتضاه الاحتياط، وذلك لأننا نعلم يقيناً بالتكليف وهو وجوب المسح ولكن لا ندري أنّ الواجب أي الفردين، فمقتضى العلم الإجمالي هو لزوم الاحتياط على المكلف والإتيان بهما معاً، ولكن هذا مخالف للإجماع المتفق عليه بين الإمامية وغيرهم أنّ </w:t>
      </w:r>
    </w:p>
    <w:p>
      <w:pPr>
        <w:pStyle w:val="BookText"/>
        <w:rPr/>
      </w:pPr>
      <w:r>
        <w:rPr>
          <w:rFonts w:ascii="Amiri" w:hAnsi="Amiri" w:eastAsia="Amiri" w:cs="Amiri"/>
          <w:color w:val="111111"/>
          <w:sz w:val="28"/>
          <w:sz w:val="28"/>
          <w:szCs w:val="28"/>
          <w:rtl w:val="true"/>
          <w:lang w:bidi="ar-SA"/>
        </w:rPr>
        <w:t>الواجب أحدهما لا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الوجه فليس في المقام أصل عملي يرجع إليه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اللفظي فمقتضى الآية الشريفة وبعض الروايات الدالة على وجوب مسح الرأس والرجلين هو الإطلاق، إذ لم يبين فيها اعتبار كون المسح بنداوة اليد أو باستئناف ماء جديد، وغاية ما تفيده الآية الشريفة أنها تتكفل ببيان أصل الوجوب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وَامْسَحُوا بِرُءُوسِكُمْ وَأَرْجُلَكُمْ </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مطلق وهكذا غير واحدة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المطلقات هو المسح بنداوة اليد لأن استئناف ماء جديد يدخل في الغسل ولا يصدق عليه المسح، لا يمكن الالتزام به، وذلك لأنّ بين الموردين عموم من وجه إذ قد يبقى في اليد ماء كثير أو زائد يمكن الغسل به، كما أنّه يمكن أخذ ماء قليل جداً لا يسع الغسل، فالتلازم بين الماء الجديد وبين الغسل لا يكون صحيحاً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فلا يمكن التمسك بإطلاق الآية الشريفة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يستفاد من الأدلة الخاصة ففي المقام روايات كثيرة ادعي تواترها تدل على وجوب المسح بما بقي من ماء الوضوء وهي على طوائف</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البيانية التي تحكي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أحكي لكم وضوءرسول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مقدم رأسه وظهر قدميه ببلة يساره وبقية بلة يمناه، وقال في ذيل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وتر يحب الوتر، فقد يجزيك من الوضوء ثلاث غرفات واحدة للوجه واثنتان للذراعين، وتمسح ببلة يمناك ناصيتك وما بقي من بلة يمينك ظهر قدمك اليمنى، وتمسح ببلة يسارك ظهر قدمك اليسرى</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وبكير انهما سألا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بطست أو تور فيه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رأسه وقدميه ببلل كفه لم يحدث لهما ماءً جديداً</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بكير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أحكي لكم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بفضل يديه رأسه ورجليه</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لنا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بقدح 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بما بقي في يده رأسه ورجليه ولم يعدهما في الإناء</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أحدكم الراحة من الدهن فيملأ بها جسده والماء أوسع، ألا أحكي لكم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 يده في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رأسه ورجليه بما بقي في يديه</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لنا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بقدح من ماء فأدخل يده اليمنى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ببقية ما بقي في يديه رأسه ورجليه ولم يعدهما في الإناء</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بكير وزرارة ابني أعين أنهما سألا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بطست أو بتور فيه ماء فغسل كفيه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رأسه وقدميه إلى الكعبين بفضل كفيه لم يجدد ماء</w:t>
      </w:r>
      <w:r>
        <w:rPr>
          <w:rStyle w:val="FootnoteAnchor"/>
          <w:rtl w:val="true"/>
        </w:rPr>
        <w:footnoteReference w:id="77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عين الصحيحة الثانية المتقدمة مع اختلاف في الألفاظ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وغيرها من الروايات وهي صريحة الدلالة على أنّ المسح يجب أن يكون بنداوة ماء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الطائفة من الروايات حكاية لفعل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وغاية ما تدل عليه هو المشروعية لا الوجوب، فلا يمكن استفادة الحكم من فعله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حكايته لفعل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حكاه لأنه حجة لا أنّه فعل، وذكر هذه الخصوصية من كيفية المسح والتركيز عليها دليل على الوجوب ولو كان غيرها جائزاً لما كان لذكر هذه الخصوصية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المتأمل لا يرتاب في دلالة هذه الروايات على الوجوب لا على المشروعية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الدالة على وجوب ذلك من قول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المتقدمة، وهي الرواية الأولى من الطائفة المتقدمة وقد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وتر يحب الوتر، فقد يجزيك من الوضوء ثلاث غرفات واحدة للوجه واثنتان للذراعين، وتمسح ببلة يمينك ناصيتك وما بقي من بلة يمينك ظهر قدمك اليمنى، وتمسح ببلة يسارك ظهر قدمك اليسرى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الجملة قول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حكى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وضأت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بفضلة الندى رأسه ورجليه</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والرواية وإن لم تكن قولاً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هي حكاية لفعله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تدخل في القول بوجه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عمر بن أذينة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أوحى الله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ادن من صاد </w:t>
      </w:r>
    </w:p>
    <w:p>
      <w:pPr>
        <w:pStyle w:val="BookText"/>
        <w:rPr/>
      </w:pPr>
      <w:r>
        <w:rPr>
          <w:rFonts w:ascii="IRNazanin" w:hAnsi="IRNazanin" w:eastAsia="IRNazanin"/>
          <w:color w:val="111111"/>
          <w:sz w:val="28"/>
          <w:sz w:val="28"/>
          <w:szCs w:val="28"/>
          <w:rtl w:val="true"/>
          <w:lang w:bidi="fa-IR"/>
        </w:rPr>
        <w:t xml:space="preserve">فاغسل مساجدك وطهرها، وصل لربك، فدنا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صاد وهو ماء يسيل من ساق العرش الأيمن، فتلقى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بيده اليمنى فمن أجل ذلك صار الوضوء باليمين، ثمّ أوحى</w:t>
      </w:r>
    </w:p>
    <w:p>
      <w:pPr>
        <w:pStyle w:val="BookText"/>
        <w:rPr/>
      </w:pPr>
      <w:r>
        <w:rPr>
          <w:rFonts w:ascii="Amiri" w:hAnsi="Amiri" w:eastAsia="Amiri" w:cs="Amiri"/>
          <w:color w:val="111111"/>
          <w:sz w:val="28"/>
          <w:sz w:val="28"/>
          <w:szCs w:val="28"/>
          <w:rtl w:val="true"/>
          <w:lang w:bidi="ar-SA"/>
        </w:rPr>
        <w:t>الله إليه أن اغسل وجهك فإنك تنظر إلى عظمتي، ثمّ اغسل ذراعيك اليمنى واليسرى فإنك تلقى بيديك كلامي، ثمّ امسح بفضل ما بقي في يدك من الماء ورجليك إلى كعبيك فإني أبارك عليك وأوطئك موطئاً لم يطأه أحدغيرك</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وهذه الرواية صريحة الدلالة على أن الواجب هو المسح بفضل ما بقي من الماء ولا يجوز أخذ الماء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جواز أخذ البلل من اللحية أو الحاجبين عند جفاف اليدين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ذكرت وأنت في صلاتك أنك تركت شيئاً من وضوئك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ويكفيك من مسح رأسك أن تأخذ من لحيتك بللها إذا نسيت أن تمسح رأسك فتمسح به مقدم رأسك</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وهذه الرواية وإن كان موضوعها الناسي إلاّ أنها تدل على أنّ المسح لابد وأن يكون بماء الوضوء لا بغيره، ولا بأس بدلالتها وإن كانت بالمفهوم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الرجل ينسى مسح رأسه حتى دخل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 لحيته بلل بقدر ما يمسح رأسه ورجليه فليفعل ذلك وليصلّ</w:t>
      </w:r>
      <w:r>
        <w:rPr>
          <w:rStyle w:val="FootnoteAnchor"/>
          <w:rtl w:val="true"/>
        </w:rPr>
        <w:footnoteReference w:id="77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الرواية كالرواية السابقة في دلالتها على عدم أخذ الماء من الخارج بالمفهوم، وأصرح من هاتين الروايتين رواية مالك بن أعين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نسى مسح رأسه ثمّ ذكر أنّه لم يمسح رأسه فإن كان في لحيته بلل فليأخذ </w:t>
      </w:r>
    </w:p>
    <w:p>
      <w:pPr>
        <w:pStyle w:val="BookText"/>
        <w:rPr/>
      </w:pPr>
      <w:r>
        <w:rPr>
          <w:rFonts w:ascii="Amiri" w:hAnsi="Amiri" w:eastAsia="Amiri" w:cs="Amiri"/>
          <w:color w:val="111111"/>
          <w:sz w:val="28"/>
          <w:sz w:val="28"/>
          <w:szCs w:val="28"/>
          <w:rtl w:val="true"/>
          <w:lang w:bidi="ar-SA"/>
        </w:rPr>
        <w:t>منه وليمسح رأسه، وإن لم يكن في لحيته بلل فلينصرف وليعد الوضوء</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فهي صريحة في عدم أخذ الماء من الخارج بل ينصرف ويعيد الوضوء، هذا من جهة الدلالة، وأما من جهة السند ففيها مالك بن أعين وهو ممّن لم يرد فيه توثيق، وقد عبر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التنقيح عن الرواية بالموثقة</w:t>
      </w:r>
      <w:r>
        <w:rPr>
          <w:rStyle w:val="FootnoteAnchor"/>
          <w:rtl w:val="true"/>
        </w:rPr>
        <w:footnoteReference w:id="778"/>
      </w:r>
      <w:r>
        <w:rPr>
          <w:rFonts w:ascii="Amiri" w:hAnsi="Amiri" w:eastAsia="Amiri" w:cs="Amiri"/>
          <w:color w:val="111111"/>
          <w:sz w:val="28"/>
          <w:sz w:val="28"/>
          <w:szCs w:val="28"/>
          <w:rtl w:val="true"/>
          <w:lang w:bidi="ar-SA"/>
        </w:rPr>
        <w:t>إلاّ أن هذا على مبناه السابق في أسناد كامل الزيارات فإن مالك بن أعين ورد في أسناد بعض رواياته</w:t>
      </w:r>
      <w:r>
        <w:rPr>
          <w:rStyle w:val="FootnoteAnchor"/>
          <w:rtl w:val="true"/>
        </w:rPr>
        <w:footnoteReference w:id="779"/>
      </w:r>
      <w:r>
        <w:rPr>
          <w:rFonts w:ascii="Amiri" w:hAnsi="Amiri" w:eastAsia="Amiri" w:cs="Amiri"/>
          <w:color w:val="111111"/>
          <w:sz w:val="28"/>
          <w:sz w:val="28"/>
          <w:szCs w:val="28"/>
          <w:rtl w:val="true"/>
          <w:lang w:bidi="ar-SA"/>
        </w:rPr>
        <w:t xml:space="preserve">،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عن هذاالرأي إلى اختصاص شهادة ابن قولويه بمشايخه، وبناء على هذا فالتوثيق لا يشمل مالك بن أعين، إلاّ أنّه يمكن توثيقه من جهة أخرى وهي بناء على ما حققناه في مباحثنا الرجالية من أن إحدى علائم التوثيق رواية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يروون ولا يرسلون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شخص وقد روى ابن أبي عمير عن مالك بن أعين</w:t>
      </w:r>
      <w:r>
        <w:rPr>
          <w:rStyle w:val="FootnoteAnchor"/>
          <w:rtl w:val="true"/>
        </w:rPr>
        <w:footnoteReference w:id="780"/>
      </w:r>
      <w:r>
        <w:rPr>
          <w:rFonts w:ascii="Amiri" w:hAnsi="Amiri" w:eastAsia="Amiri" w:cs="Amiri"/>
          <w:color w:val="111111"/>
          <w:sz w:val="28"/>
          <w:sz w:val="28"/>
          <w:szCs w:val="28"/>
          <w:rtl w:val="true"/>
          <w:lang w:bidi="ar-SA"/>
        </w:rPr>
        <w:t xml:space="preserve">، وعليه فلا مانع من الاستناد إلى روايته والاستدلال بها، ثمّ لا يخفى أن المراد من مالك بن أعين هو الجهني الذي هو من أصحاب الباقر والصادق </w:t>
      </w:r>
      <w:r>
        <w:rPr>
          <w:rFonts w:eastAsia="Amiri" w:cs="Amiri" w:ascii="Amiri" w:hAnsi="Amiri"/>
          <w:color w:val="111111"/>
          <w:sz w:val="28"/>
          <w:szCs w:val="28"/>
          <w:rtl w:val="true"/>
          <w:lang w:bidi="ar-SA"/>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لا الشيباني أخو زرارة فإنه لا رواية له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استظهره السيد الأستاذ </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نسيت مسح رأسك فامسح عليه وعلى رجليك من بلة وضوئك، فإن لم يكن بقي في يدك من نداوة وضوئك شيء فخذ ما بقي منه في لحيتك وامسح به رأسك ورجليك، وإن لم يكن لك لحية فخذ من حاجبك وأشفار عينيك وامسح به رأسك ورجليك، وإن لم يبق من بلة وضوئك شيء أعدت الوضوء</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وهذه الرواية واضحة الدلالة ولا إشكال في عدم جواز أخذ الماء من الخارج إلاّ أن الكلام في سند الرواية فإنها مرسلة وقد أوردها الصدوق في الفقيه ونسبها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تحقق عندنا</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مرسلات الصدوق في الفقيه يمكن الاعتماد عليها، وذلك لشهادته في أوله ثلاث شهادات على روايات الكتاب وهي أنها صحيحة وحجة بينه وبين الله، وأنها مأخوذة من كتب مشهورة معروفة، وأنها معوّل عليها</w:t>
      </w:r>
      <w:r>
        <w:rPr>
          <w:rStyle w:val="FootnoteAnchor"/>
          <w:rtl w:val="true"/>
        </w:rPr>
        <w:footnoteReference w:id="785"/>
      </w:r>
      <w:r>
        <w:rPr>
          <w:rFonts w:ascii="Amiri" w:hAnsi="Amiri" w:eastAsia="Amiri" w:cs="Amiri"/>
          <w:color w:val="111111"/>
          <w:sz w:val="28"/>
          <w:sz w:val="28"/>
          <w:szCs w:val="28"/>
          <w:rtl w:val="true"/>
          <w:lang w:bidi="ar-SA"/>
        </w:rPr>
        <w:t>، ورد الرواية بعد هذه الشهادات مشكل وعليه يمكن اعتبار هذه الرواية والاستناد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تدخل في هذه الطائفة نكتفي بما ذكرنا، وكلها تدل على جواز أخذ الماء من اللحية والحاجبين وأشفار العين ومع جفاف الماء عنها يبطل الوضوء ولا يجوز أخذ الماء من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الواردة في حال التقية 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معتبرة علي بن يقطين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بعد ارتفاع التقية، ابتدأ من الآن يا علي بن يقطين وتوضأ كما أمرك الله تعالى، اغسل وجهك مرة فريضة وأخرى اسباغاً، واغسل يديك من المرفقين كذلك، وامسح بمقدم رأسك وظاهر قدميك من فضل نداوة وضوئك، فقد زال ما كنا نخاف منه عليك والسلام</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فالمسح الواجب الذي أمر الله به أن يكون من فضل نداوة الوضوء لا من الخارج، 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الروايات وهناك روايات كثيرة جداً كلها تدل على أن المسح ينبغي أن يكون بماء الوضوء لا بماء مستأنف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بإزاء هذه الروايات ورد ما يدل على جواز أخذ الماء من الخارج ومن ذلك 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مسح الرأس، 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امسح بما على يدي من الندى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تضع يدك في الماء ثمّ تمسح</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أيجزي الرجل أن يمسح قدميه بفضل رأسه؟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أبماء جديد؟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وقد حمل الشيخ هاتين الروايتين على التقية</w:t>
      </w:r>
      <w:r>
        <w:rPr>
          <w:rStyle w:val="FootnoteAnchor"/>
          <w:rtl w:val="true"/>
        </w:rPr>
        <w:footnoteReference w:id="789"/>
      </w:r>
      <w:r>
        <w:rPr>
          <w:rFonts w:ascii="IRNazanin" w:hAnsi="IRNazanin" w:eastAsia="IRNazanin"/>
          <w:color w:val="111111"/>
          <w:sz w:val="28"/>
          <w:sz w:val="28"/>
          <w:szCs w:val="28"/>
          <w:rtl w:val="true"/>
          <w:lang w:bidi="fa-IR"/>
        </w:rPr>
        <w:t xml:space="preserve">والرواية الثانية في دلالتها على التقية أوضح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برأسه ولم يجب بلسانه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جعفر بن عمارة بن أبي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رأسي ببلل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لرأسك ماءاً جديداً </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وقد حملها الشيخ على التقية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رواته رجال العامة والزيدية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كما ذكره الشيخ فإن ابن عقدة زيدي، وفضل بن يوسف مجهول ولم يرد له رواية في الكتب الأربعة إلاّ هذه الرواية، فإنّ الشيخ رواها في التهذيب</w:t>
      </w:r>
      <w:r>
        <w:rPr>
          <w:rStyle w:val="FootnoteAnchor"/>
          <w:rtl w:val="true"/>
        </w:rPr>
        <w:footnoteReference w:id="792"/>
      </w:r>
      <w:r>
        <w:rPr>
          <w:rFonts w:ascii="IRNazanin" w:hAnsi="IRNazanin" w:eastAsia="IRNazanin"/>
          <w:color w:val="111111"/>
          <w:sz w:val="28"/>
          <w:sz w:val="28"/>
          <w:szCs w:val="28"/>
          <w:rtl w:val="true"/>
          <w:lang w:bidi="fa-IR"/>
        </w:rPr>
        <w:t xml:space="preserve">ومثله محمّد بن عكاشة وأما جعفر بن عمارة فهووإن ذكره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من العامة</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السند مضافاً إلى حملها على التقية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نسي أن يمسح على رأسه ذكر وهو في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استيقن ذلك انصرف فمسح على رأسه، وعلى رجليه واستقبل الصلاة، وإن شك فلم يدر مسح أو لم يمسح فليتناول من </w:t>
      </w:r>
      <w:bookmarkStart w:id="264" w:name="pg16387_188361"/>
    </w:p>
    <w:p>
      <w:pPr>
        <w:pStyle w:val="BookText"/>
        <w:rPr/>
      </w:pPr>
      <w:bookmarkEnd w:id="264"/>
      <w:r>
        <w:rPr>
          <w:rFonts w:ascii="Amiri" w:hAnsi="Amiri" w:eastAsia="Amiri" w:cs="Amiri"/>
          <w:color w:val="111111"/>
          <w:sz w:val="28"/>
          <w:sz w:val="28"/>
          <w:szCs w:val="28"/>
          <w:rtl w:val="true"/>
          <w:lang w:bidi="ar-SA"/>
        </w:rPr>
        <w:t>لحيته إن كانت مبتلّة وليمسح على رأسه، وإن كان أمامه ماء فليتناوله منه فليمسح رأسه</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وهذه الرواية وإن ورد فيها أخذ الماء من الخارج إلاّ أنها ليست محلاًّ للشاهد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موردها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الاستحباب لأن الشك في مثل هذه الحال لا يعتنى به لجريان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أنها شاملة لما نحن فيه إلاّ أنها لا تقاوم الروايات الصحيحة السابقة، ولا يمكن ترجيح هذه الرواية على تلك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المقابلة لتلك الطوائف لابد من حملها على التقية لشذوذها وعدم مقاومتها لتلك الروايات وأنها موافقة للعامة، فلا إشكال في الأخذ بالروايات المتقدمة الدالة على أنّ المسح يجب أن يكون بماء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مذهب الإمامية ولم يستشكل في ذلك إلاّ ما نسب إلى ابن الجنيد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الجهة الأولى</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6877827_1280447820"/>
      <w:bookmarkStart w:id="266" w:name="_Toc91"/>
      <w:bookmarkEnd w:id="265"/>
      <w:r>
        <w:rPr>
          <w:rtl w:val="true"/>
        </w:rPr>
        <w:t>الجهة الثانية</w:t>
      </w:r>
      <w:r>
        <w:rPr>
          <w:rtl w:val="true"/>
        </w:rPr>
        <w:t xml:space="preserve">: </w:t>
      </w:r>
      <w:r>
        <w:rPr>
          <w:rtl w:val="true"/>
        </w:rPr>
        <w:t>في حكم المسألة حال التقية</w:t>
      </w:r>
      <w:r>
        <w:rPr>
          <w:rtl w:val="true"/>
        </w:rPr>
        <w:t>:</w:t>
      </w:r>
      <w:bookmarkEnd w:id="266"/>
    </w:p>
    <w:p>
      <w:pPr>
        <w:pStyle w:val="BookText"/>
        <w:rPr/>
      </w:pPr>
      <w:r>
        <w:rPr>
          <w:rFonts w:ascii="Amiri" w:hAnsi="Amiri" w:eastAsia="Amiri" w:cs="Amiri"/>
          <w:color w:val="111111"/>
          <w:sz w:val="28"/>
          <w:sz w:val="28"/>
          <w:szCs w:val="28"/>
          <w:rtl w:val="true"/>
          <w:lang w:bidi="ar-SA"/>
        </w:rPr>
        <w:t>والكلام فيها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استئناف الماء للمسح حال التقية أم لا؟</w:t>
      </w:r>
    </w:p>
    <w:p>
      <w:pPr>
        <w:pStyle w:val="BookText"/>
        <w:rPr/>
      </w:pPr>
      <w:r>
        <w:rPr>
          <w:rFonts w:ascii="Amiri" w:hAnsi="Amiri" w:eastAsia="Amiri" w:cs="Amiri"/>
          <w:color w:val="111111"/>
          <w:sz w:val="28"/>
          <w:sz w:val="28"/>
          <w:szCs w:val="28"/>
          <w:rtl w:val="true"/>
          <w:lang w:bidi="ar-SA"/>
        </w:rPr>
        <w:t>الظاهر هو الوجوب،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الأدلة العامة فإنها شاملة للمورد بلا إشكال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الخاصة الواردة في المقام ومنها معتبرة علي بن يقطين فقد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وتمسح رأسك كله وتمسح ظاهر أذنيك وباطنهما وتغسل رجليك إلى </w:t>
      </w:r>
      <w:bookmarkStart w:id="267" w:name="pg16387_188362"/>
    </w:p>
    <w:p>
      <w:pPr>
        <w:pStyle w:val="BookText"/>
        <w:rPr/>
      </w:pPr>
      <w:bookmarkEnd w:id="267"/>
      <w:r>
        <w:rPr>
          <w:rFonts w:ascii="Amiri" w:hAnsi="Amiri" w:eastAsia="Amiri" w:cs="Amiri"/>
          <w:color w:val="111111"/>
          <w:sz w:val="28"/>
          <w:sz w:val="28"/>
          <w:szCs w:val="28"/>
          <w:rtl w:val="true"/>
          <w:lang w:bidi="ar-SA"/>
        </w:rPr>
        <w:t>الكعبين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الأمر بغسل الرجلين ثلاثاً ظاهر في استئناف الماء إذ لا يتحقق الغسل إلاّ به والرواية واردة في مقام التقية فلا إشكال في وجوب ذلك، نعم الأمر بمسح الرأس كله والأذنين ظاهرهما وباطنهما مطلق، ولم يبين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بماء مستأنف، ولعل الاكتفاء بهذا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ذكره أخذ ماء جديد لمسح الرأس والأذنين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للتقية، مضافاً إلى أن مسألة مسح الرأس والأذنين ليست اتفاقية عندهم، بل هي محل خلاف كما تقدم وإن كان المشهور عندهم هو مسح جميع الرأس والأذنين، ويترتب على هذا أنّ الاحتياط يقتضي الاقتصار على ما يحقق التقية ولا يتعدى إلى غيره، فلا يستأنف ماء جديد لمسح الرأس والأذنين لعدم الحاجة إليه اكتفاء بغسل الرجلين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خالف التقية وعمل المكلف بوظيفته الأولية فهل يحكم بصحة وضوئه أم لا؟</w:t>
      </w:r>
    </w:p>
    <w:p>
      <w:pPr>
        <w:pStyle w:val="BookText"/>
        <w:rPr/>
      </w:pPr>
      <w:r>
        <w:rPr>
          <w:rFonts w:ascii="Amiri" w:hAnsi="Amiri" w:eastAsia="Amiri" w:cs="Amiri"/>
          <w:color w:val="111111"/>
          <w:sz w:val="28"/>
          <w:sz w:val="28"/>
          <w:szCs w:val="28"/>
          <w:rtl w:val="true"/>
          <w:lang w:bidi="ar-SA"/>
        </w:rPr>
        <w:t>والظاهر مما تقدم هو الحكم بالصحة، لأنّ المسح قد تحقق سواء كان بالنداوة الباقية أو المستأنفة، واشتراط كونه من المستأنفة غير دخيل في تحققه، نعم الغسل يتحقق وهو أمر آخر وقد تقدم الكلام فيه وفي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أتى المكلف بالمسح ولم يستأنف ماء جديداً فالحكم بالبطلان حينئذ مشكل</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6877829_1280447820"/>
      <w:bookmarkStart w:id="269" w:name="_Toc92"/>
      <w:bookmarkEnd w:id="268"/>
      <w:r>
        <w:rPr>
          <w:rtl w:val="true"/>
        </w:rPr>
        <w:t>المورد السادس</w:t>
      </w:r>
      <w:r>
        <w:rPr>
          <w:rtl w:val="true"/>
        </w:rPr>
        <w:t xml:space="preserve">: </w:t>
      </w:r>
      <w:r>
        <w:rPr>
          <w:rtl w:val="true"/>
        </w:rPr>
        <w:t>في المسح على البشرة وجوازه على الحائل خفاً كان أو غيره وعدمه</w:t>
      </w:r>
      <w:r>
        <w:rPr>
          <w:rtl w:val="true"/>
        </w:rPr>
        <w:t>:</w:t>
      </w:r>
      <w:bookmarkEnd w:id="269"/>
    </w:p>
    <w:p>
      <w:pPr>
        <w:pStyle w:val="BookText"/>
        <w:rPr/>
      </w:pPr>
      <w:r>
        <w:rPr>
          <w:rFonts w:ascii="IRNazanin" w:hAnsi="IRNazanin" w:eastAsia="IRNazanin"/>
          <w:color w:val="111111"/>
          <w:sz w:val="28"/>
          <w:sz w:val="28"/>
          <w:szCs w:val="28"/>
          <w:rtl w:val="true"/>
          <w:lang w:bidi="fa-IR"/>
        </w:rPr>
        <w:t>لا إشكال عند الإمامية بل ادعي عليه الإجماع بل هو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اعتبار كون المسح على البشرة، ولم ينقل في ذلك خلاف من أحد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العامة فقد خالفوا في ذلك كما نقله الشيخ عنهم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يجوز المسح على الخفين لا في الحضر ولا في السفر وخالف جميع الفقهاء في ذلك على اختلاف بينهم في مقدار المسح في السفر والحضر</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بعضهم إلى الجواز للمسافر والحاضر مطلقاً</w:t>
      </w:r>
      <w:r>
        <w:rPr>
          <w:rStyle w:val="FootnoteAnchor"/>
          <w:rtl w:val="true"/>
        </w:rPr>
        <w:footnoteReference w:id="796"/>
      </w:r>
      <w:r>
        <w:rPr>
          <w:rFonts w:ascii="IRNazanin" w:hAnsi="IRNazanin" w:eastAsia="IRNazanin"/>
          <w:color w:val="111111"/>
          <w:sz w:val="28"/>
          <w:sz w:val="28"/>
          <w:szCs w:val="28"/>
          <w:rtl w:val="true"/>
          <w:lang w:bidi="fa-IR"/>
        </w:rPr>
        <w:t>، وبعضهم جوزه للمسافر مطلقاً</w:t>
      </w:r>
      <w:r>
        <w:rPr>
          <w:rStyle w:val="FootnoteAnchor"/>
          <w:rtl w:val="true"/>
        </w:rPr>
        <w:footnoteReference w:id="797"/>
      </w:r>
      <w:r>
        <w:rPr>
          <w:rFonts w:ascii="Amiri" w:hAnsi="Amiri" w:eastAsia="Amiri" w:cs="Amiri"/>
          <w:color w:val="111111"/>
          <w:sz w:val="28"/>
          <w:sz w:val="28"/>
          <w:szCs w:val="28"/>
          <w:rtl w:val="true"/>
          <w:lang w:bidi="ar-SA"/>
        </w:rPr>
        <w:t>، وبعضهم يرى عدم الجواز بقول مطلق كما نقل ذلك عن مالك</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واختلفوا أيضاً في تحديد محل المسح فبعضهم أوجب المسح من أعلى الخف وأسفله مستحب وهو رأي الشافعي، وبعضهم ذهب إلى أن الواجب هو مسح ظهورها وبطونها وهو مذهب ابن نافع</w:t>
      </w:r>
      <w:r>
        <w:rPr>
          <w:rStyle w:val="FootnoteAnchor"/>
          <w:rtl w:val="true"/>
        </w:rPr>
        <w:footnoteReference w:id="799"/>
      </w:r>
      <w:r>
        <w:rPr>
          <w:rFonts w:ascii="Amiri" w:hAnsi="Amiri" w:eastAsia="Amiri" w:cs="Amiri"/>
          <w:color w:val="111111"/>
          <w:sz w:val="28"/>
          <w:sz w:val="28"/>
          <w:szCs w:val="28"/>
          <w:rtl w:val="true"/>
          <w:lang w:bidi="ar-SA"/>
        </w:rPr>
        <w:t>، وبعضهم ذهب إلى مسح الظهور دون البطون وقال بأن البطون ليس مسحها واجباً ولا مستحباً وهو مذهب أبي حنيفة وداود، وسفيان وجماعة</w:t>
      </w:r>
      <w:r>
        <w:rPr>
          <w:rStyle w:val="FootnoteAnchor"/>
          <w:rtl w:val="true"/>
        </w:rPr>
        <w:footnoteReference w:id="800"/>
      </w:r>
      <w:r>
        <w:rPr>
          <w:rFonts w:ascii="Amiri" w:hAnsi="Amiri" w:eastAsia="Amiri" w:cs="Amiri"/>
          <w:color w:val="111111"/>
          <w:sz w:val="28"/>
          <w:sz w:val="28"/>
          <w:szCs w:val="28"/>
          <w:rtl w:val="true"/>
          <w:lang w:bidi="ar-SA"/>
        </w:rPr>
        <w:t xml:space="preserve">، إلى غير ذلك من الاختلافات الكثيرة العجيبة بينهم، وأعجب من هذا كله أنهم لا يجيزون المسح على الرجلين ويوجبون غسلهما ومع ذلك يجيزون المسح على الخفين ويكتفون بذلك فالترجيح للخفين على الرجلين في المسح والتفريق بينهما عجيب منهم وأي عجيب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الكلام يقع في جهتين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تقتضيه الأصول العملية واللفظية وما يستفاد من الأدلة الخاصة، أما الأصل العملي فالمستفاد من الأدلة أنّ الواجب هو مسح الرجلين كما هو الحق، أو غسلهما كما هو مذهب العامة فإذا شككنا في مسح الخفين بدلاً من مسح الرجلين أو غسلهما فالظاهر أن مقتضى الأصل هو الاشتغال، لأنّ الشك ليس شكاً في التكليف وإنما هو شك في المكلف به، مضافاً إلى أنّه شك في المصداق لا في المفهوم بمعنى أنّ المسح على الخفين هل هو مسح على الرجلين أو لا؟ </w:t>
      </w:r>
    </w:p>
    <w:p>
      <w:pPr>
        <w:pStyle w:val="BookText"/>
        <w:rPr/>
      </w:pPr>
      <w:r>
        <w:rPr>
          <w:rFonts w:ascii="Amiri" w:hAnsi="Amiri" w:eastAsia="Amiri" w:cs="Amiri"/>
          <w:color w:val="111111"/>
          <w:sz w:val="28"/>
          <w:sz w:val="28"/>
          <w:szCs w:val="28"/>
          <w:rtl w:val="true"/>
          <w:lang w:bidi="ar-SA"/>
        </w:rPr>
        <w:t xml:space="preserve">فإذا شككنا في ذلك وليس لنا دليل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العملي هو الاشتغال ولابد من الاحتياط، لأنّ الاشتغال اليقيني يقتضي الفراغ اليقيني، وهذا الأصل جار حتى بناء على ما تقدم من كون الغسلات والمسحات هو الواجب لا أنّه الأثر التكويني الذي كشف عنه الشارع بالأمر بتحصيله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الاشتغال جارية على اختلاف المباني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اللفظي فالمستفاد من الآية الكريمة ومن بعض الرواياتهو الإطلاق،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 وَأَرْجُلَكُمْ إِلَى الْكَعْبَيْنِ</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يقتضي بإطلاقه وجوب المسح كما هو الحق وقد تقدم الكلام فيه، فإذا شككنا في جواز المسح على غير الرجلين كالخفين أو أي حائل آخر فبحسب ظاهر الآية بل نصها عدم الاكتفاء، فإنّ الآية محكمة وليست من المتشابه، ومفرداتها واضحة الدلالة، فلا يلتبس مفهوم الرجلين بمفهوم الخفين ولا يصدق أحدهما على الآخر، وبناء على هذا فلا يجوز المسح على غير الرجل بمقتضى الأصل اللفظي المستفاد من الكتاب العزيز، وهكذا الروايات المطلقة في دلالتها على وجوب المسح على الرجلين لا على الخفين أو أي حائل آخر، ومثله غسل الوجه فإنّه لا يصدق على غسل عضو آخر أو حائل بل لابد من غسل البشرة وإيصال الماء إليها، وهكذا بالنسبة إلى وضوح معنى المسح وموضوعه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الآية منسوخة بفعل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مردود بإجماع الفريقين على عدم النسخ، وقد ذكر الرازي في تفسيره</w:t>
      </w:r>
      <w:r>
        <w:rPr>
          <w:rStyle w:val="FootnoteAnchor"/>
          <w:rtl w:val="true"/>
        </w:rPr>
        <w:footnoteReference w:id="802"/>
      </w:r>
      <w:r>
        <w:rPr>
          <w:rFonts w:ascii="Amiri" w:hAnsi="Amiri" w:eastAsia="Amiri" w:cs="Amiri"/>
          <w:color w:val="111111"/>
          <w:sz w:val="28"/>
          <w:sz w:val="28"/>
          <w:szCs w:val="28"/>
          <w:rtl w:val="true"/>
          <w:lang w:bidi="ar-SA"/>
        </w:rPr>
        <w:t>إجماع المفسرين على عدم نسخ هذه الآية وسيأتي في الروايات ما يدل على عدم النسخ</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الأصلين العملي واللفظي هو عدم جواز المسح على الحائل ومنه الخفين، وأما ما يستفاد من الأدلة الخاصة ففي المقام روايات كثيرة </w:t>
      </w:r>
    </w:p>
    <w:p>
      <w:pPr>
        <w:pStyle w:val="BookText"/>
        <w:rPr/>
      </w:pPr>
      <w:r>
        <w:rPr>
          <w:rFonts w:ascii="Amiri" w:hAnsi="Amiri" w:eastAsia="Amiri" w:cs="Amiri"/>
          <w:color w:val="111111"/>
          <w:sz w:val="28"/>
          <w:sz w:val="28"/>
          <w:szCs w:val="28"/>
          <w:rtl w:val="true"/>
          <w:lang w:bidi="ar-SA"/>
        </w:rPr>
        <w:t>تدل على عدم جواز المسح على الخفين وهي على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البيانية التي تحكي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أحكي لكم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مقدم رأسه وظهر قدميه</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والظاهر من المسح على ظهر القدمين أنّه مسح على بشرة القدمين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وبكير أنهما سألا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بطست أو تور فيه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مسح بشيء من رأسه أو بشيء من قدميه ما بين الكعبين إلى أطراف الأصابع فقد أجزأه</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ظاهرة في أنّ المسح على البشرة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ميسر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أحكي لكم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رأسه وقدميه، ثمّ وضع يده على ظهر القدم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الكعب</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إلى غير ذلك من الروايات الحاكية لفعل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تدل على أنّ المسح كان على نفس بشرة القدمين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المسح على الخفين مخالف للكتاب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عمر بن الخطاب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 المسح على الخفين؟ فقام المغيرة بن شعبة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يمسح على الخفين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المائدة أو بعدها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الكتاب الخفين، إنما نزلت المائدة قبل أن يقبض بشهرين أو ثلاثة</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والمستفاد من الرواية أنّ المسح على الخفين على خلاف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المسح على الخفين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الكتاب الخفين</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المسح على الخفين والعمامة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تمسح على خف</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الورد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ظبيان حدثني أنّه 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أراق الماء ثمّ مسح على الخفين،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أبو ظبيان أما بلغك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الكتاب الخفين،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فيهما رخصة؟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من عدو تتقيه، أو ثلج تخاف على رجليك</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والرواية من حيث الدلالة واضحة، وأما من جهة السند ففيه أبو الورد وهو لم يوثق ولكنه واقع في أسناد تفسير علي بن إبراهيم القمي</w:t>
      </w:r>
      <w:r>
        <w:rPr>
          <w:rStyle w:val="FootnoteAnchor"/>
          <w:rtl w:val="true"/>
        </w:rPr>
        <w:footnoteReference w:id="810"/>
      </w:r>
      <w:r>
        <w:rPr>
          <w:rFonts w:ascii="IRNazanin" w:hAnsi="IRNazanin" w:eastAsia="IRNazanin"/>
          <w:color w:val="111111"/>
          <w:sz w:val="28"/>
          <w:sz w:val="28"/>
          <w:szCs w:val="28"/>
          <w:rtl w:val="true"/>
          <w:lang w:bidi="fa-IR"/>
        </w:rPr>
        <w:t>، فتكون الرواية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قيس بن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إسحاق عن المسح يعني المسح على الخفين،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الناس يمسحون حتى لقيت رجلاً من بني هاشم لم أر مثله قط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المسح فنهاني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على الخفين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الكتاب المسح على الخفين،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مسحت منذ نهاني</w:t>
      </w:r>
      <w:r>
        <w:rPr>
          <w:rStyle w:val="FootnoteAnchor"/>
          <w:rtl w:val="true"/>
        </w:rPr>
        <w:footnoteReference w:id="81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في دلالتها واضحة، إلاّ أن الكلام في سندها فقد رواها الشيخ المفيد في الإرشاد</w:t>
      </w:r>
      <w:r>
        <w:rPr>
          <w:rStyle w:val="FootnoteAnchor"/>
          <w:rtl w:val="true"/>
        </w:rPr>
        <w:footnoteReference w:id="812"/>
      </w:r>
      <w:r>
        <w:rPr>
          <w:rFonts w:ascii="Amiri" w:hAnsi="Amiri" w:eastAsia="Amiri" w:cs="Amiri"/>
          <w:color w:val="111111"/>
          <w:sz w:val="28"/>
          <w:sz w:val="28"/>
          <w:szCs w:val="28"/>
          <w:rtl w:val="true"/>
          <w:lang w:bidi="ar-SA"/>
        </w:rPr>
        <w:t xml:space="preserve">عن مخول بن إبراهيم عن قيس بن الربيع وكلاهما لم يرد فيهما </w:t>
      </w:r>
    </w:p>
    <w:p>
      <w:pPr>
        <w:pStyle w:val="BookText"/>
        <w:rPr/>
      </w:pPr>
      <w:r>
        <w:rPr>
          <w:rFonts w:ascii="Amiri" w:hAnsi="Amiri" w:eastAsia="Amiri" w:cs="Amiri"/>
          <w:color w:val="111111"/>
          <w:sz w:val="28"/>
          <w:sz w:val="28"/>
          <w:szCs w:val="28"/>
          <w:rtl w:val="true"/>
          <w:lang w:bidi="ar-SA"/>
        </w:rPr>
        <w:t>توثيق فتحمل على التأييد لما سبق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إلى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الوضوء كما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مسح على الخفين فقد خالف الله ورسوله وترك فريضته وكتابه</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والرواية وإن كانت صريحة الدلالة في أنّ المسح على الخفين مخالف للكتاب إلاّ أن سند الرواية غير تام وقد ذكرنا ذلك فيما سبق فتكون الرواية مؤيدة كالرواية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الطائفة من الروايات تدل على أنّ المسح على الخفين على خلاف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النهي عن المسح على الخفين وعدم إجزائه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المسح على الخفين وعلى العمامة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تمسح عليهما</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المتقدمة وهي الرواية الثانية من الطائفة الثانية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عملت الولاة قبلي أعمالاً خالفوا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متعمدين لخلافه، ولو حملت الناس على تركها لتفرق عني جندي، أرأيتم لو أمرت بمقام إبراهيم فرددته إلى الموضع الذي كان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وحرمتالمسح على الخفين، وحددت على النبيذ، وأمرت بإحلال المتعتين، وأمرت بالتكبير على الجنائز خمس تكبيرات، وألزمت الناس الجهر ببسم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لتفرقوا عني الحديث</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وموضع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وحرمت المسح على الخفين، فإنه مخالف لأمر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بدعة أحدثوها بعده، والرواية من جهة دلالتها واضحة كما أنها من جهة السند معتبرة فقد ذكرنا في مباحثنا الرجالية</w:t>
      </w:r>
      <w:r>
        <w:rPr>
          <w:rStyle w:val="FootnoteAnchor"/>
          <w:rtl w:val="true"/>
        </w:rPr>
        <w:footnoteReference w:id="816"/>
      </w:r>
      <w:r>
        <w:rPr>
          <w:rFonts w:ascii="Amiri" w:hAnsi="Amiri" w:eastAsia="Amiri" w:cs="Amiri"/>
          <w:color w:val="111111"/>
          <w:sz w:val="28"/>
          <w:sz w:val="28"/>
          <w:szCs w:val="28"/>
          <w:rtl w:val="true"/>
          <w:lang w:bidi="ar-SA"/>
        </w:rPr>
        <w:t>إمكان تصحيح روايات كتاب سليم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المريض هل له رخصة في المسح؟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والمراد من المسح هو المسح على الخفين رخصة في مسحهما، وليس المراد هو ترك المسح، فيجب أن يكون المسح على القدمين ولو بمشقة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حبابة الوابلية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لا نمسح على الخفين، فمن كان من شيعتنا فليقتد بنا، وليستن بسنتنا</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والرواية واضحة الدلالة، وأما من جهة السند فإنها وردت في الفقيه بسنده إلى المفضل بن عمر، وطريق الصدوق إلى المفضل معتبر</w:t>
      </w:r>
      <w:r>
        <w:rPr>
          <w:rStyle w:val="FootnoteAnchor"/>
          <w:rtl w:val="true"/>
        </w:rPr>
        <w:footnoteReference w:id="819"/>
      </w:r>
      <w:r>
        <w:rPr>
          <w:rFonts w:ascii="Amiri" w:hAnsi="Amiri" w:eastAsia="Amiri" w:cs="Amiri"/>
          <w:color w:val="111111"/>
          <w:sz w:val="28"/>
          <w:sz w:val="28"/>
          <w:szCs w:val="28"/>
          <w:rtl w:val="true"/>
          <w:lang w:bidi="ar-SA"/>
        </w:rPr>
        <w:t>، وإن كان فيه محمّد بن سنان إلاّ أننا قد استظهرنا وثاقته كما حققناه في محله، فلا إشكال في الرواية دلالة وسنداً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غير تامة السند فتكون مؤيدة لمضمون هذه الروايات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مصقلة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المسح على الخفين؟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يراه ثلاثاً للمسافر ويوماً وليلة للمقيم، وكان أبي لا يراه في سفر ولا حضر، فلما خرجت من عنده فقمت على عتبة الباب،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فأقبلت </w:t>
      </w:r>
    </w:p>
    <w:p>
      <w:pPr>
        <w:pStyle w:val="BookText"/>
        <w:rPr/>
      </w:pPr>
      <w:r>
        <w:rPr>
          <w:rFonts w:ascii="Amiri" w:hAnsi="Amiri" w:eastAsia="Amiri" w:cs="Amiri"/>
          <w:color w:val="111111"/>
          <w:sz w:val="28"/>
          <w:sz w:val="28"/>
          <w:szCs w:val="28"/>
          <w:rtl w:val="true"/>
          <w:lang w:bidi="ar-SA"/>
        </w:rPr>
        <w:t>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كانوا يقولون برأيهم فيخطئون ويصيبون وكان أبي لا يقول برأيه</w:t>
      </w:r>
      <w:r>
        <w:rPr>
          <w:rStyle w:val="FootnoteAnchor"/>
          <w:rtl w:val="true"/>
        </w:rPr>
        <w:footnoteReference w:id="820"/>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الكلبي النسابة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المسح على الخفين؟ 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وردّ الله كل شيء إلى شيئه، ورد الجلد إلى الغنم فترى أصحاب المسح أين يذهب وضوؤهم</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وكلتا الروايتين مؤيدتان لما سبق فإن رقبة بن مصقلة والكلبي النسابة لم يرد فيهما توثيق، فلا يمكن الاستناد إلى رواياتهما في مقام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تدل على عدم جواز الصلاة خلف من يمسح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حسان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تمسح ولا تصلّ خلف من يمسح</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وهذه الرواية واضحة الدلالة إلاّ أنها من جهة السند غير تامة فقد رواها الحميري في قرب الاسناد</w:t>
      </w:r>
      <w:r>
        <w:rPr>
          <w:rStyle w:val="FootnoteAnchor"/>
          <w:rtl w:val="true"/>
        </w:rPr>
        <w:footnoteReference w:id="823"/>
      </w:r>
      <w:r>
        <w:rPr>
          <w:rFonts w:ascii="Amiri" w:hAnsi="Amiri" w:eastAsia="Amiri" w:cs="Amiri"/>
          <w:color w:val="111111"/>
          <w:sz w:val="28"/>
          <w:sz w:val="28"/>
          <w:szCs w:val="28"/>
          <w:rtl w:val="true"/>
          <w:lang w:bidi="ar-SA"/>
        </w:rPr>
        <w:t>عن محمّد بن علي بن خلف العطار عن حسان المدائني وكلاهما لم يرد فيهما توثيق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إبراهيم بن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الصلاة خلف من يتولى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يرى المسح على الخفين أو خلف من يحرم المسح وهو يمسح،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جامعك وإياهم موضع فلم تجد بداً من الصلاة فأذن لنفسك وأقم فإن سبقك إلى القراءة فسبّح</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والرواية من جهة الدلالة واضحة،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يرى الصلاة خلف من يمسح على الخفين، ومن اضطر إلى ذلك فليصل منفرداً ولم يأذن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الاقتداء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جهة السند فهي وإن كان فيها إبراهيم بن شيبة إلاّ أنّه يمكن اعتبار روايته برواية البزنطي</w:t>
      </w:r>
      <w:r>
        <w:rPr>
          <w:rStyle w:val="FootnoteAnchor"/>
          <w:rtl w:val="true"/>
        </w:rPr>
        <w:footnoteReference w:id="825"/>
      </w:r>
      <w:r>
        <w:rPr>
          <w:rFonts w:ascii="Amiri" w:hAnsi="Amiri" w:eastAsia="Amiri" w:cs="Amiri"/>
          <w:color w:val="111111"/>
          <w:sz w:val="28"/>
          <w:sz w:val="28"/>
          <w:szCs w:val="28"/>
          <w:rtl w:val="true"/>
          <w:lang w:bidi="ar-SA"/>
        </w:rPr>
        <w:t>عنه، وبناء على ذلك فلا إشكال في الرواية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تدل على عدم مراعاة التقية في المسح على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الخفين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أتقي فيهن أحداً، شرب المسكر، ومسح الخفين، ومتعة الحج </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والرواية تدل على عدم جواز المسح حال التقية، فهي بالأولوية تدل على عدم الجواز في غير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الخصال بإسناده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الأربع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شرب المسكر والمسح على الخفين تقية</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والرواية تدل بالأولوية على عدم الجواز في غير حال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عمر الأعجمي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دين لمن لا تقية له، والتقية في كل شيء إلاّ في النبيذ، والمسح على الخفين</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في دلالتها كالروايتين السابقتين إلاّ أنها من جهة السند غير تامة فإنّ أبا عمر الأعجمي لم يرد فيه توثيق، وقد ذكرناه في ما تقدم فلا يمكن الاعتماد على الرواية، نعم يمكن عدها مؤيدة لما سبق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أخوتي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نريد الحج وبعضنا صرورة،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بالتمتع،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نتقي أحداً بالتمتع بالعمرة إلى الحج، واجتناب المسكر، والمسح على الخفين معناه أنا لا نمسح</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فهذه الرواية من حيث الدلالة تامة إلاّ أن الكلام في سندها فإنّ محمّد بن فضيل لم يرد فيه توثيق، فتكون مؤيدة كالرواية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في المستدرك عن الشيخ الطوسي في أماليه، عن الحسين بن عبيد الله عن التلعكبري، عن محمّد بن علي بن معمر، عن محمّد بن صدقة، عن الكاظم،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أهل بيت لا نمسح على خفافنا</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وهي من حيث الدلالة لا إشكال فيها، إلاّ أنها من جهة السند غير تامة، فإن فيها محمّد بن علي بن معمر ومحمّد بن صدقة وهما لم يرد فيهما توثيق فتحمل الرواية على التأييد كالروايتين السابقتين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خمس طوئف من الروايات، وهناك روايات أخرى كثيرة وكلها تدل على عدم جواز 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هذه الطوائف وردت روايات تدل على جواز المسح على الحائل ومنه الخف في غير تقية ولا ضرورة، وهي على طائفتين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تدل على إجزاء المسح على غير البشرة وقد فعله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ثمّ مسح على نعليه، فقال له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أنسيت يا رسول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نسيت هكذا أمرني ربي</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وجهه وذراعيه، ثمّ مسح على رأسه وعلى نعليه، ولم يدخل يده تحت الشراك</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على النعلين، ولم يستبطن الشراكين</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وبكير ابني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المسح تمسح على النعلين، ولا تدخل يدك تحت الشراك، وإذا مسحت بشيء من رأسك أو بشيء من قدميك ما بين كعبيك إلى أطراف الأصابع فقد أجزأك</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وهذه الروايات واضحة الدلالة على أنّ المسح لم يكن على البشرة، وهي مطلقة من جهة وصول الماء إلى البشرة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تدل على جواز المسح على الخف إذا كان مخرقاً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عن محمّد بن يحيى عن علي بن إسماعيل، عن علي بن النعمان بن محمد، عن جعفر بن سليمان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يكون خف الرجل مخرقاً فيدخل يده فيمسح ظهر قدميه أيجزيه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835"/>
      </w:r>
      <w:r>
        <w:rPr>
          <w:rFonts w:ascii="Amiri" w:hAnsi="Amiri" w:eastAsia="Amiri" w:cs="Amiri"/>
          <w:color w:val="111111"/>
          <w:sz w:val="28"/>
          <w:sz w:val="28"/>
          <w:szCs w:val="28"/>
          <w:rtl w:val="true"/>
          <w:lang w:bidi="ar-SA"/>
        </w:rPr>
        <w:t>ورواها الصدوق مرسلة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خفه مخرقاً فيدخل يده ويمسح ظهر قدميه أيجزيه؟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ولعل هناك روايات أخرى بهذا المضمون وهذه الطائفة هي شاهدة جمع وتفصيل بين الروايات المانعة عن المسح وبين الروايات المجوزة وذلك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الوارد في الروايات المجوزة عنوان النعلين وليس الخفين وهي </w:t>
      </w:r>
    </w:p>
    <w:p>
      <w:pPr>
        <w:pStyle w:val="BookText"/>
        <w:rPr/>
      </w:pPr>
      <w:r>
        <w:rPr>
          <w:rFonts w:ascii="IRNazanin" w:hAnsi="IRNazanin" w:eastAsia="IRNazanin"/>
          <w:color w:val="111111"/>
          <w:sz w:val="28"/>
          <w:sz w:val="28"/>
          <w:szCs w:val="28"/>
          <w:rtl w:val="true"/>
          <w:lang w:bidi="fa-IR"/>
        </w:rPr>
        <w:t xml:space="preserve">النعل العربية، والقرينة عليه ذكر الشراك والشراكين وليس في الخف شراك، مضافاً إلى أنّ الشراك لا يوجب ستر ظاهر القدم بل يغطي بعض أطرافه، ولهذا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يستبطن الشراكين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النعل إذا كانت عربية فهي لا تمنع من وصول الماء إلى الرجل، وحينئذ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أنّ المراد من الروايات هو الخف إلاّ أنّه إذا كان مخرقاً بحيث لا يمنع من إدخال اليد ومسح القدم فلا إشكال، وعليه فما ورد من الروايات في الطائفة الأولى من جواز المسح على النعل على تقدير أنّ المراد منه هو الخف لا ينافي تلك الروايات الكثيرة بطوائفها الخمس، لأنّ النهي الوارد فيها عن المسح على الخف المانع من مباشرة اليد لظاهر القدمين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هذا ما ذكره الصدوق في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يعرف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إلاّ خف أهداه له النجاشي، وكان موضع ظهر القدمين منه مشقوقاً فمسح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رجليه وعليه خفاه،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مسح على خفيه على أنّ الحديث في ذلك غير صحيح الاسناد</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ومراده من الحديث هو الذي أورده مرسلاً وفيه اعتراض المغيرة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تقدير أنّ الرواية صحيحة وأنّ النبيّ مسح على الخفين لا على النعل العربية، ولم يكن الخف مشقوقاً إلاّ أنّه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رواية المغيرة منسوخة بآية الوضوء فعلى فرض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ذلك فإنما فعله قبل نزول الآية، ولا منافاة بين هذه الرواية على تقدير صحتها وبين تلك الروايات المتواترة على عدم الجواز</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يستفاد من الأدلة الخاصة وهي الروايات الواردة في المقام</w:t>
      </w:r>
      <w:r>
        <w:rPr>
          <w:rFonts w:eastAsia="Amiri" w:cs="Amiri" w:ascii="Amiri" w:hAnsi="Amiri"/>
          <w:color w:val="111111"/>
          <w:sz w:val="28"/>
          <w:szCs w:val="28"/>
          <w:rtl w:val="true"/>
          <w:lang w:bidi="ar-SA"/>
        </w:rPr>
        <w:t xml:space="preserve">. </w:t>
      </w:r>
      <w:bookmarkStart w:id="270" w:name="pg16387_188374"/>
    </w:p>
    <w:p>
      <w:pPr>
        <w:pStyle w:val="BookText"/>
        <w:rPr/>
      </w:pPr>
      <w:bookmarkEnd w:id="270"/>
      <w:r>
        <w:rPr>
          <w:rFonts w:ascii="Amiri" w:hAnsi="Amiri" w:eastAsia="Amiri" w:cs="Amiri"/>
          <w:color w:val="111111"/>
          <w:sz w:val="28"/>
          <w:sz w:val="28"/>
          <w:szCs w:val="28"/>
          <w:rtl w:val="true"/>
          <w:lang w:bidi="ar-SA"/>
        </w:rPr>
        <w:t>كما يمكن أن يستدل على عدم الجواز بالإجماع بين الفريقين، وذلك لأنّ الحكم المتفق عليه بين الخاصة والعامة هو إما المسح على البشرة أو الغسل للرجلين، وأما المسح على الخفين فهو محل خلاف عند الجميع، فالخاصة لم تختلف كلمتهم في عدم الجواز وكذا جماعة من غيرهم كما ذكرنا ذلك عن مالك، فإنه يرى عدم الجواز بقول مطلق مع أنهم يقولون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الحديث كالشمس الطالعة</w:t>
      </w:r>
      <w:r>
        <w:rPr>
          <w:rStyle w:val="FootnoteAnchor"/>
          <w:rtl w:val="true"/>
        </w:rPr>
        <w:footnoteReference w:id="838"/>
      </w:r>
      <w:r>
        <w:rPr>
          <w:rFonts w:ascii="Amiri" w:hAnsi="Amiri" w:eastAsia="Amiri" w:cs="Amiri"/>
          <w:color w:val="111111"/>
          <w:sz w:val="28"/>
          <w:sz w:val="28"/>
          <w:szCs w:val="28"/>
          <w:rtl w:val="true"/>
          <w:lang w:bidi="ar-SA"/>
        </w:rPr>
        <w:t>، ولو كان المسح على الخفين جائزاً لم يخالف في ذلك، ونقل الخلاف أيضاً عن ابن عباس</w:t>
      </w:r>
      <w:r>
        <w:rPr>
          <w:rStyle w:val="FootnoteAnchor"/>
          <w:rtl w:val="true"/>
        </w:rPr>
        <w:footnoteReference w:id="839"/>
      </w:r>
      <w:r>
        <w:rPr>
          <w:rFonts w:ascii="IRNazanin" w:hAnsi="IRNazanin" w:eastAsia="IRNazanin"/>
          <w:color w:val="111111"/>
          <w:sz w:val="28"/>
          <w:sz w:val="28"/>
          <w:szCs w:val="28"/>
          <w:rtl w:val="true"/>
          <w:lang w:bidi="fa-IR"/>
        </w:rPr>
        <w:t>، وابن عمر</w:t>
      </w:r>
      <w:r>
        <w:rPr>
          <w:rStyle w:val="FootnoteAnchor"/>
          <w:rtl w:val="true"/>
        </w:rPr>
        <w:footnoteReference w:id="840"/>
      </w:r>
      <w:r>
        <w:rPr>
          <w:rFonts w:ascii="Amiri" w:hAnsi="Amiri" w:eastAsia="Amiri" w:cs="Amiri"/>
          <w:color w:val="111111"/>
          <w:sz w:val="28"/>
          <w:sz w:val="28"/>
          <w:szCs w:val="28"/>
          <w:rtl w:val="true"/>
          <w:lang w:bidi="ar-SA"/>
        </w:rPr>
        <w:t>، فإنّ ابن عمر أنكر على سعد بن أبي وقاص مسحه على الخفين، وهكذا عائشة فإنها أنكرت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تقطع قدماي أحب إليّ من المسح على الخفين</w:t>
      </w:r>
      <w:r>
        <w:rPr>
          <w:rStyle w:val="FootnoteAnchor"/>
          <w:rtl w:val="true"/>
        </w:rPr>
        <w:footnoteReference w:id="841"/>
      </w: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جلد حمار أحب إليّ من أنْ أمسح على الخف</w:t>
      </w:r>
      <w:r>
        <w:rPr>
          <w:rStyle w:val="FootnoteAnchor"/>
          <w:rtl w:val="true"/>
        </w:rPr>
        <w:footnoteReference w:id="842"/>
      </w:r>
      <w:r>
        <w:rPr>
          <w:rFonts w:ascii="Amiri" w:hAnsi="Amiri" w:eastAsia="Amiri" w:cs="Amiri"/>
          <w:color w:val="111111"/>
          <w:sz w:val="28"/>
          <w:sz w:val="28"/>
          <w:szCs w:val="28"/>
          <w:rtl w:val="true"/>
          <w:lang w:bidi="ar-SA"/>
        </w:rPr>
        <w:t>، وهكذا غيرهم كالرازي فإنه ذكر خمسة أوجه استدلالاً على عدم المسح على الخفين</w:t>
      </w:r>
      <w:r>
        <w:rPr>
          <w:rStyle w:val="FootnoteAnchor"/>
          <w:rtl w:val="true"/>
        </w:rPr>
        <w:footnoteReference w:id="843"/>
      </w:r>
      <w:r>
        <w:rPr>
          <w:rFonts w:ascii="Amiri" w:hAnsi="Amiri" w:eastAsia="Amiri" w:cs="Amiri"/>
          <w:color w:val="111111"/>
          <w:sz w:val="28"/>
          <w:sz w:val="28"/>
          <w:szCs w:val="28"/>
          <w:rtl w:val="true"/>
          <w:lang w:bidi="ar-SA"/>
        </w:rPr>
        <w:t>وإن كان لم يرجح في الأخير شيئاً، وعلى أي حال فالمسح على الخفين محل خلاف بين الجميع فلا وجه للعدول إليه وترك ما هو متفق عليه أو لا أقل ما يدور بين محتملي الآية</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6877831_1280447820"/>
      <w:bookmarkStart w:id="272" w:name="_Toc93"/>
      <w:bookmarkEnd w:id="271"/>
      <w:r>
        <w:rPr>
          <w:rtl w:val="true"/>
        </w:rPr>
        <w:t>تنبيه</w:t>
      </w:r>
      <w:r>
        <w:rPr>
          <w:rtl w:val="true"/>
        </w:rPr>
        <w:t>:</w:t>
      </w:r>
      <w:bookmarkEnd w:id="27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الشوكاني دعوى تواتر الروايات على جواز المسح على الخفين</w:t>
      </w:r>
      <w:r>
        <w:rPr>
          <w:rStyle w:val="FootnoteAnchor"/>
          <w:rtl w:val="true"/>
        </w:rPr>
        <w:footnoteReference w:id="844"/>
      </w:r>
      <w:r>
        <w:rPr>
          <w:rFonts w:ascii="Amiri" w:hAnsi="Amiri" w:eastAsia="Amiri" w:cs="Amiri"/>
          <w:color w:val="111111"/>
          <w:sz w:val="28"/>
          <w:sz w:val="28"/>
          <w:szCs w:val="28"/>
          <w:rtl w:val="true"/>
          <w:lang w:bidi="ar-SA"/>
        </w:rPr>
        <w:t>ونقل عن غير واحد كالحسن البصري وغيره أنّ عدداً من الصحابة بلغوا أربعين أو سبعين أو ثمانين رووا جواز المسح</w:t>
      </w:r>
      <w:r>
        <w:rPr>
          <w:rStyle w:val="FootnoteAnchor"/>
          <w:rtl w:val="true"/>
        </w:rPr>
        <w:footnoteReference w:id="845"/>
      </w:r>
      <w:r>
        <w:rPr>
          <w:rFonts w:ascii="Amiri" w:hAnsi="Amiri" w:eastAsia="Amiri" w:cs="Amiri"/>
          <w:color w:val="111111"/>
          <w:sz w:val="28"/>
          <w:sz w:val="28"/>
          <w:szCs w:val="28"/>
          <w:rtl w:val="true"/>
          <w:lang w:bidi="ar-SA"/>
        </w:rPr>
        <w:t xml:space="preserve">ولكنه مع هذا العدد الكبير لم يورد من </w:t>
      </w:r>
      <w:bookmarkStart w:id="273" w:name="pg16387_188375"/>
    </w:p>
    <w:p>
      <w:pPr>
        <w:pStyle w:val="BookText"/>
        <w:rPr/>
      </w:pPr>
      <w:bookmarkEnd w:id="273"/>
      <w:r>
        <w:rPr>
          <w:rFonts w:ascii="Amiri" w:hAnsi="Amiri" w:eastAsia="Amiri" w:cs="Amiri"/>
          <w:color w:val="111111"/>
          <w:sz w:val="28"/>
          <w:sz w:val="28"/>
          <w:szCs w:val="28"/>
          <w:rtl w:val="true"/>
          <w:lang w:bidi="ar-SA"/>
        </w:rPr>
        <w:t>الروايات إلاّ عدداً قليلاً جداً لا يتجاوز عدد الأصابع كرواية المغيرة</w:t>
      </w:r>
      <w:r>
        <w:rPr>
          <w:rStyle w:val="FootnoteAnchor"/>
          <w:rtl w:val="true"/>
        </w:rPr>
        <w:footnoteReference w:id="846"/>
      </w:r>
      <w:r>
        <w:rPr>
          <w:rFonts w:ascii="Amiri" w:hAnsi="Amiri" w:eastAsia="Amiri" w:cs="Amiri"/>
          <w:color w:val="111111"/>
          <w:sz w:val="28"/>
          <w:sz w:val="28"/>
          <w:szCs w:val="28"/>
          <w:rtl w:val="true"/>
          <w:lang w:bidi="ar-SA"/>
        </w:rPr>
        <w:t>وسعد بن أبي وقاص</w:t>
      </w:r>
      <w:r>
        <w:rPr>
          <w:rStyle w:val="FootnoteAnchor"/>
          <w:rtl w:val="true"/>
        </w:rPr>
        <w:footnoteReference w:id="847"/>
      </w:r>
      <w:r>
        <w:rPr>
          <w:rFonts w:ascii="Amiri" w:hAnsi="Amiri" w:eastAsia="Amiri" w:cs="Amiri"/>
          <w:color w:val="111111"/>
          <w:sz w:val="28"/>
          <w:sz w:val="28"/>
          <w:szCs w:val="28"/>
          <w:rtl w:val="true"/>
          <w:lang w:bidi="ar-SA"/>
        </w:rPr>
        <w:t>وأبي هريرة</w:t>
      </w:r>
      <w:r>
        <w:rPr>
          <w:rStyle w:val="FootnoteAnchor"/>
          <w:rtl w:val="true"/>
        </w:rPr>
        <w:footnoteReference w:id="848"/>
      </w:r>
      <w:r>
        <w:rPr>
          <w:rFonts w:ascii="Amiri" w:hAnsi="Amiri" w:eastAsia="Amiri" w:cs="Amiri"/>
          <w:color w:val="111111"/>
          <w:sz w:val="28"/>
          <w:sz w:val="28"/>
          <w:szCs w:val="28"/>
          <w:rtl w:val="true"/>
          <w:lang w:bidi="ar-SA"/>
        </w:rPr>
        <w:t>، ثمّ نقل عنابن المنذر اختلاف العلماء وهل الترجيح لغسل الرجلين أو للمسح على الخفين؟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عندي المسح على الخفين وذلك لمخالفة من يرى عدم الجواز كالإمامية وغيرهم إحياء للسنة وإماتة للبدعة</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ذنب الإمامية إذا كانوا يستندون في أحكامهم إلى 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وعترته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تقصيرهم إذا كانوا لا يخالفون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يفعلون ما يفعله غيرهم من اتباع الهوى والتهالك على الحطام وإن استلزم ذلك التلاعب بالأحكام، وأنها لشنشنة أعرفها من أخزم، ولا حول ولا قوة إلاّ بالله العلي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فالحكم واضح بالنسبة إلينا الإمامية ولابد من المسح على بشرة ظاهر القدمين، وهو الموافق للكتاب والأصل والروايات وإجماع الأمة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6877833_1280447820"/>
      <w:bookmarkStart w:id="275" w:name="_Toc94"/>
      <w:bookmarkEnd w:id="274"/>
      <w:r>
        <w:rPr>
          <w:rtl w:val="true"/>
        </w:rPr>
        <w:t>الجهة الثانية</w:t>
      </w:r>
      <w:r>
        <w:rPr>
          <w:rtl w:val="true"/>
        </w:rPr>
        <w:t xml:space="preserve">: </w:t>
      </w:r>
      <w:r>
        <w:rPr>
          <w:rtl w:val="true"/>
        </w:rPr>
        <w:t>في حكم المسألة حال التقية</w:t>
      </w:r>
      <w:r>
        <w:rPr>
          <w:rtl w:val="true"/>
        </w:rPr>
        <w:t>:</w:t>
      </w:r>
      <w:bookmarkEnd w:id="27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الأصحاب التسالم على وجوب المسح على الخفين إذا اقتضت التقية ذلك، ولم ينقل خلاف فيه، بل يظهر من المختلف الإجماع على ذلك</w:t>
      </w:r>
      <w:r>
        <w:rPr>
          <w:rStyle w:val="FootnoteAnchor"/>
          <w:rtl w:val="true"/>
        </w:rPr>
        <w:footnoteReference w:id="850"/>
      </w:r>
      <w:r>
        <w:rPr>
          <w:rFonts w:ascii="Amiri" w:hAnsi="Amiri" w:eastAsia="Amiri" w:cs="Amiri"/>
          <w:color w:val="111111"/>
          <w:sz w:val="28"/>
          <w:sz w:val="28"/>
          <w:szCs w:val="28"/>
          <w:rtl w:val="true"/>
          <w:lang w:bidi="ar-SA"/>
        </w:rPr>
        <w:t>، غير أن الذي يظهر من الهداية</w:t>
      </w:r>
      <w:r>
        <w:rPr>
          <w:rStyle w:val="FootnoteAnchor"/>
          <w:rtl w:val="true"/>
        </w:rPr>
        <w:footnoteReference w:id="851"/>
      </w:r>
      <w:r>
        <w:rPr>
          <w:rFonts w:ascii="Amiri" w:hAnsi="Amiri" w:eastAsia="Amiri" w:cs="Amiri"/>
          <w:color w:val="111111"/>
          <w:sz w:val="28"/>
          <w:sz w:val="28"/>
          <w:szCs w:val="28"/>
          <w:rtl w:val="true"/>
          <w:lang w:bidi="ar-SA"/>
        </w:rPr>
        <w:t>والفقيه</w:t>
      </w:r>
      <w:r>
        <w:rPr>
          <w:rStyle w:val="FootnoteAnchor"/>
          <w:rtl w:val="true"/>
        </w:rPr>
        <w:footnoteReference w:id="852"/>
      </w:r>
      <w:r>
        <w:rPr>
          <w:rFonts w:ascii="Amiri" w:hAnsi="Amiri" w:eastAsia="Amiri" w:cs="Amiri"/>
          <w:color w:val="111111"/>
          <w:sz w:val="28"/>
          <w:sz w:val="28"/>
          <w:szCs w:val="28"/>
          <w:rtl w:val="true"/>
          <w:lang w:bidi="ar-SA"/>
        </w:rPr>
        <w:t xml:space="preserve">بعد ذكر روايات استثناء التقية في هذا المورد عدم العمل عليها، بل عدم جواز التقية فيه، وإن كان في الفقيه ذكر روايات </w:t>
      </w:r>
    </w:p>
    <w:p>
      <w:pPr>
        <w:pStyle w:val="BookText"/>
        <w:rPr/>
      </w:pPr>
      <w:r>
        <w:rPr>
          <w:rFonts w:ascii="Amiri" w:hAnsi="Amiri" w:eastAsia="Amiri" w:cs="Amiri"/>
          <w:color w:val="111111"/>
          <w:sz w:val="28"/>
          <w:sz w:val="28"/>
          <w:szCs w:val="28"/>
          <w:rtl w:val="true"/>
          <w:lang w:bidi="ar-SA"/>
        </w:rPr>
        <w:t>الجواز أوّلاً ثمّ عقبها بروايات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بوجوب التقية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العامة الدالة على وجوب التقية في كل شيء فهي شاملة لهذا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نفي الحرج من الآية والروايات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فحوى ما يدل على المسح على الجبائر، فإنه يدل بالأولوية على جواز المسح على الخفين لأنه ضرورة، ومنه رواية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فانقطع ظفري فجعلت على اصبعيمرارة، فكيف أصنع بالوضوء؟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هذا وأشباهه من كتاب الله عزوجل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عَلَيْكُمْ فِي الدِّينِ مِنْ حَرَجٍ</w:t>
      </w:r>
      <w:r>
        <w:rPr>
          <w:rFonts w:eastAsia="IRNazanin" w:cs="IRNazanin"/>
          <w:color w:val="111111"/>
          <w:sz w:val="28"/>
          <w:szCs w:val="28"/>
          <w:rtl w:val="true"/>
          <w:lang w:bidi="fa-IR"/>
        </w:rPr>
        <w:t>)</w:t>
      </w:r>
      <w:r>
        <w:rPr>
          <w:rStyle w:val="FootnoteAnchor"/>
          <w:rtl w:val="true"/>
        </w:rPr>
        <w:footnoteReference w:id="853"/>
      </w:r>
      <w:r>
        <w:rPr>
          <w:rFonts w:ascii="Amiri" w:hAnsi="Amiri" w:eastAsia="Amiri" w:cs="Amiri"/>
          <w:color w:val="111111"/>
          <w:sz w:val="28"/>
          <w:sz w:val="28"/>
          <w:szCs w:val="28"/>
          <w:rtl w:val="true"/>
          <w:lang w:bidi="ar-SA"/>
        </w:rPr>
        <w:t>امسح عليه</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إلاّ أن الإشكال في سند الرواية وقد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هذه الوجوه وردت عدة روايات تدل على عدم جواز التقية في المسح وأنه من الموارد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الخفين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أتقي فيهن أحداً، شرب المسكر ومسح الخفين ومتعة الحج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الواجب عليكم أن لا تتقوا فيهن أحداً</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والرواية وإن كانت مضمرة إلاّ أن إضمار زرارة لا يضر بسندها ودلالة الرواية تامة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في الكافي وهي صحيحة زرارة عن غير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المسح على الخفين تقية؟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يتقى في ثلاثة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والمسح على الخفين، ومتعة </w:t>
      </w:r>
    </w:p>
    <w:p>
      <w:pPr>
        <w:pStyle w:val="BookText"/>
        <w:rPr/>
      </w:pPr>
      <w:r>
        <w:rPr>
          <w:rFonts w:ascii="IRNazanin" w:hAnsi="IRNazanin" w:eastAsia="IRNazanin"/>
          <w:color w:val="111111"/>
          <w:sz w:val="28"/>
          <w:sz w:val="28"/>
          <w:szCs w:val="28"/>
          <w:rtl w:val="true"/>
          <w:lang w:bidi="fa-IR"/>
        </w:rPr>
        <w:t>الحج</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وقد ورد في جميع نسخ الكافي لفظ لا يتقى بالبناء للمفعول فتكون رواية أخرى لزرارة، إلاّ أنّه جاء في الوافي</w:t>
      </w:r>
      <w:r>
        <w:rPr>
          <w:rStyle w:val="FootnoteAnchor"/>
          <w:rtl w:val="true"/>
        </w:rPr>
        <w:footnoteReference w:id="857"/>
      </w:r>
      <w:r>
        <w:rPr>
          <w:rFonts w:ascii="Amiri" w:hAnsi="Amiri" w:eastAsia="Amiri" w:cs="Amiri"/>
          <w:color w:val="111111"/>
          <w:sz w:val="28"/>
          <w:sz w:val="28"/>
          <w:szCs w:val="28"/>
          <w:rtl w:val="true"/>
          <w:lang w:bidi="ar-SA"/>
        </w:rPr>
        <w:t>لفظ لا نتقي بالبناء للفاعل بصيغة المتكلمين وعليه فيحتمل أن تكون هذه الرواية والرواية السابقة رواية واحدة مع اختلاف في الألفاظ وسيأتي ما ينفع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أخوتي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نريد الحج وبعضنا صرورة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بالتمتع،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نتقي أحداً بالتمتع بالعمرة إلى الحج، واجتناب المسكر، والمسح على الخفين، معناه أنا لا نمسح</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عمر الأعجمي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لادين لمن لا تقية له، والتقية في كل شيء إلاّ في النبيذ، والمسح على الخفين</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الأربعمائة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شرب المسكر والمسح على الخفين تقية</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حبابة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أمير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نمسح على الخفين، فمن كان من شيعتنا فليقتد بنا وليستن بسنتنا</w:t>
      </w:r>
      <w:r>
        <w:rPr>
          <w:rStyle w:val="FootnoteAnchor"/>
          <w:rtl w:val="true"/>
        </w:rPr>
        <w:footnoteReference w:id="86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هذه الروايات واضحة الدلالة عدا الرواية الأخيرة فليست صريحة في عدم جواز التقية، نعم تدل على التشدد في أمر المسح إلاّ أنّه لم يصرّح فيها </w:t>
      </w:r>
    </w:p>
    <w:p>
      <w:pPr>
        <w:pStyle w:val="BookText"/>
        <w:rPr/>
      </w:pPr>
      <w:r>
        <w:rPr>
          <w:rFonts w:ascii="Amiri" w:hAnsi="Amiri" w:eastAsia="Amiri" w:cs="Amiri"/>
          <w:color w:val="111111"/>
          <w:sz w:val="28"/>
          <w:sz w:val="28"/>
          <w:szCs w:val="28"/>
          <w:rtl w:val="true"/>
          <w:lang w:bidi="ar-SA"/>
        </w:rPr>
        <w:t>بشمولها للتقية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السند فرواية الهاشمي والأعجمي ضعيفتان بهما كما تقدم ورواية الوالبية لا دلالة فيها فلم يبق إلاّ رواية زرارة، وقد ذكر السيد الأستاذ </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أنّ العمدة هي الرواية الأولى، وأما الرواية الثانية فقد استظهر أنها متحدة مع الأولى وذلك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زرارة فهم من الرواية أنّ عدم جواز التقية من خصائص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عقب الرواية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الواجب عليكم أن لا تتقوا، وإذا كان الأمر كذلك فكيف يسوغ له أن يروي رواية أخرى بعين ذلك السند على خلاف ما استفاده من الصحيحة الأولى؟ وإلاّ فلا معنى لما فهمه زرارة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السند في كلتا الروايتين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نسخة الوافي ورد فيها لا نتقي والمراد منها ومن لفظ لا أتقي الوارد في صحيحة زرارة الأولى واحد، إذ ليس المقصود هو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نسخة الوسائل لا نتقي أيضاً ولذا لم يذكر الرواية الثانية في الوسائل، فعدم ذكره قرينة على أنّ فماد الروايتين واحد، وهكذا يظهر من صاحب الحدائق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خبر زرارة المذكور أيضاً مارواه في الكافي</w:t>
      </w:r>
      <w:r>
        <w:rPr>
          <w:rStyle w:val="FootnoteAnchor"/>
          <w:rtl w:val="true"/>
        </w:rPr>
        <w:footnoteReference w:id="863"/>
      </w:r>
      <w:r>
        <w:rPr>
          <w:rFonts w:ascii="IRNazanin" w:hAnsi="IRNazanin" w:eastAsia="IRNazanin"/>
          <w:color w:val="111111"/>
          <w:sz w:val="28"/>
          <w:sz w:val="28"/>
          <w:szCs w:val="28"/>
          <w:rtl w:val="true"/>
          <w:lang w:bidi="fa-IR"/>
        </w:rPr>
        <w:t xml:space="preserve">، ثمّ نقل الصحيحة الثانية إلى آخرها، فيعلم من ذلك أنّ نسخته فيها لا نتقي، ومن هذه القرائن يمكن أن يطمأن إلى أنهما رواية واحدة أو روايتان ذاتا مفاد واحد، ولا أقل من الاحتمال وهو كاف في عدم ثبوت نسخة لا يتقى بالبناء للمفعول، وحينئذ لا يبقى لنا دليل على عموم الاستثناء بل الحكم بعدم جواز التقية خاص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سائر الناس فليس حكمهم إلاّ وجوب المسح حال التقية، وتكون </w:t>
      </w:r>
    </w:p>
    <w:p>
      <w:pPr>
        <w:pStyle w:val="BookText"/>
        <w:rPr/>
      </w:pPr>
      <w:r>
        <w:rPr>
          <w:rFonts w:ascii="Amiri" w:hAnsi="Amiri" w:eastAsia="Amiri" w:cs="Amiri"/>
          <w:color w:val="111111"/>
          <w:sz w:val="28"/>
          <w:sz w:val="28"/>
          <w:szCs w:val="28"/>
          <w:rtl w:val="true"/>
          <w:lang w:bidi="ar-SA"/>
        </w:rPr>
        <w:t>الأدلة على الجواز 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الإغماض عن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المقام استثناء في الحكم بل هو استثناء في الموضوع في الموارد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ومتعة الحج، والمسح على الخفين، فإنها خارجة موضوعاً عن المقام، أما بالنسبة لشرب المسكر فلا خلاف فيه لأنّ العامة قائلون بالحرمة، نعم بالنسبة إلى الكفار يمكن ذلك إلاّ أنّه لا يكون حينئذ مما نحن فيه أي التقية الاصطلاحية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متعة الحج، فالأمر كذلك فإنّ الفرق بيننا وبينهم في النية والتقصير، والنية أمر قلبي، والتقصير أمر يسير يمكن إخفاؤه عن كل أحد، لأنه يتحقق بأخذ شيء من الشعر أو الظفر فلا يتحقق فيه موضوع التقية، وأما بالنسبة إلى المسح على الخفين فإن أكثر علمائهم يذهبون إلى التخيير بين المسح عليهما أو نزعهما وغسل الرجلين، نعم نسب إلى بعضهم القول بأفضلية المسح على الغسل كما أشرنا إلى ذلك فيما تقدم، ويترتب على هذا أنّه إذا دار الأمر بين المسح على الخفين وبين غسل الرجلين في حال التقية تعين غسل الرجلين، وبناء على هذا يرتفع التنافي بين المستفاد من هذه الروايات وبين الأدلة المتقدمة الدالة على وجوب التقية بخروج الموضوع عن مقام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يقتضي المصير إلى القول بعدم جريان التقية بحسب الموضوع وهو الوجه الثاني من كلام السيد الأستاذ </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أتقي يريد به عدم جواز التقية مطلقاً، لا بيان تكليف نفسه وما فهمه زرارة حجة عليه لا علينا، وإلاّ فلا معنى لأن يسأل الإمام عن الحكم ويجيب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تكليف نفسه، ولو كان المسح جائزاً لأجاب الإمام وبيّن الحكم للمكلف فمن البعيد جداً الحمل على أنّالإمام أجاب عن حكم نفسه إذ لا معنى له، وعليه فلا فرق بين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أتقي أو لا يتقى، فكلا الجملتين لبيان الحكم </w:t>
      </w:r>
    </w:p>
    <w:p>
      <w:pPr>
        <w:pStyle w:val="BookText"/>
        <w:rPr/>
      </w:pPr>
      <w:r>
        <w:rPr>
          <w:rFonts w:ascii="Amiri" w:hAnsi="Amiri" w:eastAsia="Amiri" w:cs="Amiri"/>
          <w:color w:val="111111"/>
          <w:sz w:val="28"/>
          <w:sz w:val="28"/>
          <w:szCs w:val="28"/>
          <w:rtl w:val="true"/>
          <w:lang w:bidi="ar-SA"/>
        </w:rPr>
        <w:t>و وظيفة المكلف، ويستفاد الاستثناء على النسختين ولا وجه لترجيح إحداهما على الأخرى، وجعل الروايتين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رواية محمّد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w:t>
      </w:r>
      <w:r>
        <w:rPr>
          <w:rStyle w:val="FootnoteAnchor"/>
          <w:rtl w:val="true"/>
        </w:rPr>
        <w:footnoteReference w:id="865"/>
      </w: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بالتمتع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نتقي أحداً بالتمتع بالعمرة، ومن البعيد أن يريد بذلك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حديث الأربعمائة فقد جاء فيه ليس في شرب المسكر، والمسح على الخفين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حيث الدلالة واضح وليس الحكم مختصاً بالمعصوم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سنده معتبر، وبناء على هذا فالصحيح في المقام هو ما ذكره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أخيراً وهو أنّ المسح على الخفين خارج موضوعاً لا حكماً بمعنى أنّ التقية لا تتحقق في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في رواية أبي الورد المتقدمة وهي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ظبيان حدثني أنّه 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أراق الماء ثمّ مسح على الخفين،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أبو ظبيان أما بلغك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الكتاب الخفين،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فيهما رخصة؟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من عدو تتقيه، أو ثلج تخاف على رجليك</w:t>
      </w:r>
      <w:r>
        <w:rPr>
          <w:rStyle w:val="FootnoteAnchor"/>
          <w:rtl w:val="true"/>
        </w:rPr>
        <w:footnoteReference w:id="86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من جهة السند معتبرة فإن أبا الورد واقع في أسناد تفسير القمي</w:t>
      </w:r>
      <w:r>
        <w:rPr>
          <w:rStyle w:val="FootnoteAnchor"/>
          <w:rtl w:val="true"/>
        </w:rPr>
        <w:footnoteReference w:id="867"/>
      </w:r>
      <w:r>
        <w:rPr>
          <w:rFonts w:ascii="IRNazanin" w:hAnsi="IRNazanin" w:eastAsia="IRNazanin"/>
          <w:color w:val="111111"/>
          <w:sz w:val="28"/>
          <w:sz w:val="28"/>
          <w:szCs w:val="28"/>
          <w:rtl w:val="true"/>
          <w:lang w:bidi="fa-IR"/>
        </w:rPr>
        <w:t xml:space="preserve">كما ذكرنا، كما أن ظاهرها يفيد أن المسح على الخفين من موارد التقية، فيقع التنافي بين مدلول هذه الرواية وبين ما تقرر أخيراً من أنّ المسح على الخفين خارج موضوعاً عن التقية، ولكن يمكن أن يقال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عدو تتقيه مطلق شامل للعدو الديني أي بالنسبة للمذهب وللعدو الدنيوي أي بالنسبة إلى النفس والمال والعرض، وأما ما تقدم من الروايات فهو نص صريح في عدم المسح على الخفين وأنه لا تقية فيه، وحينئذ فبمقتضى الجمع بين هذه الرواية وتلك </w:t>
      </w:r>
      <w:bookmarkStart w:id="276" w:name="pg16387_188381"/>
    </w:p>
    <w:p>
      <w:pPr>
        <w:pStyle w:val="BookText"/>
        <w:rPr/>
      </w:pPr>
      <w:bookmarkEnd w:id="276"/>
      <w:r>
        <w:rPr>
          <w:rFonts w:ascii="Amiri" w:hAnsi="Amiri" w:eastAsia="Amiri" w:cs="Amiri"/>
          <w:color w:val="111111"/>
          <w:sz w:val="28"/>
          <w:sz w:val="28"/>
          <w:szCs w:val="28"/>
          <w:rtl w:val="true"/>
          <w:lang w:bidi="ar-SA"/>
        </w:rPr>
        <w:t>الروايات برفع اليد عن إطلاقها وحملها على أنّ المراد من العدو هو العدو الدنيوي وتصبح المسألة من صغريات الضرورة لا التقية، ومثله في الحكم الثلج عندالخوف على الرجلين فيسقط معه المسح على البشرة وبذلك يرتفع التنافي بين هذه الرواية وبين تلك الروايات، وهذا المعنى جار في كل ضرورة كما لا يخفى</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6877835_1280447820"/>
      <w:bookmarkStart w:id="278" w:name="_Toc95"/>
      <w:bookmarkEnd w:id="277"/>
      <w:r>
        <w:rPr>
          <w:rtl w:val="true"/>
        </w:rPr>
        <w:t>مسألتان</w:t>
      </w:r>
      <w:r>
        <w:rPr>
          <w:rtl w:val="true"/>
        </w:rPr>
        <w:t>:</w:t>
      </w:r>
      <w:bookmarkEnd w:id="27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اقتضت التقية المسح على الخفين فمسح المكلف عليهما ولم يخالف فهل يحكم بصحة وضوئه وإجزائه أم لابد من الإعادة؟</w:t>
      </w:r>
    </w:p>
    <w:p>
      <w:pPr>
        <w:pStyle w:val="BookText"/>
        <w:rPr/>
      </w:pPr>
      <w:r>
        <w:rPr>
          <w:rFonts w:ascii="Amiri" w:hAnsi="Amiri" w:eastAsia="Amiri" w:cs="Amiri"/>
          <w:color w:val="111111"/>
          <w:sz w:val="28"/>
          <w:sz w:val="28"/>
          <w:szCs w:val="28"/>
          <w:rtl w:val="true"/>
          <w:lang w:bidi="ar-SA"/>
        </w:rPr>
        <w:t xml:space="preserve">الذي يظهر من كلام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الإجزاء</w:t>
      </w:r>
      <w:r>
        <w:rPr>
          <w:rStyle w:val="FootnoteAnchor"/>
          <w:rtl w:val="true"/>
        </w:rPr>
        <w:footnoteReference w:id="868"/>
      </w:r>
      <w:r>
        <w:rPr>
          <w:rFonts w:ascii="Amiri" w:hAnsi="Amiri" w:eastAsia="Amiri" w:cs="Amiri"/>
          <w:color w:val="111111"/>
          <w:sz w:val="28"/>
          <w:sz w:val="28"/>
          <w:szCs w:val="28"/>
          <w:rtl w:val="true"/>
          <w:lang w:bidi="ar-SA"/>
        </w:rPr>
        <w:t>وذلك بناء على ما ذكره من أنّ الإجزاء لا يستفاد من الدليل اللفظي، وإنما يستفاد من السيرة القائمة ففي كل مورد تحققت فيه السيرة يقال بالإجزاء، وإلاّ فلا، وعليه فما وقع مورداً لكثرة الابتلاء ولم يرد الأمر بالإعادة عد ذلك إمضاء من الشارع وحكم فيه بالصحة ولا حاجة إلى الإعادة، وأما الموارد التي لم تتحقق فيها السيرة ولم تكن مورداً لكثرة الابتلاء كالموقف بعرفة يوم الثامن، والمسح على الخفين ونحوهما فلا يحكم فيها بالإجزاء لقلة الابتلاء بذلك إذ لم تثبت السيرة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قد ذكرنا فيما تقدم إمكان القول بالإجزاء والحكم بالصحة، وأوردنا الروايات الدالة على ذلك بما لا حاجة إلى تكراره، ونتيجته القول بالإجزاء وعدم لزوم إعادة ما أتى به تقية إلاّ أن يقوم دليل خاص على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تقتضي الإجزاء بلا فرق بين ما كان كثير الابتلاء أو قليله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اقتضت التقية المسح على الخفين إلاّ أن المكلف خالف في ذلك ولم يمسح عليهما فهل يحكم بصحة وضوئه أم لا؟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يقع تارة في فرض عدم تحقق التقية، وأخرى في فرض تحقق موضوعها، أما على الفرض الأول فالأمر واضح، لأنه إن أتى بوظيفته فلا إشكال </w:t>
      </w:r>
    </w:p>
    <w:p>
      <w:pPr>
        <w:pStyle w:val="BookText"/>
        <w:rPr/>
      </w:pPr>
      <w:r>
        <w:rPr>
          <w:rFonts w:ascii="Amiri" w:hAnsi="Amiri" w:eastAsia="Amiri" w:cs="Amiri"/>
          <w:color w:val="111111"/>
          <w:sz w:val="28"/>
          <w:sz w:val="28"/>
          <w:szCs w:val="28"/>
          <w:rtl w:val="true"/>
          <w:lang w:bidi="ar-SA"/>
        </w:rPr>
        <w:t>في الحكم بالصحة إذ لا تقية في المقام، وإن لم يأت بوظيفته فلا إشكال في الحكم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تحقق موضوع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يترك المكلف المسح على الخفين ويأتي بغسل الرجلين وأخرى يأتيبالمسح على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المسح على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الحكم بالبطلان لأنه أتى بخلاف الوظيفة، وما أتى به لم يكن مأموراً به فلا معنى للحكم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الأولى فإن أتى بالمسح على الخفين فلا إشكال في الحكم بالصحة بناء على ما تقدم لأنه أتى بوظيفته، وأما إذا أتى بغسل الرجلين ولم يمسح على الخفين فإن قلنا بأن الوظيفة منحصرة في المسح عليهما فالأمر مشكل لأنّه مأمور بفعل معين لا يتعداه إلى غيره وإن كان يتحقق به التقية والاحتياط في محله وكيفيّته أن يبتدأ بالمسح على الخفين ثمّ يغسل رجليه ولا يكون حينئذ مخالفاً لروايات الاستثناء، مضافاً إلى أنّه إن كان مأموراً بالغسل واقعاً فقد أتى به، وإن قلنا بعدم الانحصار وأنّ التقية تتحقق بأحد فرديها فلا إشكال في الحكم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يتم الكلام عن التقية في الوضوء</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6387_188384"/>
      <w:bookmarkStart w:id="280" w:name="pg16387_188384"/>
      <w:bookmarkEnd w:id="280"/>
    </w:p>
    <w:p>
      <w:pPr>
        <w:pStyle w:val="Heading2"/>
        <w:numPr>
          <w:ilvl w:val="1"/>
          <w:numId w:val="1"/>
        </w:numPr>
        <w:rPr/>
      </w:pPr>
      <w:bookmarkStart w:id="281" w:name="pg16387_188384"/>
      <w:bookmarkStart w:id="282" w:name="__RefHeading___Toc6877837_1280447820"/>
      <w:bookmarkStart w:id="283" w:name="_Toc96"/>
      <w:bookmarkEnd w:id="281"/>
      <w:bookmarkEnd w:id="282"/>
      <w:r>
        <w:rPr>
          <w:rtl w:val="true"/>
        </w:rPr>
        <w:t>الفصل الرابع</w:t>
      </w:r>
      <w:r>
        <w:rPr>
          <w:rtl w:val="true"/>
        </w:rPr>
        <w:t xml:space="preserve">: </w:t>
      </w:r>
      <w:r>
        <w:rPr>
          <w:rtl w:val="true"/>
        </w:rPr>
        <w:t>التقية في الوقت</w:t>
      </w:r>
      <w:bookmarkEnd w:id="283"/>
    </w:p>
    <w:p>
      <w:pPr>
        <w:pStyle w:val="Heading3"/>
        <w:numPr>
          <w:ilvl w:val="2"/>
          <w:numId w:val="1"/>
        </w:numPr>
        <w:rPr/>
      </w:pPr>
      <w:bookmarkStart w:id="284" w:name="__RefHeading___Toc6877839_1280447820"/>
      <w:bookmarkStart w:id="285" w:name="_Toc97"/>
      <w:bookmarkEnd w:id="284"/>
      <w:r>
        <w:rPr>
          <w:rtl w:val="true"/>
        </w:rPr>
        <w:t>اشارة</w:t>
      </w:r>
      <w:bookmarkEnd w:id="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موضع الخلاف من هذا البحث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أوقات الصلوات الخمس من الآيات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وقت صلاة المغرب والإفطار من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يتحقق الغروب بسقوط قرص الشمس أو باستتاره الواقعي وذهاب الحمرة المشرقية؟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الروايات والتحقيق حول اسنادها ودلالاتها ورفع التنافي بينها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الشيعة بطريقة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وبيان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6387_188386"/>
      <w:bookmarkStart w:id="287" w:name="pg16387_188386"/>
      <w:bookmarkEnd w:id="287"/>
    </w:p>
    <w:p>
      <w:pPr>
        <w:pStyle w:val="Heading3"/>
        <w:numPr>
          <w:ilvl w:val="2"/>
          <w:numId w:val="1"/>
        </w:numPr>
        <w:rPr/>
      </w:pPr>
      <w:bookmarkStart w:id="288" w:name="pg16387_188386"/>
      <w:bookmarkStart w:id="289" w:name="__RefHeading___Toc6877841_1280447820"/>
      <w:bookmarkStart w:id="290" w:name="_Toc98"/>
      <w:bookmarkEnd w:id="288"/>
      <w:bookmarkEnd w:id="289"/>
      <w:r>
        <w:rPr>
          <w:rtl w:val="true"/>
        </w:rPr>
        <w:t>التقية في الوقت</w:t>
      </w:r>
      <w:r>
        <w:rPr>
          <w:rtl w:val="true"/>
        </w:rPr>
        <w:t>:</w:t>
      </w:r>
      <w:bookmarkEnd w:id="29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ويختص موقع الخلاف بيننا وبين العامة في وقت صلاة المغرب، وأما بقية أوقات الصلوات فلا خلاف بيننا وبينهم، وإن التزم العامة بالتفريق بين الصلوات وجعلوا لكل صلاة وقتاً خاصاً بها، ولم يلتزم الخاصة عملاً بذلك،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الظهر تختص من أول الوقت بمقدار أدائها، كما تختص صلاة العصر من آخره بمقدار أدائها، ولا تزاحم كل منهما الأخرى وقت اختصاصها، وجعلوا ما بين المقدارين وقتاً مشتركاً بين الصلاتين مع مراعاة الترتيب بينهما، وهكذا بالنسبة إلى العشائين، كما أنهم جمعوا بين الصلاتين حتى أنهم ميزوا بذلك عمن سواهم، وهذا لا يوجب الخلاف بين الفريقين، فإنّ الخاصة لا ترى وجوب الجمع بين الصلاتين، بل قد يكون التفريق أولى عندهم من الجمع على بعض الوجوه، فيتمحض الخلاف في وقت صلاة المغرب، وليس الخلاف بين الفريقين في وقت صلاة المغرب من حيث هو، فإنه لا خلاف بين جميع المسلمين أن أول وقت صلاة المغرب هو غروب الشمس، وإنما الخلاف في تحديد وقت الغروب، فذهب الخاصة إلى أن وقت صلاة المغرب هو ذهاب الحمرة المشرقية عن قمّة الرأس، وهو المشهور</w:t>
      </w:r>
      <w:r>
        <w:rPr>
          <w:rStyle w:val="FootnoteAnchor"/>
          <w:rtl w:val="true"/>
        </w:rPr>
        <w:footnoteReference w:id="869"/>
      </w:r>
      <w:r>
        <w:rPr>
          <w:rFonts w:ascii="Amiri" w:hAnsi="Amiri" w:eastAsia="Amiri" w:cs="Amiri"/>
          <w:color w:val="111111"/>
          <w:sz w:val="28"/>
          <w:sz w:val="28"/>
          <w:szCs w:val="28"/>
          <w:rtl w:val="true"/>
          <w:lang w:bidi="ar-SA"/>
        </w:rPr>
        <w:t>بينهم، وعليه أكثر القدماء والمتأخرين، بل ادعي الإجماع</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عليه بل كاد أن يكون من ضروريات مذهبهم</w:t>
      </w:r>
      <w:r>
        <w:rPr>
          <w:rStyle w:val="FootnoteAnchor"/>
          <w:rtl w:val="true"/>
        </w:rPr>
        <w:footnoteReference w:id="871"/>
      </w:r>
      <w:r>
        <w:rPr>
          <w:rFonts w:ascii="Amiri" w:hAnsi="Amiri" w:eastAsia="Amiri" w:cs="Amiri"/>
          <w:color w:val="111111"/>
          <w:sz w:val="28"/>
          <w:sz w:val="28"/>
          <w:szCs w:val="28"/>
          <w:rtl w:val="true"/>
          <w:lang w:bidi="ar-SA"/>
        </w:rPr>
        <w:t>وبه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فقد اختلفوا في العلامة التي يتحقق بها الغروب، فقيل</w:t>
      </w:r>
      <w:r>
        <w:rPr>
          <w:rStyle w:val="FootnoteAnchor"/>
          <w:rtl w:val="true"/>
        </w:rPr>
        <w:footnoteReference w:id="8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نيل الأوطار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يتحقق بسقوط قرص الشمس بكماله، وهذا إنما يتم في الصحراء، وأما في العمران فلا،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برؤية الكوكب الليلي وبه قالت القاسمية،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بالاظلام وإليه ذهب زيدبن علي، وأبو حنيفة، والشافعي، وأحمد بن عيسى وعبد الله بن موسى، والإمام يحيى، وذكر الروايات الواردة من طرقهم في المقام، وجمع بينها بأنها علامات علىالغروب ولا تكون دخيلة في الوقت</w:t>
      </w:r>
      <w:r>
        <w:rPr>
          <w:rStyle w:val="FootnoteAnchor"/>
          <w:rtl w:val="true"/>
        </w:rPr>
        <w:footnoteReference w:id="873"/>
      </w:r>
      <w:r>
        <w:rPr>
          <w:rFonts w:ascii="Amiri" w:hAnsi="Amiri" w:eastAsia="Amiri" w:cs="Amiri"/>
          <w:color w:val="111111"/>
          <w:sz w:val="28"/>
          <w:sz w:val="28"/>
          <w:szCs w:val="28"/>
          <w:rtl w:val="true"/>
          <w:lang w:bidi="ar-SA"/>
        </w:rPr>
        <w:t xml:space="preserve">، وهم وإن اختلفوا في الفتوى إلاّ أن عملهم وسيرتهم قائمة على أنّ الغروب يتحقق بسقوط القرص وغيابه عن العين في الأفق، ونسب ذلك إلى جماعة من الإمامية، كالشيخ، والسيد المرتضى، والمحقق، وابن الجنيد، والصدوق وغيرهم، وقد ناقش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نسبة ذلك إليهم، ولم يبق في هذه الجماعة إلاّ الصدوق في علله، واعتذر عن ذلك بأنّ كتاب العلل ليس بحوزته ليرى صحة النسبة وعدمها إليه</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وهناك قول 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المغرب يتحقق بذهاب الحمرة المشرقية عن مجموع ناحية الشرق، وزوالها عن تمام ربع الفلك، وهذا إنما يكون بعد ذهاب الحمرة عن قمة الرأس قليلاً، وقد جعله السيد في العروة</w:t>
      </w:r>
      <w:r>
        <w:rPr>
          <w:rStyle w:val="FootnoteAnchor"/>
          <w:rtl w:val="true"/>
        </w:rPr>
        <w:footnoteReference w:id="875"/>
      </w:r>
      <w:r>
        <w:rPr>
          <w:rFonts w:ascii="Amiri" w:hAnsi="Amiri" w:eastAsia="Amiri" w:cs="Amiri"/>
          <w:color w:val="111111"/>
          <w:sz w:val="28"/>
          <w:sz w:val="28"/>
          <w:szCs w:val="28"/>
          <w:rtl w:val="true"/>
          <w:lang w:bidi="ar-SA"/>
        </w:rPr>
        <w:t>هو الأحوط، إلاّ أن هذا القول لم ينسب إلى قائل بعينه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الأقوال في المسألة، ومنها يعلم موقع الخلاف بين الخاصة والعامة، ويرتبون الآثار الشرعية من الصلاة والصوم والإفطار وغيرها كل بحسب رأيه</w:t>
      </w:r>
      <w:r>
        <w:rPr>
          <w:rFonts w:eastAsia="Amiri" w:cs="Amiri" w:ascii="Amiri" w:hAnsi="Amiri"/>
          <w:color w:val="111111"/>
          <w:sz w:val="28"/>
          <w:szCs w:val="28"/>
          <w:rtl w:val="true"/>
          <w:lang w:bidi="ar-SA"/>
        </w:rPr>
        <w:t xml:space="preserve">. </w:t>
      </w:r>
      <w:bookmarkStart w:id="291" w:name="pg16387_188388"/>
    </w:p>
    <w:p>
      <w:pPr>
        <w:pStyle w:val="BookText"/>
        <w:rPr/>
      </w:pPr>
      <w:bookmarkEnd w:id="291"/>
      <w:r>
        <w:rPr>
          <w:rFonts w:ascii="Amiri" w:hAnsi="Amiri" w:eastAsia="Amiri" w:cs="Amiri"/>
          <w:color w:val="111111"/>
          <w:sz w:val="28"/>
          <w:sz w:val="28"/>
          <w:szCs w:val="28"/>
          <w:rtl w:val="true"/>
          <w:lang w:bidi="ar-SA"/>
        </w:rPr>
        <w:t>وبعد هذا يقع الكلام في جهتين</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6877843_1280447820"/>
      <w:bookmarkStart w:id="293" w:name="_Toc99"/>
      <w:bookmarkEnd w:id="292"/>
      <w:r>
        <w:rPr>
          <w:rtl w:val="true"/>
        </w:rPr>
        <w:t>الأولى</w:t>
      </w:r>
      <w:r>
        <w:rPr>
          <w:rtl w:val="true"/>
        </w:rPr>
        <w:t xml:space="preserve">: </w:t>
      </w:r>
      <w:r>
        <w:rPr>
          <w:rtl w:val="true"/>
        </w:rPr>
        <w:t>في ما تقتضيه الأدلة من الكتاب والسنة</w:t>
      </w:r>
      <w:r>
        <w:rPr>
          <w:rtl w:val="true"/>
        </w:rPr>
        <w:t>:</w:t>
      </w:r>
      <w:bookmarkEnd w:id="293"/>
    </w:p>
    <w:p>
      <w:pPr>
        <w:pStyle w:val="BookText"/>
        <w:rPr/>
      </w:pPr>
      <w:r>
        <w:rPr>
          <w:rFonts w:ascii="Amiri" w:hAnsi="Amiri" w:eastAsia="Amiri" w:cs="Amiri"/>
          <w:color w:val="111111"/>
          <w:sz w:val="28"/>
          <w:sz w:val="28"/>
          <w:szCs w:val="28"/>
          <w:rtl w:val="true"/>
          <w:lang w:bidi="ar-SA"/>
        </w:rPr>
        <w:t>أما من الكتاب فأظهر الآيات الواردة في وقت صلاة المغرب ثلاث آيات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إِلَى غَسَقِ اللَّيْلِ وَقُرْآنَ الْفَجْرِ إِنَّ قُرْآنَ الْفَجْرِ كَانَ مَشْهُوداً </w:t>
      </w:r>
      <w:r>
        <w:rPr>
          <w:rFonts w:eastAsia="Amiri" w:cs="Amiri" w:ascii="Amiri" w:hAnsi="Amiri"/>
          <w:color w:val="111111"/>
          <w:sz w:val="28"/>
          <w:szCs w:val="28"/>
          <w:rtl w:val="true"/>
          <w:lang w:bidi="ar-SA"/>
        </w:rPr>
        <w:t>)</w:t>
      </w:r>
      <w:r>
        <w:rPr>
          <w:rStyle w:val="FootnoteAnchor"/>
          <w:rtl w:val="true"/>
        </w:rPr>
        <w:footnoteReference w:id="876"/>
      </w:r>
      <w:r>
        <w:rPr>
          <w:rFonts w:ascii="IRNazanin" w:hAnsi="IRNazanin" w:eastAsia="IRNazanin"/>
          <w:color w:val="111111"/>
          <w:sz w:val="28"/>
          <w:sz w:val="28"/>
          <w:szCs w:val="28"/>
          <w:rtl w:val="true"/>
          <w:lang w:bidi="fa-IR"/>
        </w:rPr>
        <w:t>، وقد اختلف في تفسير الدلوك، ففي أكثر التفاسير وبعض الروايات هو الزوال، وهو المروي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877"/>
      </w:r>
      <w:r>
        <w:rPr>
          <w:rFonts w:ascii="Amiri" w:hAnsi="Amiri" w:eastAsia="Amiri" w:cs="Amiri"/>
          <w:color w:val="111111"/>
          <w:sz w:val="28"/>
          <w:sz w:val="28"/>
          <w:szCs w:val="28"/>
          <w:rtl w:val="true"/>
          <w:lang w:bidi="ar-SA"/>
        </w:rPr>
        <w:t>وبه قال ابن عباس وابن عمر وجابر وأبي العالية والحسن والشعبي وعطا ومجاهد وقتادة</w:t>
      </w:r>
      <w:r>
        <w:rPr>
          <w:rStyle w:val="FootnoteAnchor"/>
          <w:rtl w:val="true"/>
        </w:rPr>
        <w:footnoteReference w:id="878"/>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الدلوك هو غروب الشمس وهو قول النخعي والضحاك والسدي</w:t>
      </w:r>
      <w:r>
        <w:rPr>
          <w:rStyle w:val="FootnoteAnchor"/>
          <w:rtl w:val="true"/>
        </w:rPr>
        <w:footnoteReference w:id="879"/>
      </w:r>
      <w:r>
        <w:rPr>
          <w:rFonts w:ascii="IRNazanin" w:hAnsi="IRNazanin" w:eastAsia="IRNazanin"/>
          <w:color w:val="111111"/>
          <w:sz w:val="28"/>
          <w:sz w:val="28"/>
          <w:szCs w:val="28"/>
          <w:rtl w:val="true"/>
          <w:lang w:bidi="fa-IR"/>
        </w:rPr>
        <w:t>، والأول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غسق الليل فقد فسر بانتصاف الليل، وهو المروي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على التفسير المروي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للدلوك والغسق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مشتملاً على أربع صلوات، فصلاتا دلوك الشمس الظهر والعصر، وصلاتا غسق الليل المغرب والعشاء</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فسر غسق الليل بتفاسير أخرى منها أنّه بدء الليل، وهو قول ابن عباس وقتادة</w:t>
      </w:r>
      <w:r>
        <w:rPr>
          <w:rStyle w:val="FootnoteAnchor"/>
          <w:rtl w:val="true"/>
        </w:rPr>
        <w:footnoteReference w:id="88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غروب الشمس وهو قول مجاهد</w:t>
      </w:r>
      <w:r>
        <w:rPr>
          <w:rStyle w:val="FootnoteAnchor"/>
          <w:rtl w:val="true"/>
        </w:rPr>
        <w:footnoteReference w:id="882"/>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سواد الليل وظلمته وهو قول الجبائي</w:t>
      </w:r>
      <w:r>
        <w:rPr>
          <w:rStyle w:val="FootnoteAnchor"/>
          <w:rtl w:val="true"/>
        </w:rPr>
        <w:footnoteReference w:id="883"/>
      </w:r>
      <w:r>
        <w:rPr>
          <w:rFonts w:ascii="Amiri" w:hAnsi="Amiri" w:eastAsia="Amiri" w:cs="Amiri"/>
          <w:color w:val="111111"/>
          <w:sz w:val="28"/>
          <w:sz w:val="28"/>
          <w:szCs w:val="28"/>
          <w:rtl w:val="true"/>
          <w:lang w:bidi="ar-SA"/>
        </w:rPr>
        <w:t>وأما قرآن الفجر فهو وقت صلاة الصبح</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والآية الشريفة وإن اشتملت على أوقات الصلوات الخمس إلاّ أننا لا يمكننا استفادة خصوص وقت صلاة المغرب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 وَزُلَفاً مِنْ اللَّيْلِ</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واختلف في المراد من طرفي النهار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الفجر والمغرب، والمراد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وَزُلَفاً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العشاء الآخرة والزلف أول ساعات الليل، وهو المروي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886"/>
      </w:r>
      <w:r>
        <w:rPr>
          <w:rFonts w:ascii="Amiri" w:hAnsi="Amiri" w:eastAsia="Amiri" w:cs="Amiri"/>
          <w:color w:val="111111"/>
          <w:sz w:val="28"/>
          <w:sz w:val="28"/>
          <w:szCs w:val="28"/>
          <w:rtl w:val="true"/>
          <w:lang w:bidi="ar-SA"/>
        </w:rPr>
        <w:t>، وبه قال ابن عباس وابن زيد</w:t>
      </w:r>
      <w:r>
        <w:rPr>
          <w:rStyle w:val="FootnoteAnchor"/>
          <w:rtl w:val="true"/>
        </w:rPr>
        <w:footnoteReference w:id="88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طرفي النهار الغداة والظهر والعصر، وصلاة زلف الليل المغرب والعشاء الآخرة، وبه قال مجاهد والضحاك ومحمّد بن كعب القرظي والحسن</w:t>
      </w:r>
      <w:r>
        <w:rPr>
          <w:rStyle w:val="FootnoteAnchor"/>
          <w:rtl w:val="true"/>
        </w:rPr>
        <w:footnoteReference w:id="888"/>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طرفي النهار صلاة الفجر وصلاة العصر</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وبناء على القول الأول تكون صلاة المغرب في طرف النهار، ولا يستفاد من الآية أنها من الليل، وأما بناء على القول الثاني فتكون صلاة المغرب داخلة في زلف من الليل، وأما بناء على القول الثالث فالأمرواضح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كالآية السابقة في عدم إمكان استفادة خصوص وقت المغرب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w:t>
      </w:r>
      <w:r>
        <w:rPr>
          <w:rStyle w:val="FootnoteAnchor"/>
          <w:rtl w:val="true"/>
        </w:rPr>
        <w:footnoteReference w:id="890"/>
      </w:r>
      <w:r>
        <w:rPr>
          <w:rFonts w:ascii="IRNazanin" w:hAnsi="IRNazanin" w:eastAsia="IRNazanin"/>
          <w:color w:val="111111"/>
          <w:sz w:val="28"/>
          <w:sz w:val="28"/>
          <w:szCs w:val="28"/>
          <w:rtl w:val="true"/>
          <w:lang w:bidi="fa-IR"/>
        </w:rPr>
        <w:t>، وقد اختلفوا أيضاً في المراد من الصلاة الوسطى، وفيها ستة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صلاة الظهر وعليه الأكثر، وهو المروي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891"/>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صلاة العصر</w:t>
      </w:r>
      <w:r>
        <w:rPr>
          <w:rStyle w:val="FootnoteAnchor"/>
          <w:rtl w:val="true"/>
        </w:rPr>
        <w:footnoteReference w:id="892"/>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صلاة المغرب</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صلاة العشاء الآخرة</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صلاة الفجر</w:t>
      </w:r>
      <w:r>
        <w:rPr>
          <w:rStyle w:val="FootnoteAnchor"/>
          <w:rtl w:val="true"/>
        </w:rPr>
        <w:footnoteReference w:id="895"/>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إحدى الصلوات الخمس وليست واحدة بعينها</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والآية الشريفة لا تدل على أوقات الصلاة، والمستفاد من ظاهرها الحث والتأكيد على المحافظة على الصلوات ولا سيما الصلاة الوسطى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الآيات الشريفة بحكم المجملة، ولا يمكننا استفادة خصوصية الأوقات كما ذكرنا، وإن كانت معينة في الواقع يعلمها من خوطب بالقرآن وهم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نستعين في فهم الآية بما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الروايات في تفسير الآيات، وممّا ورد في ذلك 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عما فرض الله عزوجل من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صلوات في الليل والنهار،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سماهن الله وبينهن في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الله تعالى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أَقِمْ الصَّلاةَ لِدُلُوكِ الشَّمْسِ إِلَى غَسَقِ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ودلوكها زوالها، وفيما بين دلوك الشمس إلى غسق الليل أربع صلوات سماهن الله وبينهن ووقتهن، وغسق الليل هو انتصافه، ثمّ قالتبارك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وَقُرْآنَ الْفَجْرِ إِنَّ قُرْآنَ الْفَجْرِ كَانَ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الخامسة، وقال تبارك وتعالى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طَرَفِي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وطرفاه المغرب والغداة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وَزُلَفاً مِنْ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صلاة العشاء الآخرة، 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حَافِظُوا عَلَى الصَّلَوَاتِ وَالصَّلاةِ الْوُسْطَى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صلاة الظهر، وهي أول صلاة صلاها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وسط النهار، ووسط صلاتين بالنهار صلاة الغداة وصلاة العصر، وفي بعض القراءة حافظوا على الصلوات والصلاة الوسطى صلاة العصر وقوموا لله قانتين،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وأنزلت هذه الآية يوم الجمعة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سفره فقنت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وتركها على حالها في السفر والحضر، وأضاف </w:t>
      </w:r>
    </w:p>
    <w:p>
      <w:pPr>
        <w:pStyle w:val="BookText"/>
        <w:rPr/>
      </w:pPr>
      <w:r>
        <w:rPr>
          <w:rFonts w:ascii="IRNazanin" w:hAnsi="IRNazanin" w:eastAsia="IRNazanin"/>
          <w:color w:val="111111"/>
          <w:sz w:val="28"/>
          <w:sz w:val="28"/>
          <w:szCs w:val="28"/>
          <w:rtl w:val="true"/>
          <w:lang w:bidi="fa-IR"/>
        </w:rPr>
        <w:t>للمقيم ركعتين وإنما وضعت الركعتان اللتان أضافهما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لمكان الخطبتين مع الإمام، فمن صلى يوم الجمعة في غير جماعة فليصلها أربع ركعات كصلاة الظهر في سائر الأيام</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والرواية وإن كانت صحيحة السند وواضحة الدلالة إلاّ أنها لم تنص على خصوص وقت المغرب، فلذا لا يمكن استفادة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يمكننا استفادة وقت المغرب من نفس الآيات الشريفة وإن الإجمال الذي يتراءى منها بدوي يرتفع بإنعام النظر فيها وبيان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تقدم أن من جملة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طَرَفِي النَّهَارِ وَزُلَفاً مِنْ اللَّيْلِ</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والمراد من طرفي النهار على بعض الأقوال صلاة الصبح وصلاة العصر، هذا من جانب، ومن جانب آخر 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ومن المعلوم أنّ الصوم خارج عن الليل كما أنّ وقت المغرب هو وقت الإفطار فهما متلازمان، وهذا مما لا إشكال فيه، فإذا كان الصوم واجباً إلى الليل فمقتضى التلازم أن تكون صلاة المغرب في الليل أيضاً، وحينئذ فالمراد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صلاتي المغرب والعشاء، كما أنّ المراد من الليل هو أوله، والليل أمر عرفي يتحقق بانتشار الظلمة الملازمة لذهاب الحمرة المشرقية، فبمعونة آية الصوم يمكننا التعرف على أنّ المراد من وقت صلاة المغرب هو أول الليل، ومنه يعلم المراد أيضاً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زُلَفاً مِنْ اللَّيْلِ</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مع غض النظر عن الروايات الواردة في تحديد وقت المغرب إذا شككنا في ذلك فالمرجع هو أصالة الاشتغال لأنه شك في المفهوم، وهو مجرى الاشتغال، وأما سقوط القرص فلا يعلم منه تحقق الليل ولا يصدق عليه الليل </w:t>
      </w:r>
    </w:p>
    <w:p>
      <w:pPr>
        <w:pStyle w:val="BookText"/>
        <w:rPr/>
      </w:pP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الآية بضميمة آية الصوم أن أول الليل ليس هو سقوط القرص، بل انتشار الظلمة في الأفق الملازم لذهاب الحمرة المشرقية وذلك بشهادة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السنّة وهي الروايات الخاصة الواردة في المقام فقد وردت في ذلك عدة روايات مختلفة وهي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تدل على أن علامة المغرب هو ذهاب الحمرة المشرقية، كما هو مذهب الإمامية وهي روايات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بريد بن معاوية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غابت الحمرة من هذا الجانب يعني من المشرق فقد غابت الشمس من شرق الأرض وغربها</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نوقش في الرواية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السند ففيه القاسم بن عروة وهو لم يوثق فتكون الرواية غير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جهة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غابت الحمرة من هذا الجانب يعني من المشرق، شرط والشرط هنا فيه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هو ناحية المشرق بمعنى تمام ناحية الشرق،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هو النقطة التي خرجت منها الشمس بمعنى الموضع الذي هو مطلع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المراد هو الاحتمال الأول فالدلالة تامة لأنّ ذهاب الحمرة من جميع ناحية المشرق علامة على سقوط القرص وتحقق الغروب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هو الاحتمال الثاني فليس فيه دلالة على تحقق الغروب وقد ذكر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الرواية هو الاحتمال الثاني</w:t>
      </w:r>
      <w:r>
        <w:rPr>
          <w:rStyle w:val="FootnoteAnchor"/>
          <w:rtl w:val="true"/>
        </w:rPr>
        <w:footnoteReference w:id="901"/>
      </w:r>
      <w:r>
        <w:rPr>
          <w:rFonts w:ascii="IRNazanin" w:hAnsi="IRNazanin" w:eastAsia="IRNazanin"/>
          <w:color w:val="111111"/>
          <w:sz w:val="28"/>
          <w:sz w:val="28"/>
          <w:szCs w:val="28"/>
          <w:rtl w:val="true"/>
          <w:lang w:bidi="fa-IR"/>
        </w:rPr>
        <w:t xml:space="preserve">وقد </w:t>
      </w:r>
    </w:p>
    <w:p>
      <w:pPr>
        <w:pStyle w:val="BookText"/>
        <w:rPr/>
      </w:pPr>
      <w:r>
        <w:rPr>
          <w:rFonts w:ascii="IRNazanin" w:hAnsi="IRNazanin" w:eastAsia="IRNazanin"/>
          <w:color w:val="111111"/>
          <w:sz w:val="28"/>
          <w:sz w:val="28"/>
          <w:szCs w:val="28"/>
          <w:rtl w:val="true"/>
          <w:lang w:bidi="fa-IR"/>
        </w:rPr>
        <w:t xml:space="preserve">أشارت إليه مرسلة علي بن أحمد بن أشيم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ذهبتالحمرة عن المشرق وتدري كيف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المشرق مطل على المغرب هكذا ورفع يمينه على يساره فإذا غابت هاهنا ذهبت الحمرة من هاهنا</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وبناء على هذا فالرواية إنما تدل على أنّ ارتفاع الحمرة من خصوص النقطة التي خرجت منها الشمس، ولا دلالة في ذلك على الغروب كما هو مفاد الاحتمال الثاني فدلالة الرواية غير تامة، يضاف إلى ذلك أنّه على فرض بقاء الاحتمالين وعدم ترجيح أحدهما على الآخر تكون الرواية مجملة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 كلتا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السند فإنّ القاسم بن عروة وإن لم يرد فيه توثيق إلاّ أنّه وقع في أسناد كتاب نوادر الحكمة</w:t>
      </w:r>
      <w:r>
        <w:rPr>
          <w:rStyle w:val="FootnoteAnchor"/>
          <w:rtl w:val="true"/>
        </w:rPr>
        <w:footnoteReference w:id="903"/>
      </w:r>
      <w:r>
        <w:rPr>
          <w:rFonts w:ascii="Amiri" w:hAnsi="Amiri" w:eastAsia="Amiri" w:cs="Amiri"/>
          <w:color w:val="111111"/>
          <w:sz w:val="28"/>
          <w:sz w:val="28"/>
          <w:szCs w:val="28"/>
          <w:rtl w:val="true"/>
          <w:lang w:bidi="ar-SA"/>
        </w:rPr>
        <w:t>ولم يستثن منه، مضافاً إلى رواية ابن أبي عمير</w:t>
      </w:r>
      <w:r>
        <w:rPr>
          <w:rStyle w:val="FootnoteAnchor"/>
          <w:rtl w:val="true"/>
        </w:rPr>
        <w:footnoteReference w:id="904"/>
      </w:r>
      <w:r>
        <w:rPr>
          <w:rFonts w:ascii="Amiri" w:hAnsi="Amiri" w:eastAsia="Amiri" w:cs="Amiri"/>
          <w:color w:val="111111"/>
          <w:sz w:val="28"/>
          <w:sz w:val="28"/>
          <w:szCs w:val="28"/>
          <w:rtl w:val="true"/>
          <w:lang w:bidi="ar-SA"/>
        </w:rPr>
        <w:t>، وأحد هذين الأمرين كاف في الحكم بوثاقته على ما بيناه في محله فلا إشكال في الرواية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فالظاهر أنّ المراد هو الاحتمال الأول لا الثاني، وذلك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عبارة الرواية فإنّ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الجانب، هو ناحية المشرق لا المطلع، لأنّ المطلع مكان مخصوص كما أنّ قوله من المشرق تفسير للجانب، والمراد من المشرق هو المشرق العرفي أي جهة الشرق، مضافاً إلى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غابت الشمس من شرق الأرض وغربها أمر مترتب على ذهاب الحمرة من ناحية المشرق، والمراد من شرق الأرض وغربها الأفق الخاص بالمكلف، وغياب الشمس عن الشرق والغرب غيابها الموجب لترتب الآثار الشرعية عليه من الصلاة والإفطار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هو الاحتمال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القرينة الخارجية قامت على ذلك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الذين يعتبرون ذهاب الحمرة هم الإمامية، ويعتبرون ذهابها من ناحية المشرق لا خصوص المطلع، ولم ينسب ذلك لأحد غيرهم وهو المراد من قولهم تجاوز الحمرة من المشرق وليس لهم قول آخر بذهاب الحمرة من المطلع فهذا الاحتمال لا وجه له ولا 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القرينة الداخلية والخارجية تدلان على أنّ المراد هو ذهاب الحمرة المشرقية من ناحية الشرق، ومما يؤيد ذلك أنّ هذه الرواية وردت عن بريد بن معاوية العجلي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غابت الحمرة من هذا الجانب يعني ناحية المشرق فقد غابت الشمس من شرق الأرض وغربها</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وفيها التصريح بتفسير الجانب بالناحية، والمراد هو جميع الأفق لا خصوص مطلع الشمس، وقد اعتمد صاحب الجواهر على هذه الرواية فيما اعتمد عليه من الروايات</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وأورد صاحب الوسائل</w:t>
      </w:r>
      <w:r>
        <w:rPr>
          <w:rStyle w:val="FootnoteAnchor"/>
          <w:rtl w:val="true"/>
        </w:rPr>
        <w:footnoteReference w:id="907"/>
      </w:r>
      <w:r>
        <w:rPr>
          <w:rFonts w:ascii="Amiri" w:hAnsi="Amiri" w:eastAsia="Amiri" w:cs="Amiri"/>
          <w:color w:val="111111"/>
          <w:sz w:val="28"/>
          <w:sz w:val="28"/>
          <w:szCs w:val="28"/>
          <w:rtl w:val="true"/>
          <w:lang w:bidi="ar-SA"/>
        </w:rPr>
        <w:t>هذه الرواية في موضع ثالث عن بريد أيضاً مع اختلاف في الألفاظ، ولكن لا شاهد فيها صراحة على ما نحن فيه، وإنما ورد فيها إذا غابت من المشرق وعليه فلا بأس بالرواية سنداً ودلالة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ابن أبي عمير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سقوط القرص ووجوب الإفطار من الصيام أن تقوم بحذاء القبلة وتتفقد الحمرة التي ترتفع من المشرق، فإذا جاوزت قمة الرأس إلى ناحية المغرب فقد وجب </w:t>
      </w:r>
    </w:p>
    <w:p>
      <w:pPr>
        <w:pStyle w:val="BookText"/>
        <w:rPr/>
      </w:pPr>
      <w:r>
        <w:rPr>
          <w:rFonts w:ascii="IRNazanin" w:hAnsi="IRNazanin" w:eastAsia="IRNazanin"/>
          <w:color w:val="111111"/>
          <w:sz w:val="28"/>
          <w:sz w:val="28"/>
          <w:szCs w:val="28"/>
          <w:rtl w:val="true"/>
          <w:lang w:bidi="fa-IR"/>
        </w:rPr>
        <w:t>الإفطاروسقط القرص</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وهذه الرواية أوضح الروايات دلالة وأصرح رواية فيما يستدل به كما صرح بذلك السيد الأستاذ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إلاّ أنّه ناقش في الرواية من كلتا جهتيها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السند فهي ضعيفة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سهل بن زياد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الارسال بعد ابن أبي عمير، فهي من هذه الجهة غير معتبرة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الأول فإنّ الرواية وإن كان فيها سهل بن زياد في طريق كلمن الكليني</w:t>
      </w:r>
      <w:r>
        <w:rPr>
          <w:rStyle w:val="FootnoteAnchor"/>
          <w:rtl w:val="true"/>
        </w:rPr>
        <w:footnoteReference w:id="911"/>
      </w:r>
      <w:r>
        <w:rPr>
          <w:rFonts w:ascii="Amiri" w:hAnsi="Amiri" w:eastAsia="Amiri" w:cs="Amiri"/>
          <w:color w:val="111111"/>
          <w:sz w:val="28"/>
          <w:sz w:val="28"/>
          <w:szCs w:val="28"/>
          <w:rtl w:val="true"/>
          <w:lang w:bidi="ar-SA"/>
        </w:rPr>
        <w:t>والشيخ</w:t>
      </w:r>
      <w:r>
        <w:rPr>
          <w:rStyle w:val="FootnoteAnchor"/>
          <w:rtl w:val="true"/>
        </w:rPr>
        <w:footnoteReference w:id="912"/>
      </w:r>
      <w:r>
        <w:rPr>
          <w:rFonts w:ascii="Amiri" w:hAnsi="Amiri" w:eastAsia="Amiri" w:cs="Amiri"/>
          <w:color w:val="111111"/>
          <w:sz w:val="28"/>
          <w:sz w:val="28"/>
          <w:szCs w:val="28"/>
          <w:rtl w:val="true"/>
          <w:lang w:bidi="ar-SA"/>
        </w:rPr>
        <w:t>، إلاّ أن للشيخ طريقاً آخر وهو معتبر إلى جميع كتب وروايات ابن أبي عمير</w:t>
      </w:r>
      <w:r>
        <w:rPr>
          <w:rStyle w:val="FootnoteAnchor"/>
          <w:rtl w:val="true"/>
        </w:rPr>
        <w:footnoteReference w:id="913"/>
      </w:r>
      <w:r>
        <w:rPr>
          <w:rFonts w:ascii="Amiri" w:hAnsi="Amiri" w:eastAsia="Amiri" w:cs="Amiri"/>
          <w:color w:val="111111"/>
          <w:sz w:val="28"/>
          <w:sz w:val="28"/>
          <w:szCs w:val="28"/>
          <w:rtl w:val="true"/>
          <w:lang w:bidi="ar-SA"/>
        </w:rPr>
        <w:t>وهو شامل لهذه الرواية قطعاً فلا ينحصر طريق الشيخ بسهل بن زياد، ووجوده في السند لا يضر في اعتبار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الوجه الثاني فقد ذكرنا أنّ مراسيل المشايخ الثقات ومنهم ابن أبي عمير معتبرة لشهادة الشيخ بذلك وقد حققنا في مباحثنا الرجالية أنّ مراسيل هؤلاء المشايخ معتبرة بلا إشكال</w:t>
      </w:r>
      <w:r>
        <w:rPr>
          <w:rStyle w:val="FootnoteAnchor"/>
          <w:rtl w:val="true"/>
        </w:rPr>
        <w:footnoteReference w:id="91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 الإرسال من جهة أخرى وهي أننا وإن سلمنا الكبرى إلاّ أنّ الصغرى غير تامة وذلك لأنّ الرواية ليست من مرسلات ابن أبي عمير، بل هي مرسلة الراوي الذي نقلهاعن ابن أبي عمير وهو محمّد بن عيسى، فإنه إما نسي اسمه، أو لم يذكره لداع آخر</w:t>
      </w:r>
      <w:r>
        <w:rPr>
          <w:rStyle w:val="FootnoteAnchor"/>
          <w:rtl w:val="true"/>
        </w:rPr>
        <w:footnoteReference w:id="915"/>
      </w:r>
      <w:r>
        <w:rPr>
          <w:rFonts w:ascii="Amiri" w:hAnsi="Amiri" w:eastAsia="Amiri" w:cs="Amiri"/>
          <w:color w:val="111111"/>
          <w:sz w:val="28"/>
          <w:sz w:val="28"/>
          <w:szCs w:val="28"/>
          <w:rtl w:val="true"/>
          <w:lang w:bidi="ar-SA"/>
        </w:rPr>
        <w:t xml:space="preserve">، فلا تكون الرواية داخلة في </w:t>
      </w:r>
    </w:p>
    <w:p>
      <w:pPr>
        <w:pStyle w:val="BookText"/>
        <w:rPr/>
      </w:pPr>
      <w:r>
        <w:rPr>
          <w:rFonts w:ascii="Amiri" w:hAnsi="Amiri" w:eastAsia="Amiri" w:cs="Amiri"/>
          <w:color w:val="111111"/>
          <w:sz w:val="28"/>
          <w:sz w:val="28"/>
          <w:szCs w:val="28"/>
          <w:rtl w:val="true"/>
          <w:lang w:bidi="ar-SA"/>
        </w:rPr>
        <w:t>مرسلات ابن أبي عمير حتى تكون مشمولة لشهادة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المناقشة غير واردة، وذلك لأنّ هذا الاحتمال وإن كان صحيحاً وأن ابن أبي عمير ذكر اسم الراوي ولم يذكره محمّد بن عيسى إلاّ أنّ ذلك لا يضرّ بالمدعى لأنّ شهادة الشيخ شاملة للمسندات أيضاً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يروون ولا يرسلون إلاّ عن ثقة</w:t>
      </w:r>
      <w:r>
        <w:rPr>
          <w:rStyle w:val="FootnoteAnchor"/>
          <w:rtl w:val="true"/>
        </w:rPr>
        <w:footnoteReference w:id="916"/>
      </w:r>
      <w:r>
        <w:rPr>
          <w:rFonts w:ascii="Amiri" w:hAnsi="Amiri" w:eastAsia="Amiri" w:cs="Amiri"/>
          <w:color w:val="111111"/>
          <w:sz w:val="28"/>
          <w:sz w:val="28"/>
          <w:szCs w:val="28"/>
          <w:rtl w:val="true"/>
          <w:lang w:bidi="ar-SA"/>
        </w:rPr>
        <w:t>، فليست الشهادة مختصة بالمرسلات ليرد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روى ابن أبي عمير عن شخص وكان مورداً للخلاف، أو ورد فيه تضعيف فحينئذ يدخل في باب التعارض على ما بينّاه في محله ومع عدمه فلابد من اعتبار الرواية والحكم بوثاقة رواتها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المناقشة من جهة الدلالة فمن ناحيتين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مدلولها غير مطابق لما هو المشاهد بالوجدان، ومن نظر إلى المشرق عند الغروب رأى أنّ الحمرة قد ارتفعت من ناحية ثمّ زالت وحدثت حمرة أخرى في ناحية المغرب، والواقع المشاهد كذلك فليستالحمرة باقية سارية تتعدى من</w:t>
      </w:r>
    </w:p>
    <w:p>
      <w:pPr>
        <w:pStyle w:val="BookText"/>
        <w:rPr/>
      </w:pPr>
      <w:r>
        <w:rPr>
          <w:rFonts w:ascii="Amiri" w:hAnsi="Amiri" w:eastAsia="Amiri" w:cs="Amiri"/>
          <w:color w:val="111111"/>
          <w:sz w:val="28"/>
          <w:sz w:val="28"/>
          <w:szCs w:val="28"/>
          <w:rtl w:val="true"/>
          <w:lang w:bidi="ar-SA"/>
        </w:rPr>
        <w:t>المشرق إلى المغرب كما هو مفاد الرواية</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سقوط القرص؟ هل هو السقوط الحسي تحت الأفق؟ أو المراد هو سقوطه الحقيقي ودخوله تحت الأرض؟</w:t>
      </w:r>
    </w:p>
    <w:p>
      <w:pPr>
        <w:pStyle w:val="BookText"/>
        <w:rPr/>
      </w:pPr>
      <w:r>
        <w:rPr>
          <w:rFonts w:ascii="Amiri" w:hAnsi="Amiri" w:eastAsia="Amiri" w:cs="Amiri"/>
          <w:color w:val="111111"/>
          <w:sz w:val="28"/>
          <w:sz w:val="28"/>
          <w:szCs w:val="28"/>
          <w:rtl w:val="true"/>
          <w:lang w:bidi="ar-SA"/>
        </w:rPr>
        <w:t>فإن كان المراد هو الأول فهذا واضح البطلان لأنّ السقوط الحسي دائماً يقع قبل ذهاب الحمرة المشرقية بمدة زمنية تتفاوت من مكان إلى آخر لاختلاف انبساط الأرض وارتفاعها، وذهاب الحمرة المشرقية كلية إنما يتم بعد تجاوزها عن قمة الرأس بمدة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هو السقوط الحقيقي عن الأفق ودخوله تحت الأرض فهذا أمر مبهم لا طريق إلى معرفته ولم يدل عليه الكتاب والسنة</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ويمكننا الجواب عن كلتا الناحيتين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الناحية الأولى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الوارد في الرواية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جازت قمة الرأس إلى ناحية المغرب، ومعنى جازت هو التجاوز ولم يذكر في الرواية أنّ الحمرة المشرقية عين الحمرة المغربية ولا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أنّ سبب الحمرة سواء كانت مشرقية أو مغربية هو الشمس، وحينئذ فكيف يقال بتعددها؟ نعم لو كان سبب الحمرة في المشرق غير سببها في المغرب لأمكن القول بالتعدد والحدوث التعاقبي وإنما الذي يحصل هو الحدوث والانعدام التدريجي للحمرة، لا أنّ هناك حمرتين لأنّ السبب فيهما واحد، وتشتد الحمرة وتضعف ببعد الشمس وقربها فكلما بعدت الشمس اشتدت الحمرة وإذا كانت قريبة طالعة فتضعف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بحدوث حمرتين إحداهما في المشرق والأخرى في المغرب، وأنّ الثانية غير الأولى لا وجه 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الناحية الثانية فالمراد هو السقوط الحسي الحقيقي لأنّ استتار القرص تارة يكون حسياً غير حقيقي بمعنى أنّه يتراءى للناظر غياب قرص الشمس عن الأفق إلاّ أنّه في الواقع ليس بغايب، بناء على كروية الأرض ولا يقع الغروب حينئذ إلاّ تدريجاً، وأما الوقوع الدفعي فقد يتصور أو يتحقق في الأرض المنبسطة كالصحراء المترامية الأطراف، وتارة يكون السقوط حسياً حقيقياً بمعنى أنّه غايب في الواقع لا مجرد الغياب عن حسِّنا، والرواية تدل على هذا المعنى وذلك لأنّ المشرق مطلعلى المغرب كما صرحت به الرواية المتقدمة وليس للشمس حاجب، نعم بالنسبة إلينا قد يكون هناك حاجب من جبال أو تلال أو نحو ذلك، فمع عدم وجود الحاجب بالنسبة للشمس فإن كانت الحمرة المشرقية موجودة فهذه علامة واضحة على عدم حصول السقوط الحقيقي، وهو الموافق لما </w:t>
      </w:r>
    </w:p>
    <w:p>
      <w:pPr>
        <w:pStyle w:val="BookText"/>
        <w:rPr/>
      </w:pPr>
      <w:r>
        <w:rPr>
          <w:rFonts w:ascii="Amiri" w:hAnsi="Amiri" w:eastAsia="Amiri" w:cs="Amiri"/>
          <w:color w:val="111111"/>
          <w:sz w:val="28"/>
          <w:sz w:val="28"/>
          <w:szCs w:val="28"/>
          <w:rtl w:val="true"/>
          <w:lang w:bidi="ar-SA"/>
        </w:rPr>
        <w:t xml:space="preserve">ذكره الفلكيون من الحسابات، وبناء عليه فتحقق المغرب إنما يتم عند ذهاب الحمرة المشرقية، وبمقدار ما يرى من الحمرة في المشرق تكون الشمس في جهة المغرب بعد لم تسقط، فإن ارتفعت الحمرة تحقق السقوط الحقيقي، وحينئذ فما أورده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على الرواية من هذه الناحية غير وارد، بل هي أصرح الروايات دلالة كما اعترف بذلك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ساعة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مغيب الشمس إلى صلاة المغرب</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والمستفاد من الرواية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بركعة الوتر في زمن، مقداره هو مقدار المدة من مغيب الشمس إلى صلاة المغرب، وهو مقدار زوال الحمرة المشرقية، ومن هذه الرواية يعلم أنّ هناك فصلاً زمانياً بين غياب الشمس وبين وقت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ناقش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السند فالرواية ضعيفة بإسماعيل بن أبي سارة فإنه لم يرد فيه توثيق، فلا يعتمد على شيء من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فالرواية لا تدل على أن وقت الصلاة متأخر عن استتار القرص، وإنما تدل على أنّ نفس صلاة المغرب أي الإتيان بها كان متأخراً عن الاستتار، ولعل هذا أمر متعارف ولا سيما في الجماعات فإن الصلاة غالباً تقع متأخرة فيقع الفاصل الزماني بين استتار القرص وبين الصلاة فلا دلالة في الرواية على المدعى</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ولكن يمكن الجواب عن كلتا الجهتين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الجهة الأولى فإن إسماعيل بن أبي سارة وإن لم يرد فيه توثيق إلاّ أنّه قد روى عنه المشايخ الثقات الذين لا يروون ولا يرسلون إلاّ عن ثقة، ومنهم </w:t>
      </w:r>
    </w:p>
    <w:p>
      <w:pPr>
        <w:pStyle w:val="BookText"/>
        <w:rPr/>
      </w:pPr>
      <w:r>
        <w:rPr>
          <w:rFonts w:ascii="Amiri" w:hAnsi="Amiri" w:eastAsia="Amiri" w:cs="Amiri"/>
          <w:color w:val="111111"/>
          <w:sz w:val="28"/>
          <w:sz w:val="28"/>
          <w:szCs w:val="28"/>
          <w:rtl w:val="true"/>
          <w:lang w:bidi="ar-SA"/>
        </w:rPr>
        <w:t>ابن أبي عمير</w:t>
      </w:r>
      <w:r>
        <w:rPr>
          <w:rStyle w:val="FootnoteAnchor"/>
          <w:rtl w:val="true"/>
        </w:rPr>
        <w:footnoteReference w:id="921"/>
      </w:r>
      <w:r>
        <w:rPr>
          <w:rFonts w:ascii="Amiri" w:hAnsi="Amiri" w:eastAsia="Amiri" w:cs="Amiri"/>
          <w:color w:val="111111"/>
          <w:sz w:val="28"/>
          <w:sz w:val="28"/>
          <w:szCs w:val="28"/>
          <w:rtl w:val="true"/>
          <w:lang w:bidi="ar-SA"/>
        </w:rPr>
        <w:t>في نفس هذه الرواية وهو كاف في الحكمباعتبار 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عن الجهة الثانية فإنه من البعيد جداً أن يكون ما ذكره السيد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المراد من الرواية بل الظاهر هو الإشارة إلى وقت الصلاة لا الاتيان بالصلاة، وذلك لأنّ الصلاة فعل من الأفعال ويختلف باختلاف الأشخاص ولا ضابطة كلية له، فإن من الناس من يتهيأ للصلاة قبل وقتها ويأتي بها أول الوقت، ومنهم من يأتي بها في آخره،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الرواية في مقام إعطاء ضابطة كلية بغض النظر عن الأشخاص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مغيب الشمس إلى صلاة المغرب، وقياسه على الفجر من حيث المقدار الزماني ليس ناظراً إلى إتيان الصلاة بل نظره إلى الوقت فظهوره في الوقت واضح، وأما نفس الإتيان فهو احتمال بعيد وأبعد منه حمل الرواية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بكر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سائل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في كتابه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 الوقت، وآخر ذلك غيبوبة الشفق، وأول وقت العشاء الآخرة ذهاب الحمرة، وآخر وقتها إلى غسق الليل يعني نصف الليل</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وقد استدل بهذه الرواية على المدعى وأن وقت المغرب هو ذهاب الحمرة المشرقية، لأنّ السؤال الوارد كان عن وقت المغرب والجواب كان بالآية الشريفة ورؤية الكوكب مقترن غالباً بزوال الحمرة المشرقية، وقد ذكر صاحب الوسائل في ذيل هذه الرواية</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المحققين ذكر أنّ ذهاب الحمرة المشرقية يستلزم رؤية كوكب غالباً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لا تدل على المدعى، بل على </w:t>
      </w:r>
    </w:p>
    <w:p>
      <w:pPr>
        <w:pStyle w:val="BookText"/>
        <w:rPr/>
      </w:pPr>
      <w:r>
        <w:rPr>
          <w:rFonts w:ascii="Amiri" w:hAnsi="Amiri" w:eastAsia="Amiri" w:cs="Amiri"/>
          <w:color w:val="111111"/>
          <w:sz w:val="28"/>
          <w:sz w:val="28"/>
          <w:szCs w:val="28"/>
          <w:rtl w:val="true"/>
          <w:lang w:bidi="ar-SA"/>
        </w:rPr>
        <w:t>خلافه، وذلك بمنع الملازمة بين ذهاب الحمرة المشرقية ورؤية الكوكب، فإنّ بعض الأنجم قد ترى قبل ذهاب الحمرة وتجاوزها عن قمة الرأس بزمان، ولا تتوقف رؤية كوكب أو كوكبين على تجاوز الحمرة، وذلك بالتجربة والملاحظة العملية وعليه فلا دلالة في الرواية على المدعى، بل هي دالة على أنّ تحقق المغرب بسقوط القرص</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ولكن هذه المناقشة لا يمكن المساعدة عليها وذلك لما ذكرنا من أنالتقارب بين رؤية الكوكب وزوال الحمرة غالبي لا دائمي، وإن كان ما ذكره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ولا نشك في صدق تجربته إلاّ أنّ الآفاق تختلف ورؤية الكوكب قد تتقدم وقد تتأخر، ولكن الغالب هو ما ذكرنا فيكفي في كونه علامة غالبية، ولعل أفق السائل كان هكذا أي رؤية الكوكب في أفقه ملازم لزوال الحمرة، وعلى فرض التنزل فلا أقل من الدلالة على نفي القول بأنّ المغرب يتحقق بالاستتار، وذلك لأنّ الاستتار يتحقق قبل رؤية الكوكب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إن حملناها على الغالب فهي موافقة للمدعى، وإن حملناها على غير الغالب فهي تنفي القول الآخر وهو أنّ المغرب يتحقق بسقوط القرص، فما ذكره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أمرت أبا الخطاب أن يصلي المغرب حين زالت الحمرة من مطلع الشمس فجعل هو الحمرة التي من قبل المغرب وكان يصلي حين يغيب الشفق</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والرواية تدل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 أبا الخطاب أن يصلي المغرب عند زوال الحمرة المشرقية، إلاّ أنّه خالف ذلك وكان يصلي عند ذهاب الحمرة المغربية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السيد الأستاذ على الرواية إيرادين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ضعيفة السند </w:t>
      </w:r>
    </w:p>
    <w:p>
      <w:pPr>
        <w:pStyle w:val="BookText"/>
        <w:rPr/>
      </w:pPr>
      <w:r>
        <w:rPr>
          <w:rFonts w:ascii="Amiri" w:hAnsi="Amiri" w:eastAsia="Amiri" w:cs="Amiri"/>
          <w:color w:val="111111"/>
          <w:sz w:val="28"/>
          <w:sz w:val="28"/>
          <w:szCs w:val="28"/>
          <w:rtl w:val="true"/>
          <w:lang w:bidi="ar-SA"/>
        </w:rPr>
        <w:t>بعلي بن يعقوب، فهي ساقطة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اشتملت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ذلك أنّ أبا الخطاب مأمور بالصلاة عند الاستتار وارتفاع الحمرة عن مطلع الشمس ونقطة خروجها لا عن ناحية الشرق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الإيراد هو عين ما تقدم إيراده على رواية بريد بن معاوية وهي الرواية الأولى، فإنه هناك حمل الرواية على أنّ المراد هو زوال الحمرة من مطلع الشمس لا من ناحية المشرق، فلا تدل الرواية على المدعى بل هي على القول بالاستتار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والإيرادان قابلان للدفع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الإيراد الأول فإنّ علي بن يعقوب وإن لم يرد فيه توثيق إلاّ أنّه يمكن تصحيح هذه الرواية من طريق آخر وذلك من طريقالشيخ، فإنّ له طريقاً إلى كتاب عمار الساباطي</w:t>
      </w:r>
      <w:r>
        <w:rPr>
          <w:rStyle w:val="FootnoteAnchor"/>
          <w:rtl w:val="true"/>
        </w:rPr>
        <w:footnoteReference w:id="926"/>
      </w:r>
      <w:r>
        <w:rPr>
          <w:rFonts w:ascii="Amiri" w:hAnsi="Amiri" w:eastAsia="Amiri" w:cs="Amiri"/>
          <w:color w:val="111111"/>
          <w:sz w:val="28"/>
          <w:sz w:val="28"/>
          <w:szCs w:val="28"/>
          <w:rtl w:val="true"/>
          <w:lang w:bidi="ar-SA"/>
        </w:rPr>
        <w:t>وقد ذكر الشيخ في الفهرست أن له كتاباً كبيراً جيداً معتمداً وذكر طريقه إليه، بل يمكن القول أنّ كتاب عمار لا يحتاج إلى الطريق لأنه من الكتب المعروفة المعتمدة، وبناء على ذلك فيمكن تصحيح الرواية والاعتماد عليها من جهة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الإيراد الثاني فقد تقدم الجواب عنه،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مطلع الشمس هو مكان طلوعها ونقطة خروجها فالإشكال وارد، وإن كان المراد منه الناحية أي ناحية المشرق فلا يرد، والظاهر أنّ المراد هو الثاني لا الأول، وذلك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وإن ورد فيها لفظة مطلع الشمس ولكن بقرينة أنّ المشهور عند الإمامية هو تحقق المغرب بزوال الحمرة المشرقية فيحمل المطلع على </w:t>
      </w:r>
    </w:p>
    <w:p>
      <w:pPr>
        <w:pStyle w:val="BookText"/>
        <w:rPr/>
      </w:pPr>
      <w:r>
        <w:rPr>
          <w:rFonts w:ascii="Amiri" w:hAnsi="Amiri" w:eastAsia="Amiri" w:cs="Amiri"/>
          <w:color w:val="111111"/>
          <w:sz w:val="28"/>
          <w:sz w:val="28"/>
          <w:szCs w:val="28"/>
          <w:rtl w:val="true"/>
          <w:lang w:bidi="ar-SA"/>
        </w:rPr>
        <w:t>الجانب والناحية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الحمرة التي من قبل المغرب، ومراده من قبل المغرب ناحيته، ويقابله قبل المشرق فيكون المراد منه هو الناحية أيضاً بمقتضى المقابلة لا نقطة الطلوع، وعلى هذا فالرواية من جهة الدلالة بحسب الظاهر لا بأس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شهاب إني أحب إذا صليت المغرب أن أرى في السماء كوكباً</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والمستفاد من الرواية رؤية الكوكب علامة على وقت المغرب لأنها ملازمة لذهاب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السيد الأستاذ على الرواية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السند، فإنّ محمّد بن حكيم لم يرد فيه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دالة على استحباب التأخير لا أنّه أمر لازم حتمي</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إلى أنّه ورد في روايات أخرى استحباب التأخير كما في معتبرة يعقوب بن 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 بالمغرب قليلاً فإنّ الشمس تغيب من عندكم قبل أن تغيب عندنا</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وسيأتي الكلام حول هذه الرواية ودلالتها ويمكن الجواب عن كلاالوجهين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الوجه الأول فإن محمّد بن حكيم وإن لم يرد فيه توثيق إلاّ أنّه قد روى عنه ابن أبي عمير</w:t>
      </w:r>
      <w:r>
        <w:rPr>
          <w:rStyle w:val="FootnoteAnchor"/>
          <w:rtl w:val="true"/>
        </w:rPr>
        <w:footnoteReference w:id="930"/>
      </w:r>
      <w:r>
        <w:rPr>
          <w:rFonts w:ascii="Amiri" w:hAnsi="Amiri" w:eastAsia="Amiri" w:cs="Amiri"/>
          <w:color w:val="111111"/>
          <w:sz w:val="28"/>
          <w:sz w:val="28"/>
          <w:szCs w:val="28"/>
          <w:rtl w:val="true"/>
          <w:lang w:bidi="ar-SA"/>
        </w:rPr>
        <w:t>وهذا يكفي للحكم بوثاقته لشهادة الشيخ بذلك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الوجه الثاني فقد ناقش بعضهم في ذلك بأن لفظ أحب الوارد في الرواية محمول على الوجوب لا الاستحباب، لأنّ مقتضى الموافقة للتقية هو </w:t>
      </w:r>
    </w:p>
    <w:p>
      <w:pPr>
        <w:pStyle w:val="BookText"/>
        <w:rPr/>
      </w:pPr>
      <w:r>
        <w:rPr>
          <w:rFonts w:ascii="Amiri" w:hAnsi="Amiri" w:eastAsia="Amiri" w:cs="Amiri"/>
          <w:color w:val="111111"/>
          <w:sz w:val="28"/>
          <w:sz w:val="28"/>
          <w:szCs w:val="28"/>
          <w:rtl w:val="true"/>
          <w:lang w:bidi="ar-SA"/>
        </w:rPr>
        <w:t>التعجيل لا التأخير فإنّ التأخير مناف للتقية، وحيث إنّ التقية واجبة فيعلم أنّ معنى أحب هو الوجوب لا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المناقشة من جهة أخرى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إذا صليت المغرب أن أرى في السماء كوكباً، جملة شرطية والجزاء مترتب على تحقق الشرط فللرواية ظهور في أن رؤية الكوكب إنما تمت عقيب الصلاة، وإن كان يحتمل المقارنة بين إيقاع الصلاة ورؤية الكوكب، وعلى كلا التقديرين لا دلالة للرواية على المدعى فهي خارجة عن المقام فلا يمكن الاستدلال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وإن كنا نوافق السيد في عدم دلالة الرواية إلاّ أنّه بوجه آخر غير 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شريح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تغيرت الحمرة في الأفق، وذهبت الصفرة وقبل أن تشتبك النجوم</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والرواية من جهة الدلالة واضحة بحسب الظاهر، فإنّ السائل سأل عن وقت المغرب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بتغير الحمرة وهو إنما يتم بتبدلها بالسواد قبل اشتباك النجوم، إلاّ أن السيد الأستاذ قد ناقش في الرواية سنداً ودلالة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جهة السند فهي ضعيفة، بعلي بن الحارث لجهالته، وبكار بن بكير لعدم توثيقه، وأما من جهة الدلالة فإنها واردة في قبال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الوقت هو اشتباك النجوم، وهو أبو الخطاب الذي جعل ذلك وقتاً من تلقاء نفسه</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ويمكن الجواب عن كلتا الجهتين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الجهة الأولى فإنّ محمّد بن شريح له كتاب وطريق الشيخ إليههكذا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جماعة عن أبي المفضل عن حميد عن ابن سماعة عنه</w:t>
      </w:r>
      <w:r>
        <w:rPr>
          <w:rStyle w:val="FootnoteAnchor"/>
          <w:rtl w:val="true"/>
        </w:rPr>
        <w:footnoteReference w:id="933"/>
      </w:r>
      <w:r>
        <w:rPr>
          <w:rFonts w:ascii="IRNazanin" w:hAnsi="IRNazanin" w:eastAsia="IRNazanin"/>
          <w:color w:val="111111"/>
          <w:sz w:val="28"/>
          <w:sz w:val="28"/>
          <w:szCs w:val="28"/>
          <w:rtl w:val="true"/>
          <w:lang w:bidi="fa-IR"/>
        </w:rPr>
        <w:t xml:space="preserve">وهذا </w:t>
      </w:r>
    </w:p>
    <w:p>
      <w:pPr>
        <w:pStyle w:val="BookText"/>
        <w:rPr/>
      </w:pPr>
      <w:r>
        <w:rPr>
          <w:rFonts w:ascii="Amiri" w:hAnsi="Amiri" w:eastAsia="Amiri" w:cs="Amiri"/>
          <w:color w:val="111111"/>
          <w:sz w:val="28"/>
          <w:sz w:val="28"/>
          <w:szCs w:val="28"/>
          <w:rtl w:val="true"/>
          <w:lang w:bidi="ar-SA"/>
        </w:rPr>
        <w:t>الطريق يشتمل على ضعف قبل حميد بن زياد، وأما ما بعد حميد إلى محمّد بن شريح فصحيح وللشيخ طريق معتبر إلى جميع روايات وكتب حميد</w:t>
      </w:r>
      <w:r>
        <w:rPr>
          <w:rStyle w:val="FootnoteAnchor"/>
          <w:rtl w:val="true"/>
        </w:rPr>
        <w:footnoteReference w:id="934"/>
      </w:r>
      <w:r>
        <w:rPr>
          <w:rFonts w:ascii="Amiri" w:hAnsi="Amiri" w:eastAsia="Amiri" w:cs="Amiri"/>
          <w:color w:val="111111"/>
          <w:sz w:val="28"/>
          <w:sz w:val="28"/>
          <w:szCs w:val="28"/>
          <w:rtl w:val="true"/>
          <w:lang w:bidi="ar-SA"/>
        </w:rPr>
        <w:t>، ومن ضمنها كتاب محمّد بن شريح، فطريق الرواية وإن كان فيه ضعف إلاّ أنّه يمكن تصحيحها بما ذكرناه فلا بأس بالاعتماد على الرواية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عن الجهةالثانية فالمراد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تغيرت الحمرة في الأفق وذهبت الصفرة، هو زوال الحمرة المشرقية وهو المحقق لوقت المغرب كما هو واضح، والرواية في مقام إعطاء ضابطة كلية لمعرفة الوقت فإنّ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في جواب السائل عن وقت المغرب ولا مانع أن يتضمن الرد على أبي الخطاب في ما ذهب إليه، أما أنّ الرواية واردة للرد عليه فقط فلم يظهر ذلك من الرواية، وقد 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الرواية لها دلالة قوية على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الله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يتوارى القرص، ويقبل الليل، ثمّ يزيد الليل ارتفاعاً، وتستتر عنا الشمس، وترتفع فوق الجبل حمرة، ويؤذن عندنا المؤذنون، أفأصلي حينئذ وأفطر إن كنت صائماً، أو أنتظر حتى يذهب الحمرة التي فوق الجبل؟ فكتب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لك أن تنتظر حتى تذهب الحمرة، وتأخذ بالحائطة لدينك</w:t>
      </w:r>
      <w:r>
        <w:rPr>
          <w:rStyle w:val="FootnoteAnchor"/>
          <w:rtl w:val="true"/>
        </w:rPr>
        <w:footnoteReference w:id="93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بهذه الرواية على أن تحقق وقت المغرب بذهاب الحمرة المشرقية، والرواية من حيث السند معتبرة فإنها وإن اشتمل سندها على سليمان بن داود المنقري وهو ممن ضعفه ابن الغضائري</w:t>
      </w:r>
      <w:r>
        <w:rPr>
          <w:rStyle w:val="FootnoteAnchor"/>
          <w:rtl w:val="true"/>
        </w:rPr>
        <w:footnoteReference w:id="936"/>
      </w:r>
      <w:r>
        <w:rPr>
          <w:rFonts w:ascii="Amiri" w:hAnsi="Amiri" w:eastAsia="Amiri" w:cs="Amiri"/>
          <w:color w:val="111111"/>
          <w:sz w:val="28"/>
          <w:sz w:val="28"/>
          <w:szCs w:val="28"/>
          <w:rtl w:val="true"/>
          <w:lang w:bidi="ar-SA"/>
        </w:rPr>
        <w:t>إلاّ أن النجاشي وثقه</w:t>
      </w:r>
      <w:r>
        <w:rPr>
          <w:rStyle w:val="FootnoteAnchor"/>
          <w:rtl w:val="true"/>
        </w:rPr>
        <w:footnoteReference w:id="937"/>
      </w:r>
      <w:r>
        <w:rPr>
          <w:rFonts w:ascii="Amiri" w:hAnsi="Amiri" w:eastAsia="Amiri" w:cs="Amiri"/>
          <w:color w:val="111111"/>
          <w:sz w:val="28"/>
          <w:sz w:val="28"/>
          <w:szCs w:val="28"/>
          <w:rtl w:val="true"/>
          <w:lang w:bidi="ar-SA"/>
        </w:rPr>
        <w:t xml:space="preserve">وتضعيف ابن الغضائري معتبر لو ثبتت نسبة كتابه إليه، وحيث لم تثبت فيكون </w:t>
      </w:r>
    </w:p>
    <w:p>
      <w:pPr>
        <w:pStyle w:val="BookText"/>
        <w:rPr/>
      </w:pPr>
      <w:r>
        <w:rPr>
          <w:rFonts w:ascii="Amiri" w:hAnsi="Amiri" w:eastAsia="Amiri" w:cs="Amiri"/>
          <w:color w:val="111111"/>
          <w:sz w:val="28"/>
          <w:sz w:val="28"/>
          <w:szCs w:val="28"/>
          <w:rtl w:val="true"/>
          <w:lang w:bidi="ar-SA"/>
        </w:rPr>
        <w:t>توثيق النجاشي سليماً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سليمان بن داود المنقري واقع في أسناد القسم الأول من تفسير علي بن إبراهيم القمي</w:t>
      </w:r>
      <w:r>
        <w:rPr>
          <w:rStyle w:val="FootnoteAnchor"/>
          <w:rtl w:val="true"/>
        </w:rPr>
        <w:footnoteReference w:id="938"/>
      </w:r>
      <w:r>
        <w:rPr>
          <w:rFonts w:ascii="Amiri" w:hAnsi="Amiri" w:eastAsia="Amiri" w:cs="Amiri"/>
          <w:color w:val="111111"/>
          <w:sz w:val="28"/>
          <w:sz w:val="28"/>
          <w:szCs w:val="28"/>
          <w:rtl w:val="true"/>
          <w:lang w:bidi="ar-SA"/>
        </w:rPr>
        <w:t>، وفي المستثنى منه من كتاب نوادرالحكمة</w:t>
      </w:r>
      <w:r>
        <w:rPr>
          <w:rStyle w:val="FootnoteAnchor"/>
          <w:rtl w:val="true"/>
        </w:rPr>
        <w:footnoteReference w:id="939"/>
      </w:r>
      <w:r>
        <w:rPr>
          <w:rFonts w:ascii="Amiri" w:hAnsi="Amiri" w:eastAsia="Amiri" w:cs="Amiri"/>
          <w:color w:val="111111"/>
          <w:sz w:val="28"/>
          <w:sz w:val="28"/>
          <w:szCs w:val="28"/>
          <w:rtl w:val="true"/>
          <w:lang w:bidi="ar-SA"/>
        </w:rPr>
        <w:t>، وبناء على ذلك فلا إشكال في الرواية من حيث السند، وقد اعتبر السيد الأستاذ الرواية موثقة</w:t>
      </w:r>
      <w:r>
        <w:rPr>
          <w:rStyle w:val="FootnoteAnchor"/>
          <w:rtl w:val="true"/>
        </w:rPr>
        <w:footnoteReference w:id="940"/>
      </w:r>
      <w:r>
        <w:rPr>
          <w:rFonts w:ascii="IRNazanin" w:hAnsi="IRNazanin" w:eastAsia="IRNazanin"/>
          <w:color w:val="111111"/>
          <w:sz w:val="28"/>
          <w:sz w:val="28"/>
          <w:szCs w:val="28"/>
          <w:rtl w:val="true"/>
          <w:lang w:bidi="fa-IR"/>
        </w:rPr>
        <w:t xml:space="preserve">ولم يشكل في سندها، وإنما أشكل في دلالتها 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لك أن تنتظر حتى تذهب الحمرة، وتأخذ بالحائطة لدينك، إما أن يكون محمولاً على التعليل بالاحتياط تقية، ولازم ذلك أن يكون من الاحتياط في الشبهة الحكمية بأن يكون وقت المغرب عبارة عن ذهاب الحمرة المشرقية من باب الاحتياط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يكون محمولاً على الاحتياط في الشبهة الموضوعية وأن مجرد استتار القرص عن الأنظار لا يستلزم الاطمئنان بدخول الوقت، وذلك لبقاء الحمرة فوق الجبل فلعل الشمس لم تدخل تحت الأفق، وإنما استترت بالجبال والأطلال، وحينئذ فالاحتياط في محله، ويكون من الاحتياط في الشبهة الموضوعية وهو يقتضي الانتظار والتأخير إلى أن تذهب الحمرة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والاحتمال الثاني هو المتعين دون الأول، لأنّ الاحتياط في الشبهة الحكمية يتنافى مع مقام الإمام والإمامة؛ إذ فيه إقرار للجاهل على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فالاحتياط ليس مستنداً للتقية والرواية صادرة لبيان الحكم الواقعي من جهة الشبهة الموضوعية، ويترتب على ذلك أنّ الرواية لا دلالة فيها على أنّ المغرب يتحقق بذهاب الحمرة وتجاوزها عن قمة الرأس</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ولنا في الرواية احتمال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واردة في مورد التقية ومع ذلك فالاحتياط فيها محمول على الاحتياط في الشبهة الحكمية وبيان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الرواية وردت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التعبير من الرواة يريدون به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وكانوا يخفون ذكر اسمه لشدّة التقية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ذكر الحمرة مجردة عن الوصف وهو لا يريد الحمرة المغربية قطعاً، لأنها لا ترتفع إلاّ بعد العشاء وهذا يكشف عن التفات الراوي إلى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وترتفع فوق الجبل حمرة من دون التصريح بجهتها زيادة في الإخفاء والإيهام، إذ يتوهم أنّ هذه الحمرة هي حمرة الشمسقبل استتارها عن الأفق، فيظن حينئذ أنّ السائل إنما يسأل عن استتار القرص لا عن زوال الحمرة المشرقية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موافق لمقتضى التقية، فإنه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لك أن تنتظر حتى تذهب الحمرة، من دون أن يبين 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بالاحتياط ليس واقعياً ليكون فيه إقرار على الجهل بل إنما ذكر مراعاة للتقية، فإن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بالانتظار جواب واقعي ولكن بملاحظة التقية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بالانتظار للتيقن من سقوط القرص في نظر العامة الذين يكتفون بسقوط القرص، ومراده في الواقع هو ذهاب الحمرة المشرقية وإن فهمها العامة أنها الحمرة المغربية التي تكون فوق الجبل قبل سقوط القرص، ومن ذلك يتبين أنّ الشبهة في ظاهرها موضوعية ولكنها في الواقع شبهة حكمية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ما تيسر لنا فهمه من الرواية وإنما ذكرناه بعنوان الاحتمال لا بعنوان المناقشة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بناء على أنّ الوارد في الرواية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وترتفع فوق الجبل 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على القول بأنّ الوارد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ترتفع فوق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وترتفع وقت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فالدلالة أوضح وقد أشار صاحب الوسائل</w:t>
      </w:r>
      <w:r>
        <w:rPr>
          <w:rStyle w:val="FootnoteAnchor"/>
          <w:rtl w:val="true"/>
        </w:rPr>
        <w:footnoteReference w:id="942"/>
      </w:r>
      <w:r>
        <w:rPr>
          <w:rFonts w:ascii="Amiri" w:hAnsi="Amiri" w:eastAsia="Amiri" w:cs="Amiri"/>
          <w:color w:val="111111"/>
          <w:sz w:val="28"/>
          <w:sz w:val="28"/>
          <w:szCs w:val="28"/>
          <w:rtl w:val="true"/>
          <w:lang w:bidi="ar-SA"/>
        </w:rPr>
        <w:t>إلى اختلاف النسخ كما أشير إليه في جامع الأحاديث</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جارود ينصحون فلا يقبلون ، إذا سمعوا بشيء نادوا به، أو حدثوا بشيء أذاعوه،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 بالمغرب قليلاً، فتركوها حتى اشتبكت النجوم، فأنا الآن أصليها إذا سقط القرص</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وهذه الرواية معتبرة السند، وهي تدل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بالمس بالمغرب قليلاً لكن بحيث لا تشتبك النجوم كما هو الظاهر منها، إلاّ أن هؤلاء الذين أمرهم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ولعلهم أبو الخطاب وأصحابه لم يقبلوا وخالفوا وكانوا يصلون المغرب عند اشتباك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دلالة على أنّ وقت المغرب ليس هو سقوط القرص، وإنما هو المس بالمغرب، ومعناهالتأخير قليلاً حتى تقع الظلمة وذلك يلازم زوال الحمرة المشرقية عن قمة الرأس</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الآن أصليها إذا سقط القرص، فهو ظاهر في التقية والسبب أن هؤلاء أذاعوا ما أمرهم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المخالفين اطلعوا على ذلك فأظهر الإمام التقية بقوله إنه يصلي إذا سقط القرص، وفي تقييد كلامه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يشعر بذلك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دالة على المدعى وهي واردة في مقام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ناقش السيد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دلالة الرواية بأنّ الأمر بالمس محمول على الندب والأفضلية، لا على الوجوب، ولم يوجب التأخير إلى تجاوز الحمرة مضافاً إلى أنّ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كانت في الوقت وهو عند سقوط القرص لا قبله، نعم إن كان في المقام تقية فهي في عدوله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الوقت الأفضل إلى الوقت المفضول، بل يمكن القول إن اختياره للوقت المفضول لا للتقية بل لمصلحة أخرى ولا مانع من ذلك، والنتيجة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الرواية لا دلالة فيها على ما يدعى من أنّ وقت صلاة المغرب هو زوال الحمرة المشرقية عن قمة الرأس</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وما ذكره السيد الأستاذ يمكن الجواب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الأمر هو الوجوب، وحمله على الاستحباب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اهتمام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واهتمام أولئك بالتأخير حتى تشتبك النجوم ليس لجهة الاستحباب، وإنما لجهة أنّ تحقق الوقت في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بالمس قليلاً الملازم لزوال الحمرة المشرقية، وتحققه في نظرهم هو باشتباك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التقية، ويشير إلى ذلك أنّه صار يصلي عند سقوط القرص بعد إذاعتهم ومخالفتهم لأمره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بمعونة القرينة الخارجية واردة لبيان الوقت لا لفضيلته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يعقوب بن 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 بالمغرب قليلاً، فإنّ الشمس تغيب من عندكم قبل أن تغيب منعندنا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هذه الرواية كالرواية السابقة، فإنّ وقت المغرب عند تحقق الظلمة في أول الليل بعد المس بالمغرب قليلاً وهو ملازم لزوال الحمرة المشرقية عن قمة </w:t>
      </w:r>
    </w:p>
    <w:p>
      <w:pPr>
        <w:pStyle w:val="BookText"/>
        <w:rPr/>
      </w:pPr>
      <w:r>
        <w:rPr>
          <w:rFonts w:ascii="IRNazanin" w:hAnsi="IRNazanin" w:eastAsia="IRNazanin"/>
          <w:color w:val="111111"/>
          <w:sz w:val="28"/>
          <w:sz w:val="28"/>
          <w:szCs w:val="28"/>
          <w:rtl w:val="true"/>
          <w:lang w:bidi="fa-IR"/>
        </w:rPr>
        <w:t xml:space="preserve">الرأس، وأما التعليل الوارد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الشمس تغيب من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معناه أنّ الشمس وإن كانت بحسب الظاهر قد غابت عندكم إلاّ أنها في الواقع لم تغب، ولا يتحقق غيابها إلاّ بالمس الملازم لزوال الحمرة المشرقية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ناقش السيد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دلالة الرواية على المدعى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كروية الأرض اختلاف البلدان في طلوع الشمس وغروبها، ويختلف مقدار التفاوت الزماني بين الطلوع في بلد والطلوع في آخر باختلاف البعد والقرب بين البلدين، وهكذا بالنسبة للغروب، وعليه فإن كان البلدان متوافقين في الأفق كان طلوع الشمس وغروبها واحداً وإلاّ اختص كل بلد بزمن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على ذلك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الشمس تغيب من عندكم قبل أن تغيب من عندنا، يدل على توافق البلدين في الأفق أي بلد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وبلد يعقوب بن شعيب، وإلاّ فلا معنى لهذا التعليل، وإنما أمره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بالتأخير والمس من أجل الاحتياط لاحتمال عدم الغروب في الواقع واستناد الاستتار إلى جبل أو طلل ونحوهما، ولا ربط لذلك بذهاب الحمرة المشرقية عن قمة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الأمر بالمس محمول على الندب والاستحباب لا على الوجوب، وأن العادة جرت على تأخير صلاة المغرب قليلاً ولا سيما في الجماعات كما تقدم</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الرواية ظاهر في الوجوب ولا وجه لحمله على الاستحباب، وقد تقدم كما تقدم الجواب عما ذكره أخيراً من أنّ العادة جرت على تأخير صلاة المغرب وذلك لاختلاف الناس وتفاوتهم في الاستعداد للصلاة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يعقوب بن شعيب من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يعقوب بن شعيب بن ميثم بن يحيى التمار مولى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والأفق مختلف، </w:t>
      </w:r>
    </w:p>
    <w:p>
      <w:pPr>
        <w:pStyle w:val="BookText"/>
        <w:rPr/>
      </w:pPr>
      <w:r>
        <w:rPr>
          <w:rFonts w:ascii="Amiri" w:hAnsi="Amiri" w:eastAsia="Amiri" w:cs="Amiri"/>
          <w:color w:val="111111"/>
          <w:sz w:val="28"/>
          <w:sz w:val="28"/>
          <w:szCs w:val="28"/>
          <w:rtl w:val="true"/>
          <w:lang w:bidi="ar-SA"/>
        </w:rPr>
        <w:t xml:space="preserve">مضافاً إلى أنّ أرض العراق قليلة الجبال على العكس منالمدينة فإنها محاطة بالجبال العالية، فالتعليل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بالتأخير من أجل الاحتياط لاحتمال عدم الغروب في الواقع، واستناد الاستتار إلى جبل أو طلل 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خطاب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قضية شخصية بل خطابه على نحو العموم فليس الحكم خاصاً بيعقوب بن شعيب ولا يفرق فيه بينه وبين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ذلك فليس مراد الإمام إلاّ بيان وقت صلاة المغرب وهو لا يتحقق إلاّ بذهاب الحمرة المشرقية المترتب على المس بالمغرب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السفر فرأيته يصلي المغرب إذا أقبلت الفحمة من المشرق يعني السواد</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وظاهر الرواية أن إقبال الفحمة من المشرق معناه زوال الحمرة المشرقية التي يتحقق بها وقت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من حيث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السند فهي ضعيفة لعدم توثيق محمّد بن علي، وأما من حيث الدلالة فمن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له على أنّ سقوط القرص ليس بوقت المغرب بل لعله للاستحباب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بأفضل الأفعال، وقد تقدم استحباب المس بالمغرب قليلاً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إقبال الفحمة وزوال الحمرة المشرقية، وذلك لأنّ الفحمة إنما تقبل من النقطة التي تطلع منها الشمس لا من ناحية المشرق كله، وهذه الفحمة في طلوعها وتصاعدها كالشيء يخرج من بئر عميق ويتصاعد شيئاً فشيئاً وتأخذ بالارتفاع تدريجياً</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المناقشة في سند الرواية في محلها فإنّا لم نقف على توثيق لمحمّد بن علي فلا يمكن الاعتماد على الرواية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المناقشة من حيث الدلالة 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لا يدل على المدعى إلاّ أن اهتمام الراوي بملاحظة الإمام في صلاته ربما يشعر بالعناية بالوقت، وليس الأمر كما يفعله العامة من اكتفائهم بسقوط القرص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المناقشة من الجهة الثانية فهي غير واردة، وذلك لأنّ الفحمة التي تظهر في الأفق على نحوين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عرضية وطولية، أما العرضية فهي ملازمة لذهاب الحمرة المشرقية عن الأفق كله أي ناحية المشرق لا خصوص مطلع الشمس، فكما أنّ الحمرة المشرقية تنتشر على الأفق فكذلك الفحمة تحل مكانها، وكما أنّ حدوث الحمرة دفعي فكذلك حدوث الفحمة دفعي لا تدريجي وتنتشر على سطح الأفق في عرض واحد لا في خصوص نقطة معينة من السطح وهي نقطة طلوع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الفحمة الطولية وتصاعدها في الأفق فهي كما ذكر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حدوثها تدريجي ولكن لا على نحو العمود الأسود المتصاعد، بل إنّ السواد في الأفق كله يتصاعد، وحينئذ فما أورده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الجهة الطولية لا العرضية، ولكن بما ذكرناه من البيان ومورد الرواية هو الجهة العرضية فالمناقشة من هذه الجهة غير واردة إلاّ أنّ الرواية لما كانت ضعيفة السند فهي مؤيدة للروايات السابقة وليست دليلاً على المدعى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أحمد بن أشيم،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ذهبت الحمرة من المشرق، وتدري كيف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المشرق مطل على المغرب هكذا، ورفع يمينه فوق </w:t>
      </w:r>
    </w:p>
    <w:p>
      <w:pPr>
        <w:pStyle w:val="BookText"/>
        <w:rPr/>
      </w:pPr>
      <w:r>
        <w:rPr>
          <w:rFonts w:ascii="Amiri" w:hAnsi="Amiri" w:eastAsia="Amiri" w:cs="Amiri"/>
          <w:color w:val="111111"/>
          <w:sz w:val="28"/>
          <w:sz w:val="28"/>
          <w:szCs w:val="28"/>
          <w:rtl w:val="true"/>
          <w:lang w:bidi="ar-SA"/>
        </w:rPr>
        <w:t>يساره، فإذا غابت هاهنا ذهبت الحمرة من هاهنا</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والرواية في دلالتها صريحة حيث جعل تحقق المغرب ذهاب الحمرة المشرقية لكروية الأرض وكون المشرق مطل على المغرب، إلاّ أن السيد ناقش في الرواية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السند فلأنها مرسلة، والمراسيل غير قابلة للاستدلال بها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فلأنّ المقصود من المشرق في الرواية هو نقطة طلوع الشمس لا ناحية المشرق، وحينئذ فلا دلالة لها على أنّ الغروب هو ذهاب الحمرة المشرقية وتجاوزها عن قمة الرأس</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ضعف السند فالأمر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الرواية مرسلة وليس علي بن أحمد بن أشيم ممن ثبت أنّه لا يرسل إلاّ عن ثقة بل إنّ الرواية ضعيفة من جهة علي بن أحمد نفسه، فإنه لم يوثقفي كتب الرجال، وقد اعتمد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توثيقه على وقوعه في أسناد كامل الزيارات</w:t>
      </w:r>
      <w:r>
        <w:rPr>
          <w:rStyle w:val="FootnoteAnchor"/>
          <w:rtl w:val="true"/>
        </w:rPr>
        <w:footnoteReference w:id="952"/>
      </w:r>
      <w:r>
        <w:rPr>
          <w:rFonts w:ascii="Amiri" w:hAnsi="Amiri" w:eastAsia="Amiri" w:cs="Amiri"/>
          <w:color w:val="111111"/>
          <w:sz w:val="28"/>
          <w:sz w:val="28"/>
          <w:szCs w:val="28"/>
          <w:rtl w:val="true"/>
          <w:lang w:bidi="ar-SA"/>
        </w:rPr>
        <w:t>،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عدل عن هذا المبنى إلى اختصاص شهادة ابن قولويه بمشايخه وليس هو منهم فيبقى بلا توثيق، وعليه فالرواية ضعيفة السند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جهة الدلالة فقد تقدم الكلام فيه، إلاّ أنّه مع ذلك يمكننا المناقشة فيما أفاده من وجوه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في نفسه، وذلك لأنّ نقطة المشرق غير مستقرة بل تتغير كل يوم تقريباً فلا يمكن إعطاء ضابطة كلية لمعرفة وقت المغرب كما هو ظاهر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مطل على المغرب، صريح في أنّ جميع ناحية المشرق مطلة على جميع ناحية المغرب، وهذا معنى كروية الأرض، فلا وجه لاختصاص ذلك بنقطة الطلوع فإنه خلاف صريح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لذهاب الحمرة من نقطة الطلوع أولاً، ثمّ ذهابها من أطرافها ثانياً، وذلك لأنّ زوال الحمرة عن الأفق تارة يكون عرضياً وأخرى طولياً فإن كان على النحو الأول فزوالها دفعي عن سطح الأفق بأجمعه لا من نقطة دون أخرى، وإن كان على النحو الثاني فالانعدام وإن كان تدريجياً إلاّ أنّه يتصاعد من جميع الأفق لا من نقطة معينة، وقد تقدم الكلام حول ذلك عند المناقشة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تامة من حيث الدلالة إلاّ أنها ضعيفة من حيث السند فتكون بذلك مؤيدة لما سبق كالرواية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ذكرنا ولم يتعرض لها السيد الأستاذ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الاستدلال بها على أنّ وقت المغرب هو 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الصوم كصحيحة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وقت إفطار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يبدو ثلاثة أنجم</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والرواية تدل على أنّ وقت الإفطار عند ظهور ثلاثة أنجم وهو مقارن لذهاب الحمرة المشرقية بلا إشكال، وقد علمنا أنّ وقت الإفطار وهو وقت صلاة المغرب للتلازم بينهما فلا محالة تكون الرواية دالة على وقتالمغرب أيضاً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حمل الرواية على استحباب تأخير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حملها صاحب الوسائل</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 لأنّ السؤال عن وقت الإفطار لا عن فضيلته، فدلالة الرواية واضحة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وصحيحة زرارة الأخرى أيضاً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 لك الإفطار إذا بدت ثلاثة أنجم، وهي تطلع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وهذه الرواية وإن كانت بنفس مضمون الرواية السابقة إلاّ أنها أصرح دلالة منها،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حلية الإفطار من الصوم في أول الوقت وهو غروب الشمس الملازم لبدو ثلاثة أنجم الملازم لذهاب الحمرة المشرقية، إذ المراد من الغروب هو الغروب الحقيقي لا مجرد سقوط القرص لأنه لا يستلزم ذهاب الحمرة، وقد سبق أن وقت الإفطار هو وقت صلاة المغرب فتكون الرواية دالة عليه بلا إشكال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أحكام الحج والإفاضة من عرفات، كصحيحة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تفيض الناس من عرفات؟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ذهبت الحمرة من هاهنا، وأشار بيده إلى المشرق وإلى مطلع الشمس</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والرواية صريحة الدلالة على أنّ الإفاضة من عرفات بعد غروب الشمس، وبمقتضى الملازمة بين الغروب وذهاب الحمرة المشرقية تكون الرواية أيضاً دالة على وقت صلاة المغرب، وإشارته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المشرق وإلى مطلع الشمس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إلى جميع ناحية الشرق، فلا ترد المناقشة بأنه أراد نقطة الطلوع كما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وصحيحته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الإفاضة من عرفات؟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ذهبت الحمرة، يعني من الجانب الشرقي</w:t>
      </w:r>
      <w:r>
        <w:rPr>
          <w:rStyle w:val="FootnoteAnchor"/>
          <w:rtl w:val="true"/>
        </w:rPr>
        <w:footnoteReference w:id="95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الرواية أصرح في الدلالة من الرواية السابقة،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بالجانب الشرقي ومراده ناحية المشرق بأجمعها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المحتمل أنّ كلتا الروايتين رواية واحدة وردت بطريقين مع اختلاف في الألفاظ إلاّ أن صاحب الوسائل عدها 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المواقيت والفرق بين وقت المغرب في السفر والحضر كصحيحة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تدركه صلاة المغرب في الطريق، أيؤخرها إلى أن يغيب الشفق؟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في السفر، فأما في الحضر فدون ذلك شيئاً</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والظاهر أنّ المراد من الشفق هو الحمرة المغربية، والمستفاد من الرواية أنّه يجوز تأخير صلاة المغرب إلى وقت العشاء في السفر، وأما في الحضر فدون ذلك شيئاً أي قبل ذلك، وهو وقت ذهاب الحمرة المشرقية، فتكون الرواية دالة على وقت صلاة المغرب، ولكن دلالة الرواية على المدعى غير واضحة لاحتمال كونها في مقام بيان آخر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ومعتبرة علي بن الريان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يكون في الدار تمنعه حيطانها النظر إلى حمرة المغرب ومعرفة مغيب الشفق ووقت صلاة العشاء الآخرة متى يصليها؟ وكيف يصنع؟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يصليها إذا كان على هذه الصفة عند قصرة النجوم، والمغرب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اشتباكها وبياض مغيب الشمس</w:t>
      </w:r>
      <w:r>
        <w:rPr>
          <w:rStyle w:val="FootnoteAnchor"/>
          <w:rtl w:val="true"/>
        </w:rPr>
        <w:footnoteReference w:id="95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في الرواية تقديماً وتأخيراً، والشاهد على ذلك أنّ هذه الرواية رواها ابن إدريس في المستطرفات</w:t>
      </w:r>
      <w:r>
        <w:rPr>
          <w:rStyle w:val="FootnoteAnchor"/>
          <w:rtl w:val="true"/>
        </w:rPr>
        <w:footnoteReference w:id="960"/>
      </w:r>
      <w:r>
        <w:rPr>
          <w:rFonts w:ascii="Amiri" w:hAnsi="Amiri" w:eastAsia="Amiri" w:cs="Amiri"/>
          <w:color w:val="111111"/>
          <w:sz w:val="28"/>
          <w:sz w:val="28"/>
          <w:szCs w:val="28"/>
          <w:rtl w:val="true"/>
          <w:lang w:bidi="ar-SA"/>
        </w:rPr>
        <w:t>وجاء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اشتباك النجوم والمغرب عند قصرة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الشيخ</w:t>
      </w:r>
      <w:r>
        <w:rPr>
          <w:rStyle w:val="FootnoteAnchor"/>
          <w:rtl w:val="true"/>
        </w:rPr>
        <w:footnoteReference w:id="961"/>
      </w:r>
      <w:r>
        <w:rPr>
          <w:rFonts w:ascii="Amiri" w:hAnsi="Amiri" w:eastAsia="Amiri" w:cs="Amiri"/>
          <w:color w:val="111111"/>
          <w:sz w:val="28"/>
          <w:sz w:val="28"/>
          <w:szCs w:val="28"/>
          <w:rtl w:val="true"/>
          <w:lang w:bidi="ar-SA"/>
        </w:rPr>
        <w:t>والكليني</w:t>
      </w:r>
      <w:r>
        <w:rPr>
          <w:rStyle w:val="FootnoteAnchor"/>
          <w:rtl w:val="true"/>
        </w:rPr>
        <w:footnoteReference w:id="962"/>
      </w:r>
      <w:r>
        <w:rPr>
          <w:rFonts w:ascii="Amiri" w:hAnsi="Amiri" w:eastAsia="Amiri" w:cs="Amiri"/>
          <w:color w:val="111111"/>
          <w:sz w:val="28"/>
          <w:sz w:val="28"/>
          <w:szCs w:val="28"/>
          <w:rtl w:val="true"/>
          <w:lang w:bidi="ar-SA"/>
        </w:rPr>
        <w:t xml:space="preserve">قصرة النجوم ببيانها وهي محل الشاهد من الرواية، فإن جعل قصرة النجوم علامة على وقت صلاة المغرب يلائم </w:t>
      </w:r>
    </w:p>
    <w:p>
      <w:pPr>
        <w:pStyle w:val="BookText"/>
        <w:rPr/>
      </w:pPr>
      <w:r>
        <w:rPr>
          <w:rFonts w:ascii="Amiri" w:hAnsi="Amiri" w:eastAsia="Amiri" w:cs="Amiri"/>
          <w:color w:val="111111"/>
          <w:sz w:val="28"/>
          <w:sz w:val="28"/>
          <w:szCs w:val="28"/>
          <w:rtl w:val="true"/>
          <w:lang w:bidi="ar-SA"/>
        </w:rPr>
        <w:t>ذهاب الحمرة المشرقية فلا يكون معنى الغروب هو سقوط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الرواية مع ذلك ليست واضحة الدلالة لاحتمال أنها بيان لحالة خاصة لمن لا طريق إليه لمعرفة المغيب، أو معرفة الشرق والغرب، فهذه الرواية كالرواية السابقة، وفي ما ذكرناه من الروايات كفاية والعمدة منها ما أضفناه مما لم يتعرض له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مجموع هذه الروايات يستفاد أنّ وقت صلاة المغرب هو زوال الحمرة المشرقية وإن كان بعض هذه الروايات مورداً للمناقشة من حيث السند والدلالة إلاّ أنأكثرها صالح للدلالة وما أورد به عليها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تدل بظاهرها على أنّ وقت صلاة المغرب هو استتار القرص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غربت الشمس فغاب قرصها</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وهذه الرواية واضحة الدلالة حيث جعل فيها أنّ وقت المغرب منوط بغروب الشمس وغياب القرص ، كما أنها من حيث السند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غاب القرص، فإن رأيت بعد ذلك وقد صليت أعدت الصلاة ومضى صومك، وتكف عن الطعام إن كنت أصبت منه شيئاً</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وهذه الرواية تدل على أنّ وقت المغرب هو غياب القرص وعلى فرض الخطأ وتبين أن الشمس لم تغب، فأما الصلاة فلابد من إعادتها لأنه أتى بها في غير وقتها، وأما الصيام فلا حاجة إلى الإعادة لأنّ الإفطار كان عن أمارة شرعية، نعم لابد من الإمساك فيما بقي من الوقت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صحيحته الأخرى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زالت الشمس دخل </w:t>
      </w:r>
    </w:p>
    <w:p>
      <w:pPr>
        <w:pStyle w:val="BookText"/>
        <w:rPr/>
      </w:pPr>
      <w:r>
        <w:rPr>
          <w:rFonts w:ascii="Amiri" w:hAnsi="Amiri" w:eastAsia="Amiri" w:cs="Amiri"/>
          <w:color w:val="111111"/>
          <w:sz w:val="28"/>
          <w:sz w:val="28"/>
          <w:szCs w:val="28"/>
          <w:rtl w:val="true"/>
          <w:lang w:bidi="ar-SA"/>
        </w:rPr>
        <w:t>الوقتان الظهر والعصر، وإذا غابت الشمس دخل الوقتان المغرب والعشاء الآخرة</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وفي هذه الرواية جعل المناط في تحقق الوقت غياب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إسماعيل بن الفضل الهاشمي،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المغرب حين تغيب الشمس حيث تغيب حاجبها</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الحاجب هو ضوؤها، فإذا غاب ضوؤها فقد دخل وقت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إسماعيل بن جابر،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غروب الشمس إلى سقوط الشفق</w:t>
      </w:r>
      <w:r>
        <w:rPr>
          <w:rStyle w:val="FootnoteAnchor"/>
          <w:rtl w:val="true"/>
        </w:rPr>
        <w:footnoteReference w:id="967"/>
      </w:r>
      <w:r>
        <w:rPr>
          <w:rFonts w:ascii="Amiri" w:hAnsi="Amiri" w:eastAsia="Amiri" w:cs="Amiri"/>
          <w:color w:val="111111"/>
          <w:sz w:val="28"/>
          <w:sz w:val="28"/>
          <w:szCs w:val="28"/>
          <w:rtl w:val="true"/>
          <w:lang w:bidi="ar-SA"/>
        </w:rPr>
        <w:t>وفي هذه الرواية جعل أول وقت المغرب هو غروب الشمس، فدلالتها على المدعى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معي شبه الكرش المنشور فأوخر صلاة المغرب حتى عند غيبوبة الشفق، ثمّ اُصليهما جميعاً يكون ذلك أرفق 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القرص فصل المغرب، فإنما أنت ومالك لله</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والمراد بالكرش هنا كثرة العيال أو كثرة الجمال كما يشهد به حاله، 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لكثرة عيالي محتاج إلى العمل، أو لكثرة جمالي وخوف انتشارها وتفرقها لا أقدر على تفريق الصلاتين</w:t>
      </w:r>
      <w:r>
        <w:rPr>
          <w:rStyle w:val="FootnoteAnchor"/>
          <w:rtl w:val="true"/>
        </w:rPr>
        <w:footnoteReference w:id="96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الرواية واضحة الدلالة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بالصلاة عند غياب القرص، وأما من جهة السند فهي معتبرة فإنّ لها طريقين صحيحين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المغرب إنا ربما صلينا ونحن نخاف أن تكون الشمس خلف الجبل، أو قد سترنا منها الجبل؟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 صعود الجبل</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وقد نوقش في سند الرواية ودلالتها إلاّ أنّ المناقشة غير واردة أما من جهة السند فهي وإن كان فيها أحمد بن هلال وهو محل خلاف إلاّ أنّه يمكن تصحيحها بواسطة طريق الصدوق إلى سماعة</w:t>
      </w:r>
      <w:r>
        <w:rPr>
          <w:rStyle w:val="FootnoteAnchor"/>
          <w:rtl w:val="true"/>
        </w:rPr>
        <w:footnoteReference w:id="971"/>
      </w:r>
      <w:r>
        <w:rPr>
          <w:rFonts w:ascii="Amiri" w:hAnsi="Amiri" w:eastAsia="Amiri" w:cs="Amiri"/>
          <w:color w:val="111111"/>
          <w:sz w:val="28"/>
          <w:sz w:val="28"/>
          <w:szCs w:val="28"/>
          <w:rtl w:val="true"/>
          <w:lang w:bidi="ar-SA"/>
        </w:rPr>
        <w:t>، وأيضاً من جهة طريق الشيخ إلى محمّد بن أبي عمير الوارد في سند هذه الرواية بعد أحمد بن هلال فإنّ للشيخ طريقاً معتبراً إلى جميع رواياته وكتبه</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وأما من جهة الدلالة فقد حملها بعضهم على التقية لأنّ المراد من غياب الشمس غيابها الواقعي لا الخيالي فلابد من إحرازه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أجاب عن ذلك السيد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الجائز أن تكون هناك أمارة معتبرة على الغروب بحيث يكون تحققها ملازماً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لتحقق الغروب ودخول الشمس تحت الأفق مثل استتار القرص وغيابه عن الأنظار، ولذا نهاه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صعود الجبل اكتفاء بتلك الأمارة التي غفل عنها السائل وشك في التلازم بين الغروب الواقعي وبين تلك الأمارة، وبناء على ذلك فلا مقتضي لحمل الرواية على التقية فتكونالرواية دالة على المدعى</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وسيأتي الكلام فيها عند الجمع بين الطائفتين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روايات أخرى أيضاً يمكن الاستدلال بها على أنّ وقت المغرب هو سقوط القرص ولم يتعرض لها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موثقة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فقد دخل وقت الصلاتين إلى نصف الليل إلاّ أنّ هذه قبل هذه، وإذا زالت الشمس فقد دخل وقت الصلاتين إلاّ أن هذه قبل هذه</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والرواية من جهة الدلالة واضحة كما أنها من جهة السند معتبرة، فإنّ القاسم بن أبي أيوب الوارد في سندها هو القاسم بن عروة مولى أبي أيوب الخوزي كما جاء في ترجمته</w:t>
      </w:r>
      <w:r>
        <w:rPr>
          <w:rStyle w:val="FootnoteAnchor"/>
          <w:rtl w:val="true"/>
        </w:rPr>
        <w:footnoteReference w:id="975"/>
      </w:r>
      <w:r>
        <w:rPr>
          <w:rFonts w:ascii="Amiri" w:hAnsi="Amiri" w:eastAsia="Amiri" w:cs="Amiri"/>
          <w:color w:val="111111"/>
          <w:sz w:val="28"/>
          <w:sz w:val="28"/>
          <w:szCs w:val="28"/>
          <w:rtl w:val="true"/>
          <w:lang w:bidi="ar-SA"/>
        </w:rPr>
        <w:t>، وقد تقدم أنّه ثقة على بعض المباني، مضافاً إلى أنّ هذه الرواية أوردها صاحب الوسائل بسنده عن الكليني وفيها التصريح بالقاسم بن عروة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أسامة أو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صعدت مرة جبل أبي قبيس والناس يصلون المغرب فرأيت الشمس لم تغب وإنما توارت خلف الجبل عن الناس، فلقيت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فعلت ذلك بئس ما صنعت، إنما تصليها إذا لم ترها خلف جبل غابت أو غارت ما لم يتجللها سحاب أو ظلمة تظلها، وإنما عليك مشرقك ومغربك وليس على الناس أن يبحثوا</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والرواية صريحة الدلالة وأمّا سندها وإن كان مردداً بين ابي اُسامة أو غيره، إلاّ أنّه لا يضرّ بصحة الرواية؛ لأنها واردة في كتاب حريز وهو من الكتب المشهورة المعروفة المعول عليها بشهادة الصدوق في أول الفقيه</w:t>
      </w:r>
      <w:r>
        <w:rPr>
          <w:rStyle w:val="FootnoteAnchor"/>
          <w:rtl w:val="true"/>
        </w:rPr>
        <w:footnoteReference w:id="978"/>
      </w:r>
      <w:r>
        <w:rPr>
          <w:rFonts w:ascii="IRNazanin" w:hAnsi="IRNazanin" w:eastAsia="IRNazanin"/>
          <w:color w:val="111111"/>
          <w:sz w:val="28"/>
          <w:sz w:val="28"/>
          <w:szCs w:val="28"/>
          <w:rtl w:val="true"/>
          <w:lang w:bidi="fa-IR"/>
        </w:rPr>
        <w:t>فلا تحتاج إلى سند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بكر بن محمد،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صلاة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سألته عن وقت العشاء الآخرة؟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الشفق الحمرة، ثمّ قال بيدههكذا</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واضحة الدلالة حيث جعل المناط في وقت المغرب هو غياب القرص وهي من حيث السند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زريق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يصلي الغداة بغلس عند طلوع الفجر الصادق أول ما يبدو قبل أن يستعرض،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وقرآن الفجر إنّ قرآن الفجر كان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ملائكة الليل تصعد وملائكة النهار تنزل عند طلوع الفجر، فأنا أحب أن تشهد ملائكة الليل وملائكة النهار صلاتي، وكان يصلي المغرب عند سقوط القرص قبل أن تظهر النجوم</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والرواية من حيث الدلالة واضحة، نعم هي من حيث السند ضعيفة فإنّ سندها مشتمل على محمّد بن خالد الطيالسي، وأبي العباس زريق الزبير الخلقاني وهما لم يرد فيهما توثيق، فتكون الرواية مؤيدة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الحكم عمن حدثه،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سئل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كرسيها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كرسيها؟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يغيب قرصها؟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إليه فلم تره</w:t>
      </w:r>
      <w:r>
        <w:rPr>
          <w:rStyle w:val="FootnoteAnchor"/>
          <w:rtl w:val="true"/>
        </w:rPr>
        <w:footnoteReference w:id="98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والرواية من جهة الدلالة واضحة، وأما من جهة السند فهي وإن كانت مرسلة إلاّ أن صاحب الوسائل ذكر أنّ هذا الحديث رواه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الصفار، عن العباس بن معروف، عن علي بن مهزيار، عن الحسين بن سعيد، عن علي بن النعمان،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يدخل وقت المغرب؟ وذكر الحديث</w:t>
      </w:r>
      <w:r>
        <w:rPr>
          <w:rStyle w:val="FootnoteAnchor"/>
          <w:rtl w:val="true"/>
        </w:rPr>
        <w:footnoteReference w:id="982"/>
      </w:r>
      <w:r>
        <w:rPr>
          <w:rFonts w:ascii="IRNazanin" w:hAnsi="IRNazanin" w:eastAsia="IRNazanin"/>
          <w:color w:val="111111"/>
          <w:sz w:val="28"/>
          <w:sz w:val="28"/>
          <w:szCs w:val="28"/>
          <w:rtl w:val="true"/>
          <w:lang w:bidi="fa-IR"/>
        </w:rPr>
        <w:t xml:space="preserve">وهذا السند </w:t>
      </w:r>
    </w:p>
    <w:p>
      <w:pPr>
        <w:pStyle w:val="BookText"/>
        <w:rPr/>
      </w:pPr>
      <w:r>
        <w:rPr>
          <w:rFonts w:ascii="Amiri" w:hAnsi="Amiri" w:eastAsia="Amiri" w:cs="Amiri"/>
          <w:color w:val="111111"/>
          <w:sz w:val="28"/>
          <w:sz w:val="28"/>
          <w:szCs w:val="28"/>
          <w:rtl w:val="true"/>
          <w:lang w:bidi="ar-SA"/>
        </w:rPr>
        <w:t>لا إرسال فيه وهو 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عمر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المغرب إذا توارى القرص كان وقت الصلاة وافطر</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هكذا وردت الرواية في الوسائل إلاّ أن الوارد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نصر</w:t>
      </w:r>
      <w:r>
        <w:rPr>
          <w:rStyle w:val="FootnoteAnchor"/>
          <w:rtl w:val="true"/>
        </w:rPr>
        <w:footnoteReference w:id="984"/>
      </w:r>
      <w:r>
        <w:rPr>
          <w:rFonts w:ascii="Amiri" w:hAnsi="Amiri" w:eastAsia="Amiri" w:cs="Amiri"/>
          <w:color w:val="111111"/>
          <w:sz w:val="28"/>
          <w:sz w:val="28"/>
          <w:szCs w:val="28"/>
          <w:rtl w:val="true"/>
          <w:lang w:bidi="ar-SA"/>
        </w:rPr>
        <w:t>وهو الصحيح 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بدل افطر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الرواية من جهة الدلالة واضحة، وأما من جهة السند ففيها موسى بن جعفر البغدادي، ولم يرد فيه توثيق إلاّ أنّه واقع في أسناد كامل الزيارات فكان على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بهذه الرواية آنذاك لأن نظره يومئذ وثاقة كل من اشتمل عليه كتاب كامل الزيارات، وحيث إنه عدل عن ذلك فلا يكون مشمولاً للتوثيق لعدم كونه من مشايخ ابن قولويه، فتكون الرواية ضعيفة السند إلاّ أنّه يمكن تصحيحها من جهة عبد الله بن سنان الواقع في السند بعد موسى بن جعفر وذلك لأنّ ابن سنان له كتاب معروف رواه جماعات من الناس</w:t>
      </w:r>
      <w:r>
        <w:rPr>
          <w:rStyle w:val="FootnoteAnchor"/>
          <w:rtl w:val="true"/>
        </w:rPr>
        <w:footnoteReference w:id="985"/>
      </w:r>
      <w:r>
        <w:rPr>
          <w:rFonts w:ascii="Amiri" w:hAnsi="Amiri" w:eastAsia="Amiri" w:cs="Amiri"/>
          <w:color w:val="111111"/>
          <w:sz w:val="28"/>
          <w:sz w:val="28"/>
          <w:szCs w:val="28"/>
          <w:rtl w:val="true"/>
          <w:lang w:bidi="ar-SA"/>
        </w:rPr>
        <w:t>، فهو ليس بحاجة إلى الطريق، كما أن للشيخ طريقاً معتبراً إلى كتابه</w:t>
      </w:r>
      <w:r>
        <w:rPr>
          <w:rStyle w:val="FootnoteAnchor"/>
          <w:rtl w:val="true"/>
        </w:rPr>
        <w:footnoteReference w:id="986"/>
      </w:r>
      <w:r>
        <w:rPr>
          <w:rFonts w:ascii="Amiri" w:hAnsi="Amiri" w:eastAsia="Amiri" w:cs="Amiri"/>
          <w:color w:val="111111"/>
          <w:sz w:val="28"/>
          <w:sz w:val="28"/>
          <w:szCs w:val="28"/>
          <w:rtl w:val="true"/>
          <w:lang w:bidi="ar-SA"/>
        </w:rPr>
        <w:t>، وعليه فلا إشكال في الاعتماد على هذه الرواية من جهة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أسامة وقد رواها الشيخ بإسناده عن جعفر بن سماعة، عن إبراهيم بن عبد الحميد، عن الصباح بن سيابة، وأبي أسامة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سألوا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المغرب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ننتظر حتى يطلع كوكب؟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خطابية، إن جبرئيل نزل بها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سقط القرص</w:t>
      </w:r>
      <w:r>
        <w:rPr>
          <w:rStyle w:val="FootnoteAnchor"/>
          <w:rtl w:val="true"/>
        </w:rPr>
        <w:footnoteReference w:id="98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إبراهيم بن عبد الحميد عن أبي أسامة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p>
    <w:p>
      <w:pPr>
        <w:pStyle w:val="BookText"/>
        <w:rPr/>
      </w:pPr>
      <w:r>
        <w:rPr>
          <w:rFonts w:ascii="IRNazanin" w:hAnsi="IRNazanin" w:eastAsia="IRNazanin"/>
          <w:color w:val="111111"/>
          <w:sz w:val="28"/>
          <w:sz w:val="28"/>
          <w:szCs w:val="28"/>
          <w:rtl w:val="true"/>
          <w:lang w:bidi="fa-IR"/>
        </w:rPr>
        <w:t>لأبي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أؤخر المغرب حتى تستبين النجوم؟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خطابية، إن جبرئيل نزل بها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سقط القرص</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والظاهر أنهما رواية واحدة وهي من حيث الدلالة واضحة، كما أنها من جهة السند تامة فلها عدة طرق وكلها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داود بن أبي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دخل وقت المغرب</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وهذه الرواية رواها ابن الشيخ في المجالس عن أبيه عن سعد عن أحمد بن محمّد بن عيسى، وموسى بن جعفر بن أبي جعفر البغدادي، عن أبي طالب عبد الله بن الصلت، عن الحسن بن علي بن فضال، عن داود بن أبي يزيد</w:t>
      </w:r>
      <w:r>
        <w:rPr>
          <w:rStyle w:val="FootnoteAnchor"/>
          <w:rtl w:val="true"/>
        </w:rPr>
        <w:footnoteReference w:id="990"/>
      </w:r>
      <w:r>
        <w:rPr>
          <w:rFonts w:ascii="Amiri" w:hAnsi="Amiri" w:eastAsia="Amiri" w:cs="Amiri"/>
          <w:color w:val="111111"/>
          <w:sz w:val="28"/>
          <w:sz w:val="28"/>
          <w:szCs w:val="28"/>
          <w:rtl w:val="true"/>
          <w:lang w:bidi="ar-SA"/>
        </w:rPr>
        <w:t>وهي بهذا السند معتبرة ودلالتها تامة، والمراد من داودبن أبي يزيد هو داود بن فرقد، فلا إشكال في السند، ولكن رواها الشيخ بإسناده عن سعد بن عبد الله، عن أحمد بن محمّد بن عيسى، وموسى بن جعفر، عن أبي طالب عبد الله بن الصلت، عن الحسن بن علي بن فضال، عن داود بن أبي يزيد وهو داود بن فرقد عن بعض أصحابنا</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وفيه زيادة ليست في رواية ابن الشيخ والسند واحد وصدر الرواية واحد في كلتا الروايتين إلاّ أن سند الشيخ فيه 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وإن كانت واضحة الدلالة إلاّ أنها من جهة السند غير نقية لذا لا يمكن الاعتماد عليها في مقام الاستدلال، نعم يمكن عدّها مؤيدة كما فعل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أضاف عدة روايات ضعيفة السند واعتبرها مؤيدة للمدعى</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الشيخ في المجالس أيضاً عن أبيه، ومحمّد بن الحسن </w:t>
      </w:r>
    </w:p>
    <w:p>
      <w:pPr>
        <w:pStyle w:val="BookText"/>
        <w:rPr/>
      </w:pPr>
      <w:r>
        <w:rPr>
          <w:rFonts w:ascii="Amiri" w:hAnsi="Amiri" w:eastAsia="Amiri" w:cs="Amiri"/>
          <w:color w:val="111111"/>
          <w:sz w:val="28"/>
          <w:sz w:val="28"/>
          <w:szCs w:val="28"/>
          <w:rtl w:val="true"/>
          <w:lang w:bidi="ar-SA"/>
        </w:rPr>
        <w:t>وأحمد بن محمّد بن يحيى جميعاً، عن سعد بن عبد الله عن محمّد بن الحسين بن أبي الخطاب، عن موسى بن يسار العطار، عن المسعودي، عن عبد الله بن الزبير، عن أبان بن تغلب، عن الربيع بن سليمان، وأبان بن أرقم،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مكة حتى إذا كنا بوادي الأخضر إذا نحن برجل يصلي، ونحن ننظر إلى شعاع الشمس فوجدنا في أنفسنا، فجعل يصلي ونحن ندعوا عليه، حتى صلى ركعة ونحن ندعوا عليه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شباب بن شباب أهل المدينة، فلما أتيناه إذا هو أبو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فنزلنا فصلّينا معه وقد فاتتنا ركعة، فلما قضينا الصلاة قمنا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هذه الساعة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دخل الوقت</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وقد استدل بصدر هذه الرواية وذيلها على كل من القولين، أما الاستدلال بصدر الرواية فعلى أن وقت المغرب هو ذهاب الحمرة المشرقية وذلك لأن المرتكز عند الإمامية أن وقت المغرب هو ذهاب الحمرة، ولذلك كان هؤلاء يدعون على ذلك الشاب المصلي، فلما علموا أنّه الإمام سألوه عن صلاته في ذلك الوقت، فيعلم من ذلك أنّ وقت صلاة المغرب لم يحن بعد، وحينئذ فصلاة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محمولة على التقية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الاستدلال بذيل الرواية فعلى أن وقت المغرب هو غياب الشمس وسقوط القرص، وذلك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لهم الواقع وأخبرهم أنّه إذاغابت الشمس فقد دخل الوقت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الذي يسهل الخطب أن سند الرواية ضعيف ففيه عدة مجاهيل كموسى بن يسار العطار، والمسعودي، وعبد الله بن الزبير، فلا تكون الرواية صالحة للاستدلال لأي من القولين</w:t>
      </w:r>
      <w:r>
        <w:rPr>
          <w:rFonts w:eastAsia="Amiri" w:cs="Amiri" w:ascii="Amiri" w:hAnsi="Amiri"/>
          <w:color w:val="111111"/>
          <w:sz w:val="28"/>
          <w:szCs w:val="28"/>
          <w:rtl w:val="true"/>
          <w:lang w:bidi="ar-SA"/>
        </w:rPr>
        <w:t xml:space="preserve">. </w:t>
      </w:r>
      <w:bookmarkStart w:id="294" w:name="pg16387_188424"/>
    </w:p>
    <w:p>
      <w:pPr>
        <w:pStyle w:val="BookText"/>
        <w:rPr/>
      </w:pPr>
      <w:bookmarkEnd w:id="294"/>
      <w:r>
        <w:rPr>
          <w:rFonts w:ascii="Amiri" w:hAnsi="Amiri" w:eastAsia="Amiri" w:cs="Amiri"/>
          <w:color w:val="111111"/>
          <w:sz w:val="28"/>
          <w:sz w:val="28"/>
          <w:szCs w:val="28"/>
          <w:rtl w:val="true"/>
          <w:lang w:bidi="ar-SA"/>
        </w:rPr>
        <w:t>هذا ما وقفنا عليه من الروايات ويمكن أن يستفاد من روايات أخرى غير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المغرب هو غياب الشمس وسقوط القرص لا ذهاب الحمرة المشرقية كما هو مفاد الطائفة الأولى</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6877845_1280447820"/>
      <w:bookmarkStart w:id="296" w:name="_Toc100"/>
      <w:bookmarkEnd w:id="295"/>
      <w:r>
        <w:rPr>
          <w:rtl w:val="true"/>
        </w:rPr>
        <w:t>الجمع بين الروايات</w:t>
      </w:r>
      <w:r>
        <w:rPr>
          <w:rtl w:val="true"/>
        </w:rPr>
        <w:t>:</w:t>
      </w:r>
      <w:bookmarkEnd w:id="296"/>
    </w:p>
    <w:p>
      <w:pPr>
        <w:pStyle w:val="BookText"/>
        <w:rPr/>
      </w:pPr>
      <w:r>
        <w:rPr>
          <w:rFonts w:ascii="Amiri" w:hAnsi="Amiri" w:eastAsia="Amiri" w:cs="Amiri"/>
          <w:color w:val="111111"/>
          <w:sz w:val="28"/>
          <w:sz w:val="28"/>
          <w:szCs w:val="28"/>
          <w:rtl w:val="true"/>
          <w:lang w:bidi="ar-SA"/>
        </w:rPr>
        <w:t>ويقع الكلام في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الجمع بين الطائفتين أم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عدم الإمكان فأيهما المقدم؟</w:t>
      </w:r>
    </w:p>
    <w:p>
      <w:pPr>
        <w:pStyle w:val="BookText"/>
        <w:rPr/>
      </w:pPr>
      <w:r>
        <w:rPr>
          <w:rFonts w:ascii="Amiri" w:hAnsi="Amiri" w:eastAsia="Amiri" w:cs="Amiri"/>
          <w:color w:val="111111"/>
          <w:sz w:val="28"/>
          <w:sz w:val="28"/>
          <w:szCs w:val="28"/>
          <w:rtl w:val="true"/>
          <w:lang w:bidi="ar-SA"/>
        </w:rPr>
        <w:t>أما عن الناحية الأولى فقد ذكر للجمع بين الطائفتين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الطائفة الثانية الدالة على أنّ وقت المغرب هو سقوط القرص مجملة في نفسها لأنّ سقوط القرص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بالنسبة إلى المصلي هو سقوط القرص مطلقاً واستتار الشمس عنه، سواء كان السقوط مع الحاجب أو بدونه فبمجرد سقوط القرص يتحقق وقت 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هو سقوط القرص واستتار الشمس لا مطلقاً بل فيما إذا لم يكن هناك حاجب، فإذا سقط القرص واستترت الشمس ولم يكن ثمة ما يحجب فقد دخل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في دخول الوقت هو سقوط القرص في أفق المصلي تحت الأرض التي يكون أفقه عليها لا سقوطه في أفق آخر في أرض أخرى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المحتملات الثلاثة لا تعيّن لواحد منها، والسقوط وإن كان لا إجمال فيه إلاّ أن متعلقه هو المجمل، وحينئذ فتكون الطائفة الأولى بيان لهذا الإجمال إذ بها يتعين أنّ المراد هو الاحتمال الثالث من هذه المحتملات، وأن المناط هو استتار القرص عن أفق المصلي ولازم ذلك زوال الحمرة المشرقية، ويظهر ذلك بوضوح </w:t>
      </w:r>
    </w:p>
    <w:p>
      <w:pPr>
        <w:pStyle w:val="BookText"/>
        <w:rPr/>
      </w:pPr>
      <w:r>
        <w:rPr>
          <w:rFonts w:ascii="IRNazanin" w:hAnsi="IRNazanin" w:eastAsia="IRNazanin"/>
          <w:color w:val="111111"/>
          <w:sz w:val="28"/>
          <w:sz w:val="28"/>
          <w:szCs w:val="28"/>
          <w:rtl w:val="true"/>
          <w:lang w:bidi="fa-IR"/>
        </w:rPr>
        <w:t xml:space="preserve">من صحيحة بريد المتقدمة بطرقها الثلاثة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غابت الحمرة من هذا الجانبيعني من المشرق فقد غابت الشمس من شرق الأرض وغربها</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غياب الشمس من غرب الأرض هو أفق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تدل على أنّ تحقق الغروب لا يتم إلاّ بذهاب الحمرة المشرقية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معتبرة ابن أبي عمير،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سقوط القرص ووجوب الإفطار من الصيام أن تقوم بحذاء القبلة وتتفقد الحمرة التي ترتفع من المشرق، فإذا جازت قمة الرأس إلى ناحية المغرب فقد وجب الإفطار وسقط القرص</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ومثلهما موثقة يعقوب بن 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 بالمغرب قليلاً فإنّ الشمس تغيب من عندكم قبل أن تغيب من عندنا</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وهكذا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استتار القرص عن أفق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المستدرك عن 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المغرب سقوط القرص وعلامة سقوطه أن يسوّد أفق المشرق</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سقوط القرص إلى مغيب الشفق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على غروب الشمس ذهاب الحمرة من جانب المشرق وفي الغيم سواد المحاجر</w:t>
      </w:r>
      <w:r>
        <w:rPr>
          <w:rStyle w:val="FootnoteAnchor"/>
          <w:rtl w:val="true"/>
        </w:rPr>
        <w:footnoteReference w:id="99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ما ورد فيه أيضاً عن الدعائم، عن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وقت المغرب غياب الشمس وهو أن يتوارى القرص في أفق المغرب لغير </w:t>
      </w:r>
    </w:p>
    <w:p>
      <w:pPr>
        <w:pStyle w:val="BookText"/>
        <w:rPr/>
      </w:pPr>
      <w:r>
        <w:rPr>
          <w:rFonts w:ascii="Amiri" w:hAnsi="Amiri" w:eastAsia="Amiri" w:cs="Amiri"/>
          <w:color w:val="111111"/>
          <w:sz w:val="28"/>
          <w:sz w:val="28"/>
          <w:szCs w:val="28"/>
          <w:rtl w:val="true"/>
          <w:lang w:bidi="ar-SA"/>
        </w:rPr>
        <w:t xml:space="preserve">مانع من حاجز يحجز دون الأفق مثل جبل، أو حائط ، أو غير ذلك، فإذا غاب القرص فذلك أول وقت صلاة المغرب،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وعلامة سقوط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حائل دون الأفق فعلامته أن يسوّد أفق المشرق</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وفي موضع آخر عن الدعائم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أبو الخطاب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سقطت الحمرة من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الشرق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وقت المغرب، فقال أبو الخطاب لأصحابه لما أحدث ما أحدثه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المغرب ذهاب الحمرة من أفق المغرب فلا تصلوها حتى تشتبك النجوم</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وهذه الموارد صريحة الدلالة على أنّ المراد هو غياب الشمس عن أفق المصلي، وعلامته زوال الحمرة من ناحية المشرق إلاّ أن أسنادها لما كانت غير تامة جعلت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الجمع بين الطائفتين بهذا الوجه بالنسبة إلى أكثر روايات الطائفة الثانية، وما عداها مما لا يلتئم مع هذا الوجه وهي بعض الروايات القليلة التي يستفاد منها أنّ وقت المغرب هو خصوص سقوط القرص كالواردة في النهي عن صعود الجبل فهي 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الطائفة الأولى محمولة على الاستحباب، يعني أن وقت صلاة المغرب هو سقوط القرص كما هو مفاد روايات الطائفة الثانية ولكن بمقتضى روايات الطائفة الأولى يستحب تأخير الصلاة حتى تزول الحمرة المشرقية، وإلى هذا ذهب بعض الأعاظم منهم السيد الأستاذ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المساعدة على كل من الوجهين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 فهو وإن تكرر في كلمات غير واحد من الأعلام حتى أن صاحب الوسائل</w:t>
      </w:r>
      <w:r>
        <w:rPr>
          <w:rStyle w:val="FootnoteAnchor"/>
          <w:rtl w:val="true"/>
        </w:rPr>
        <w:footnoteReference w:id="1001"/>
      </w:r>
      <w:r>
        <w:rPr>
          <w:rFonts w:ascii="Amiri" w:hAnsi="Amiri" w:eastAsia="Amiri" w:cs="Amiri"/>
          <w:color w:val="111111"/>
          <w:sz w:val="28"/>
          <w:sz w:val="28"/>
          <w:szCs w:val="28"/>
          <w:rtl w:val="true"/>
          <w:lang w:bidi="ar-SA"/>
        </w:rPr>
        <w:t xml:space="preserve">ذكر وجوهاً لهذا الجمع إلاّ أن هذا الوجه قابل للانطباق على </w:t>
      </w:r>
    </w:p>
    <w:p>
      <w:pPr>
        <w:pStyle w:val="BookText"/>
        <w:rPr/>
      </w:pPr>
      <w:r>
        <w:rPr>
          <w:rFonts w:ascii="Amiri" w:hAnsi="Amiri" w:eastAsia="Amiri" w:cs="Amiri"/>
          <w:color w:val="111111"/>
          <w:sz w:val="28"/>
          <w:sz w:val="28"/>
          <w:szCs w:val="28"/>
          <w:rtl w:val="true"/>
          <w:lang w:bidi="ar-SA"/>
        </w:rPr>
        <w:t>بعض الروايات، وهي ما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هو غيبوبة الشمس عن الأفق وهو الاحتمال الثالث، ولكن أكثر روايات الطائفة الثانية جاء فيها أنّ المناط هو سقوط القرص وتواريه لا غياب الشمس واقعاً، وفرق بين الأمرين، وحمل سقوط القرص على غيابه بعيد بل هو ظاهر في الاحتمالين الأولين اللذين جاء فيهما أنّ المناط هو استتار القرص وسقوطه، ويبلغ عدد الروايات التي ورد فيها ذلك عشر روايات منها صحيحة زرارة</w:t>
      </w:r>
      <w:r>
        <w:rPr>
          <w:rStyle w:val="FootnoteAnchor"/>
          <w:rtl w:val="true"/>
        </w:rPr>
        <w:footnoteReference w:id="1002"/>
      </w:r>
      <w:r>
        <w:rPr>
          <w:rFonts w:ascii="Amiri" w:hAnsi="Amiri" w:eastAsia="Amiri" w:cs="Amiri"/>
          <w:color w:val="111111"/>
          <w:sz w:val="28"/>
          <w:sz w:val="28"/>
          <w:szCs w:val="28"/>
          <w:rtl w:val="true"/>
          <w:lang w:bidi="ar-SA"/>
        </w:rPr>
        <w:t>، ومعتبرة عبد الله بن سنان</w:t>
      </w:r>
      <w:r>
        <w:rPr>
          <w:rStyle w:val="FootnoteAnchor"/>
          <w:rtl w:val="true"/>
        </w:rPr>
        <w:footnoteReference w:id="1003"/>
      </w:r>
      <w:r>
        <w:rPr>
          <w:rFonts w:ascii="Amiri" w:hAnsi="Amiri" w:eastAsia="Amiri" w:cs="Amiri"/>
          <w:color w:val="111111"/>
          <w:sz w:val="28"/>
          <w:sz w:val="28"/>
          <w:szCs w:val="28"/>
          <w:rtl w:val="true"/>
          <w:lang w:bidi="ar-SA"/>
        </w:rPr>
        <w:t>، ومعتبرة داود بن فرقد</w:t>
      </w:r>
      <w:r>
        <w:rPr>
          <w:rStyle w:val="FootnoteAnchor"/>
          <w:rtl w:val="true"/>
        </w:rPr>
        <w:footnoteReference w:id="1004"/>
      </w:r>
      <w:r>
        <w:rPr>
          <w:rFonts w:ascii="Amiri" w:hAnsi="Amiri" w:eastAsia="Amiri" w:cs="Amiri"/>
          <w:color w:val="111111"/>
          <w:sz w:val="28"/>
          <w:sz w:val="28"/>
          <w:szCs w:val="28"/>
          <w:rtl w:val="true"/>
          <w:lang w:bidi="ar-SA"/>
        </w:rPr>
        <w:t>، وصحيحة أبي أسامة الشحام</w:t>
      </w:r>
      <w:r>
        <w:rPr>
          <w:rStyle w:val="FootnoteAnchor"/>
          <w:rtl w:val="true"/>
        </w:rPr>
        <w:footnoteReference w:id="1005"/>
      </w:r>
      <w:r>
        <w:rPr>
          <w:rFonts w:ascii="Amiri" w:hAnsi="Amiri" w:eastAsia="Amiri" w:cs="Amiri"/>
          <w:color w:val="111111"/>
          <w:sz w:val="28"/>
          <w:sz w:val="28"/>
          <w:szCs w:val="28"/>
          <w:rtl w:val="true"/>
          <w:lang w:bidi="ar-SA"/>
        </w:rPr>
        <w:t>، وصحيحة صفوان</w:t>
      </w:r>
      <w:r>
        <w:rPr>
          <w:rStyle w:val="FootnoteAnchor"/>
          <w:rtl w:val="true"/>
        </w:rPr>
        <w:footnoteReference w:id="1006"/>
      </w:r>
      <w:r>
        <w:rPr>
          <w:rFonts w:ascii="Amiri" w:hAnsi="Amiri" w:eastAsia="Amiri" w:cs="Amiri"/>
          <w:color w:val="111111"/>
          <w:sz w:val="28"/>
          <w:sz w:val="28"/>
          <w:szCs w:val="28"/>
          <w:rtl w:val="true"/>
          <w:lang w:bidi="ar-SA"/>
        </w:rPr>
        <w:t>، وموثقةسماعة بن مهران</w:t>
      </w:r>
      <w:r>
        <w:rPr>
          <w:rStyle w:val="FootnoteAnchor"/>
          <w:rtl w:val="true"/>
        </w:rPr>
        <w:footnoteReference w:id="1007"/>
      </w:r>
      <w:r>
        <w:rPr>
          <w:rFonts w:ascii="Amiri" w:hAnsi="Amiri" w:eastAsia="Amiri" w:cs="Amiri"/>
          <w:color w:val="111111"/>
          <w:sz w:val="28"/>
          <w:sz w:val="28"/>
          <w:szCs w:val="28"/>
          <w:rtl w:val="true"/>
          <w:lang w:bidi="ar-SA"/>
        </w:rPr>
        <w:t xml:space="preserve">، وغيرها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بحسب الظاهر آبية عن الجمع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فلا يمكن المصير إليه لمخالفته لعدة من الروايات كما ذكر ذلك صاحب الجواهر</w:t>
      </w:r>
      <w:r>
        <w:rPr>
          <w:rStyle w:val="FootnoteAnchor"/>
          <w:rtl w:val="true"/>
        </w:rPr>
        <w:footnoteReference w:id="1008"/>
      </w:r>
      <w:r>
        <w:rPr>
          <w:rFonts w:ascii="Amiri" w:hAnsi="Amiri" w:eastAsia="Amiri" w:cs="Amiri"/>
          <w:color w:val="111111"/>
          <w:sz w:val="28"/>
          <w:sz w:val="28"/>
          <w:szCs w:val="28"/>
          <w:rtl w:val="true"/>
          <w:lang w:bidi="ar-SA"/>
        </w:rPr>
        <w:t>وغيره، لأنّ وقت المغرب ضيق ولابد من الصلاة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الدالة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ضيق وقت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منها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صحيحة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وقت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صلاة بوقتين غير صلاة المغرب فإن وقتها واحد، وإن وقتها وجوبها</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إسماعيل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الوقت غير أنّ وقت المغرب ضيق، وآخر وقتها ذهاب الحمرة، ومصيرها إلى البياض في أفق المغرب</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ليث،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يؤثر على صلاة المغرب شيئاً إذا غربت الشمس حتى يصليها</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حين تجب الشمس إلى أن تشتبك النجوم</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أديم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بالصلوات كلها فجعل لكل صلاة وقتين إلاّ المغرب، فإنه جعل لها وقتاً واحداً</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محمّد بن أبي حمزة،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أخر المغرب طلب فضلها</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والمستفاد من هذه الروايات المبادرة إلى الإتيان بالصلاة أول وقتها، ولم يرد فيها استحباب التأخير، وعليه فهذا الوجه كالوجه الأول في عدم إمكان جمع روايات الطائفتين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يقال بوجه آخر للجمع بين الروايات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ورد من الروايات الدالة على أنّ وقت المغرب هو سقوط القرص واستتاره مختص بما إذا كان المصلي في مكان لا حاجب فيه من جبال أو بناء كالصحراء مثلاً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من الروايات الدالة على أن وقت المغرب هو ذهاب الحمرة </w:t>
      </w:r>
    </w:p>
    <w:p>
      <w:pPr>
        <w:pStyle w:val="BookText"/>
        <w:rPr/>
      </w:pPr>
      <w:r>
        <w:rPr>
          <w:rFonts w:ascii="Amiri" w:hAnsi="Amiri" w:eastAsia="Amiri" w:cs="Amiri"/>
          <w:color w:val="111111"/>
          <w:sz w:val="28"/>
          <w:sz w:val="28"/>
          <w:szCs w:val="28"/>
          <w:rtl w:val="true"/>
          <w:lang w:bidi="ar-SA"/>
        </w:rPr>
        <w:t xml:space="preserve">المشرقية أو طلوع كوكب أو كوكبين مختص بما إذا كان هناك حاجب كالجبال والعمران، وبهذا يمكن الجمع بين الطائفتين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ذلك من معتبرة علي بن الريان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الدار تمنعه حيطانها النظر إلى حمرة المغرب</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كما يمكن استفادته مما تقدم من رواية الفقه الرضوي، ورواية الدعائم، ولكن هذا الوجه غير تام فإنّ دلالة المعتبرة غير واضحة وكتاب الفقه الرضوي لا يعتمد على رواياته، ومثله كتاب الدعائم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ترجيح إحدى الطائفتين على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إمكان الجمع بين الروايات فلابد من تقديم إحداهما على الأخرى، والمتعيّن حينئذ هو ترجيح الطائفة الأولى وذلك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الطائفة الأولى موافقة للكتاب بما استفدناه من ضميمة آية الصوم كما تقدم، وأن صلاة المغرب صلاة 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موافقة لعمل الأصحاب وفتواهم ومرتكز الشيعة على ذلك ويؤيده ما تقدم من رواية المجالس بإسناده عن الربيع بن سليمان وأبان بن أرقم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مكة حتى إذا كنا بوادي الأخضر إذا نحن برجل يصلي ونحن ننظر إلى شعاع الشمس فوجدنا في أنفسنا فجعل يصلي ونحن ندعوا عليه</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الارتكاز أعم من كونه لجهة الوجوب أو الاستحباب، وأنّ التأخير إلى زوال الحمرة وإن كان شعاراً للشيعة إلاّأنّه على نحو الاستحباب، ومثله القنوت فإنه شعار للشيعة مع أنّه مستحب بلا كلام</w:t>
      </w:r>
      <w:r>
        <w:rPr>
          <w:rStyle w:val="FootnoteAnchor"/>
          <w:rtl w:val="true"/>
        </w:rPr>
        <w:footnoteReference w:id="101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يمكن المساعدة عليه لأنّ عملهم على الوجوب لا على الاستحباب، ويؤيده الرواية المتقدمة فإنهم إنما دعوا على المصلي لأنه صلى في نظرهم قبل الوقت لا أنّه خالف المستحب أو لمجرد كونه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الطائفة الثانية فإنها موافقة للعامة، وحينئذ يترجح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هذه الطائفة كثيرة وأكثرها صحيح السند فيبعد حملها على التقية، والجواب أنّ كثرة الروايات ناشئة من كثرة الابتلاء فإنّ الصلوات تؤدى في اليوم خمس مرات، واختلاط العامة بالشيعة كثير آنذاك فالمناسبة تقتضي هذه الكثرة من الروايات، ولا 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يترجح في النظر بملاحظة الأدلة من الآيات والروايات هو تقديم الطائفة الأولى على الطائفة الثانية التي يترجح حملها على التقية، هذا كله بالنظر للأدلة اللفظية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فيمكن الاستدلال على المدعى بالأصل العملي، أما بناء على ما استفدناه من الكتاب وبضميمة آية الصوم فالأمر واضح كما تقدم من أنّ صلاة المغرب من الصلوات الليلية، فإذا شككنا في تحقق الوقت بين أن يكون بسقوط القرص أو بذهاب الحمرة المشرقية فالقاعدة تقتضي الاحتياط، لأنّ الشبهة حينئذ مفهومية وهي مجرى قاعدة الاحتياط</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فرض عدم استفادة ذلك من الآية الشريفة فالشبهة وإن كانت موضوعية إلاّ أنها دائرة بين الأقل والأكثر 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ندري هل أنّ وقت صلاة المغرب يتحقق بسقوط القرص أو بذهاب الحمرة وحيث إنّ من المعلوم خارجاً أنّ كلاً من الصلوات الخمس موقتة بوقت خاص كما هو صريح الكتاب في </w:t>
      </w:r>
      <w:bookmarkStart w:id="297" w:name="pg16387_188431"/>
    </w:p>
    <w:p>
      <w:pPr>
        <w:pStyle w:val="BookText"/>
        <w:rPr/>
      </w:pPr>
      <w:bookmarkEnd w:id="297"/>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وقد فسرت بالتوقيت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الروايات الكثيرة الواردة في تحديد أوقات الصلوات ومنها صلاة المغرب فإنها موقتة بوقت خاص كسائر الصلوات، وحينئذ إذا شككنا في تحقق هذا الوقت الخاص بصلاة المغرب بين أن يكون بذهابالحمرة المشرقية وبين أن يكون بسقوط القرص فالشك حينئذ بين الأقل والأكثر ومقتضى الدوران بينهما هو الأخذ بالأقل لأنّه القدر المتيقن، والأقل في المقام هو ذهاب الحمرة بالنسبة إلى سقوط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موافق للاستصحاب عند الشك في دخول الوقت، نعم عند ذهاب الحمرة لا يجري الاستصحاب لليقين بدخول الوقت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كلا التقديرين أي سواء كانت الشبهة مفهومية أو موضوعية فمقتضى القاعدة هو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واضحة من جهاتها الثلاث أي الآيات، والروايات والأصل العملي، مضافاً إلى ما ذكرناه من أنّ المرتكز عند الإمامية ذلك وهو أنّ تحقق الوقت إنما يتم بذهاب الحمرة المشرقية، ولكن الاحتياط في عدم تأخير صلاة الظهرين إلى وقت زوال الحمرة المشرقية لا يترك، وينبغي تقديم الصلاتين على ذلك الوقت، وبهذا يتم الكلام في بيان أصل الحكم في المسألة</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6877847_1280447820"/>
      <w:bookmarkStart w:id="299" w:name="_Toc101"/>
      <w:bookmarkEnd w:id="298"/>
      <w:r>
        <w:rPr>
          <w:rtl w:val="true"/>
        </w:rPr>
        <w:t>تنبيهان</w:t>
      </w:r>
      <w:r>
        <w:rPr>
          <w:rtl w:val="true"/>
        </w:rPr>
        <w:t>:</w:t>
      </w:r>
      <w:bookmarkEnd w:id="29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المحقق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 بناء على أنّ ذهاب الحمرة المشرقية علامة على تحقق الغروب فلازمه أن يقال به بالنسبة للطلوع، وأنّ وجود الحمرة المغربية علامة على طلوع الشمس،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الفاصل </w:t>
      </w:r>
    </w:p>
    <w:p>
      <w:pPr>
        <w:pStyle w:val="BookText"/>
        <w:rPr/>
      </w:pPr>
      <w:r>
        <w:rPr>
          <w:rFonts w:ascii="Amiri" w:hAnsi="Amiri" w:eastAsia="Amiri" w:cs="Amiri"/>
          <w:color w:val="111111"/>
          <w:sz w:val="28"/>
          <w:sz w:val="28"/>
          <w:szCs w:val="28"/>
          <w:rtl w:val="true"/>
          <w:lang w:bidi="ar-SA"/>
        </w:rPr>
        <w:t xml:space="preserve">بين الغروب وبين ذهاب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مقدار عشر دقائق أو خمسة عشر دقيقة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مراعاته في جانب الطلوع أيضاً فإذا كان القرص بعد السقوط باقياً فكذا في حال الطلوع فلابد قبل أن ترى الشمس، يحكم بطلوعها بنفس المقدار ويترتب على ذلك أنّ حدّ صلاة الفجر قبل طلوع الشمس ولا يلتزم بذلك أحد</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وقد أجيب عن ذلك في الجواهر بوجوه أربعة وأهمها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الملازمة بين الوقتين وذلك لما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المشرق مطل على المغرب لا العكس، وحيث إنّ الأمر كذلك فوجود الحمرة في جانب المشرق علامة على بقاء الشمس في الأفق وعدم سقوطها واقعاً، وأما المغرب فليس مطلاً على المشرق حتى تتصور المساواة فالإشكال غير وارد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القول بالملازمة إلاّ أنّ بين الموردين فرقاً من جهة النص، فقد ورد أنّ وقت المغرب هو سقوط القرص عن الأفق واقعاً وتحققه بذهاب الحمرة المشرقية، ولم يرد ذلك بالنسبة إلى طلوع الشمس، وإنما الوارد هو طلوعها بحيث يظهر شعاعها، وأما قبل ظهوره فهو امتداد لوقت الفجر، فبناء على ذلك فالمساواة بين الموردين في غير محلها والإشكال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كتاب نيل الأوطار أنّ الإمامية يذهبون إلى أنّ وقت صلاة المغرب إنما يتحقق عند اشتباك النجوم وهو مخالف للنصوص الواردة، والإجماع</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من الروافض أو الشيعة هم الإمامية الاثنا عشرية فقد بان الصبح لذي عينين، وإن أراد غيرهم كان من اللازم عليه أن يعيّن المقصود، ولا يلقي الكلام على عواهنه، فإنّ في كلامه إلباساً كما لا يخفى</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الواقع وفارغة عن الحق، وهي محض افتراء وليست هذه أول قارورة كسرت والله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هذا القول منسوب إلى الخطابية الذين برء منهم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بالبراءة منهم ولعنهم ورد عليهم كما تقدمت الإشارة إليه، وهو أمر مسطور في كتب الإمامية ورواياتهم عن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فليس هذا القول مذهباً للإمامية ولم يقل به أحد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الأدلة بالنسبة إلى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تارة في الحكم التكليفي وأخرى 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الأول فلا إشكال في وجوب العمل على طبق التقية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العامة المتقدمة وهي شاملة لهذا المورد بلا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للأدلة الخاصة الواردة في المقام وقد تقدم بعضها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جارود ينصحون فلا يقبلون، وإذا سمعوا بشيء نادوا به، أو حدثوا بشيء أذاعوه،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 بالمغرب قليلاً، فتركوها حتى اشتبكت النجوم، فأنا الآن أصليها إذاسقط القرص</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وهي ظاهرة في التقية كما أشرنا إلى ذلك من قبل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ما تقدم أيضاً من رواية الربيع بن سليمان، وأبان بن أرقم،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مكة حتى إذا كنا بوادي الأخضر، إذا نحن برجل يصلي ونحن ننظر إلى شعاع الشمس فوجدنا في أنفسنا، فجعل يصلي ونحن ندعوا عليه حتى صلى ركعة، ونحن ندعوا عليه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شباب من شباب أهل المدينة، </w:t>
      </w:r>
    </w:p>
    <w:p>
      <w:pPr>
        <w:pStyle w:val="BookText"/>
        <w:rPr/>
      </w:pPr>
      <w:r>
        <w:rPr>
          <w:rFonts w:ascii="Amiri" w:hAnsi="Amiri" w:eastAsia="Amiri" w:cs="Amiri"/>
          <w:color w:val="111111"/>
          <w:sz w:val="28"/>
          <w:sz w:val="28"/>
          <w:szCs w:val="28"/>
          <w:rtl w:val="true"/>
          <w:lang w:bidi="ar-SA"/>
        </w:rPr>
        <w:t xml:space="preserve">فلما أتيناه إذا هو أبو عبد الله جعفر بن محمّد </w:t>
      </w:r>
      <w:r>
        <w:rPr>
          <w:rFonts w:eastAsia="Amiri" w:cs="Amiri" w:ascii="Amiri" w:hAnsi="Amiri"/>
          <w:color w:val="111111"/>
          <w:sz w:val="28"/>
          <w:szCs w:val="28"/>
          <w:rtl w:val="true"/>
          <w:lang w:bidi="ar-SA"/>
        </w:rPr>
        <w:t>' ...</w:t>
      </w:r>
      <w:r>
        <w:rPr>
          <w:rStyle w:val="FootnoteAnchor"/>
          <w:rtl w:val="true"/>
        </w:rPr>
        <w:footnoteReference w:id="1022"/>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ومحل الشاهد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ننظر إلى شعاع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الإمام كان يصلي قبل دخول الوقت، والوجه في ذلك أنّ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على التقية، وحيث إنّ الرواية غير تامة سنداً لاشتمالها على عدة من المجاهيل فتكون مؤيدة لما نحن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أي الحكم الوضعي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الصلاة محكومة بالبطلان وذلك لأنّ المكلف وإن صلى تقية إلاّ أن الصلاة مشروطة بدخول الوقت وعلامته ذهاب الحمرة المشرقية، فإيقاع الصلاة خارج الوقت غير مجز ولا يكتفى بها ولابد من الإعادة، ولا فرق في ذلك بين التقية وغيرها، فمن يعلم أنّ صلاته كانت قبل الوقت أو شك في ذلك فصلاته غير صحيحة، مضافاً إلى ما ورد من الأدلة على بطلان الصلاة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القول بالإجزاء وكفاية ما أتى به المكلف من الصلاة تقية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بعض الروايات الواردة في الأمر بالصلاة معهم كما سيأتي، وهي شاملة لصلاة المغرب قطعاً، وحيث إنّ المورد عام البلوى ولم يرد في هذه الروايات الأمر بإعادة الصلاة فمن مجموع ذلك يستفاد الإجزاء وعدم الحاجة إلى الإعادة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الروايات في خصوص صلاة المغرب ومن ذلك رواية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أدخل المسجد فأجد الإمام قد ركع، وقد ركع القوم فلا يمكنني أن أوذن وأقيم وأكبر،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ذلك فادخل معهم في الركعة واعتد بها فإنها من أفضل ركعاتك،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أذان المغرب وأنا على بابيقاعد، 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أقيمت </w:t>
      </w:r>
    </w:p>
    <w:p>
      <w:pPr>
        <w:pStyle w:val="BookText"/>
        <w:rPr/>
      </w:pPr>
      <w:r>
        <w:rPr>
          <w:rFonts w:ascii="IRNazanin" w:hAnsi="IRNazanin" w:eastAsia="IRNazanin"/>
          <w:color w:val="111111"/>
          <w:sz w:val="28"/>
          <w:sz w:val="28"/>
          <w:szCs w:val="28"/>
          <w:rtl w:val="true"/>
          <w:lang w:bidi="fa-IR"/>
        </w:rPr>
        <w:t>الصلاة فجاءني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فقمت مبادراً فدخلت المسجد فوجدت الناس قد ركعوا فركعت مع أول صف أدركت واعتددت بها، ثمّ صليت بعد الانصراف أربع ركعات، ثمّ انصرفت فإذا خمسة أو ستة من جيراني قد قاموا إلي من المخزوميين والأمويين فأقعدوني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هاشم جزاك الله عن نفسك خيراً، فقد والله رأيناك خلاف ما ظننا بك وما قيل فيك،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اتبعناك حين قمت إلى الصلاة ونحن نرى أنك لا تقتدي بالصلاة معنا، فقد وجدناك قد اعتددت بالصلاة معنا وصليت بصلاتنا فرضي الله عنك وجزاك الله خيراً،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ألمثلي يقال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يأمرني إلاّ وهو يخاف عليّ هذا وشبهه</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وهذه الرواية وإن لم يرد فيها الإشارة إلى خصوص صلاة المغرب من لسان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وردت على نحو الإطلاق إلاّ أنّ الراوي طبق كلامه على صلاة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مورد الرواية وإن كان حالة استثنائية وهي التقية ولذا أمره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بالاقتداء بهم والاعتداد بالصلاة معهم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يأمره بإعادة الصلاة بعد ارتفاع التقية، فبمقتضى إطلاق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وبمعونة فهم الراوي يمكن استفادة الإجزاء وعدم الحاجة إلى الإعادة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يستفاد من الروايات الواردة في خصوص وقت المغرب والتي ذكر فيها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عند غياب الشمس، ويأمر أصحابه بذلك، وقد تقدمت جملة منها، وهذه الروايات لا تخرج عن أحد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تكون دالة على كون وقت صلاة المغرب هو سقوط القرص وحينئذ لا حاجة إلى الإعادة فلا إشكال، وإما أن تحمل على التقية كما هو الأقوى، وحيث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يفعل </w:t>
      </w:r>
    </w:p>
    <w:p>
      <w:pPr>
        <w:pStyle w:val="BookText"/>
        <w:rPr/>
      </w:pPr>
      <w:r>
        <w:rPr>
          <w:rFonts w:ascii="IRNazanin" w:hAnsi="IRNazanin" w:eastAsia="IRNazanin"/>
          <w:color w:val="111111"/>
          <w:sz w:val="28"/>
          <w:sz w:val="28"/>
          <w:szCs w:val="28"/>
          <w:rtl w:val="true"/>
          <w:lang w:bidi="fa-IR"/>
        </w:rPr>
        <w:t xml:space="preserve">ذلك ويأمر أصحابه به ولم يرد فيها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صلاته أو أمر بالإعادة فيمكن استفادة الاكتفاء بما أتي به، وأنّ الصلاة قبل ذهاب الحمرة المشرقية تقية مجزية مطلقاً أي في جماعة كانت أو انفراد من دون حاجة إلى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مع ذلك لا يترك الاحتياط لإطلاق الروايات بأن من صلى عالماً أو ظاناً أو شاكاً بعدم دخول الوقت فعليه الإعادة، والجمع بين الأدلة يقتضي الاحتياط بالإعادة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خالف التقية ولم يصل معهم قبل ذهاب الحمرة المشرقية بل صلى بعد ذلك فلا إشكال في صحة الصلاة لأنّها وقعت في الوقت قطعاً حتى عندهم، نعم في ذلك مخالفة للحكم التكليفي وهو يستوجب الإثم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عن التقية في الوقت والحمد لله رب العالمين</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6387_188438"/>
      <w:bookmarkStart w:id="301" w:name="pg16387_188438"/>
      <w:bookmarkEnd w:id="301"/>
    </w:p>
    <w:p>
      <w:pPr>
        <w:pStyle w:val="Heading2"/>
        <w:numPr>
          <w:ilvl w:val="1"/>
          <w:numId w:val="1"/>
        </w:numPr>
        <w:rPr/>
      </w:pPr>
      <w:bookmarkStart w:id="302" w:name="pg16387_188438"/>
      <w:bookmarkStart w:id="303" w:name="__RefHeading___Toc6877849_1280447820"/>
      <w:bookmarkStart w:id="304" w:name="_Toc102"/>
      <w:bookmarkEnd w:id="302"/>
      <w:bookmarkEnd w:id="303"/>
      <w:r>
        <w:rPr>
          <w:rtl w:val="true"/>
        </w:rPr>
        <w:t>الفصل الخامس</w:t>
      </w:r>
      <w:bookmarkEnd w:id="304"/>
    </w:p>
    <w:p>
      <w:pPr>
        <w:pStyle w:val="Heading3"/>
        <w:numPr>
          <w:ilvl w:val="2"/>
          <w:numId w:val="1"/>
        </w:numPr>
        <w:rPr/>
      </w:pPr>
      <w:bookmarkStart w:id="305" w:name="__RefHeading___Toc6877851_1280447820"/>
      <w:bookmarkStart w:id="306" w:name="_Toc103"/>
      <w:bookmarkEnd w:id="305"/>
      <w:r>
        <w:rPr>
          <w:rtl w:val="true"/>
        </w:rPr>
        <w:t>اشارة</w:t>
      </w:r>
      <w:bookmarkEnd w:id="3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في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العدالة في إمام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الحث على الصلاة خلف المخالف والروايات المخالفة لها والجمع بينها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سيرة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خلف المخالفين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خلف المخالف 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تقية خلف الإمامي مع عدم إحراز الشرائط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أنّ البسملة آية من القرآن وحكم الجهر بها في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حول قول آمين بعد الحمد والتكفير في الصلاة وحكمهما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وجوب السجود على الأرض أو ما أنبتت من غير المأكول والملبوس والتحقيق حول صحة السجود على القطن والكتان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التربة الحسينية وقدسيتها وأهمية السجود عليها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6387_188440"/>
      <w:bookmarkStart w:id="308" w:name="pg16387_188440"/>
      <w:bookmarkEnd w:id="308"/>
    </w:p>
    <w:p>
      <w:pPr>
        <w:pStyle w:val="Heading3"/>
        <w:numPr>
          <w:ilvl w:val="2"/>
          <w:numId w:val="1"/>
        </w:numPr>
        <w:rPr/>
      </w:pPr>
      <w:bookmarkStart w:id="309" w:name="pg16387_188440"/>
      <w:bookmarkStart w:id="310" w:name="__RefHeading___Toc6877853_1280447820"/>
      <w:bookmarkStart w:id="311" w:name="_Toc104"/>
      <w:bookmarkEnd w:id="309"/>
      <w:bookmarkEnd w:id="310"/>
      <w:r>
        <w:rPr>
          <w:rtl w:val="true"/>
        </w:rPr>
        <w:t>التقية في الصلاة خلف المخالف</w:t>
      </w:r>
      <w:r>
        <w:rPr>
          <w:rtl w:val="true"/>
        </w:rPr>
        <w:t>:</w:t>
      </w:r>
      <w:bookmarkEnd w:id="311"/>
    </w:p>
    <w:p>
      <w:pPr>
        <w:pStyle w:val="BookText"/>
        <w:rPr/>
      </w:pPr>
      <w:r>
        <w:rPr>
          <w:rFonts w:ascii="Amiri" w:hAnsi="Amiri" w:eastAsia="Amiri" w:cs="Amiri"/>
          <w:color w:val="111111"/>
          <w:sz w:val="28"/>
          <w:sz w:val="28"/>
          <w:szCs w:val="28"/>
          <w:rtl w:val="true"/>
          <w:lang w:bidi="ar-SA"/>
        </w:rPr>
        <w:t>إنّ من المتسالم عليه عند فقهاء الإمامية اشتراط الإيمان والعدالة في إمام الجماعة، وهذا مما لا ريب فيه، ولم يتوقف فيه أحد فيما إذا كان الأمر حال الاختيار، وهكذا الحال بالنسبة إلى التقية والاضطرار، ولكن وقع الكلام في أنّ الاقتداء بالمخالف هل يسقط معه الفرض، فلا تجب الإعادة في الوقت والقضاء خارجه أم لا؟</w:t>
      </w:r>
    </w:p>
    <w:p>
      <w:pPr>
        <w:pStyle w:val="BookText"/>
        <w:rPr/>
      </w:pPr>
      <w:r>
        <w:rPr>
          <w:rFonts w:ascii="Amiri" w:hAnsi="Amiri" w:eastAsia="Amiri" w:cs="Amiri"/>
          <w:color w:val="111111"/>
          <w:sz w:val="28"/>
          <w:sz w:val="28"/>
          <w:szCs w:val="28"/>
          <w:rtl w:val="true"/>
          <w:lang w:bidi="ar-SA"/>
        </w:rPr>
        <w:t xml:space="preserve">والروايات الواردة في المقام كثيرة جداً، وبينها شبه 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ذكرها أولاً، ثمّ رفع التعارض ثانياً، ثمّ استخلاص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فهي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تجويز الاقتداء بالمخالف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المانعة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روايات هذين النحوين جاءت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طوائف النحو الأول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الحث والترغيب في الصلاة خلف المخالف على نحو الإطلاق، وهي عدة روايات، وفيها الصحاح ومنها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معهم في </w:t>
      </w:r>
    </w:p>
    <w:p>
      <w:pPr>
        <w:pStyle w:val="BookText"/>
        <w:rPr/>
      </w:pPr>
      <w:r>
        <w:rPr>
          <w:rFonts w:ascii="IRNazanin" w:hAnsi="IRNazanin" w:eastAsia="IRNazanin"/>
          <w:color w:val="111111"/>
          <w:sz w:val="28"/>
          <w:sz w:val="28"/>
          <w:szCs w:val="28"/>
          <w:rtl w:val="true"/>
          <w:lang w:bidi="fa-IR"/>
        </w:rPr>
        <w:t xml:space="preserve">الصف الأول كان كمن صلى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 الأول</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 لك إذا دخلت معهم وإن كنت لا تقتدي بهم مثل ما يحسب لك إذا كنت مع من تقتدي به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ومعناه أنّ الثواب يحسب له كمن يصلي خلف الإمام الجامع للشرائط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كنت لا تقتدي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المراد هو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صلاة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فالرواية داخلة في ما نحن فيه، وإن كان المراد هو عدم الاقتداء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صلاة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خارج عن البحث، ولا يكون دليلاً على ما نحن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معهم في الصف الأول كان كمن صلى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وهذه الرواية كالرواية الأولى، إلاّ أن الأولى فيها 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هاتين الروايتين رواية واحدة ففي هذه الرواية يروي حماد عن الحلبي، وفي تلك الرواية ينقلها حماد بلا واسطة، والظاهر أنّ المراد من حماد في الرواية الثانية هو حماد بن عثمان كما في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أتصلي معهم في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معهم، فإنّ المصلي معهم في الصف الأول كالشاهر سيفه في سبيل الله</w:t>
      </w:r>
      <w:r>
        <w:rPr>
          <w:rStyle w:val="FootnoteAnchor"/>
          <w:rtl w:val="true"/>
        </w:rPr>
        <w:footnoteReference w:id="102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زيد خالقوا الناس بأخلاقهم، صلوا في مساجدهم، وعودوا مرضاهم، واشهدوا جنائزهم، </w:t>
      </w:r>
    </w:p>
    <w:p>
      <w:pPr>
        <w:pStyle w:val="BookText"/>
        <w:rPr/>
      </w:pPr>
      <w:r>
        <w:rPr>
          <w:rFonts w:ascii="Amiri" w:hAnsi="Amiri" w:eastAsia="Amiri" w:cs="Amiri"/>
          <w:color w:val="111111"/>
          <w:sz w:val="28"/>
          <w:sz w:val="28"/>
          <w:szCs w:val="28"/>
          <w:rtl w:val="true"/>
          <w:lang w:bidi="ar-SA"/>
        </w:rPr>
        <w:t>وإن استطعتم أن تكونوا الأئمة والمؤذنين فافعلوا، فإنكم إذا فعلتم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الجعفرية، رحم الله جعفراً ما كان أحسن ما يؤدب أصحابه، وإذا تركتم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الجعفرية فعل الله بجعفر، ما كان أسوأ ما يؤدب أصحابه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بتقوى الله، ولا تحملوا الناس على أكتافكم فتذلوا، إنّ الله عزوجل يقول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w:t>
      </w:r>
      <w:r>
        <w:rPr>
          <w:rStyle w:val="FootnoteAnchor"/>
          <w:rtl w:val="true"/>
        </w:rPr>
        <w:footnoteReference w:id="102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مرضاهم، واحضروا جنائزهم، واشهدوا لهم وعليهم، وصلوا معهم في مساجدهم حتى يكون التمييز، وتكون المباينة منكم ومنهم</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كثير بن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بتقوى الله، والورع، والعبادة وطول السجود، وأداء الأمانة، وصدق الحديث، وحسن الجوار، فبهذا جاءنا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في عشائركم، وعودوا مرضاكم، واشهدوا جنائزكم، وكونوا لنا زيناً ولا تكونوا لنا شيناً، حببونا إلى الناس ولا تبغضونا إليهم، فجرّوا إلينا كلّ مودّة وادفعوا عنا كلّ شرّ</w:t>
      </w:r>
      <w:r>
        <w:rPr>
          <w:rStyle w:val="FootnoteAnchor"/>
          <w:rtl w:val="true"/>
        </w:rPr>
        <w:footnoteReference w:id="1031"/>
      </w:r>
      <w:r>
        <w:rPr>
          <w:rFonts w:ascii="Amiri" w:hAnsi="Amiri" w:eastAsia="Amiri" w:cs="Amiri"/>
          <w:color w:val="111111"/>
          <w:sz w:val="28"/>
          <w:sz w:val="28"/>
          <w:szCs w:val="28"/>
          <w:rtl w:val="true"/>
          <w:lang w:bidi="ar-SA"/>
        </w:rPr>
        <w:t>ومحل الشاهد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عشائركم، فإنه مطلق أي وإن كانوا من العامة إلاّ أنّ سند الرواية ضعيف فإنّ كثير بن علقمة مجهول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حبيب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بالورع والاجتهاد، واشهدوا الجنائز، وعودوا المرضى، واحضروا مع قومكم مساجدكم، واحبوا للناس ما تحبون لأنفسكم، أما يستحي الرجل منكم أن يعرف جاره حقه ولا يعرف حقّ جاره</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والظاهر من الرواية أنّ المراد هو العامة وإن جاءت الرواية بصيغة الخطاب كالرواية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هشام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أن تعملوا عملاً نعيّر به، فإن ولد السوء يعيّر والده بعمله، كونوا لمن انقطعتم إليه زيناً ولا تكونوا عليه شيناً، صلوا في عشائرهم، وعودوا مرضاهم، واشهدوا جنائزهم، ولا يسبقونكم إلى شيء من الخير فأنتم أولى به منهم، والله ما عبد الله بشيء أحب إليه من الخباء قلت وما الخباء؟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عمر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قد نسبتم إلينا، كونوا لنا زيناً ولا تكونوا شيناً، كونوا مثل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إن كان الرجل منهم ليكون في القبيلة فيكون إمامهم ومؤذنهم وصاحب أماناتهم وودايعهم، عودوا مرضاهم، واشهدوا جنائزهم، وصلوا في مساجدهم، ولا يسبقوكم إلى خير فأنتم والله أحقّ منهم به</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الله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ومعي رجلان، فقال أحدهما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 الجمعة؟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الجمعة والجماعة، واحضر الجنازة، وعد المريض، واقض الحقوق،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أتخافون أن نضلكم؟ لا والله لا نضلكم</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وغيرها من الروايات الدالة على الترغيب في الصلاة معهم في مساجدهم وهي مطلقة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مشروعية الصلاة معهم من دونالاجتزاء بها وهي عدّة روايات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صحيحة عمر بن يزيد،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منكم أحد يصلي صلاة فريضة في وقتها، ثمّ يصلي معهم صلاة تقية وهو متوضىء إلاّ كتب الله له بها خمساً وعشرين درجة، فارغبوا في ذلك</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يصلي في الوقت ويفرغ، ثمّ يأتيهم ويصلي معهم وهو على وضوء إلاّ كتب الله له خمساً وعشرين درجة</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بإسناده عن أحمد بن محمّد بن سعيد بن عقدة، عن أحمد بن محمّد بن يحيى الخارقي، عن الحسين بن الحسن، عن إبراهيم بن علي المرافقي وعمر بن ربيع،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عن الإمام إن لم أكن أثق به أصلي خلفه وأقرأ؟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 قبله أو بعده،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أفأصلي خلفه واجعلها تطوعاً؟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التطوع لقبلت الفريضة، ولكن اجعلها سبحة</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والشاهد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أجعلها سبحة، وستأتي في ذلك طائفة من الروايات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من جهة السند فيها الخارقي كما هو المذكور في الوسائل، إلاّ أن السيد الأستاذ ذكر في المعجم</w:t>
      </w:r>
      <w:r>
        <w:rPr>
          <w:rStyle w:val="FootnoteAnchor"/>
          <w:rtl w:val="true"/>
        </w:rPr>
        <w:footnoteReference w:id="1039"/>
      </w:r>
      <w:r>
        <w:rPr>
          <w:rFonts w:ascii="Amiri" w:hAnsi="Amiri" w:eastAsia="Amiri" w:cs="Amiri"/>
          <w:color w:val="111111"/>
          <w:sz w:val="28"/>
          <w:sz w:val="28"/>
          <w:szCs w:val="28"/>
          <w:rtl w:val="true"/>
          <w:lang w:bidi="ar-SA"/>
        </w:rPr>
        <w:t>أنّ بعض النسخ فيها الخازني وفي بعضها الحازمي، فإن كان هو الخارقي فلم يرد فيه توثيق، وأما الحسين بن الحسن فالظاهر أنّه تصحيف والصحيح هو الحسن بن الحسين السكوني الثقة فإنه الذي يروي عن عمر بن ربيع كثيراً، وأما إبراهيم بن علي المرافقي فهو لم يوثق إلاّ أنّه لا يضر بالسند من هذه الناحية لأنّ الرواية فيها شخصان ويكفي وثاقة أحدهما، وحيث إنّ عمر بن ربيع ثقة</w:t>
      </w:r>
      <w:r>
        <w:rPr>
          <w:rStyle w:val="FootnoteAnchor"/>
          <w:rtl w:val="true"/>
        </w:rPr>
        <w:footnoteReference w:id="1040"/>
      </w:r>
      <w:r>
        <w:rPr>
          <w:rFonts w:ascii="Amiri" w:hAnsi="Amiri" w:eastAsia="Amiri" w:cs="Amiri"/>
          <w:color w:val="111111"/>
          <w:sz w:val="28"/>
          <w:sz w:val="28"/>
          <w:szCs w:val="28"/>
          <w:rtl w:val="true"/>
          <w:lang w:bidi="ar-SA"/>
        </w:rPr>
        <w:t xml:space="preserve">فلا إشكال من هذه الجهة وإنما الإشكال من جهة </w:t>
      </w:r>
    </w:p>
    <w:p>
      <w:pPr>
        <w:pStyle w:val="BookText"/>
        <w:rPr/>
      </w:pPr>
      <w:r>
        <w:rPr>
          <w:rFonts w:ascii="Amiri" w:hAnsi="Amiri" w:eastAsia="Amiri" w:cs="Amiri"/>
          <w:color w:val="111111"/>
          <w:sz w:val="28"/>
          <w:sz w:val="28"/>
          <w:szCs w:val="28"/>
          <w:rtl w:val="true"/>
          <w:lang w:bidi="ar-SA"/>
        </w:rPr>
        <w:t>الخارقي وعليه فالرواية غير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الرواية لا تختص بالمخالف بل الأعم منه فإن مورد السؤال هو الإمام الذي لم يثق به المأموم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نشيط بن صالح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منا يصلي صلاته في جوف بيته مغلقاً عليه بابه، ثمّ يخرج فيصلي مع جيرته، تكون صلاته تلك وحده في بيته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يصلي في بيته يضاعف الله له ضعفي أجر الجماعة تكون له خمسين درجة والذي يصلي مع جيرته يكتب له أجر من صلى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ويدخل معهم في صلاتهم فيخلف عليهم ذنوبه ويخرج بحسناتهم</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والرواية من حيث دلالتها على المدعى تامة ومن جهة السند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أدخل المسجد وقد صليت فأصلي معهم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أحتسب بتلك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فأما أنا فأصلي معهم وأريهم أني أسجد وما أسجد</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وهذه الرواية وإن كانت من جهة الدلالة تامة إلاّ أنّ في سندها القاسم بن عروة وهو لم يوثق صراحة، ولكنه ذكر في المستثنى منه من كتاب نوادر الحكمة مضافاً إلى رواية ابن أبي عمير عنه وبناء على ما حققناه في محله</w:t>
      </w:r>
      <w:r>
        <w:rPr>
          <w:rStyle w:val="FootnoteAnchor"/>
          <w:rtl w:val="true"/>
        </w:rPr>
        <w:footnoteReference w:id="1043"/>
      </w:r>
      <w:r>
        <w:rPr>
          <w:rFonts w:ascii="Amiri" w:hAnsi="Amiri" w:eastAsia="Amiri" w:cs="Amiri"/>
          <w:color w:val="111111"/>
          <w:sz w:val="28"/>
          <w:sz w:val="28"/>
          <w:szCs w:val="28"/>
          <w:rtl w:val="true"/>
          <w:lang w:bidi="ar-SA"/>
        </w:rPr>
        <w:t>تكون الرواية معتبرة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الأرجاني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في منزله ثمّ أتى مسجداً من مساجدهم فصلى فيه خرج بحسناتهم</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وغيرها من الروايات الدالة على عدم الاجتزاء بالصلاة معهم مع مشروعية الصلاة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الاجتزاء بالصلاة خلف المخالف وهي أربع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بإسناده عن محمّد بن الحصين، عن محمّد بن الفضيل، عن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أدخل المسجد فأجد الإمام قد ركع وقد ركع القوم فلا يمكنني أن أوذن وأقيم وأكبر،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ذلك فادخل معهم في الركعة واعتد بها فإنها من أفضل ركعاتك،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أذان المغرب وأنا على بابي قاعد، 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أقيمت الصلاة؟ فجاءني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فقمت مبادراً فدخلت المسجد فوجدت الناس قد ركعوا فركعت مع أول صف أدركت واعتددت بها، ثمّ صليت بعد الانصراف أربع ركعات، ثمّ انصرفت فإذا خمسة أو ستةمن جيراني قد قاموا لي من المخزوميين والأمويين فأقعدوني،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هاشم، جزاك الله عن نفسك خيراً فقد والله رأيناك خلاف ما ظننا بك وما قيل فيك،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ذاك؟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اتبعناك حين قمت إلى الصلاة ونحن نرى أنك لا تقتدي بالصلاة معنا فقد وجدناك قد اعتددت بالصلاة معنا وصليت بصلاتنا فرضي الله عنك وجزاك الله خيراً،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ألمثلي يقال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 أبا عبد الله لم يأمرني إلاّ وهو يخاف علي هذا وشبهه</w:t>
      </w:r>
      <w:r>
        <w:rPr>
          <w:rStyle w:val="FootnoteAnchor"/>
          <w:rtl w:val="true"/>
        </w:rPr>
        <w:footnoteReference w:id="1045"/>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الشاهد من هذه الرواية أنّه صلى خلفهم صلاة المغرب واجتزى بما أتى به من دون إعادة، وصلاته أربع ركعات بعدها يحتمل أن تكون نافلة المغرب كما يحتمل أن تكون صلاة العشاء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تصلي خلف الناصب ولا تقرأ خلفه فيما يجهر فيه، فإن قراءته يجزيك إذا سمعتها</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ودلالة الرواية على الاعتداد واضحة، وإنما قلنا إنّ الرواية معتبرة فلأنّ فيها القاسم بن عروة وقد تقدم أنّه يمكن القول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هاتين الروايتين تدلان على الاجتزاء بما أتى به المكلف من الصلاة خلفهم من دون حاجة إلى الإعادة قبل الصلاة معهم أو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سعد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علي بن سعيد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نازل في قوم بني عدي، ومؤذنهم وإمامهم وجميع أهل المسجد عثمانية يبرؤن منكم ومن شيعتكم، وأنا نازل فما ترى في الصلاة خلف الإمام؟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خلفه واحتسب بما تسمع، ولو قدمت البصرة لقد سألك الفضيل بن يسار وأخبرته بما أفتيتك فتأخذ بقول الفضيل وتدع قولي،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البصرة فأخبرت فضيلاً بما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بما قال ولكني قد سمعته وسمعت أباه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تعتد بالصلاة خلف الناصبي، واقرأ لنفسك كأنك وحدك</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وأورد صاحب الوسائل هذه الرواية في موضع آخر</w:t>
      </w:r>
      <w:r>
        <w:rPr>
          <w:rStyle w:val="FootnoteAnchor"/>
          <w:rtl w:val="true"/>
        </w:rPr>
        <w:footnoteReference w:id="1048"/>
      </w:r>
      <w:r>
        <w:rPr>
          <w:rFonts w:ascii="Amiri" w:hAnsi="Amiri" w:eastAsia="Amiri" w:cs="Amiri"/>
          <w:color w:val="111111"/>
          <w:sz w:val="28"/>
          <w:sz w:val="28"/>
          <w:szCs w:val="28"/>
          <w:rtl w:val="true"/>
          <w:lang w:bidi="ar-SA"/>
        </w:rPr>
        <w:t>وفيها علي بن سعيد كما ذكرنا، ومحل الشاهد من هذه الرواية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واحتسب بما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ذيل الرواية يدل على عدم الاجتزاء، وسيأتي الكلام عنذلك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صاحب المستدرك نقلاً عن التهذيب عن سعد بن عبد الله، عن موسى بن الحسن والحسن بن علي، عن أحمد بن هلال عن أحمد بن محمّد بن أبي نصر، عن أحمد بن عائذ،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مع هؤلاء في </w:t>
      </w:r>
    </w:p>
    <w:p>
      <w:pPr>
        <w:pStyle w:val="BookText"/>
        <w:rPr/>
      </w:pPr>
      <w:r>
        <w:rPr>
          <w:rFonts w:ascii="Amiri" w:hAnsi="Amiri" w:eastAsia="Amiri" w:cs="Amiri"/>
          <w:color w:val="111111"/>
          <w:sz w:val="28"/>
          <w:sz w:val="28"/>
          <w:szCs w:val="28"/>
          <w:rtl w:val="true"/>
          <w:lang w:bidi="ar-SA"/>
        </w:rPr>
        <w:t>صلاة المغرب فيعجلون إليّ من أن أذن وأقيم فلا أقرأ شيئاً حتى إذا ركعوا واركع معهم فيجزؤني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وهذه الرواية صريحة الدلالة على الاجتزاء بقراءتهم، وأما من جهة السند فعلى مبنى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معتبر لأنّ فيه أحمد بن هلال وهو ثقة عنده</w:t>
      </w:r>
      <w:r>
        <w:rPr>
          <w:rStyle w:val="FootnoteAnchor"/>
          <w:rtl w:val="true"/>
        </w:rPr>
        <w:footnoteReference w:id="1050"/>
      </w:r>
      <w:r>
        <w:rPr>
          <w:rFonts w:ascii="Amiri" w:hAnsi="Amiri" w:eastAsia="Amiri" w:cs="Amiri"/>
          <w:color w:val="111111"/>
          <w:sz w:val="28"/>
          <w:sz w:val="28"/>
          <w:szCs w:val="28"/>
          <w:rtl w:val="true"/>
          <w:lang w:bidi="ar-SA"/>
        </w:rPr>
        <w:t>، وأما على ما ذهبنا إليه فالسند غير معتبر كما حققنا ذلك في محله، وأما الحسن بن علي فهو وإن لم يوثق إلاّ أن معه آخر وهو موسى بن الحسن وهو ثقة</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على مبنى السيد معتبرة السند واضحة الدلالة، وسيأتي الكلام حولها عند الجمع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الروايات التي تدل على الحضور في جماعتهم وتشييع جنائزهم وقد تقدمت جملة منها، وسيأتي البحث حول هذا الموضوع تحت عنوان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طوائف النحو الثاني من الروايات فهي أربع طوائف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عدم جواز الاقتداء خلف المخالف ممن لا يعتقد بالولاية،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خلف المخالفين؟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عندي إلاّ بمنزلة الجدر</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عبد الله البرقي،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الصلاة خلف من وقف على أبيك وجدك؟ فأجاب لا تصل وراءه</w:t>
      </w:r>
      <w:r>
        <w:rPr>
          <w:rStyle w:val="FootnoteAnchor"/>
          <w:rtl w:val="true"/>
        </w:rPr>
        <w:footnoteReference w:id="105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خاصة بالواقفة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إلى المأمونقال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يقتدى إلاّ بأهل الولاية</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 xml:space="preserve">وهذه الرواية وإن كانت صريحة الدلالة إلاّ أنّ الكلام في الطريق إلى الفضل بن شاذان لكتابه العلل، وقد وقع الخلاف في أنّ الفضل بن شاذان أدرك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ومع الإغماض عن ذلك فإنّ الطريق إلى روايات الفضل فيه علي بن محمّد بن قتيبة، وبناء على عدم وثاقته لا يمكن الاستدلال بهذه الرواية، نعم روى الشيخ الصدوق في العيون عن أبي عبد الله الشاذاني أنّه سأل الفضل بن شاذان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جمعتها من الإمام</w:t>
      </w:r>
      <w:r>
        <w:rPr>
          <w:rStyle w:val="FootnoteAnchor"/>
          <w:rtl w:val="true"/>
        </w:rPr>
        <w:footnoteReference w:id="1055"/>
      </w:r>
      <w:r>
        <w:rPr>
          <w:rFonts w:ascii="Amiri" w:hAnsi="Amiri" w:eastAsia="Amiri" w:cs="Amiri"/>
          <w:color w:val="111111"/>
          <w:sz w:val="28"/>
          <w:sz w:val="28"/>
          <w:szCs w:val="28"/>
          <w:rtl w:val="true"/>
          <w:lang w:bidi="ar-SA"/>
        </w:rPr>
        <w:t>فإن فهم من ذلك أنّ الشاذاني راو عن الفضل فحينئذ يتعدد الطريق إلى الفضل، ولابد من الرجوع إلى كتاب العيون لملاحظة ما إذا أمكن الاستفادة منه أنّ الشاذاني يروي عنه كتاب العلل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الشاذاني معاصر للكشي كما أنّه معاصر للصدوق أيضاً، ومن هنا فإن الصدوق يروي عنه بلا واسطة وحينئذ يقع الكلام في وثاقته، فإن كان ثقة أمكن تصحيح الطريق إلى روايات الفضل بن شاذان، وسيأتي أنّ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وثاقته، وهو وإن لم يرد التصريح بوثاقته إلاّ أنّه يمكن استظهار حسنه من كثير من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تصحيح الطريق إلى الفضل بن شاذان يتوقف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الشاذاني وروايته عن الفضل كتاب العلل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خلف من يشهد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بالكفر، ولا خلف من شهدت عليه بالكفر</w:t>
      </w:r>
      <w:r>
        <w:rPr>
          <w:rStyle w:val="FootnoteAnchor"/>
          <w:rtl w:val="true"/>
        </w:rPr>
        <w:footnoteReference w:id="105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بإطلاقها تشمل بعض المخالفين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إسماعيل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يحب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يتبرأ من عدوه،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أحبّ إليّ ممن خالفه؟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مخلط وهو عدو، فلا تصل خلفه ولا كرامة، إلاّ أن تتقيه</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وهذه الرواية شاملة لكل المخالفين لأنهم لا يبرؤن من عدو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على لزوم القراءة خلف من لا يقتدى به وهي عدة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خلف من لا يقتدى بصلاته، والإمام يجهر بالقراءة؟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لنفسك وإن لم تسمع نفسك فلا بأس</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وهذه الرواية شاملة للمخالف وغيره وإن كانت ظاهرة في خصوص المخالف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إبراهيم بن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الصلاة خلف من يتولى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يرى المسح على الخفين أو خلف من يحرم المسح وهو يمسح؟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جامعك وإياهم موضع فلم تجد بداً من الصلاة فأذن لنفسك وأقم، فإن سبقك إلى القراءة فسبح</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منها العامة إذ ليس في الشيعة من يرى المسح على الخفين، نعم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وهو يمسح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من الخاصة وإنما مسح للتقية، ومحل الشاهد من الرواية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لنفسك وأقم،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سبقك إلى القراءة فسبح فلعل المراد السبق بالنسبة إلى الأذان والإقامة ويحتمل السبق في </w:t>
      </w:r>
    </w:p>
    <w:p>
      <w:pPr>
        <w:pStyle w:val="BookText"/>
        <w:rPr/>
      </w:pPr>
      <w:r>
        <w:rPr>
          <w:rFonts w:ascii="Amiri" w:hAnsi="Amiri" w:eastAsia="Amiri" w:cs="Amiri"/>
          <w:color w:val="111111"/>
          <w:sz w:val="28"/>
          <w:sz w:val="28"/>
          <w:szCs w:val="28"/>
          <w:rtl w:val="true"/>
          <w:lang w:bidi="ar-SA"/>
        </w:rPr>
        <w:t>القراءة فيجعل التسبيح بدلاً عنها كما سيأتي في الطائفة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أسباط عن بعض أصحابه عن أبي عبد الله 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يكون خلف الإمام لا يقتدى به فيسبقه الإمام بالقراءة؟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قد قرأ أم الكتاب أجزأه يقطع ويركع</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وهذه الرواية وإن كانت مرسلة إلاّ أنها صالحة للتأييد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أحمد بن محمّد بن أبي نصر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أدخل مع هؤلاء في صلاة المغرب فيعجلون إلي ما أن أؤذن وأقيم ولا أقرأ إلاّ الحمد حتى يركع أيجزيني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يجزيك الحمد وحدها</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وسيأتي الكلام حول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خلف إماملا يقتدى به فاقرأ خلفه سمعت قراءته أو لم تسمع</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قرب الاسناد عن الحسن بن ظريف، عن الحسين بن علوان،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يقرآن خلف الإمام</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ويدخل في هذه الطائفة الروايات الدالة على استحباب ذكر الله بعد الفراغ من القراءة قبل الإمام،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مع الإمام فأفرغ من القراءة قبل أن يفرغ،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 آية ومجد الله واثن عليه، فإذا فرغ فاقرأ الآية واركع</w:t>
      </w:r>
      <w:r>
        <w:rPr>
          <w:rStyle w:val="FootnoteAnchor"/>
          <w:rtl w:val="true"/>
        </w:rPr>
        <w:footnoteReference w:id="1064"/>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عندنا مصلى </w:t>
      </w:r>
    </w:p>
    <w:p>
      <w:pPr>
        <w:pStyle w:val="BookText"/>
        <w:rPr/>
      </w:pPr>
      <w:r>
        <w:rPr>
          <w:rFonts w:ascii="Amiri" w:hAnsi="Amiri" w:eastAsia="Amiri" w:cs="Amiri"/>
          <w:color w:val="111111"/>
          <w:sz w:val="28"/>
          <w:sz w:val="28"/>
          <w:szCs w:val="28"/>
          <w:rtl w:val="true"/>
          <w:lang w:bidi="ar-SA"/>
        </w:rPr>
        <w:t>لا نصلي فيه، وأهله نصاب، وإمامهم مخالف، فأتم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قرأ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نفدت السورة قبل أن يفرغ؟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وكبر، إنما هو بمنزلة القنوت وكبر وهلل</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عمر بن أبي شعبة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مع الإمام فأفرغ قبل أن يفرغ من قراءته؟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 السورة ومجد الله واثن عليه حتى يفرغ</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جعل الصلاة خلف المخالف صلاة تطوع من دون ائتمام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رواية عمر بن ربيع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سأل عن الإمام إن لم أكن أثق به أصلي خلفه وأقرأ؟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صل قبله أو بعده،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أفأصلي خلفه وأجعلها تطوعاً؟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التطوع لقبلت الفريضة، ولكن اجعلها سبحة</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ومحل الشاهد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اجعلها سبحة، إلاّ أنّ الإشكال في سند الرواية وقد تقدم الكلام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ناصح المؤذن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أصلي فيالبيت وأخرج إليهم؟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نافلة، ولا تكبر معهم فتدخل معهم في الصلاة فإن مفتاح الصلاة التكبير</w:t>
      </w:r>
      <w:r>
        <w:rPr>
          <w:rStyle w:val="FootnoteAnchor"/>
          <w:rtl w:val="true"/>
        </w:rPr>
        <w:footnoteReference w:id="106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أنّ المصلي خلف المخالف يأتي بوظيفة المنفرد </w:t>
      </w:r>
    </w:p>
    <w:p>
      <w:pPr>
        <w:pStyle w:val="BookText"/>
        <w:rPr/>
      </w:pPr>
      <w:r>
        <w:rPr>
          <w:rFonts w:ascii="Amiri" w:hAnsi="Amiri" w:eastAsia="Amiri" w:cs="Amiri"/>
          <w:color w:val="111111"/>
          <w:sz w:val="28"/>
          <w:sz w:val="28"/>
          <w:szCs w:val="28"/>
          <w:rtl w:val="true"/>
          <w:lang w:bidi="ar-SA"/>
        </w:rPr>
        <w:t>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علي إذا صلوا الجمعة في وقت فصلوا معهم، ولا تقومن من مقعدك حتى تصلي ركعتين أخريين،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فأكون قد صليت أربعاً لنفسي لم أقتد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رووا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صلى أربع ركعات بعد الجمعة لم يفصل بينهن بتسليم،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خلف فاسق فلما سلم وانصرف 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أربع ركعات لم يفصل بينهن بتسليم، فقال له رجل إلى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صليت أربع ركعات لم تفصل بينهن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أربع ركعات مشبّهات وسكت، فوالله ما عقل ما قال له</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إنا نصلي مع هؤلاء يوم الجمعة وهم يصلون في الوقت فكيف نصنع؟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معهم فخرج حمران إلى زرارة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أمرنا أن نصلي معهم بصلاتهم 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يكون إلاّ بتأويل، 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حتى نسمع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عليه فقال له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حمران أخبرنا عنك أنك أمرتنا أن نصلي معهم فأنكرت ذلك؟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معهم الركعتين، فإذا فرغوا قام فأضاف إليها ركعتين</w:t>
      </w:r>
      <w:r>
        <w:rPr>
          <w:rStyle w:val="FootnoteAnchor"/>
          <w:rtl w:val="true"/>
        </w:rPr>
        <w:footnoteReference w:id="107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والرواية تدل على أنّ المصلي معهم يأتي بوظيفة المنفرد، ويحتمل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بطلان الصلاة في نفسها لأنّ هؤلاء ليسوا أهلاً لإقامة صلاة الجمعة لاختصاصها بالمعصوم أو الإمام العادل على الخلاف في المسألة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يصلي فخرج الإمام وقد صلى الرجل ركعة من صلاة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إماماً عدلاً فليصل أخرى وينصرف ويجعلها تطوعاً وليدخل مع الإمام في صلاته كما هو، وإن لم يكن إمام عدل فليبن على صلاته كما هو، ويصلي ركعة أخرى ويجلس قدر ما يقول أشهد أن لا إله إلاّ الله وحده لا شريك له وأشهد أنّ محمداً عبده ورسوله، ثمّ ليتم صلاته معه على ما استطاع، فإنّ التقية واسعة وليس شيء من التقية إلاّ وصاحبها مأجور عليها إن شاء الله</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والمستفاد من هذه الرواية أنّ المكلف يأتي بوظيفة المنفرد وإن أظهر ذلك في صورة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إذ جاءه رجل فدخل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رجل جار مسجد لقومي فإذا أنا لم أصل معهم وقعوا فيَّ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هكذا وهكذا،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لئن قلت ذلك لقد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النداء فلم يجبه من غير علّة فلا صلاة له، فخرج 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الصلاة معهم وخلف كل إمام، فلما خرج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كبر علي قولك لهذا الرجل حين استفتاك، فإن لم يكونوا 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أراك بعد إلاّ هاهنا يا زرارة فأية علة تريد أعظم من أنّه لا يأتم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أما تراني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في مساجدكم وصلوا مع أئمتكم</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والمستفاد من هذه الرواية أنّ الإمام لم يجوز الصلاة خلف المخالف إلاّ أن الراوي توهم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له ذلك، ويحتمل أن تكون القضية خاصة بهذا الشخص، والنتيجة أنّ الصلاة خلفهم غير جائزة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جملة من الروايات المجوزة والمانعة ولعل هناك روايات أخرى إلاّ </w:t>
      </w:r>
      <w:bookmarkStart w:id="312" w:name="pg16387_188455"/>
    </w:p>
    <w:p>
      <w:pPr>
        <w:pStyle w:val="BookText"/>
        <w:rPr/>
      </w:pPr>
      <w:bookmarkEnd w:id="312"/>
      <w:r>
        <w:rPr>
          <w:rFonts w:ascii="IRNazanin" w:hAnsi="IRNazanin" w:eastAsia="IRNazanin"/>
          <w:color w:val="111111"/>
          <w:sz w:val="28"/>
          <w:sz w:val="28"/>
          <w:szCs w:val="28"/>
          <w:rtl w:val="true"/>
          <w:lang w:bidi="fa-IR"/>
        </w:rPr>
        <w:t xml:space="preserve">أنها لا تخرج عن إحدى هذه الطوائف الثمان، وهنا لابد من الكلام حول كيفية الجمع بين هذه الروايات واستفادة الحكم منها، وهذا هو محل الكلام في البحث التالي، وسنشير إلى ما كان عليه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الأصحاب واستفادة الفقهاء</w:t>
      </w:r>
      <w:r>
        <w:rPr>
          <w:rFonts w:eastAsia="IRNazanin" w:cs="IRNazanin"/>
          <w:color w:val="111111"/>
          <w:sz w:val="28"/>
          <w:szCs w:val="28"/>
          <w:rtl w:val="true"/>
          <w:lang w:bidi="fa-IR"/>
        </w:rPr>
        <w:t>.</w:t>
      </w:r>
    </w:p>
    <w:p>
      <w:pPr>
        <w:pStyle w:val="Heading3"/>
        <w:numPr>
          <w:ilvl w:val="2"/>
          <w:numId w:val="1"/>
        </w:numPr>
        <w:rPr/>
      </w:pPr>
      <w:bookmarkStart w:id="313" w:name="__RefHeading___Toc6877855_1280447820"/>
      <w:bookmarkStart w:id="314" w:name="_Toc105"/>
      <w:bookmarkEnd w:id="313"/>
      <w:r>
        <w:rPr>
          <w:rtl w:val="true"/>
        </w:rPr>
        <w:t>الجمع بين الروايات</w:t>
      </w:r>
      <w:r>
        <w:rPr>
          <w:rtl w:val="true"/>
        </w:rPr>
        <w:t>:</w:t>
      </w:r>
      <w:bookmarkEnd w:id="314"/>
    </w:p>
    <w:p>
      <w:pPr>
        <w:pStyle w:val="BookText"/>
        <w:rPr/>
      </w:pPr>
      <w:r>
        <w:rPr>
          <w:rFonts w:ascii="Amiri" w:hAnsi="Amiri" w:eastAsia="Amiri" w:cs="Amiri"/>
          <w:color w:val="111111"/>
          <w:sz w:val="28"/>
          <w:sz w:val="28"/>
          <w:szCs w:val="28"/>
          <w:rtl w:val="true"/>
          <w:lang w:bidi="ar-SA"/>
        </w:rPr>
        <w:t>إنّ ما استفاده الفقهاء قدس الله أسرارهم لا يخرج عن مفاد هذه الروايات وترجع كلماتهم إلى خصوصيات ومقتضيات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يستفاد من مجموع كلماتهم أنّ المكلف إذا صلى خلف المخالف فلابدّ له من الإتيان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بوظيفة المنفرد في جميع أفعال الصلاة، وإنما كان الاقتداء بالمخالف صورياً لا واقعياً، ويلزم المكلف حينئذ أن يأتي بالقراءة وسائر الأذكار وأن يراعي أحكام الزيادة والنقصان وغيرهما مما يغتفر في صلاة الجماعة، بل نص بعضهم على الإتيان بالأذان والإقامة كما هو مفاد بعض الروايات، وادعي في ذلك عدم الخلاف، ونسب إلى العلامة في المنتهى ، وإلى السرائر</w:t>
      </w:r>
      <w:r>
        <w:rPr>
          <w:rStyle w:val="FootnoteAnchor"/>
          <w:rtl w:val="true"/>
        </w:rPr>
        <w:footnoteReference w:id="1074"/>
      </w:r>
      <w:r>
        <w:rPr>
          <w:rFonts w:ascii="Amiri" w:hAnsi="Amiri" w:eastAsia="Amiri" w:cs="Amiri"/>
          <w:color w:val="111111"/>
          <w:sz w:val="28"/>
          <w:sz w:val="28"/>
          <w:szCs w:val="28"/>
          <w:rtl w:val="true"/>
          <w:lang w:bidi="ar-SA"/>
        </w:rPr>
        <w:t>، وهو خيرة المقنع</w:t>
      </w:r>
      <w:r>
        <w:rPr>
          <w:rStyle w:val="FootnoteAnchor"/>
          <w:rtl w:val="true"/>
        </w:rPr>
        <w:footnoteReference w:id="1075"/>
      </w:r>
      <w:r>
        <w:rPr>
          <w:rFonts w:ascii="Amiri" w:hAnsi="Amiri" w:eastAsia="Amiri" w:cs="Amiri"/>
          <w:color w:val="111111"/>
          <w:sz w:val="28"/>
          <w:sz w:val="28"/>
          <w:szCs w:val="28"/>
          <w:rtl w:val="true"/>
          <w:lang w:bidi="ar-SA"/>
        </w:rPr>
        <w:t>، والهداية</w:t>
      </w:r>
      <w:r>
        <w:rPr>
          <w:rStyle w:val="FootnoteAnchor"/>
          <w:rtl w:val="true"/>
        </w:rPr>
        <w:footnoteReference w:id="1076"/>
      </w:r>
      <w:r>
        <w:rPr>
          <w:rFonts w:ascii="Amiri" w:hAnsi="Amiri" w:eastAsia="Amiri" w:cs="Amiri"/>
          <w:color w:val="111111"/>
          <w:sz w:val="28"/>
          <w:sz w:val="28"/>
          <w:szCs w:val="28"/>
          <w:rtl w:val="true"/>
          <w:lang w:bidi="ar-SA"/>
        </w:rPr>
        <w:t>، والنهاية</w:t>
      </w:r>
      <w:r>
        <w:rPr>
          <w:rStyle w:val="FootnoteAnchor"/>
          <w:rtl w:val="true"/>
        </w:rPr>
        <w:footnoteReference w:id="1077"/>
      </w:r>
      <w:r>
        <w:rPr>
          <w:rFonts w:ascii="IRNazanin" w:hAnsi="IRNazanin" w:eastAsia="IRNazanin"/>
          <w:color w:val="111111"/>
          <w:sz w:val="28"/>
          <w:sz w:val="28"/>
          <w:szCs w:val="28"/>
          <w:rtl w:val="true"/>
          <w:lang w:bidi="fa-IR"/>
        </w:rPr>
        <w:t>، والمبسوط</w:t>
      </w:r>
      <w:r>
        <w:rPr>
          <w:rStyle w:val="FootnoteAnchor"/>
          <w:rtl w:val="true"/>
        </w:rPr>
        <w:footnoteReference w:id="1078"/>
      </w:r>
      <w:r>
        <w:rPr>
          <w:rFonts w:ascii="Amiri" w:hAnsi="Amiri" w:eastAsia="Amiri" w:cs="Amiri"/>
          <w:color w:val="111111"/>
          <w:sz w:val="28"/>
          <w:sz w:val="28"/>
          <w:szCs w:val="28"/>
          <w:rtl w:val="true"/>
          <w:lang w:bidi="ar-SA"/>
        </w:rPr>
        <w:t>، واللمعة والروضة</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قبل انعقاد جماعتهم أو بعدها كما ورد ذلك في عدة من الروايات كما تقدم، ويجعل الصلاة معهم نافلة وتطوعاً من دون اقتداء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الاجتزاء والاعتداد بالصلاة خلفهم من دون أحد الأمرين فهو محل </w:t>
      </w:r>
    </w:p>
    <w:p>
      <w:pPr>
        <w:pStyle w:val="BookText"/>
        <w:rPr/>
      </w:pPr>
      <w:r>
        <w:rPr>
          <w:rFonts w:ascii="Amiri" w:hAnsi="Amiri" w:eastAsia="Amiri" w:cs="Amiri"/>
          <w:color w:val="111111"/>
          <w:sz w:val="28"/>
          <w:sz w:val="28"/>
          <w:szCs w:val="28"/>
          <w:rtl w:val="true"/>
          <w:lang w:bidi="ar-SA"/>
        </w:rPr>
        <w:t>إشكال بل منع، وقد صرح بعضهم بعدم الاجتزاء وحكم بوجوب الإعادة كما سيأتي فيما إذا لم يأت بالقراءة ولو بالفاتحة، إلاّ أن بعضهم استظهر من الأدلة الاجتزاء كما يظهر من صاحب المستند</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ولابد من الفحص في هذه الصورة لمعرفة كيفية الاستفادة من ذلك، ولعلنا نشير إلى بعض هذا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في المقام هو النظر إلى نفس الروايات وما يستفاد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نستفيده من خلال التأمل في جميع هذه الروايات والقرائن الحافة بها أنها بأسرها غير متنافية بل هي قابلة للجمع إلاّ ما يتراءى بدواًمن منافاة الطائفة الثالثة من الروايات المجوزة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الطوائف فلا تنافي بينها وبيان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الطائفة الأولى واردة في مقام الترغيب ولا دلالة فيها على الاقتداء وكيفية الائتمام بالمخالف فهي مطلقة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 فكذلك لأنّ فيها بيان وظيفة المكلف وأن عليه أن يصلي من قبل أو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الرابعة فهي تدل على الحضور إلى مساجدهم وهو أعم من الائتمام وعدمه، فهي مطلقة ولا دلالة فيها على الاجتزاء بالصلاة خلف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الطوائف الثلاث المجوزة لا تنافي الروايات المانعة ويبقى الكلام في الطائفة الثالثة فإنّ الظاهر منها المنافاة بينها وبين الروايات المانعة وقد يتمسك بروايات الطائفة الثالثة للقول بجواز الاعتداد بالصلاة خلف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هذه الطائفة كما ذكرنا أربع روايات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الرواية الأولى وهي رواية إسحاق بن عمار فالكلام فيها تارة من جهة </w:t>
      </w:r>
    </w:p>
    <w:p>
      <w:pPr>
        <w:pStyle w:val="BookText"/>
        <w:rPr/>
      </w:pPr>
      <w:r>
        <w:rPr>
          <w:rFonts w:ascii="Amiri" w:hAnsi="Amiri" w:eastAsia="Amiri" w:cs="Amiri"/>
          <w:color w:val="111111"/>
          <w:sz w:val="28"/>
          <w:sz w:val="28"/>
          <w:szCs w:val="28"/>
          <w:rtl w:val="true"/>
          <w:lang w:bidi="ar-SA"/>
        </w:rPr>
        <w:t>السند وأخرى من جهة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السند ففيه محمّد بن الحصين ومحمّد بن الفضيل أما الأول فهو غير معروف وإن ورد في تفسير القمي إلاّ أنّه في القسم الثاني</w:t>
      </w:r>
      <w:r>
        <w:rPr>
          <w:rStyle w:val="FootnoteAnchor"/>
          <w:rtl w:val="true"/>
        </w:rPr>
        <w:footnoteReference w:id="1081"/>
      </w:r>
      <w:r>
        <w:rPr>
          <w:rFonts w:ascii="Amiri" w:hAnsi="Amiri" w:eastAsia="Amiri" w:cs="Amiri"/>
          <w:color w:val="111111"/>
          <w:sz w:val="28"/>
          <w:sz w:val="28"/>
          <w:szCs w:val="28"/>
          <w:rtl w:val="true"/>
          <w:lang w:bidi="ar-SA"/>
        </w:rPr>
        <w:t>فلا يشمله التوثيق، وأما الثاني فهو وإن كان مشتركاً إلاّ أنّه ينصرف إلى الأزدي وهو غير موثق بل معروف بالضعف، واحتمال أنّه محمّد بن القاسم بن الفضيل مردود وقد قرر ذلك السيد الأستاذ في المعجم فلاحظ</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وأما من جهة الدلالة ففيها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ذيل الرواية عدم الإجزاء فإن سؤال إسحاق بن عمار عن وظيفته عند عدم التمكن من الأذان والإقامة والتكبير يكشف عن علمه بأن وظيفته الانفراد، ثمّ إن كان مراده من التكبير هو تكبيرة الإحرام فلم تنعقد الجماعة ولم يتحقق الائتمام منه فالصلاة حينئذ باطلة،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التكبير غير تكبيرة الإحرام، ومع الغضّ عن هذا فإنّ المستفاد أن إسحاق يعلم أن وظيفته أن يأتي بصلاته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 الرواية قرينة على أنّ الحكم خاص بهذا الشخص إذ أنّه في مقام الاضطرار فلا يتعدى إلى غيره وشاهده ما جرى بينه وبينهم من المحاورة وقول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لم يأمرني إلاّ وهو يخاف عليّ هذا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ذلك أنّ الحكم فيها استثنائي ولا يشمل من عداه، والنتيجة أن الرواية سنداً ودلالة محل نظر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الثانية وهي معتبرة زرارة فهي من حيث السند لا إشكال فيها فإننا رجحنا وثاقة القاسم بن عروة لوقوعه في المستثنى منه في كتاب نوادر الحكمة، مضافاً إلى رواية ابن أبي عمير عنه وإن كان على مبنى السيد الأستاذ وغيره ممن يرى التوثيق الصريح فالرواية غير معتبرة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حيث الدلالة فهذه </w:t>
      </w:r>
    </w:p>
    <w:p>
      <w:pPr>
        <w:pStyle w:val="BookText"/>
        <w:rPr/>
      </w:pPr>
      <w:r>
        <w:rPr>
          <w:rFonts w:ascii="IRNazanin" w:hAnsi="IRNazanin" w:eastAsia="IRNazanin"/>
          <w:color w:val="111111"/>
          <w:sz w:val="28"/>
          <w:sz w:val="28"/>
          <w:szCs w:val="28"/>
          <w:rtl w:val="true"/>
          <w:lang w:bidi="fa-IR"/>
        </w:rPr>
        <w:t>الرواية معارضة بالروايات المتعددة والناهية عن الصلاة خلف المخالف بل هي مخالفة لما رواه نفس زرارة فإنه 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خلف المخالفين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عندي إلاّ بمنزلة الجدر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السؤال عن الصلاة خلف المخالف وهو أعم من الناصب وغيره فيكون الناصب من باب 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أنّ هذه الرواية مخالفة لرأي زرارة نفسه ويدل على ذلك ما تقدم من محاورته لحمران بن أعين وقوله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يكون إلاّ بتأويل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أيضاً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جعلت فداك كبر عليّ قولك لهذا الرجل حين استفتاك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هناك روايات أخرى ذكرناها كصحيحة الحلبي والفضيل وصفوان وبعضها وارد في خصوص الناصب فهذه الرواية شاذة ولا يمكن الأخذ بها فلابد من رد علمها إلى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غضّ النظر عن ذلك كله فلا يستفاد من الرواية التعميم إذ الوارد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قراءته يجزيك إذا سمعتها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منها حالة مخصوصة أي في هذه الحالة أما أنّه يعمم إلى بقية الصلوات فليس في الرواية ما يدل على ذلك، فلا تكون الرواية دالة على صحة الصلاة مطلقاً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رواية علي بن سعيد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من جهة السند غير معتبرة فإنّ البصري لم يوثق، وأما من جهة الدلالة فإنّ صدر الرواية وذيلها يدلان على التقية، وقد صرّحت الرواية بعدم الاعتداد بالصلاة خلف الناصب، فالرواية مختصة بشخص خاص في قضية خاصة في وقت خاص، ولم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الحكم الواقعي وشاهده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فتأخذ بقول الفضيل وتدع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فيعلم من ذلك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وظيفة هذا الشخص في حالة خاصة فلايمكن الاعتماد على هذه الرواية لا من حيث السند ولا من حيث الدلالة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الرواية الرابعة وهي رواية أحمد بن عائذ فهي مختلفة في السند والمتن فإنّ صاحب الوسائل أورد الرواية بنفس السند باستثناء أحمد بن عائذ وفي المتن إضافة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الحمد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جعلنا هذه الرواية في الطائفة الثانية الدالة على لزوم الإتيان بالقراءة، فيحتمل أنهما سندان لرواية واحدة ينتهي الأول إلى أحمد بن عائذ، والثاني إلى ابن أبي نصر، وقد ذكر في أحوال ابن أبي نصر أنّ له ثلاثة كتب اثنين منها بعنوان النوادر</w:t>
      </w:r>
      <w:r>
        <w:rPr>
          <w:rStyle w:val="FootnoteAnchor"/>
          <w:rtl w:val="true"/>
        </w:rPr>
        <w:footnoteReference w:id="1083"/>
      </w:r>
      <w:r>
        <w:rPr>
          <w:rFonts w:ascii="Amiri" w:hAnsi="Amiri" w:eastAsia="Amiri" w:cs="Amiri"/>
          <w:color w:val="111111"/>
          <w:sz w:val="28"/>
          <w:sz w:val="28"/>
          <w:szCs w:val="28"/>
          <w:rtl w:val="true"/>
          <w:lang w:bidi="ar-SA"/>
        </w:rPr>
        <w:t>وطريق الشيخ والنجاشي إلى كتاب النوادر المعروف واحد</w:t>
      </w:r>
      <w:r>
        <w:rPr>
          <w:rStyle w:val="FootnoteAnchor"/>
          <w:rtl w:val="true"/>
        </w:rPr>
        <w:footnoteReference w:id="1084"/>
      </w:r>
      <w:r>
        <w:rPr>
          <w:rFonts w:ascii="Amiri" w:hAnsi="Amiri" w:eastAsia="Amiri" w:cs="Amiri"/>
          <w:color w:val="111111"/>
          <w:sz w:val="28"/>
          <w:sz w:val="28"/>
          <w:szCs w:val="28"/>
          <w:rtl w:val="true"/>
          <w:lang w:bidi="ar-SA"/>
        </w:rPr>
        <w:t>، فيمكن تصحيح الطريق إليه وإن كان فيه أحمد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الكلام في كتاب النوادر الثاني فإنّ له طريقاً مختصاً به وفيه أحمد بن هلال</w:t>
      </w:r>
      <w:r>
        <w:rPr>
          <w:rStyle w:val="FootnoteAnchor"/>
          <w:rtl w:val="true"/>
        </w:rPr>
        <w:footnoteReference w:id="1085"/>
      </w:r>
      <w:r>
        <w:rPr>
          <w:rFonts w:ascii="Amiri" w:hAnsi="Amiri" w:eastAsia="Amiri" w:cs="Amiri"/>
          <w:color w:val="111111"/>
          <w:sz w:val="28"/>
          <w:sz w:val="28"/>
          <w:szCs w:val="28"/>
          <w:rtl w:val="true"/>
          <w:lang w:bidi="ar-SA"/>
        </w:rPr>
        <w:t>أيضاً وليس له طرق متعددة حتى نتمكن من تصحيح الكتاب بها أو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أنّهما رواية واحدة سقط من أحدهما شخص من سندها ومن الأخرى جملة من متنها وصدر السند والمتن في كل منهما واحد، وبناء على ذلك فلا يمكن الاعتماد على الرواية في مقام الاستدلال، ومع الإغماض عن ذلك فإنّ الرواية غير تامة السند من جهة أحمد بن هلال فإنه ضعيف ووردت اللعنة عليه والأمر بالبراءة منه وقد ذكرنا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ما ذهب إليه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ثقة في نفسه وإن كان فاسد العقيدة فسند الرواية معتبر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جهة الدلالة فمضافاً إلى ما ذكرنا من اختلاف المتن أنّ هذه الرواية فيها دلالة على أنّ السائل يعلم أنّ وظيفته الإتيان بالصلاة منفرداً ولهذا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فيعجلوني إلى ما أن أوذن وأقيم ولا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يمكنه ذلك لأتى بوظيفة المنفرد فبناء على صحة المتن فالرواية خاصة بمورد شخصي ولا تعميم فيها، ويبقى الكلام في سند الرواية فإنه محل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الروايات التي تمسك بها على الإجزاء مخدوشة سنداً ودلالة، فالإفتاء بالاجتزاء بالصلاة خلف المخالف لم نرَ له وجهاً، هذا بالنسبة إلى الروايات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بالنسبة إلى عمل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يعملون بوظيفة المنفرد معهم في الصلاة كما في صحيحة زرارة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أربع ركعات ولم يفصل بينهن بتسليم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صحيحة حمران بن أعين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الحسين بن علي يصلي معهم الركعتين فإذا فرغوا قام فأضاف إليها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قرب الاسناد وسندها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الحسن والحسين يقرأن خلف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عبيد بن زرارة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أنا فأصلي معهم وأريهم أني أسجد وما أسجد</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 xml:space="preserve">وغيرها من الروايات والمستفاد منها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يعتدون بالصلاة خلفهم ويأتون بالصلاة منفردين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بالنسبة إلى عمل الأصحاب فالمستفاد من الروايات المتقدمة هو أنّ الوظيفة هي الانفراد، ويدل على ذلك جواب الفضيل لعلي بن سعيد البصري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ولكني قد سمعته وسمعت أباه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 بالصلاة خلف الناصبي واقرأ لنفسك كأنك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مر من محاورة زرارة مع حمران، ورواية إسحاق بن عمار، ورواية أحمد بن عائذ أو ابن أبي نصر من أن وظيفتهم هي الانفراد وغيرها من الموارد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ذلك ما أورده صاحب المستدرك عن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p>
    <w:p>
      <w:pPr>
        <w:pStyle w:val="BookText"/>
        <w:rPr/>
      </w:pPr>
      <w:r>
        <w:rPr>
          <w:rFonts w:ascii="Amiri" w:hAnsi="Amiri" w:eastAsia="Amiri" w:cs="Amiri"/>
          <w:color w:val="111111"/>
          <w:sz w:val="28"/>
          <w:sz w:val="28"/>
          <w:szCs w:val="28"/>
          <w:rtl w:val="true"/>
          <w:lang w:bidi="ar-SA"/>
        </w:rPr>
        <w:t>أبو عبد الله الشاذاني أبا محمّد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ربما صلينا مع هؤلاء صلاة المغرب فلا نحب أن ندخل البيت عند خروجنا من أهل المسجد فيتوهموا علينا أن دخولنا المنزل ليس إلاّ لإعادة الصلاة التي صلينا معهم فندافع بصلاة المغرب إلى صلاة العتمة،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هذا من ضيق صدوركم ما عليكم لو صليتم معهم فتكبروا في مرة ثلاثاً أو خمس تكبيرات وتقرأ في كل ركعة الحمد 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سورة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تتموها عندما يتم إمامهم، وتقول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وبحمده، بقدر ما يتأتى لكم معهم، وفي السجود مثل ذلك، وتسلموا معهم، وقد تمت صلاتكم لأنفسكم، وليكن الإمام عندكم والحائط بمنزلة واحدة، فإذا فرغ من الفريضة فقوموا معهم فصلوا السنّة بعدها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أفليس يجوز إذا فعلت ما ذكرت؟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فهل سمعت أحداً من أصحابنا يفعل هذه الفعلة؟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بالعراق وكان صدري يضيق عن الصلاة معهم كضيق صدوركم، فشكوت ذلك إلى فقيههناك يقال له نوح بن شعيب، فأمرني بمثل الذي أمرتكم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يقول هذا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فاجتمعت معه في مجلس فيه نحو من عشرين رجلاً من مشايخ أصحابنا،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نوح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 بحضرتهم ذكراً لما سألته، فقال ابن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من حضر، ألا تعجبون من هذا الخراساني الغمر، يظن في نفسه أنّه أكبر من هشام بن الحكم، ويسألني هل يجوز الصلاة مع المرجئة في جماعتهم؟ فقال جميع من كان حاضراً من المشايخ، كقول نوح بن شعيب، فعندها طابت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وفعلته</w:t>
      </w:r>
      <w:r>
        <w:rPr>
          <w:rFonts w:eastAsia="Amiri" w:cs="Amiri" w:ascii="Amiri" w:hAnsi="Amiri"/>
          <w:color w:val="111111"/>
          <w:sz w:val="28"/>
          <w:szCs w:val="28"/>
          <w:rtl w:val="true"/>
          <w:lang w:bidi="ar-SA"/>
        </w:rPr>
        <w:t xml:space="preserve">] </w:t>
      </w:r>
      <w:r>
        <w:rPr>
          <w:rStyle w:val="FootnoteAnchor"/>
          <w:rtl w:val="true"/>
        </w:rPr>
        <w:footnoteReference w:id="108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فالفضل بن شاذان ونوح بن شعيب وسائر المشايخ يرون أنّ الوظيفة هي الانفراد، وهذه الرواية لطيفة في بابها، ودلالتها صريحة إلاّ أنّ الكلام في أحمد بن </w:t>
      </w:r>
    </w:p>
    <w:p>
      <w:pPr>
        <w:pStyle w:val="BookText"/>
        <w:rPr/>
      </w:pPr>
      <w:r>
        <w:rPr>
          <w:rFonts w:ascii="Amiri" w:hAnsi="Amiri" w:eastAsia="Amiri" w:cs="Amiri"/>
          <w:color w:val="111111"/>
          <w:sz w:val="28"/>
          <w:sz w:val="28"/>
          <w:szCs w:val="28"/>
          <w:rtl w:val="true"/>
          <w:lang w:bidi="ar-SA"/>
        </w:rPr>
        <w:t xml:space="preserve">محمّد بن شاذان فإنّ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بجهالته مع أنّه من المشايخ ومن تلاميذ الفضل، ووردت في حقه روايات مادحة فعلى فرض عدم وثاقته تكون الرواية مؤيدة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في المستدرك نقلاً عن أمالي ابن الشيخ، عن أبيه عن أحمد بن هارون، عن الصلت، عن أحمد بن محمّد بن عقدة، عن القاسم بن جعفر بن أحمد، عن عباد بن أحمد القزويني، عن أبيه، عن عبد الرحمن بن ثابت، عن حسان بن عطية، عن عمر بن ميمون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معاذ بالشام، فلما قبض أتيت عبد الله بن مسعود بالكوفة، وكنت معه، فأنكر بعض الوقت في زمانه،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كيف ترى في الصلاة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لوقتها، واجعل صلاتك معهم سبحة،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 يرحمك الله، ندع الصلاة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يابن ميمون، إنّ جمهور الناس الأعظم قد فارقوا الجماعة، إنّ الجماعة من كان على الحق وإن كنت وحدك،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 وكيف أكون جماعة وأنا وحدي؟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معك من ملائكة الله وجنوده المطيعين لله أكثر من بني آدم أولهم وآخرهم</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وهذه الرواية وإن كانت لا تصلح دليلاً فهي عن غير المعصوم إلاّ أنها مؤيدة لما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يرون أنّ الوظيفة في الصلاة معهم هي الانفراد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إلى من تأخر من فقهاء الإمامية عن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يظهر من صاحب الجواهر</w:t>
      </w:r>
      <w:r>
        <w:rPr>
          <w:rStyle w:val="FootnoteAnchor"/>
          <w:rtl w:val="true"/>
        </w:rPr>
        <w:footnoteReference w:id="1089"/>
      </w:r>
      <w:r>
        <w:rPr>
          <w:rFonts w:ascii="IRNazanin" w:hAnsi="IRNazanin" w:eastAsia="IRNazanin"/>
          <w:color w:val="111111"/>
          <w:sz w:val="28"/>
          <w:sz w:val="28"/>
          <w:szCs w:val="28"/>
          <w:rtl w:val="true"/>
          <w:lang w:bidi="fa-IR"/>
        </w:rPr>
        <w:t>وصاحب الحدائق</w:t>
      </w:r>
      <w:r>
        <w:rPr>
          <w:rStyle w:val="FootnoteAnchor"/>
          <w:rtl w:val="true"/>
        </w:rPr>
        <w:footnoteReference w:id="1090"/>
      </w:r>
      <w:r>
        <w:rPr>
          <w:rFonts w:ascii="Amiri" w:hAnsi="Amiri" w:eastAsia="Amiri" w:cs="Amiri"/>
          <w:color w:val="111111"/>
          <w:sz w:val="28"/>
          <w:sz w:val="28"/>
          <w:szCs w:val="28"/>
          <w:rtl w:val="true"/>
          <w:lang w:bidi="ar-SA"/>
        </w:rPr>
        <w:t xml:space="preserve">، أنّه لا خلاف في عدم </w:t>
      </w:r>
    </w:p>
    <w:p>
      <w:pPr>
        <w:pStyle w:val="BookText"/>
        <w:rPr/>
      </w:pPr>
      <w:r>
        <w:rPr>
          <w:rFonts w:ascii="Amiri" w:hAnsi="Amiri" w:eastAsia="Amiri" w:cs="Amiri"/>
          <w:color w:val="111111"/>
          <w:sz w:val="28"/>
          <w:sz w:val="28"/>
          <w:szCs w:val="28"/>
          <w:rtl w:val="true"/>
          <w:lang w:bidi="ar-SA"/>
        </w:rPr>
        <w:t>الاجتزاء بالصلاة خلف المخالف وأن المصلي لابد وأن يعمل بوظيفة المنفرد، وإنما الخلاف في حالة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المصلي في تقية شديدة وأعجلوه فلم يتمكن من العمل بوظيفة المنفرد فهل ما أتى به من الصلاة معهم في هذه الحالة مجز أم لا؟</w:t>
      </w:r>
    </w:p>
    <w:p>
      <w:pPr>
        <w:pStyle w:val="BookText"/>
        <w:rPr/>
      </w:pPr>
      <w:r>
        <w:rPr>
          <w:rFonts w:ascii="Amiri" w:hAnsi="Amiri" w:eastAsia="Amiri" w:cs="Amiri"/>
          <w:color w:val="111111"/>
          <w:sz w:val="28"/>
          <w:sz w:val="28"/>
          <w:szCs w:val="28"/>
          <w:rtl w:val="true"/>
          <w:lang w:bidi="ar-SA"/>
        </w:rPr>
        <w:t>وهذا هو محل الخلاف عندهم فبعضهم قال بالإجزاء، ونسب إلى الشيخ في التهذيب</w:t>
      </w:r>
      <w:r>
        <w:rPr>
          <w:rStyle w:val="FootnoteAnchor"/>
          <w:rtl w:val="true"/>
        </w:rPr>
        <w:footnoteReference w:id="1091"/>
      </w:r>
      <w:r>
        <w:rPr>
          <w:rFonts w:ascii="Amiri" w:hAnsi="Amiri" w:eastAsia="Amiri" w:cs="Amiri"/>
          <w:color w:val="111111"/>
          <w:sz w:val="28"/>
          <w:sz w:val="28"/>
          <w:szCs w:val="28"/>
          <w:rtl w:val="true"/>
          <w:lang w:bidi="ar-SA"/>
        </w:rPr>
        <w:t>وهو ظاهر الهداية</w:t>
      </w:r>
      <w:r>
        <w:rPr>
          <w:rStyle w:val="FootnoteAnchor"/>
          <w:rtl w:val="true"/>
        </w:rPr>
        <w:footnoteReference w:id="1092"/>
      </w:r>
      <w:r>
        <w:rPr>
          <w:rFonts w:ascii="IRNazanin" w:hAnsi="IRNazanin" w:eastAsia="IRNazanin"/>
          <w:color w:val="111111"/>
          <w:sz w:val="28"/>
          <w:sz w:val="28"/>
          <w:szCs w:val="28"/>
          <w:rtl w:val="true"/>
          <w:lang w:bidi="fa-IR"/>
        </w:rPr>
        <w:t>والمقنع</w:t>
      </w:r>
      <w:r>
        <w:rPr>
          <w:rStyle w:val="FootnoteAnchor"/>
          <w:rtl w:val="true"/>
        </w:rPr>
        <w:footnoteReference w:id="1093"/>
      </w:r>
      <w:r>
        <w:rPr>
          <w:rFonts w:ascii="Amiri" w:hAnsi="Amiri" w:eastAsia="Amiri" w:cs="Amiri"/>
          <w:color w:val="111111"/>
          <w:sz w:val="28"/>
          <w:sz w:val="28"/>
          <w:szCs w:val="28"/>
          <w:rtl w:val="true"/>
          <w:lang w:bidi="ar-SA"/>
        </w:rPr>
        <w:t>، وقال بعضهم بلزوم الإعادة، وذهب صاحب الحدائق إلى الإجزاء</w:t>
      </w:r>
      <w:r>
        <w:rPr>
          <w:rStyle w:val="FootnoteAnchor"/>
          <w:rtl w:val="true"/>
        </w:rPr>
        <w:footnoteReference w:id="1094"/>
      </w:r>
      <w:r>
        <w:rPr>
          <w:rFonts w:ascii="Amiri" w:hAnsi="Amiri" w:eastAsia="Amiri" w:cs="Amiri"/>
          <w:color w:val="111111"/>
          <w:sz w:val="28"/>
          <w:sz w:val="28"/>
          <w:szCs w:val="28"/>
          <w:rtl w:val="true"/>
          <w:lang w:bidi="ar-SA"/>
        </w:rPr>
        <w:t>، وأما صاحب الجواهر فذهب إلى أنّ الأولى هو الإعادة</w:t>
      </w:r>
      <w:r>
        <w:rPr>
          <w:rStyle w:val="FootnoteAnchor"/>
          <w:rtl w:val="true"/>
        </w:rPr>
        <w:footnoteReference w:id="1095"/>
      </w:r>
      <w:r>
        <w:rPr>
          <w:rFonts w:ascii="Amiri" w:hAnsi="Amiri" w:eastAsia="Amiri" w:cs="Amiri"/>
          <w:color w:val="111111"/>
          <w:sz w:val="28"/>
          <w:sz w:val="28"/>
          <w:szCs w:val="28"/>
          <w:rtl w:val="true"/>
          <w:lang w:bidi="ar-SA"/>
        </w:rPr>
        <w:t>، وذهب إلى الاحتياط في الإعادة صاحب المدارك</w:t>
      </w:r>
      <w:r>
        <w:rPr>
          <w:rStyle w:val="FootnoteAnchor"/>
          <w:rtl w:val="true"/>
        </w:rPr>
        <w:footnoteReference w:id="109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اختلفت الأخبار المتقدمة في القراءة خلف المخالف فجملة منها دلت على الأمر بذلك وإن سمع قراءته وعليه عمل الأصحاب رضوان الله عليهم، وهو الأوفق بالقواعد الشرعية والضوابط المرعية لأنه منفرد يجب عليه الإتيان بما يجب على المنفرد من قراءة وغيرها، وجملة منها دلت على المنع من القراءة خلفه إذا سمعه والاجتزاء بقراءته، والظاهر حملها على شدة التقية بحيث لا يتمكن من القراءة ولو خفياً مثل حديث النفس وعلى ذلك حمل الشيخ الأخبار المذكورة، ويحتمل حمل هذه الأخبار على خصوص السائلين لما يعلمونه صلوات الله عليهم من لحوق الضرر لهم بترك ذلك كما في أمر إسحاق بن عمار مما أمره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فإنّ العمل على الأخبار الأولى كما عليه كافة </w:t>
      </w:r>
    </w:p>
    <w:p>
      <w:pPr>
        <w:pStyle w:val="BookText"/>
        <w:rPr/>
      </w:pPr>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ومحل الشاهد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كافة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الواجب على هذا المصلي تقيةالقراءة لانتفاء القدوة وكونه منفرداً وهو مما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لو ركع الإمام قبل إتمامه الفاتحة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يقرأ في ركوعه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تسقط القراءة للضرورة وبه قطع الشيخ في التهذيب</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وقال في الجواهر بعد ذكر الخلاف في الاجتزاء بقراءة الفاتحة خلف المخالف وعدمه واشتراط إتمامها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الاعتداد بالصلاة المزبورة حينئذ ووجوب إعادة غيرها لا يخلو من قوة وفاقاً للتذكرة وعن نهاية الأحكام بل قيل إنه قضية ما في المبسوط والنهاية، ولعله أولى منه بذلك ما إذا لم يتمكن من شيء من القراءة كما لو أدركهم في الركوع لكن عن ظاهر الهداية والمقنع والبيان ونص التهذيب الانعقاد بمجرد تكبيره ودخوله معهم، ولعله لخبر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بعد إرادة التكبير المستحب من التكبير فيه وبعد الغض عن سنده أنّه لعله لمصلحة لخصوص السائل كما وقع نظيره في غير المقام، فالأولى عدم الاعتداد بها</w:t>
      </w:r>
      <w:r>
        <w:rPr>
          <w:rStyle w:val="FootnoteAnchor"/>
          <w:rtl w:val="true"/>
        </w:rPr>
        <w:footnoteReference w:id="109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أفاده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بالصحة والإجزاء وعدم وجوب الإعادة والقضاء</w:t>
      </w:r>
      <w:r>
        <w:rPr>
          <w:rStyle w:val="FootnoteAnchor"/>
          <w:rtl w:val="true"/>
        </w:rPr>
        <w:footnoteReference w:id="1099"/>
      </w:r>
      <w:r>
        <w:rPr>
          <w:rFonts w:ascii="Amiri" w:hAnsi="Amiri" w:eastAsia="Amiri" w:cs="Amiri"/>
          <w:color w:val="111111"/>
          <w:sz w:val="28"/>
          <w:sz w:val="28"/>
          <w:szCs w:val="28"/>
          <w:rtl w:val="true"/>
          <w:lang w:bidi="ar-SA"/>
        </w:rPr>
        <w:t xml:space="preserve">مطلقاً حال التقية عجيب منه، نعم ذكر في بحث اعتبار عدم المندوحة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معهم ليست كالصلاة خلف الإمام العادل، وإنما هي على ما يستفاد من الروايات صورة صلاة يحسبها العامة صلاة وائتماماً بهم، ومن هنا لم يرد في الروايات عنوان الاقتداء بهم، بل ورد عنوان الصلاة معهم فهو يدخل الصلاة معهم ويؤذن ويقيم ويقرأ </w:t>
      </w:r>
      <w:bookmarkStart w:id="315" w:name="pg16387_188465"/>
    </w:p>
    <w:p>
      <w:pPr>
        <w:pStyle w:val="BookText"/>
        <w:rPr/>
      </w:pPr>
      <w:bookmarkEnd w:id="315"/>
      <w:r>
        <w:rPr>
          <w:rFonts w:ascii="Amiri" w:hAnsi="Amiri" w:eastAsia="Amiri" w:cs="Amiri"/>
          <w:color w:val="111111"/>
          <w:sz w:val="28"/>
          <w:sz w:val="28"/>
          <w:szCs w:val="28"/>
          <w:rtl w:val="true"/>
          <w:lang w:bidi="ar-SA"/>
        </w:rPr>
        <w:t>لنفسه على نحو لا يسمع همسه فضلاً عن صوته ولا دلالة في شيء من الروايات على أنها صلاة حقيقة</w:t>
      </w:r>
      <w:r>
        <w:rPr>
          <w:rStyle w:val="FootnoteAnchor"/>
          <w:rtl w:val="true"/>
        </w:rPr>
        <w:footnoteReference w:id="1100"/>
      </w:r>
      <w:r>
        <w:rPr>
          <w:rFonts w:ascii="Amiri" w:hAnsi="Amiri" w:eastAsia="Amiri" w:cs="Amiri"/>
          <w:color w:val="111111"/>
          <w:sz w:val="28"/>
          <w:sz w:val="28"/>
          <w:szCs w:val="28"/>
          <w:rtl w:val="true"/>
          <w:lang w:bidi="ar-SA"/>
        </w:rPr>
        <w:t>وهذا موافق للجمع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منه استشهاده بالروايات المطلقة التي لا دلالة فيها على الاقتداء وعدمه، وأقصى ما تدل عليه الحضور في مساجدهم وجماعتهم فقط من دون نظر إلى الاقتداء بهم في الصلاة، ولا سيما بعد ما ذكرنا أن الخلاف إنما وقع بين الأعلام في فرع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التمكن من إتمام الفاتحة حال الصلاة خلفهم تقية، وقد تقدم نفي الخلاف عما عداه وأنّوظيفة المكلف هي الانفراد، ومما ذكرنا قريباً يظهر وجه الإشكال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6877857_1280447820"/>
      <w:bookmarkStart w:id="317" w:name="_Toc106"/>
      <w:bookmarkEnd w:id="316"/>
      <w:r>
        <w:rPr>
          <w:rtl w:val="true"/>
        </w:rPr>
        <w:t>فروع</w:t>
      </w:r>
      <w:r>
        <w:rPr>
          <w:rtl w:val="true"/>
        </w:rPr>
        <w:t>:</w:t>
      </w:r>
      <w:bookmarkEnd w:id="31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الروايات المتقدمة استحباب الصلاة خلف المخالف حال التقية والإتيان بوظيفة المنفرد سواء كانت التقية عن خوف منهم أو كانت لمداراتهم، ولا يشترط عدم وجود المندوحة، وذلك لإطلاق الروايات الكثيرة وقد تقدم بعضها، مضافاً إلى أنّه لم يرد من الروايات ما يعارضها إلاّ رواية إبراهيم بن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الصلاة خلف من يتولى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يرى المسح على الخفين، أو خلف من يحرم المسح وهو يمسح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جامعك وإياهم موضع فلم تجد بداً من الصلاة فأذن لنفسك وأقم فإن سبقك إلى القراءة فسبح</w:t>
      </w:r>
      <w:r>
        <w:rPr>
          <w:rStyle w:val="FootnoteAnchor"/>
          <w:rtl w:val="true"/>
        </w:rPr>
        <w:footnoteReference w:id="1101"/>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فالمستفاد من الرواية أنّ الصلاة معهم بشرط الاجتماع، وأما في حال الاختيار فلا يفهم ذلك منها، إلاّ أنّ الرواية من حيث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ضعيفة السند لأنّ إبراهيم بن شيبة لم يوثق، أما على ما ذكرناه في </w:t>
      </w:r>
    </w:p>
    <w:p>
      <w:pPr>
        <w:pStyle w:val="BookText"/>
        <w:rPr/>
      </w:pPr>
      <w:r>
        <w:rPr>
          <w:rFonts w:ascii="Amiri" w:hAnsi="Amiri" w:eastAsia="Amiri" w:cs="Amiri"/>
          <w:color w:val="111111"/>
          <w:sz w:val="28"/>
          <w:sz w:val="28"/>
          <w:szCs w:val="28"/>
          <w:rtl w:val="true"/>
          <w:lang w:bidi="ar-SA"/>
        </w:rPr>
        <w:t>محله من أنّ رواية مثل ابن أبي نصر عن شخص علامة على الوثاقة فيمكن الحكم بوثاقة إبراهيم بن شيبة ويكون سند الرواية معتبراً ولا إشكال من هذه الناحية، وإنما الإشكال من جهة الدلالة فهي في نفسها شاذة نادرة مخالفة لجميع الروايات فلا يمكن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الروايات المتقدمة أنّ الصلاة مع المخالف لا تعد جماعة ولا يترتب عليها آثارها، فلابد من الإتيان بوظيفة المنفرد كما ذكرنا حتى بالنسبة إلى الأذان والإقامة وغيرهما من المستحبات، ولابد للمصلي من قراءة الفاتحة والسورة، ومع عدم التمكن من قراءة السورة فهل يسقط وجوبها أم لا؟</w:t>
      </w:r>
    </w:p>
    <w:p>
      <w:pPr>
        <w:pStyle w:val="BookText"/>
        <w:rPr/>
      </w:pPr>
      <w:r>
        <w:rPr>
          <w:rFonts w:ascii="IRNazanin" w:hAnsi="IRNazanin" w:eastAsia="IRNazanin"/>
          <w:color w:val="111111"/>
          <w:sz w:val="28"/>
          <w:sz w:val="28"/>
          <w:szCs w:val="28"/>
          <w:rtl w:val="true"/>
          <w:lang w:bidi="fa-IR"/>
        </w:rPr>
        <w:t xml:space="preserve">قد اختلفت الروايات في ذلك فالمستفاد من بعضها سقوط السورة، كما أنّه يستفاد من بعضها الآخر عدم السقوط، ولابد للمصلي أن يأتي بالقراءة ومن ذلك معتبرة محمّد بن عذافر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عندخولي مع من أقرأ خلفه في الركعة الثانية فيركع عند فراغي من قراءة أم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في الأخراوين كي تكون قد قرأت في ركعتين</w:t>
      </w:r>
      <w:r>
        <w:rPr>
          <w:rStyle w:val="FootnoteAnchor"/>
          <w:rtl w:val="true"/>
        </w:rPr>
        <w:footnoteReference w:id="1102"/>
      </w:r>
      <w:r>
        <w:rPr>
          <w:rFonts w:ascii="Amiri" w:hAnsi="Amiri" w:eastAsia="Amiri" w:cs="Amiri"/>
          <w:color w:val="111111"/>
          <w:sz w:val="28"/>
          <w:sz w:val="28"/>
          <w:szCs w:val="28"/>
          <w:rtl w:val="true"/>
          <w:lang w:bidi="ar-SA"/>
        </w:rPr>
        <w:t>وقد وردت هذه الرواية في كتاب العلل</w:t>
      </w:r>
      <w:r>
        <w:rPr>
          <w:rStyle w:val="FootnoteAnchor"/>
          <w:rtl w:val="true"/>
        </w:rPr>
        <w:footnoteReference w:id="1103"/>
      </w:r>
      <w:r>
        <w:rPr>
          <w:rFonts w:ascii="IRNazanin" w:hAnsi="IRNazanin" w:eastAsia="IRNazanin"/>
          <w:color w:val="111111"/>
          <w:sz w:val="28"/>
          <w:sz w:val="28"/>
          <w:szCs w:val="28"/>
          <w:rtl w:val="true"/>
          <w:lang w:bidi="fa-IR"/>
        </w:rPr>
        <w:t>بسند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والمستفاد من هذه الرواية أنّ السورة لا تسقط ولابد من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هذه الرواية وردت روايات تدل على السقوط كما تقدم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علي بن أسباط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قرأ أم الكتاب أجزأه يقطع ويركع</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أحمد بن عائذ أو أحمد بن 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فيعجلوني إلى ما أن أؤذن وأقيم، ولا أقرأ إلاّ الحمد حتى يركع</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أيجزيني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يجزيك الحمد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رواية علي بن أسباط مرسلة والثانية محل خلاف متناً وسنداً وإن كانت من جهة دلالتها على المدعى لا بأس بها، ويبقى الكلام في سندها فإنّ فيه أحمد بن هلال وقد تقدم الكلام فيه، نعم إذا أمكن تصحيح الرواية عن طريق الشيخ كأن يكون للشيخ طريق معتبر إلى جميع روايات أحمد بن محمّد بن أبي نصر فهو وإلاّ فالرواية الأولى الدالة على عدم السقوط محكمة، وحينئذ لابد من الإتيان بالسورة، وأما مع تمامية السند فالوظيفة هي التخيير، وتحمل الرواية الأولى على الاستحباب جمعاً بين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قراءة الفاتحة فهل يجزيه ذلك أم لابد من إعادة الصلاة؟</w:t>
      </w:r>
    </w:p>
    <w:p>
      <w:pPr>
        <w:pStyle w:val="BookText"/>
        <w:rPr/>
      </w:pPr>
      <w:r>
        <w:rPr>
          <w:rFonts w:ascii="Amiri" w:hAnsi="Amiri" w:eastAsia="Amiri" w:cs="Amiri"/>
          <w:color w:val="111111"/>
          <w:sz w:val="28"/>
          <w:sz w:val="28"/>
          <w:szCs w:val="28"/>
          <w:rtl w:val="true"/>
          <w:lang w:bidi="ar-SA"/>
        </w:rPr>
        <w:t>والكلام تارة في تقية دافعها الخوف، وأخرى يكون دافعها المداراة، أما على الثاني فالظاهر عدم الدليل على الإجزاء، لما ذكرنا من أنّ الأدلة التي تمسك بها على الإجزاء كلها واردة في موارد الخوف، فلا دليل على الإجزاء بالنسبة إلى التقية للمداراة، مضافاً إلى أنّ الروايات الدالة على الإجزاء محل نقاش كما تقدم، فالإطلاقات الأولية من أنّه لا صلاة إلاّ بفاتحة الكتاب محكمة في المقام ولابد من الإعادة، وأما على الأول أي فيما إذا كانت التقية بدافع الخوف فالأدلة الواردة في المقام كلها محلتأمل، فإن رواية أحمد بن عائذ لا يمكن الاستناد إليها لاختلاف متنها، ورواية زرارة معارضة بما هو أقوى، ورواية علي بن سعيد البصري وإن كان فيها دلالة على الإجزاء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احتسب بما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الفاتحة والسورة فيشمله الإجزاء إلاّ أن الرواية ضعيفة السند فلا يمكن التعويل عليها، ورواية إسحاق بن عمار كرواية البصري وهي ضعيفة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ينهض دليل على الإجزاء، فالاحتياط يقتضي الإعادة </w:t>
      </w:r>
    </w:p>
    <w:p>
      <w:pPr>
        <w:pStyle w:val="BookText"/>
        <w:rPr/>
      </w:pPr>
      <w:r>
        <w:rPr>
          <w:rFonts w:ascii="Amiri" w:hAnsi="Amiri" w:eastAsia="Amiri" w:cs="Amiri"/>
          <w:color w:val="111111"/>
          <w:sz w:val="28"/>
          <w:sz w:val="28"/>
          <w:szCs w:val="28"/>
          <w:rtl w:val="true"/>
          <w:lang w:bidi="ar-SA"/>
        </w:rPr>
        <w:t>بمقتضى الأدلة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وجوب الجهر بالقراءة حال التقية في الصلوات الجهرية؟</w:t>
      </w:r>
    </w:p>
    <w:p>
      <w:pPr>
        <w:pStyle w:val="BookText"/>
        <w:rPr/>
      </w:pPr>
      <w:r>
        <w:rPr>
          <w:rFonts w:ascii="IRNazanin" w:hAnsi="IRNazanin" w:eastAsia="IRNazanin"/>
          <w:color w:val="111111"/>
          <w:sz w:val="28"/>
          <w:sz w:val="28"/>
          <w:szCs w:val="28"/>
          <w:rtl w:val="true"/>
          <w:lang w:bidi="fa-IR"/>
        </w:rPr>
        <w:t>الظاهر هو السقوط بلا فرق بين التقية للمداراة أو للخوف، ويدل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خلف من لا يقتدى بصلاته والإمام يجهر بالقراءة؟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لنفسك، وإن لم تسمع نفسك فلا بأس</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ويؤيدة رواية محمّد بن إسحاق ومحمّد بن أبي حمزة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يجزيك إذا كنت معهم من القراءة مثل حديث النفس</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وهذه الرواية وإن كانت دلالتها واضحة إلاّ أنها مرسلة فتكون مؤيدة ويمكن استفادة ذلك من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تلحق الطوائف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الشيعة بالمخالفين في الحكم أم لا؟ بمعنى هل يستحب الحضور في صلاتهم أم لا ؟ وعلى فرض الاستحباب هل الأحكام المذكورة تترتب على ذلك من سقوط القراءة والجهر أم لا؟ وعلى فرض عدم السقوط هل يجوز الصلاة خلفهم منفرداً أم لا؟</w:t>
      </w:r>
    </w:p>
    <w:p>
      <w:pPr>
        <w:pStyle w:val="BookText"/>
        <w:rPr/>
      </w:pPr>
      <w:r>
        <w:rPr>
          <w:rFonts w:ascii="Amiri" w:hAnsi="Amiri" w:eastAsia="Amiri" w:cs="Amiri"/>
          <w:color w:val="111111"/>
          <w:sz w:val="28"/>
          <w:sz w:val="28"/>
          <w:szCs w:val="28"/>
          <w:rtl w:val="true"/>
          <w:lang w:bidi="ar-SA"/>
        </w:rPr>
        <w:t>يمكن القول بوحدة المناط أو الأولوية لأنه إذا كان مع المخالف يستحب فكيف مع من يعترف ببعض الأئمة؟ وإن كان في نظر الشارع لا فرق بينهم فإن من أنكر واحداً من الأئمة فقد أنكر الجميع وقد قامت الأدلة على ذلك، هذا ولكن الأخذ بالمناط غير تام، لأنّ العبادة توقيفية وثبوت حكم بالنسبة إلى المخالفين لا يعني ثبوته لغيرهم من فرق الشيعة، وهكذا الحال بالنسبة إلى الأولوية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حال الخوف لا فرق بين فرقة وأخرى، لقيام الدليل على أنّ التقية تبيح كل محذور، إلاّ ما استثني، وأما التقية من أجل مداراتهم فلا يعلم لاحتمال </w:t>
      </w:r>
    </w:p>
    <w:p>
      <w:pPr>
        <w:pStyle w:val="BookText"/>
        <w:rPr/>
      </w:pPr>
      <w:r>
        <w:rPr>
          <w:rFonts w:ascii="Amiri" w:hAnsi="Amiri" w:eastAsia="Amiri" w:cs="Amiri"/>
          <w:color w:val="111111"/>
          <w:sz w:val="28"/>
          <w:sz w:val="28"/>
          <w:szCs w:val="28"/>
          <w:rtl w:val="true"/>
          <w:lang w:bidi="ar-SA"/>
        </w:rPr>
        <w:t>وجود الملاك بالنسبة إلى المخالفين ولا يحرز وجوده بالنسبة إلى غيرهم، فلابد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خلف غير الإمامي من سائر الفرق عدا المخالفين إن كانت لتقية خوفية فلا إشكال في الجواز بل في الوجوب، وأما استحباب الحضور في جماعتهم كما هو الحال بالنسبة للمخالفين فمقتضى الروايات الناهية المتقدمة والآتية هو عدم الجواز، وقد ذكرنا سابقاً عدة روايات شاملة لهذه الفرق ومن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رواية أبي علي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مواليك قد اختلفوا فأصلي خلفهم جميعاً؟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إلاّ خلف من تثق بدينه</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والرواية من حيث دلالتها تامة إلاّ أن الكلام في سندها فإنّ فيه سهل بن زياد وهو ممن اختلف في وثاقته، وقد استظهرنا اعتبار الرواية من جهة أنّ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صحيحاً إلى جميع كتب وروايات علي بن مهزيار الواقع بعد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إسماعيل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يحب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يتبرأ من عدوه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أحب إلي ممن خالفه،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مخلط، وهو عدو فلا تصل خلفه ولا كرامة إلاّ أن تتقيه</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وسند هذه الرواية معتبر على الظاهر ودلالتها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الصلاة خلف من وقف على أبيك وجدك؟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وراءه</w:t>
      </w:r>
      <w:r>
        <w:rPr>
          <w:rStyle w:val="FootnoteAnchor"/>
          <w:rtl w:val="true"/>
        </w:rPr>
        <w:footnoteReference w:id="111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إسماعيل بن مسلم أنّه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خلف رجل يكذب بقدر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ليعد كل صلاة صلاها خلفه</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محمّد بن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خلف من يقول بالجسم، ومن يقول بقول يونس؟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لاتصلوا خلفهم، ولا تعطوهم من الزكاة، وابرؤوا منهم برأ الله منهم</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إبراهيم بن أبي محمود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يجبر عباده على المعاصي أو يكلفهم ما لا يطيقون فلا تأكلوا ذبيحته، ولا تقبلوا شهادته، ولا تصلوا وراءه، ولا تعطوه من الزكاة شيئاً</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هذه الروايات الناهية عن الصلاة خلف المنحرف عن جادة الحق عدم الجواز فضلاً عن الاستحباب، 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كان الحضور في جماعة المخالفين جائزاً فهنا كذلك من باب أولى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الأولوية ممنوعة بما ذكرناه من أنّ الملاك غير تام، وتماميته بالنسبة إلى المخالف لا تعني تماميته هنا، نعم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ورد من النهي في هذه الروايات ينصرف إلى عدم جواز الاقتداء بهم والاعتداد بالصلاة خلفهم لا إلى الحضور في جماعتهم، ولعل القرائن تساعد على ذلك، 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تعطوهم من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فإذا تمت هذه القرائن فالمنع حينئذ عن الاقتداء بهم لا مجرد الحضور في جماعتهم، فالقول بالإطلاق في الاقتداء وعدمه غير ثابت، ومع الشك في حرمة الحضور فأصالة البراءة جارية، فالقدر المتيقن بمعونة القرائن أن المنع إنما هو عن الاقتداء بهم والاعتداد بالصلاة خلفهم، وأما نفس الحضور فحرمته غير ثابتة ولا يثبت بذلك الاستحباب لأنه يحتاج إلى الدليل وهو مفقود في المقام، فإنّ غاية ما تفيده الأدلة عدم الحرمة أما الدلالة على الاستحباب فلا، وأما بالنسبة إلى المخالفين فقد قامت الأدلة على استحباب الحضور في جماعتهم، وعليه فالحضور في جماعة هذه الفرق لا بأس به </w:t>
      </w:r>
    </w:p>
    <w:p>
      <w:pPr>
        <w:pStyle w:val="BookText"/>
        <w:rPr/>
      </w:pPr>
      <w:r>
        <w:rPr>
          <w:rFonts w:ascii="Amiri" w:hAnsi="Amiri" w:eastAsia="Amiri" w:cs="Amiri"/>
          <w:color w:val="111111"/>
          <w:sz w:val="28"/>
          <w:sz w:val="28"/>
          <w:szCs w:val="28"/>
          <w:rtl w:val="true"/>
          <w:lang w:bidi="ar-SA"/>
        </w:rPr>
        <w:t>ولكن ما لم يترتب على ذلك عنوان آخر من مفسدة ونحوها كتقوية شوكتهم، أو تغرير المؤمنين بهم، أو إضعاف المذهب الحق ونحو ذلك وإلاّ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الحضور في جماعة الفرقة المحقة مع عدم إحراز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إحراز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 الجماعة كما إذا لم تعلم عدالته أو صحة قراءته أو نحو ذلك جائز أم لا؟ بمعنى أنّ المكلف يأتي بوظيفة المنفرد وإن كان في صورة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وإن كانت خارجة عنالباب إلاّ أن لها ارتباطاً ما به، مضافاً إلى أنها مورد للابتلاء فناسب ذكرها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تذكر هذه المسألة في الكتب الفقهية إلاّ في كتاب مجمع المسائل</w:t>
      </w:r>
      <w:r>
        <w:rPr>
          <w:rStyle w:val="FootnoteAnchor"/>
          <w:rtl w:val="true"/>
        </w:rPr>
        <w:footnoteReference w:id="1114"/>
      </w:r>
      <w:r>
        <w:rPr>
          <w:rFonts w:ascii="Amiri" w:hAnsi="Amiri" w:eastAsia="Amiri" w:cs="Amiri"/>
          <w:color w:val="111111"/>
          <w:sz w:val="28"/>
          <w:sz w:val="28"/>
          <w:szCs w:val="28"/>
          <w:rtl w:val="true"/>
          <w:lang w:bidi="ar-SA"/>
        </w:rPr>
        <w:t xml:space="preserve">وقال فيه بعدم الجواز مستدلاً بأن ما ورد من جواز هذا العمل خاص بالعامة، وأما مع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المسألة لابد من افتراض عدة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مقام التقية الخوفية وفي هذه الحالة لا إشكال في جواز الحضور بل في وجوبه للأدلة العامة والخاصة، ومنها ما تقدم من رواية سماعة وجاء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إمام عدل فليبن على صلاته كما هو، ويصلي ركعة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ليتم صلاته معه على ما استطاع فإنّ التقية واسعة وليس شيء من التقية إلاّ وصاحبها مأجور عليها إن شاء الله</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ففي هذه الرواية إن قلنا بكفاية عدم إحراز العدالة في إمام الجماعة فوظيفة المكلف الانفراد في صلاته، وتكون الرواية من محل الكلام وإن قلنا بأنّ إمام الجماعة معلوم الفسق فلا تكون الرواية شاهداً على ما نحن فيه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مقام التقية فتارة يكون الحضور في الجماعة بعنوان الاستحباب وتارة يكون الحضور لعنوان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الأول فالأمر مشكل لأنّ استحباب الحضور في الجماعة مختص بجماعة المخالفين وما عداه غير ثابت والأولوية ممنوعة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بأن كان الحضور لأمر آخر كإدراك ثواب أول الوقت أو ثواب الصلاة في المسجد فتارة يترتب على الحضور عنوان تقوية إمام الجماعة مما يوجب تغرير المؤمنين كأن يكون من ذوي الشأن ويتوهم من حضوره تعديلاً للإمام بحيث يترتب على ذلك جملة من المفاسد كتصديق الإمام والأخذ بشهادته ونحو ذلك فالحضور حينئذ مشكل، وإن كان في خصوص الصلاة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الأثر المترتب على حضوره في الجماعة هو اعتقاد الغير بعدالة الإمام فصلاة الغير خلفه لا إشكال فيها وقد تقرر فيمحله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صلى خلف إمام معتقداً عدالته فبان فسقه فصلاته صحيحة، وإنما الكلام في الآثار المترتبة على الحضور غير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لا يترتب أي أثر على الحضور كأن يكون من سائر الناس وكان دخوله مع الجماعة لا بعنوان الاستحباب فالحضور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فيه، ولم نقف على ما يوجب المنع من ذلك عدا ما إذا لم يلزم من حضوره مع إتيانه بوظيفة المنفرد في صلاته هتكاً للإمام أو الجماعة، فمقتضى القاعدة في هذه الحالة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وردت طائفتان من الروايات يستفاد من أحدها الجواز ومن الأخرى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يدل على عدم الجواز فروايتان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يصلى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 والغالي وإن كان يقول بقولك، والمجاهر بالفسق وإن كان مقتصداً</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والرواية بحسب الظاهر مرسلة ولكن الرواية الأولى المتقدمة عليها فيها أنّ عمر بن يزيد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مرجع الضمير في قال هو عمر بن يزيد المذكور في الرواية المتقدمة عليها فالرواية مسندة، وإن كان يرجع إلى الصدوق فهي مرسلة، وكان مبنى السيد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هذه الموارد إرجاع الضمير إلى الراوي لا إلى الصدوق وبناء على هذا فيمكن اعتبار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جهة الدلالة فيمكن المناقشة بأنّ المجهول لم يعلم أنّه من جهة الدين، أو من جهة العدالة، وقد يستظهر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الدين والمذهب، وبناء على ذلك فلا تكون الرواية مورداً للاعتماد، مضافاً إلى أنّ المستفاد من بقية فقرات الرواية أنّ النهي عن الاقتداء والائتمام لا عن مجرد الحضور، وبهذا تخرج الرواية عن محل الكلام، وفي ما تقدم من الصلاة خلف المخالف قرائن تدل على الحضور وعدم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غير تامة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يزيد بن حماد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أصليخلف من لا أعرف؟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إلاّ خلف من تثق بدينه</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كالرواية المتقدمة من حيث الدلالة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جهة الدين وقد يكون من جهة العدالة مضافاً إلى أنّ مورد السؤال هو الاقتداء لا مجرد الحضور، وعليه فالحضور في جماعة من لا يوثق بدينه أو عدالته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الدالة على الجواز فمنها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رواية عمر بن يزيد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إمام لا بأس به في جميع أموره عارف غير أنّه يسمع أبويه الكلام الغليظ الذي يغيظهما أقرأ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تقرأ خلفه ما لم يكن عاقاً قاطعاً</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والمستفاد من هذه الرواية أنّ الإمام إذا كان عادلاً فلا يقرأ خلفه وإذا خرج عن حد العدالة فلابد من القراءة، وحينئذ فجواز الحضور مع من لم يعلم حاله من باب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خلف من أرتضي به أقرأ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رضيت به فلا تقرأ خلفه</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والرواية بدلالة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جواز الحضور والقراءة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الرواية في الدلالة صحيحة زرارة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خلف إمام تأتم به فانصت وسبح في نفسك</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وهناك روايات كثيرة في هذا المعنى فإنّ جواز القراءة وعدمها مترتب على الحضور ولم يرد ما يدل على النهي عنه، وبناء على ذلك فمقتضى القاعدة هو الجواز كما أنّه يستفاد من نفس هذه الروايات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يتم الكلام حول التقية في الصلاة خلف المخالف</w:t>
      </w:r>
      <w:r>
        <w:rPr>
          <w:rFonts w:eastAsia="Amiri" w:cs="Amiri" w:ascii="Amiri" w:hAnsi="Amiri"/>
          <w:color w:val="111111"/>
          <w:sz w:val="28"/>
          <w:szCs w:val="28"/>
          <w:rtl w:val="true"/>
          <w:lang w:bidi="ar-SA"/>
        </w:rPr>
        <w:t xml:space="preserve">. </w:t>
      </w:r>
      <w:bookmarkStart w:id="318" w:name="pg16387_188475"/>
    </w:p>
    <w:p>
      <w:pPr>
        <w:pStyle w:val="Heading3"/>
        <w:numPr>
          <w:ilvl w:val="2"/>
          <w:numId w:val="1"/>
        </w:numPr>
        <w:rPr/>
      </w:pPr>
      <w:bookmarkStart w:id="319" w:name="__RefHeading___Toc6877859_1280447820"/>
      <w:bookmarkStart w:id="320" w:name="_Toc107"/>
      <w:bookmarkEnd w:id="318"/>
      <w:bookmarkEnd w:id="319"/>
      <w:r>
        <w:rPr>
          <w:rtl w:val="true"/>
        </w:rPr>
        <w:t>مسائل</w:t>
      </w:r>
      <w:r>
        <w:rPr>
          <w:rtl w:val="true"/>
        </w:rPr>
        <w:t xml:space="preserve">: </w:t>
      </w:r>
      <w:r>
        <w:rPr>
          <w:rtl w:val="true"/>
        </w:rPr>
        <w:t>التقية في الصلاة</w:t>
      </w:r>
      <w:bookmarkEnd w:id="320"/>
    </w:p>
    <w:p>
      <w:pPr>
        <w:pStyle w:val="Heading4"/>
        <w:numPr>
          <w:ilvl w:val="3"/>
          <w:numId w:val="1"/>
        </w:numPr>
        <w:rPr/>
      </w:pPr>
      <w:bookmarkStart w:id="321" w:name="__RefHeading___Toc6877861_1280447820"/>
      <w:bookmarkStart w:id="322" w:name="_Toc108"/>
      <w:bookmarkEnd w:id="321"/>
      <w:r>
        <w:rPr>
          <w:rtl w:val="true"/>
        </w:rPr>
        <w:t>الأولى</w:t>
      </w:r>
      <w:r>
        <w:rPr>
          <w:rtl w:val="true"/>
        </w:rPr>
        <w:t xml:space="preserve">: </w:t>
      </w:r>
      <w:r>
        <w:rPr>
          <w:rtl w:val="true"/>
        </w:rPr>
        <w:t>الجهر بالبسملة في الصلاة</w:t>
      </w:r>
      <w:r>
        <w:rPr>
          <w:rtl w:val="true"/>
        </w:rPr>
        <w:t>:</w:t>
      </w:r>
      <w:bookmarkEnd w:id="322"/>
    </w:p>
    <w:p>
      <w:pPr>
        <w:pStyle w:val="BookText"/>
        <w:rPr/>
      </w:pPr>
      <w:r>
        <w:rPr>
          <w:rFonts w:ascii="Amiri" w:hAnsi="Amiri" w:eastAsia="Amiri" w:cs="Amiri"/>
          <w:color w:val="111111"/>
          <w:sz w:val="28"/>
          <w:sz w:val="28"/>
          <w:szCs w:val="28"/>
          <w:rtl w:val="true"/>
          <w:lang w:bidi="ar-SA"/>
        </w:rPr>
        <w:t>وقع الخلاف بين الخاصة والعامة في مفتتح السور القرآنية، ومورد الخلاف في المسألة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البسملة آية من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الجهر والإخفات بها في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والداعي للتعرض للمسألة هو الجهة الثانية باعتبارها مورداً من موارد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فقد ذهبت الخاصة إلى أنّ البسملة آية من كل سورة بلا خلاف بينهم بل ادعي الضرورة على ذلك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العامة فيما بينهم فذهب بعضهم إلى ما ذهب إليه الخاصة، وذهب آخرون إلى أنها آية من سورة الفاتحة، وذهب قسم ثالث إلى أنها جزء آية من كل سورة وأنها تتم بما بعدها فتصير آية، وقد نقل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خلافهم في الخلاف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سورة من جميع القرآن وهي آية من أول سورة الحمد، وقال الشافعي إنها آية من أول سورة الحمد بلا خلاف بينهم، وفي كونها آية من كل سورة قولان أحدهما أنها آية من أول كل سورة والآخر أنها بعض آية من كل سورة 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بما بعدها فتصير آية، وقال أحمد وإسحاق وأبو ثور وأبو عبيدة وعطا والزهري وعبد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آية من أول كل سورة حتى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بسم الله الرحمن الرحيم ترك مائة وثلاث عشرة آية، وقال أبو حنيفة ومالك والأوزاعي وداود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ليست آية من فاتحة الكتاب ولا من سائر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الحسن الكرخي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هذه السورة ولا من سائر السور سوى سورة النمل، هكذا روى عنه أبو بكر الرازي وقال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سمعناه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آية تامة مفردة في كل موضع أثبتت فيه إلاّ في سورة النمل فإنها بعض آية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w:t>
      </w:r>
      <w:r>
        <w:rPr>
          <w:rStyle w:val="FootnoteAnchor"/>
          <w:rtl w:val="true"/>
        </w:rPr>
        <w:footnoteReference w:id="1121"/>
      </w:r>
      <w:r>
        <w:rPr>
          <w:rFonts w:ascii="IRNazanin" w:hAnsi="IRNazanin" w:eastAsia="IRNazanin"/>
          <w:color w:val="111111"/>
          <w:sz w:val="28"/>
          <w:sz w:val="28"/>
          <w:szCs w:val="28"/>
          <w:rtl w:val="true"/>
          <w:lang w:bidi="fa-IR"/>
        </w:rPr>
        <w:t xml:space="preserve">ولسنا في صدد التحقيق في هذه الجهة ومناقشة العامة فيما ذهبوا إليه فإن لذلك موطناً آخر، والثابت من مذهب الإمامية أنها آية من كل سورة عدا سورة البراءة، وأنها بعض آية من آية النمل وعلى ذلك قام إجماعهم وصحت رواياتهم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ادعي الضرورة عليه كما ذكرنا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الخاصة إلى وجوب الجهر بالبسملة في الصلوات الجهرية بلا خلاف بينهم، وإنما وقع الخلاف في الصلوات الإخفاتية وفي المقام خمسة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كلمات الأصحاب في هذه المسألة على ما حكى عنهم بعد اتفاقهم على وجوب الجهر بها في مواضع يجب الجهر فيها بالقراءة كسائر أجزائها على خمسة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 مطلقاً سواء كان في حق الإمام أو غيره في الأوليين وغيرهما، ومنه ثالثة المغرب وأخيرتا العشاء، وهذا القول هو المشهور على ما ادعاه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بالأوليين، وأما الأخيرتان فلا يستحب الجهر فيهما في شيء من الصلوات، بل لا يجوز، اختاره في السرائر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استحباب الجهر بها للإمام خاصة دون من عداه، </w:t>
      </w:r>
    </w:p>
    <w:p>
      <w:pPr>
        <w:pStyle w:val="BookText"/>
        <w:rPr/>
      </w:pPr>
      <w:r>
        <w:rPr>
          <w:rFonts w:ascii="Amiri" w:hAnsi="Amiri" w:eastAsia="Amiri" w:cs="Amiri"/>
          <w:color w:val="111111"/>
          <w:sz w:val="28"/>
          <w:sz w:val="28"/>
          <w:szCs w:val="28"/>
          <w:rtl w:val="true"/>
          <w:lang w:bidi="ar-SA"/>
        </w:rPr>
        <w:t>حكي ذلك عن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مطلقاً، نسب هذا القول إلى القاضي ابن البراج في المهذب حيث عد من واجبات الصلوات الجهر ببسم الله الرحمن الرحيم فيما يجهر أو يخافت، وكذا إلى ظاهر الصدوق في الخصال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والإجهار ببسم الله الرحمن الرحيم في الصلوات واجب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حكي عن أبي الصلاح في الكافي من وجوبه في ابتداء الجهر والسورة في الأوليين من جميع الصلوات</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واختلف العامة في المسألة على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الجهر ببسم الله الرحمن الرحيم في الحمد وفي كل سورة بعدها كما يجب بالقراءة، هذا فيما يجب الجهر فيه فإن كانت الصلاة لا يجهر فيها استحب أن يجهر ببسم الله الرحمن الرحيم، وإن جمع في النوافل بين سور كثيرة وجب أن يقرأ بسم الله الرحمن الرحيم مع كل سورة، وهو مذهب الشافعي، إلاّ أنّه لم يذكر استحباب الجهر فيما يسر فيه بالقراءة،ذكر ذلك في البويطي، وفي اختلاف العراقيين، وذكر ابن المنذر عن عطاء وطاووس ومجاهد وسعيد بن جبير أنهم كانوا يجهرون ببسم الله الرحمن الرحيم، وروي مثل ذلك عن ابن 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يدع الجهر ببسم الله الرحمن الرحيم في أم القرآن والسورة التي بعدها، وذهب أبو حنيفة وسفيان الثوري والأوزاعي وأبو عبيدة وأحمد إلى أنّه يسر بها،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أن لا يقرأ بسم الله الرحمن الرحيم ويفتتح القراءة بالحمد لله رب العالمين</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هذه جملة الأقوال في المسألة عند الخاصة والعامة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الجهة الثانية فالكلام فيها في موضعين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مستند القول بالوجوب، والقول بالاستحباب باعتبارهما أهم الأقوال عند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ارتباط المسألة بموضوع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الموضع الأول فإن مستند القولين هو الأخبار الواردة في المقام وما يستدل به على الوجوب خبران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عملت الولاة قبلي أعمالاً خالفوا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متعمدين لخلافه، ولو حملت الناس على تركها لتفرق عني جندي، أرأيتم لو أمرت بمقام إبراهيم فرددته إلى الموضع الذي كان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وحرمت المسح على الخفين، وحددت على النبيذ، وأمرت بإحلال المتعتين، وأمرت بالتكبير على الجنائز خمس تكبيرات، وألزمت الناس الجهر ببسم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لتفرقوا عني الحديث</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ومحل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وألزمت الناس الجهر ببسم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الإلزام ظاهر في الوجوب ولا سيما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بيان المحدثات والبدع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إرجاع الناس إلى جادة الحق يقتضي إلزامهم بذلك، فيعلم أنّ الجهر ببسم الله الرحمن الرحيم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الأعمش عن جعفر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شرايع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والإجهار ببسم الله الرحمن الرحيم في الصلاة واجب</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وهذه الرواية صريحة في الحكم بالوجوب وهي والرواية المتقدمة مستند القائلين بوجوب الجهر ببسم الله الرحمن الرحيم في الصلاة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بقية الروايات الواردة في المقام فهي محتملة للوجوب وعدمه ولذا </w:t>
      </w:r>
    </w:p>
    <w:p>
      <w:pPr>
        <w:pStyle w:val="BookText"/>
        <w:rPr/>
      </w:pPr>
      <w:r>
        <w:rPr>
          <w:rFonts w:ascii="Amiri" w:hAnsi="Amiri" w:eastAsia="Amiri" w:cs="Amiri"/>
          <w:color w:val="111111"/>
          <w:sz w:val="28"/>
          <w:sz w:val="28"/>
          <w:szCs w:val="28"/>
          <w:rtl w:val="true"/>
          <w:lang w:bidi="ar-SA"/>
        </w:rPr>
        <w:t>يمكن أن تكون مستنداً للقول بالاستحباب وهذه الروايات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أياماً فكان إذا كانت صلاة لا يجهر فيها جهر ببسم الله الرحمن الرحيم، وكان يجهر في السورتين جميعاً</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وبضم هذه الرواية إلى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1127"/>
      </w:r>
      <w:r>
        <w:rPr>
          <w:rFonts w:ascii="IRNazanin" w:hAnsi="IRNazanin" w:eastAsia="IRNazanin"/>
          <w:color w:val="111111"/>
          <w:sz w:val="28"/>
          <w:sz w:val="28"/>
          <w:szCs w:val="28"/>
          <w:rtl w:val="true"/>
          <w:lang w:bidi="fa-IR"/>
        </w:rPr>
        <w:t xml:space="preserve">يستفاد الوجوب وهناك من استفاد منها الاستحباب وأن جهر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بالبسملة من خصوصياته، بمعنى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كان يفعل، والراوي يحكي هذه الخصوصية وإلاّ فلو كان الحكم معروفاً ومشهوراً بين الناس فلا معنى لنقل الراوي ذلك لأنّ حال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كحال سائر الناس في التكاليف العامة فتخصيص الراوي لهذا الفعل بالذكر يكشف عن أنّه من خصوصيات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والمستفاد من ذلك الاستحباب وإليه ذهب السيد الأستاذ </w:t>
      </w:r>
      <w:r>
        <w:rPr>
          <w:rFonts w:eastAsia="IRNazanin" w:cs="IRNazanin"/>
          <w:color w:val="111111"/>
          <w:sz w:val="28"/>
          <w:szCs w:val="28"/>
          <w:rtl w:val="true"/>
          <w:lang w:bidi="fa-IR"/>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الرحمن بن أبي نجران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أياماً فكان يقرأ فاتحة الكتاب ببسم الله الرحمن الرحيم، فإذا كانت صلاة لا يجهر فيها بالقراءة جهر ببسم الله الرحمن الرحيم، وأخفى ما سوى ذلك</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 xml:space="preserve">وهذه الرواية بنفس مضمون الرواية السابقة، والظاهر أن صفوان هو صفوان الجمال وليس هو صفوان بن يحيى، إذ لا يمكن لصفوان بن يحيى أن يروي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يدرك زمان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ذلك في المعجم</w:t>
      </w:r>
      <w:r>
        <w:rPr>
          <w:rStyle w:val="FootnoteAnchor"/>
          <w:rtl w:val="true"/>
        </w:rPr>
        <w:footnoteReference w:id="1130"/>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الكوفي والظاهر أنّه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w:t>
      </w:r>
    </w:p>
    <w:p>
      <w:pPr>
        <w:pStyle w:val="BookText"/>
        <w:rPr/>
      </w:pPr>
      <w:r>
        <w:rPr>
          <w:rFonts w:ascii="IRNazanin" w:hAnsi="IRNazanin" w:eastAsia="IRNazanin"/>
          <w:color w:val="111111"/>
          <w:sz w:val="28"/>
          <w:sz w:val="28"/>
          <w:szCs w:val="28"/>
          <w:rtl w:val="true"/>
          <w:lang w:bidi="fa-IR"/>
        </w:rPr>
        <w:t xml:space="preserve">الحسن بن علي بن عبد الرحمن بن أبي نجران عن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وهومشترك بين جماعة إلاّ أن كل من له كتاب منهم هو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كتموا بسم الله الرحمن الرحيم فنعم والله الأسماء كتموها،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إلى منزله واجتمعت قريش يجهر ببسم الله الرحمن الرحيم ويرفع بها صوته، فتولي قريش فراراً فأنزل الله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ذَكَرْتَ رَبَّكَ فِي الْقُرْآنِ وَحْدَهُ وَلَّوْا عَلَى أَدْبَارِهِمْ نُفُوراً </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والمستفاد من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الكتمان منهم في الصلاة، إلاّ أنها لم تتعرض للصلوات الجهرية أو الإخفاتية، ولذا لا يمكن استفادة أحد الحكمين بخصوصه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أو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أياماً فتعوذ بإجهار ثمّ جهر ببسم الله الرحمن الرحيم</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وهذه الرواية كالرواية السابقة من جهة أنها لم تتعرض للصلوات الجهرية أو الإخفاتية، وقد وردت الرواية بسند آخر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فتتعين للصلاة الجهرية وتخرج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ثمالي إن الصلاة إذا أقيمت جاء الشيطان إلى قرين الإمام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ذكر ربه؟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ركب كتفيه، فكان إمام القوم حتى ينصرفوا،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يقرؤن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ليس حيث تذهب يا ثمالي، إنما هو الجهر ببسم الله الرحمن الرحيم</w:t>
      </w:r>
      <w:r>
        <w:rPr>
          <w:rStyle w:val="FootnoteAnchor"/>
          <w:rtl w:val="true"/>
        </w:rPr>
        <w:footnoteReference w:id="113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المقصود من قرين الإمام هو الملك الموكل به والمستفاد من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خاصية الجهر ببسم الله الرحمن الرحيم إبعاد الشيطان عن إمام الجماعة، إلاّ أن الرواية قاصرة من حيث السند فإنها مرسلة ومن حيث الدلالة فإنه لا يستفاد منها الوجوب في الصلاة الإخفاتية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إلى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والإجهار ببسم الله الرحمن الرحيم في جميع الصلوات سنة</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والرواية وإن كانت عامة لجميع الصلوات إلاّ أنها تخصص بالصلوات الجهرية فإنّ الإجهار بالبسملة فيها واجب بلا خلاف كما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رجاء بن أبي الضحاك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يجهر ببسم الله الرحمن الرحيم في جميع صلاته بالليل والنهار</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حفص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فجهر ببسم الله الرحمن الرحيم</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هذه جملة الروايات الواردة في الباب، وقد ذكر صاحب المستدرك خمسة عشر رواية في فضل الجهر بالبسملة وعقد باباً في استحبابه، وسيأتي التعرض لبعضها، والمستفاد من مجموع الروايات هو الاستحباب ولا سيما من صحيحتي صفوان المتقدمتين فإنهما في مقام الحكاية عن خصوصية من خصوصيات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كان الجهر واجباً لما كان معنى لنقل الراوي ذلك كما هو رأي السيد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ذكرناه آنفاً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فدلالتها على الاستحباب أقوى وإن كان الإتيان بالفعل أعم من الوجوب والاستحباب، إلاّ أنّه بملاحظة روايات الخصوصيات يكون فعل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في الآداب وله ظهور في الاستحباب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الروايتين لا تدلان على الوجوب وهكذا بقية الروايات مع الغض عن المناقشة في إسناد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يستدل به على الوجوب فقد ذكرنا أنّه روايتان رواية سليم ورواية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سليم فهي قابلة للمناقشة من جهة السند والدلالة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جهة السند فهي وإن وردت في الكافي بسند معتبر وهو عن علي بن إبراهيم، عن أبيه، عن حماد بن عيسى، عن إبراهيم بن عثمان، عن سليم بن قيس الهلالي</w:t>
      </w:r>
      <w:r>
        <w:rPr>
          <w:rStyle w:val="FootnoteAnchor"/>
          <w:rtl w:val="true"/>
        </w:rPr>
        <w:footnoteReference w:id="1137"/>
      </w:r>
      <w:r>
        <w:rPr>
          <w:rFonts w:ascii="IRNazanin" w:hAnsi="IRNazanin" w:eastAsia="IRNazanin"/>
          <w:color w:val="111111"/>
          <w:sz w:val="28"/>
          <w:sz w:val="28"/>
          <w:szCs w:val="28"/>
          <w:rtl w:val="true"/>
          <w:lang w:bidi="fa-IR"/>
        </w:rPr>
        <w:t xml:space="preserve">إلاّ أن الكلام في الراوي عن سليم وهو إبراهيم بن عثمان وهو أبو أيوب الخزاز وهو متأخر من حيث الطبقة عن سليم فإنه من أصحاب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وغاية ما يقال في سليم إنه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فإبراهيم بن عثمان بحاجة إلى الواسطة للرواية عن سليم، نعم لو كان مكان إبراهيم بن عثمان، إبراهيم بن عمر اليماني لأمكن ذلك إلاّ أن الرواية وردت عن إبراهيم بن عثمان فاحتمال الإرسال في الرواية وارد، وعليه فالرواية محل تأمّل من حيث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حيث الدلالة فيمكن المناقشة فيها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وألزمت الناس الجهر ببسم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قابل للتقييد والقدر المتيقن هو الصلوات الجهرية، وحينئذ فتحمل الرواية على أنّ المراد من الإلزام هو في الصلوات الجهرية لا جميع الصلوات، إضافة على ذلك هناك عدة روايات تدل على الاستحباب كما تقدم، فالجمع بين الروايات يقتضي حمل الروايات الدالة على الاستحباب بالنسبة للصلوات الإخفاتية، ورواية سليم تحمل على الصلوات الجهرية ولا يمكن القول بوجوب الجهر في جميع الصلوات، وذلك لأنّ المشهور تحصيلاً ونقلاً على خلاف ذلك، كما صرّح به صاحب الجواهر</w:t>
      </w:r>
      <w:r>
        <w:rPr>
          <w:rStyle w:val="FootnoteAnchor"/>
          <w:rtl w:val="true"/>
        </w:rPr>
        <w:footnoteReference w:id="1138"/>
      </w:r>
      <w:r>
        <w:rPr>
          <w:rFonts w:ascii="Amiri" w:hAnsi="Amiri" w:eastAsia="Amiri" w:cs="Amiri"/>
          <w:color w:val="111111"/>
          <w:sz w:val="28"/>
          <w:sz w:val="28"/>
          <w:szCs w:val="28"/>
          <w:rtl w:val="true"/>
          <w:lang w:bidi="ar-SA"/>
        </w:rPr>
        <w:t xml:space="preserve">ولا دليل على أنّ </w:t>
      </w:r>
    </w:p>
    <w:p>
      <w:pPr>
        <w:pStyle w:val="BookText"/>
        <w:rPr/>
      </w:pPr>
      <w:r>
        <w:rPr>
          <w:rFonts w:ascii="Amiri" w:hAnsi="Amiri" w:eastAsia="Amiri" w:cs="Amiri"/>
          <w:color w:val="111111"/>
          <w:sz w:val="28"/>
          <w:sz w:val="28"/>
          <w:szCs w:val="28"/>
          <w:rtl w:val="true"/>
          <w:lang w:bidi="ar-SA"/>
        </w:rPr>
        <w:t>الجهر واجب حتى في الصلوات الإخفاتية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سليم ورواية الأعمش معارضتان برواية أخرى صريحة في عدم الوجوب وهي صحيحة الحلبيين أنهما سألاه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يقرأ بسم الله الرحمن الرحيم حين يريد يقرأ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سراً وإن شاء جهراً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أفيقرأها مع السورة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 xml:space="preserve">وظاهر الرواية أنّ السؤال عن القراءة في الصلاة وقرينتها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الحق أنّ هذه الرواية لا تصلح للمعارضة لأنها واردة مورد التقية والتفكيك بين صدر الرواية وذيلها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الصدر لا تقية فيه والذيل وارد في التقية مشكل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فالأقوى في المسألة بأنّ الإجهار بالبسملة في الصلوات الإخفاتية مستحب لا واجب، وعليه فلا تقية في الصلاة الإخفاتية وإنما التقية في الصلاة الجهرية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برواية سليم وسيأتي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الأعمش فهي أيضاً محل نظر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السند ففيها عدة مجاهيل وإن كان الأعمش في نفسه لا بأس به، فالرواية غير معتبرة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جهة الدلالة فيمكن المناقشة فيها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والجهر ببسم الله الرحمن الرحيم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مقابل العامة القائلين بوجوب السر فليس له إطلاق، وهذا الاحتمال وارد أيضاً في رواية سليم، فإنّ إلزام الناس بالجهر في الصلاة الجهرية في مقابل قول العامة لأنهم يلتزمون بالسر وهو بدعة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رفعها، وليس الإمام في مقام بيان أنّ الجهر واجب مطلقاً حتى في الصلاة الإخفاتية، وعليه فالإطلاق غير محرز ولا أقل هو محل شك، وبناء على </w:t>
      </w:r>
    </w:p>
    <w:p>
      <w:pPr>
        <w:pStyle w:val="BookText"/>
        <w:rPr/>
      </w:pPr>
      <w:r>
        <w:rPr>
          <w:rFonts w:ascii="Amiri" w:hAnsi="Amiri" w:eastAsia="Amiri" w:cs="Amiri"/>
          <w:color w:val="111111"/>
          <w:sz w:val="28"/>
          <w:sz w:val="28"/>
          <w:szCs w:val="28"/>
          <w:rtl w:val="true"/>
          <w:lang w:bidi="ar-SA"/>
        </w:rPr>
        <w:t>ذلك فالمرجع حينئذ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عمل المشهور وإن كنا لا نقول إنّ عمل المشهور موجب للتقوية أو التضعيف، لكن إذا كان العمل مشهوراً ومورداً لكثرة الابتلاء بل وادعي عليه الإجماع فذلك يوجب الاطمئنان بعدم تحقق الإطلاق، ومع الشك فقاعدة البراءة محكمة، هذا ما يتعلق بالروايتين وما يرد عليهما من جهة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أغمضنا الطرف عن المناقشة فيهما وقلنا بتماميتهما سنداً ودلالة فلابد من القول بالوجوب لأنه دليل لفظي مقدم على الأصل العملي، نعم ذكر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معارضتان بصحيحتي صفوان المتقدمتين فتكونان مقيدتين لهاتين الروايتين</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على القول بعدم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احتمال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تماميتهما لابد من القول بالوجوب وإلاّ بالعدم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بالموضع الأول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حجة لنا على أنّ الجهر بالبسملة في الصلاة الإخفاتية واجب وإنما هو مستحب، ويؤيده الإجماع وعمل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ارتباط المسألة بالتقية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كلمات الفقهاء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صاحب الجواهر إلى وجوب العمل على ما تقتضيه التقية</w:t>
      </w:r>
      <w:r>
        <w:rPr>
          <w:rStyle w:val="FootnoteAnchor"/>
          <w:rtl w:val="true"/>
        </w:rPr>
        <w:footnoteReference w:id="1141"/>
      </w:r>
      <w:r>
        <w:rPr>
          <w:rFonts w:ascii="Amiri" w:hAnsi="Amiri" w:eastAsia="Amiri" w:cs="Amiri"/>
          <w:color w:val="111111"/>
          <w:sz w:val="28"/>
          <w:sz w:val="28"/>
          <w:szCs w:val="28"/>
          <w:rtl w:val="true"/>
          <w:lang w:bidi="ar-SA"/>
        </w:rPr>
        <w:t>، وذهب ابن أبي عقيل إلى أنّه لا تقية في الجهر بالبسملة ونقل عنه صاحب المدارك،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تواترت الروايات بأنه لا تقية في الجهر ببسم الله الرحمن الرحيم</w:t>
      </w:r>
      <w:r>
        <w:rPr>
          <w:rStyle w:val="FootnoteAnchor"/>
          <w:rtl w:val="true"/>
        </w:rPr>
        <w:footnoteReference w:id="1142"/>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نقل صاحب المستدرك عن كتاب الدعائم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والحسن والحسين وعلي بن الحسين ومحمّد بن علي وجعفر بن محمّد صلوات الله عليهم أجمعين أنهم كانوا يجهرون ببسم الله الرحمن الرحيم فيما يجهر بالقراءة من الصلوات في أول فاتحةالكتاب وأول السورة في كل ركعة، ويخافتون بها فيما يخافت فيه من السورتين جميعاً، وقال الحسين بن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اجتمعنا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وقال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ديني ودين آبائي، ولا تقية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المسكر والمسح على الخفين وترك الجهر ببسم الله الرحمن الرحيم</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ونقل أيضاً عن الشيخ أبي الفتوح الرازي في تفسيره عن الرضا عن أبيه الكاظم عن أبيه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الجهر ببسم الله الرحمن الرحيم، وعلى قضاء ما فات من الصلاة في الليل والنهار، وقضاء ما فات بالنهار في الليل</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هذا ما يستدل به على عدم التقية، وفي مقابل ذلك روايات التقية التي تدل بإطلاقها على وجوب التقية وتحريم تركها ومنها هذا المورد، نعم لو كان المخصص تاماً سنداً ودلالة فلا بأس كما قلنا به في المسح على الخفين ونحوه، وأما مع عدم تماميته فلابد من العمل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ابن أبي عقيل في حكم الرواية المرسلة فإنه خبر واحد، ولم يذكر رواية على مدعاه، فهو من هذه الناحية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الدعائم فهي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في نفسها مخالفة لصحيحة صفوان المتقدمة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تقية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ورد في المتعة، نعم يمكن القول إنه وردت روايتان أحدهما في المتعة والأخرى في البسملة</w:t>
      </w:r>
      <w:r>
        <w:rPr>
          <w:rFonts w:eastAsia="Amiri" w:cs="Amiri" w:ascii="Amiri" w:hAnsi="Amiri"/>
          <w:color w:val="111111"/>
          <w:sz w:val="28"/>
          <w:szCs w:val="28"/>
          <w:rtl w:val="true"/>
          <w:lang w:bidi="ar-SA"/>
        </w:rPr>
        <w:t xml:space="preserve">. </w:t>
      </w:r>
      <w:bookmarkStart w:id="323" w:name="pg16387_188486"/>
    </w:p>
    <w:p>
      <w:pPr>
        <w:pStyle w:val="BookText"/>
        <w:rPr/>
      </w:pPr>
      <w:bookmarkEnd w:id="323"/>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ذكرنا في مباحثنا الرجالية</w:t>
      </w:r>
      <w:r>
        <w:rPr>
          <w:rStyle w:val="FootnoteAnchor"/>
          <w:rtl w:val="true"/>
        </w:rPr>
        <w:footnoteReference w:id="1145"/>
      </w:r>
      <w:r>
        <w:rPr>
          <w:rFonts w:ascii="Amiri" w:hAnsi="Amiri" w:eastAsia="Amiri" w:cs="Amiri"/>
          <w:color w:val="111111"/>
          <w:sz w:val="28"/>
          <w:sz w:val="28"/>
          <w:szCs w:val="28"/>
          <w:rtl w:val="true"/>
          <w:lang w:bidi="ar-SA"/>
        </w:rPr>
        <w:t>أنّ الطريق إلى الكتاب غير ثابت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رواية أبي الفتوح فهي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فلا يمكن الاعتماد عليها من جهة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اجتمع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معناه أنهم لا يتقون، وهذا تكليف خاص بهم كما في المسح على الخفين لأنه نهي عملي عن البدعة، والنهي عن البدعة لا تقية فيه إذ هم الأئمة ومسؤلية الشرع أنيطت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فيمكن أن ترتفع البدعة بعملهم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مؤيدة لمضمون الرواية السابقة، وعلى كل تقدير فهي ضعيفة سنداً ولا يعتمد عليها، وبناء على ذلك فلم يثبت المخصص لأدلّة التقية العامة فالقول بوجوب الإخفات بالبسملة حال التقية على مقتضى القواعد ولم يثبت 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خالف المكلف وظيفته وجهر حال التقية فالظاهر هو بطلان صلاته لأنه جزء وهو محرم منهي عنه والنهي عن العبادة إذا كانت جزءاً أو شرطاً موجب لفسادها، وقد تقدم أنّه لو كان خارجاً عن الجزء والشرط أمكن الحكم بالصحة وإن كان منهياً عنه وبناء على هذا تكون صلاته باطلة وعليه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يجري أيضاً في التربة والسجود عليها ومخالفة التقية في ذلك وسيأتي الكلام عن ذلك في محله والله العالم</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6877863_1280447820"/>
      <w:bookmarkStart w:id="325" w:name="_Toc109"/>
      <w:bookmarkEnd w:id="324"/>
      <w:r>
        <w:rPr>
          <w:rtl w:val="true"/>
        </w:rPr>
        <w:t>المسألة الثانية</w:t>
      </w:r>
      <w:r>
        <w:rPr>
          <w:rtl w:val="true"/>
        </w:rPr>
        <w:t>:</w:t>
      </w:r>
      <w:bookmarkEnd w:id="32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التأمين في الصلاة وهو قول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بعد الفراغ من قراءته أو سماعه سورة الفاتحة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وقع الخلاف بين العامة والخاصة في حكم هذه المسألة، فذهب العامة إلى القول بالاستحباب</w:t>
      </w:r>
      <w:r>
        <w:rPr>
          <w:rStyle w:val="FootnoteAnchor"/>
          <w:rtl w:val="true"/>
        </w:rPr>
        <w:footnoteReference w:id="1146"/>
      </w:r>
      <w:r>
        <w:rPr>
          <w:rFonts w:ascii="IRNazanin" w:hAnsi="IRNazanin" w:eastAsia="IRNazanin"/>
          <w:color w:val="111111"/>
          <w:sz w:val="28"/>
          <w:sz w:val="28"/>
          <w:szCs w:val="28"/>
          <w:rtl w:val="true"/>
          <w:lang w:bidi="fa-IR"/>
        </w:rPr>
        <w:t xml:space="preserve">وذكروا في ذلك روايات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استفادوا منها الاستحباب، إلاّ أنهم من جهة الالتزام العملي يأتون به على نحو الوجوب وكأنه شعار لهم، حتى أنّ جهلتهم يأتون به على نحو الجزئية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الخاصة فالمشهور عندهم أنّه لا يجوز الإتيان به، وهو مناف للصلاة ولذلك تشمله الحرمة التكليفية والوضعية</w:t>
      </w:r>
      <w:r>
        <w:rPr>
          <w:rStyle w:val="FootnoteAnchor"/>
          <w:rtl w:val="true"/>
        </w:rPr>
        <w:footnoteReference w:id="1147"/>
      </w:r>
      <w:r>
        <w:rPr>
          <w:rFonts w:ascii="Amiri" w:hAnsi="Amiri" w:eastAsia="Amiri" w:cs="Amiri"/>
          <w:color w:val="111111"/>
          <w:sz w:val="28"/>
          <w:sz w:val="28"/>
          <w:szCs w:val="28"/>
          <w:rtl w:val="true"/>
          <w:lang w:bidi="ar-SA"/>
        </w:rPr>
        <w:t>، وقد نسب إلى بعضهم دعوى الإجماع على الحرمة كالسيد في الانتصار</w:t>
      </w:r>
      <w:r>
        <w:rPr>
          <w:rStyle w:val="FootnoteAnchor"/>
          <w:rtl w:val="true"/>
        </w:rPr>
        <w:footnoteReference w:id="1148"/>
      </w:r>
      <w:r>
        <w:rPr>
          <w:rFonts w:ascii="Amiri" w:hAnsi="Amiri" w:eastAsia="Amiri" w:cs="Amiri"/>
          <w:color w:val="111111"/>
          <w:sz w:val="28"/>
          <w:sz w:val="28"/>
          <w:szCs w:val="28"/>
          <w:rtl w:val="true"/>
          <w:lang w:bidi="ar-SA"/>
        </w:rPr>
        <w:t>والشيخ في الخلاف</w:t>
      </w:r>
      <w:r>
        <w:rPr>
          <w:rStyle w:val="FootnoteAnchor"/>
          <w:rtl w:val="true"/>
        </w:rPr>
        <w:footnoteReference w:id="1149"/>
      </w:r>
      <w:r>
        <w:rPr>
          <w:rFonts w:ascii="Amiri" w:hAnsi="Amiri" w:eastAsia="Amiri" w:cs="Amiri"/>
          <w:color w:val="111111"/>
          <w:sz w:val="28"/>
          <w:sz w:val="28"/>
          <w:szCs w:val="28"/>
          <w:rtl w:val="true"/>
          <w:lang w:bidi="ar-SA"/>
        </w:rPr>
        <w:t>والنهاية</w:t>
      </w:r>
      <w:r>
        <w:rPr>
          <w:rStyle w:val="FootnoteAnchor"/>
          <w:rtl w:val="true"/>
        </w:rPr>
        <w:footnoteReference w:id="1150"/>
      </w:r>
      <w:r>
        <w:rPr>
          <w:rFonts w:ascii="Amiri" w:hAnsi="Amiri" w:eastAsia="Amiri" w:cs="Amiri"/>
          <w:color w:val="111111"/>
          <w:sz w:val="28"/>
          <w:sz w:val="28"/>
          <w:szCs w:val="28"/>
          <w:rtl w:val="true"/>
          <w:lang w:bidi="ar-SA"/>
        </w:rPr>
        <w:t>، ولكن نسب إلى أبي الصلاح والإسكافي القولبالكراهة وإن كان في النسبة كلام</w:t>
      </w:r>
      <w:r>
        <w:rPr>
          <w:rStyle w:val="FootnoteAnchor"/>
          <w:rtl w:val="true"/>
        </w:rPr>
        <w:footnoteReference w:id="1151"/>
      </w:r>
      <w:r>
        <w:rPr>
          <w:rFonts w:ascii="Amiri" w:hAnsi="Amiri" w:eastAsia="Amiri" w:cs="Amiri"/>
          <w:color w:val="111111"/>
          <w:sz w:val="28"/>
          <w:sz w:val="28"/>
          <w:szCs w:val="28"/>
          <w:rtl w:val="true"/>
          <w:lang w:bidi="ar-SA"/>
        </w:rPr>
        <w:t>كما نسب ذلك إلى المحقق في المعتبر إلاّ أنّه قال بالكراهة في صلاة الجماعة، وأما في صلاة المنفرد فقال بعدم الجواز</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ونسب إلى صاحب المدارك التفصيل بين الحكم التكليفي والحكم الوضعي فقال بالحرمة في الثاني دون الأول</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هذه جملة الأقوال في المسألة ويقع الكلام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المستفاد من الأدلة الخاصة الواردة في المسألة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الجهة الأولى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بالتأمين في الصلاة يتصور على أنحاء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يؤتى به على نحو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يفعله جهلة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ولاشك أنّه موجب للبطلان، لتحقق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وإدخال ما ليس منها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يؤتى به بعنوان أنّه ذكر فإنه تأمين على الدعاء لأنّ القراءة تتضمن دعاء فإن كان الأمر كذلك فلا إشكال في الصحة، إلاّ أن هذا 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دعاء فقد يقال بالعدم لأنّ القراءة حكاية لكلام الله تعالى لا بالإنشاء، والدعاء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التأمين في نفسه دعاء، فقد يقال بأنّ التأمين ليس دعاء كما في بعض الروايات فإن ثبت هذان الأمران أمكن الحكم بالصحة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يؤتى به من دون قصد الجزئية أو الدعاء بل مماشاة مع الغير وهذا لا إشكال في أنّه موجب لبطلان الصلاة لأنه إدخال لكلام الآدميين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القاعدة بقطع النظر عن الأدلة الخاصة وسيأتي تحقيق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الجهة الثانية وهي الروايات الواردة في المقام فقد وردت عدة روايات ويمكن جعلها في 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منها رجحان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روايات الطائفة الأولى فهي عدة روايات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صحيحة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خلف إمام فقرأ الجهر وفرغ من قراءتها فقل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ولا تقل آمين</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والرواية من حيث السند معتبرة ومن جهة الدلالة واضحة فقد اشتملت على النهي الصريح إلاّ أنّ مورده صلاة الجماعة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p>
    <w:p>
      <w:pPr>
        <w:pStyle w:val="BookText"/>
        <w:rPr/>
      </w:pPr>
      <w:r>
        <w:rPr>
          <w:rFonts w:ascii="Amiri" w:hAnsi="Amiri" w:eastAsia="Amiri" w:cs="Amiri"/>
          <w:color w:val="111111"/>
          <w:sz w:val="28"/>
          <w:sz w:val="28"/>
          <w:szCs w:val="28"/>
          <w:rtl w:val="true"/>
          <w:lang w:bidi="ar-SA"/>
        </w:rPr>
        <w:t>إذا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ولا الضالين؟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 والنصارى، ولم يجب في هذا</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يجب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الراوي، وقال صاحب الجواهر</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الجملة من كلام صاحب الوسائل، والمستفاد من الرواية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أو لا تقل، إلاّ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اليهود والنصارى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يحمل على أنّ قول آمين من فعل اليهود والنصارى وليس ذلك من شريعة الإسلام، ويحتمل أنّ هذا تشبيه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للقائلين باليهود والنصارى، كما يحتمل أنّ الإمام عدل عن الجواب وفسر المراد من المغضوب عليهم والضالين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فالرواية على بعض المحتملات تدل على النهي عن قول آمين، ثمّ إنّ مورد الرواية هو صلاة الجماعة كالرواية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إذا فرغت من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والرواية وإن كان في سندها محمّد بن سنان وهو محل خلاف، إلاّ أننا استظهرنا وثاقته فالسند معتبر، كما أنّ الرواية من حيث الدلالة واضحة وهي لا تختص بصلاة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تقولنّ إذا فرغت منقراءتك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فإن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Style w:val="FootnoteAnchor"/>
          <w:rtl w:val="true"/>
        </w:rPr>
        <w:footnoteReference w:id="1158"/>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وسند الرواية وإن كان فيه محمّد بن ماجيلويه وهو ممن لم يرد فيه توثيق إلاّ أنّه قد ترضى عنه الشيخ الصدوق</w:t>
      </w:r>
      <w:r>
        <w:rPr>
          <w:rStyle w:val="FootnoteAnchor"/>
          <w:rtl w:val="true"/>
        </w:rPr>
        <w:footnoteReference w:id="1159"/>
      </w:r>
      <w:r>
        <w:rPr>
          <w:rFonts w:ascii="Amiri" w:hAnsi="Amiri" w:eastAsia="Amiri" w:cs="Amiri"/>
          <w:color w:val="111111"/>
          <w:sz w:val="28"/>
          <w:sz w:val="28"/>
          <w:szCs w:val="28"/>
          <w:rtl w:val="true"/>
          <w:lang w:bidi="ar-SA"/>
        </w:rPr>
        <w:t xml:space="preserve">، وقد تقرر في محله أنّ الترضي علامة على </w:t>
      </w:r>
    </w:p>
    <w:p>
      <w:pPr>
        <w:pStyle w:val="BookText"/>
        <w:rPr/>
      </w:pPr>
      <w:r>
        <w:rPr>
          <w:rFonts w:ascii="Amiri" w:hAnsi="Amiri" w:eastAsia="Amiri" w:cs="Amiri"/>
          <w:color w:val="111111"/>
          <w:sz w:val="28"/>
          <w:sz w:val="28"/>
          <w:szCs w:val="28"/>
          <w:rtl w:val="true"/>
          <w:lang w:bidi="ar-SA"/>
        </w:rPr>
        <w:t>التوثيق فلا إشكال في سند الرواية، وأما من جهة الدلالة فهي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روايات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روايات الطائفة الثانية وهي الدالة على الجواز بل على الرجحان فمنها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صحيحة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الناس في الصلاة جماعة حين يقرأ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واخفض الصوت بها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في قراءة جملة الجواب على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على معنى التعجب أي ما أفضلها، ثمّ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بخفض الصوت عند 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أي على معنى أنّ الإمام لا يحسن هذا القول، ثمّ إنّ الإمام أخفض من صوته عند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من القراءتين هو الوجه الأول، وحينئذ يقع التعارض بينها وبين الروايات المتقدمة في الطائفة الأولى ولهذا حملها بعضهم على الكراهة جمعاً بين الروايات كما هو رأي 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الروايات، والمستفاد منها النهي عن بعضها والجواز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كما ذكرنا البطلان في صورتين هما الأولى والثالثة، وأما الصورة الثالثة فالحكم بالصحة يتوقف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المقام دعاء ليكون التأمين على الدعاء، وأن التأمين في نفسه دعاء وليس من كلام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في كلا الأمرين، أما بالنسبة إلى الأمر الأول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دعاء قبل التأمين وإنما هو قراءة سورة الفاتحة، ولا يمكن حملها على الدعاء لأنه يستلزم استعمال اللفظ في أكثر من معنى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ذكر في علم الأصول أن القراءة وهي الإتيان بلفظ الغير </w:t>
      </w:r>
    </w:p>
    <w:p>
      <w:pPr>
        <w:pStyle w:val="BookText"/>
        <w:rPr/>
      </w:pPr>
      <w:r>
        <w:rPr>
          <w:rFonts w:ascii="Amiri" w:hAnsi="Amiri" w:eastAsia="Amiri" w:cs="Amiri"/>
          <w:color w:val="111111"/>
          <w:sz w:val="28"/>
          <w:sz w:val="28"/>
          <w:szCs w:val="28"/>
          <w:rtl w:val="true"/>
          <w:lang w:bidi="ar-SA"/>
        </w:rPr>
        <w:t>سواء قصد المعنى أو لا، وقصد المعنى لا يخالف عنوان القراءة فلا إشكال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أيضاً هناك أنّ قراءة القرآن تستدعي قصد المعنى فإن مرت آية عذاب استعاذ بالله منها، وإن مرت آية رحمة تمناها وسأل ربه إياها، وهكذا الحال بالنسبة إلى الصلاة، فإنّ المصلي يحسن به أن يتأمل حال القراءة في معاني ما يقرأ ليكون مقبلاً بكله على الصلاة، وعليه فقصد المعنى لا ينافي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الأمر الثاني فقد نوقش بأن للفظ آمين عدة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بمعنى اللهم استجب،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بمعنى كذلك فليكن أو كذلك فليفعل، هذا من جهة ومن جهة أخرى فإن آمين صوت أي لفظ للفظ،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استعمال اللفظ في اللفظ مثل حيهل وصه ومه ونحوها من أسماء الأفعال التي تكون معانيها معاني الأفعال وليس لها معان مستقلة فهي أصوات أي ألفاظ أريد بها ألفاظ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التسليم بكلا الأمرين إلاّ أنّ الحكم بالصحة موقوف على عدم ورود النهي، ومع وروده فلا إشكال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المعاني وتعددها لا تضر بالمقام إذا كان هناك معنى شائع من بين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معنى آمين هو استجب وشاهده القرينة الدالة عليه وهي أن السورة تتضمن الدعاء بالهداية للصراط المستقيم، فالمناسب في المقام أن يكون معنى آمين هو استجب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آمين لفظ استعمل في لفظ آخر وليس له معنى في نفسه فهذا أيضاً غير تام، وذلك لأنّه وإن كان الأمر كذلك إلاّ أن اللفظ له معنى بالمآل وإن كان بتوسط لفظ آخر، فالقول بأنه ليس له معنى في غير محله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في المقام هو ورود النهي فإن كان النهي وارداً على نحو الإطلاق فلابد من رفع اليد عن القاعدة بل لا تصل النوبة إليها، وقد ذكرنا أن الأخبار </w:t>
      </w:r>
    </w:p>
    <w:p>
      <w:pPr>
        <w:pStyle w:val="BookText"/>
        <w:rPr/>
      </w:pPr>
      <w:r>
        <w:rPr>
          <w:rFonts w:ascii="IRNazanin" w:hAnsi="IRNazanin" w:eastAsia="IRNazanin"/>
          <w:color w:val="111111"/>
          <w:sz w:val="28"/>
          <w:sz w:val="28"/>
          <w:szCs w:val="28"/>
          <w:rtl w:val="true"/>
          <w:lang w:bidi="fa-IR"/>
        </w:rPr>
        <w:t xml:space="preserve">الواردة في المقام على طائفتين الأولى ناهية والثانية آمرة على أحد القرائتين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القراءة المعروفة، وبناء على هذه القراءة فهذه الرواية تكون في مقابل روايات الطائفة الأولى فلابد من حمل الرواية على التقية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الاستحباب وأنه أمر مرغوب في الصلاة، والحال أنّه لم يقل أحد من العلماء قديماً وحديثاً بالاستحباب، مضافاً إلى منافاته مع الرواياتالناهية، والنهي كما تقرر في محله يدل على الفساد إذا كان المنهي عنه عبادة، فيقع التعارض في المقام، إلاّ أن هذه الرواية لما كانت موافقة للعامة فلابد من حملها على التقية، فتكون الروايات الناهية سليمة عن المعارض، وأما على القراءة الأخرى فالمراد منها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يحسن ذلك فلابد من الحمل على التقية أيضاً إذ يستشعرمن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غير صحيح إذ لو كان مستحباً لعرفه الإمام وعمل به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ليس على ظاهره، بل المراد لا أعرفه لا فرضاً ولا مستحباً،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الصوت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محل خلاف لأنه لم يستعمل أخفض بل المستعمل هو الثلاثي المجرد أي خفض، هذا بناء على أنّه فعل ماض ومرجع الضمير هو الإمام، ولعل هذا خطأ وقع من السائل 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هو أنّ الفعل من باب المفاضلة فالإمام كان صوته منخفضاً ثمّ أخفض صوته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هذه القراءة فلا تعارض بينها وبين الروايات المتقدمة الناهية بل موافقة لها لأنّها حينئذ واردة في النهي عن التأمين، هذا وقد ادعى الشيخ الإجماع</w:t>
      </w:r>
      <w:r>
        <w:rPr>
          <w:rStyle w:val="FootnoteAnchor"/>
          <w:rtl w:val="true"/>
        </w:rPr>
        <w:footnoteReference w:id="1161"/>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الروايات بإطلاقها تدل على النهي عن التأمين في الجماعة وغير الجماعة ولا وجه للتفصيل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أنّه إذا أخذنا بالإطلاق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واردة على نحو </w:t>
      </w:r>
    </w:p>
    <w:p>
      <w:pPr>
        <w:pStyle w:val="BookText"/>
        <w:rPr/>
      </w:pPr>
      <w:r>
        <w:rPr>
          <w:rFonts w:ascii="Amiri" w:hAnsi="Amiri" w:eastAsia="Amiri" w:cs="Amiri"/>
          <w:color w:val="111111"/>
          <w:sz w:val="28"/>
          <w:sz w:val="28"/>
          <w:szCs w:val="28"/>
          <w:rtl w:val="true"/>
          <w:lang w:bidi="ar-SA"/>
        </w:rPr>
        <w:t>الإطلاق فالتأمين غير جائز، وحينئذ يقدم على القاعدة سواء كان بعنوان الاستحباب أو الجزئية ويحكم ببطلان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قيل إنّ الإطلاق غير محرز، وأن المراد من النهي في الروايات هو النهي عما يفعله العامة أي أنّ الروايات ناظرة إلى ما يفعله المخالفون من إتيانهم بها على نحو الجزئية فلا يمكن حينئذ الأخذ بالإطلاق، ولا يكون التحريم مطلقاً وإنما الحرمة تختص بالمأتي به على نحو الجزئية، وأما الإتيان به بغير قصد الجزئية فلا يكون مشمولاً للروايات، ولكن لا يبعد القول بوجود الإطلاق 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السؤال والجواب في الروايات ولم يقيد الإمام جوابه، بل ورد النهي عنه بنحو الإطلاق مع 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عوامهم وجهلتهم كانوا يفعلون ذلك أي الإتيان به على نحو الجزئية ولم يحرز أن زمان صدور الروايات أنهم كانوا على هذا النحو،فقد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يوجب تقوية الإطلاق وحينئذ فالاحتياط يقتضي عدم جواز الإتيان لا بقصد الدعاء ولا بقصد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أصل المسألة في حالة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حال التقية فقد ذكر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الإتيان به لشمول أدلة التقية لهذا المورد</w:t>
      </w:r>
      <w:r>
        <w:rPr>
          <w:rStyle w:val="FootnoteAnchor"/>
          <w:rtl w:val="true"/>
        </w:rPr>
        <w:footnoteReference w:id="1162"/>
      </w:r>
      <w:r>
        <w:rPr>
          <w:rFonts w:ascii="Amiri" w:hAnsi="Amiri" w:eastAsia="Amiri" w:cs="Amiri"/>
          <w:color w:val="111111"/>
          <w:sz w:val="28"/>
          <w:sz w:val="28"/>
          <w:szCs w:val="28"/>
          <w:rtl w:val="true"/>
          <w:lang w:bidi="ar-SA"/>
        </w:rPr>
        <w:t>وأن يكون إتيانه به بقصد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تركه مع وجوب التقية فهل يوجب ذلك بطلان الصلاة؟</w:t>
      </w:r>
    </w:p>
    <w:p>
      <w:pPr>
        <w:pStyle w:val="BookText"/>
        <w:rPr/>
      </w:pPr>
      <w:r>
        <w:rPr>
          <w:rFonts w:ascii="Amiri" w:hAnsi="Amiri" w:eastAsia="Amiri" w:cs="Amiri"/>
          <w:color w:val="111111"/>
          <w:sz w:val="28"/>
          <w:sz w:val="28"/>
          <w:szCs w:val="28"/>
          <w:rtl w:val="true"/>
          <w:lang w:bidi="ar-SA"/>
        </w:rPr>
        <w:t>الظاهر عدم البطلان لأنّه أمر خارج عن الصلاة، فلم يأت بما ينافي الصلاة، مضافاً إلى أنّه أمر عدمي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فالصلاة صحيحة وإن خالف فيها مقتضى التقية</w:t>
      </w:r>
      <w:r>
        <w:rPr>
          <w:rFonts w:eastAsia="Amiri" w:cs="Amiri" w:ascii="Amiri" w:hAnsi="Amiri"/>
          <w:color w:val="111111"/>
          <w:sz w:val="28"/>
          <w:szCs w:val="28"/>
          <w:rtl w:val="true"/>
          <w:lang w:bidi="ar-SA"/>
        </w:rPr>
        <w:t xml:space="preserve">. </w:t>
      </w:r>
      <w:bookmarkStart w:id="326" w:name="pg16387_188494"/>
    </w:p>
    <w:p>
      <w:pPr>
        <w:pStyle w:val="Heading4"/>
        <w:numPr>
          <w:ilvl w:val="3"/>
          <w:numId w:val="1"/>
        </w:numPr>
        <w:rPr/>
      </w:pPr>
      <w:bookmarkStart w:id="327" w:name="__RefHeading___Toc6877865_1280447820"/>
      <w:bookmarkStart w:id="328" w:name="_Toc110"/>
      <w:bookmarkEnd w:id="326"/>
      <w:bookmarkEnd w:id="327"/>
      <w:r>
        <w:rPr>
          <w:rtl w:val="true"/>
        </w:rPr>
        <w:t>المسالة الثالثة</w:t>
      </w:r>
      <w:r>
        <w:rPr>
          <w:rtl w:val="true"/>
        </w:rPr>
        <w:t>:</w:t>
      </w:r>
      <w:bookmarkEnd w:id="328"/>
    </w:p>
    <w:p>
      <w:pPr>
        <w:pStyle w:val="BookText"/>
        <w:rPr/>
      </w:pPr>
      <w:r>
        <w:rPr>
          <w:rFonts w:ascii="Amiri" w:hAnsi="Amiri" w:eastAsia="Amiri" w:cs="Amiri"/>
          <w:color w:val="111111"/>
          <w:sz w:val="28"/>
          <w:sz w:val="28"/>
          <w:szCs w:val="28"/>
          <w:rtl w:val="true"/>
          <w:lang w:bidi="ar-SA"/>
        </w:rPr>
        <w:t>في التكفير أو التكتف حال القيام في الصلاة وهو وضع إحدى اليدين على الأخرى، على أية كيفية كانت كوضع اليدين على الصدر، أو اليمنى على اليسرى فوق السرة أو تحتها بدعوى أنّ هذا العمل موجب للخضوع والخشوع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هذا العمل حدث في زمان عمر، وذلك لما جيء بأسارى العجم وأوقفوا أمامه ورآهم يفعلون ذلك فسأل عن ذلك فأجابوه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نستعمله خضوعاً وتواضعاً لملوكنا، فاستحسن هو فعله مع الله تعالى في الصلاة</w:t>
      </w:r>
      <w:r>
        <w:rPr>
          <w:rStyle w:val="FootnoteAnchor"/>
          <w:rtl w:val="true"/>
        </w:rPr>
        <w:footnoteReference w:id="1163"/>
      </w:r>
      <w:r>
        <w:rPr>
          <w:rFonts w:ascii="Amiri" w:hAnsi="Amiri" w:eastAsia="Amiri" w:cs="Amiri"/>
          <w:color w:val="111111"/>
          <w:sz w:val="28"/>
          <w:sz w:val="28"/>
          <w:szCs w:val="28"/>
          <w:rtl w:val="true"/>
          <w:lang w:bidi="ar-SA"/>
        </w:rPr>
        <w:t>وقد التزم أكثر العامة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أصبحت المسألة خلافية بين العامة والخاصة، وبين العامة أنفسهم فالمشهور عند الخاصة القول بعدم الجواز وأنه موجب للبطلان</w:t>
      </w:r>
      <w:r>
        <w:rPr>
          <w:rStyle w:val="FootnoteAnchor"/>
          <w:rtl w:val="true"/>
        </w:rPr>
        <w:footnoteReference w:id="1164"/>
      </w:r>
      <w:r>
        <w:rPr>
          <w:rFonts w:ascii="Amiri" w:hAnsi="Amiri" w:eastAsia="Amiri" w:cs="Amiri"/>
          <w:color w:val="111111"/>
          <w:sz w:val="28"/>
          <w:sz w:val="28"/>
          <w:szCs w:val="28"/>
          <w:rtl w:val="true"/>
          <w:lang w:bidi="ar-SA"/>
        </w:rPr>
        <w:t>، بل ادعي الإجماع عليه كما عن الشيخ في الخلاف</w:t>
      </w:r>
      <w:r>
        <w:rPr>
          <w:rStyle w:val="FootnoteAnchor"/>
          <w:rtl w:val="true"/>
        </w:rPr>
        <w:footnoteReference w:id="1165"/>
      </w:r>
      <w:r>
        <w:rPr>
          <w:rFonts w:ascii="Amiri" w:hAnsi="Amiri" w:eastAsia="Amiri" w:cs="Amiri"/>
          <w:color w:val="111111"/>
          <w:sz w:val="28"/>
          <w:sz w:val="28"/>
          <w:szCs w:val="28"/>
          <w:rtl w:val="true"/>
          <w:lang w:bidi="ar-SA"/>
        </w:rPr>
        <w:t>، والسيد في الانتصار</w:t>
      </w:r>
      <w:r>
        <w:rPr>
          <w:rStyle w:val="FootnoteAnchor"/>
          <w:rtl w:val="true"/>
        </w:rPr>
        <w:footnoteReference w:id="1166"/>
      </w:r>
      <w:r>
        <w:rPr>
          <w:rFonts w:ascii="Amiri" w:hAnsi="Amiri" w:eastAsia="Amiri" w:cs="Amiri"/>
          <w:color w:val="111111"/>
          <w:sz w:val="28"/>
          <w:sz w:val="28"/>
          <w:szCs w:val="28"/>
          <w:rtl w:val="true"/>
          <w:lang w:bidi="ar-SA"/>
        </w:rPr>
        <w:t>، وغيرهما، ونسب الخلاف إلى الإسكافي فجعل تركه مستحباً، وإلى أبي الصلاح حيث جعل فعله مكروهاً</w:t>
      </w:r>
      <w:r>
        <w:rPr>
          <w:rStyle w:val="FootnoteAnchor"/>
          <w:rtl w:val="true"/>
        </w:rPr>
        <w:footnoteReference w:id="1167"/>
      </w:r>
      <w:r>
        <w:rPr>
          <w:rFonts w:ascii="Amiri" w:hAnsi="Amiri" w:eastAsia="Amiri" w:cs="Amiri"/>
          <w:color w:val="111111"/>
          <w:sz w:val="28"/>
          <w:sz w:val="28"/>
          <w:szCs w:val="28"/>
          <w:rtl w:val="true"/>
          <w:lang w:bidi="ar-SA"/>
        </w:rPr>
        <w:t>، واختار المحققفي المعتبر الكراهة</w:t>
      </w:r>
      <w:r>
        <w:rPr>
          <w:rStyle w:val="FootnoteAnchor"/>
          <w:rtl w:val="true"/>
        </w:rPr>
        <w:footnoteReference w:id="1168"/>
      </w:r>
      <w:r>
        <w:rPr>
          <w:rFonts w:ascii="Amiri" w:hAnsi="Amiri" w:eastAsia="Amiri" w:cs="Amiri"/>
          <w:color w:val="111111"/>
          <w:sz w:val="28"/>
          <w:sz w:val="28"/>
          <w:szCs w:val="28"/>
          <w:rtl w:val="true"/>
          <w:lang w:bidi="ar-SA"/>
        </w:rPr>
        <w:t>، وذهب صاحب المدارك إلى التفصيل بين الحرمة والبطلان فقال بالحرمة دون البطلان</w:t>
      </w:r>
      <w:r>
        <w:rPr>
          <w:rStyle w:val="FootnoteAnchor"/>
          <w:rtl w:val="true"/>
        </w:rPr>
        <w:footnoteReference w:id="1169"/>
      </w:r>
      <w:r>
        <w:rPr>
          <w:rFonts w:ascii="Amiri" w:hAnsi="Amiri" w:eastAsia="Amiri" w:cs="Amiri"/>
          <w:color w:val="111111"/>
          <w:sz w:val="28"/>
          <w:sz w:val="28"/>
          <w:szCs w:val="28"/>
          <w:rtl w:val="true"/>
          <w:lang w:bidi="ar-SA"/>
        </w:rPr>
        <w:t>كما في المسألة السابقة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عند العامة وعليه جمهورهم أنّه من مسنونات الصلاة، وذهب مالك إلى كراهته في الفريضة دون النافلة، وله قول آخر بالاستحباب في الفريضة والنافلة، قال في عمدة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أصل الوضع فعندنا يضع وبه قال </w:t>
      </w:r>
    </w:p>
    <w:p>
      <w:pPr>
        <w:pStyle w:val="BookText"/>
        <w:rPr/>
      </w:pPr>
      <w:r>
        <w:rPr>
          <w:rFonts w:ascii="Amiri" w:hAnsi="Amiri" w:eastAsia="Amiri" w:cs="Amiri"/>
          <w:color w:val="111111"/>
          <w:sz w:val="28"/>
          <w:sz w:val="28"/>
          <w:szCs w:val="28"/>
          <w:rtl w:val="true"/>
          <w:lang w:bidi="ar-SA"/>
        </w:rPr>
        <w:t>الشافعي وأحمد وإسحاق وعامة أهل العلم، وهو قول علي وأبي هريرة والنخعي والثوري وحكاه ابن المنذر عن مالك، وفي التوضيح وهو قول سعيد بن جبير وأبي محلز وأبي ثور وأبي عبيد وأبي جرير وداود، وهو قول أبي بكر وعائشة وجمهور العلماء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هذا عند أهل العلم من الصحابة والتابعين ومن بعدهم، وحكى ابن المنذر عن عبد الله بن الزبير والحسن البصري وابن سيرين أنّه يرسلهما، وكذلك عند مالك في المشهور يرسلهما وإن طال ذلك عليه وضع اليمنى على اليسرى للاستراحة قاله الليث بن سعيد وقال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 بين الوضع والإرسال</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والحاصل أنّ المشهور عند جمهور العامة القول بأنه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تحقيق المقام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المستفاد من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الجهة الأولى فالإتيان بهذا العمل على أنحاء ثلاثة كما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الإتيان به بعنوان الجزئية، ولا إشكال في حرمته وأنه مبطل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الإتيان به بعنوان الخضوع والخشوع، وهذا أيضاً تشريع محرم، أما أنّه مبطل أو غير مبطل فهو محل الكلام وسيأتي بيانه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الإتيان به لا بنية، بل محاكاة للعامة، أو لغرض الاستراحة، فهذا وإن لم يكن تشريعاً محرماً إلاّ أن كونه مفسداً للصلاة وعدمه يتوقف على أنّ العمل بنفسه هل هو ماح لصورة الصلاة أو لا؟ وسيأتي تحقيقه من خلال الكلام عن الجهة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إلى الجهة الثانية فقد استدل على عدم الجواز بأدلة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بعدم الجواز موافق لقاعدة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الفعل مناف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الأدلة الثلاثة الأولى فهي غير تامة، والإشكال عليها واضح فلا تنهض لإثبات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الرابع فهو محل إشكال أيضاً من جهة أنّ العمل المنافي للصلاة إنما يكون مبطلاً إذا كان ماحياً لصورة الصلاة فذلك منهي عنه وموجب للفساد، وأما إذا كان غير ماح لصورة الصلاة فلا يكون مبطلاً، نعم قد يكون مكروهاً كالعبث باللحية، وفرقعة الأصابع ونحو ذلك، ولم يرد أن مطلق العمل مبطل للصلاة، وهنا وقع الخلاف في التكفير هل هو ماح لصورة الصلاة فيكون مبطلاً أو لا، فلا يكون كذلك؟</w:t>
      </w:r>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 وذلك لما ثبت أن هذا الفعل أمر مستحدث ولم يفعله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كانت يداه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قيامه أثناء الصلاة مرسلتين وورد في بعض الروايات أنّ المستحب وضع اليدين على الفخذين حال القيام وأنه هو الموجب للخشوع والخضوع فغير هذه الكيفية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 الإرسال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ماح للصلاة كضم اليدين على الصدر أو على السرة أو فوقها أو تحتها فإذا رؤي المصلي يفعل ذلك فكأنه ليس في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غاية ما يقال في تقريب كونه عملاً ماحياً لصورة الصلاة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نوقش في هذا بأنه ليس من شرائط الصلاة وضع اليدين على نحو </w:t>
      </w:r>
    </w:p>
    <w:p>
      <w:pPr>
        <w:pStyle w:val="BookText"/>
        <w:rPr/>
      </w:pPr>
      <w:r>
        <w:rPr>
          <w:rFonts w:ascii="Amiri" w:hAnsi="Amiri" w:eastAsia="Amiri" w:cs="Amiri"/>
          <w:color w:val="111111"/>
          <w:sz w:val="28"/>
          <w:sz w:val="28"/>
          <w:szCs w:val="28"/>
          <w:rtl w:val="true"/>
          <w:lang w:bidi="ar-SA"/>
        </w:rPr>
        <w:t xml:space="preserve">الإرسال أو من الخلف أو على الصدر، نعم ضم اليدين إلى الفخذين هو المستحب أما تقييد الصلاة بأحد هذه الأمور فلم يثبت، والمكلف مخير في وضع يديه بأية كيفية شاء، وليس فيه محو لصورة الصلاة، نعم لما كان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لترك المستحب ففيه حزازة من هذه الناحية، ولذا ذهب بعضهم إلى القول بالكراهة لأنّ فيه تشبهاً بالمجوس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هذا العمل منافياً للصلاة وماحياً لصورتها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التسليم بأنه مخالف لهيئة المصلي إلاّ أن هذا لا يثبت المدعى على نحو الإطلاق، وذلك لأنّه لو كان ماحياً لصورة الصلاة للزم أن يكون مستمراً في مقدار معتد به من الصلاة كتمام القيام أو نصفه، وأما إذا كان في زمان يسير جداً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 القيام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كانالمصلي يرتدي عباءة أو رداء أو نحو ذلك فلا يكون الفعل ماحياً لصورة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التكتف عمل مناف للصلاة وماح لصورتها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أهم الأدلة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الروايات الواردة في المقام وهي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النهي والمنع أو ظاهرها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يظهر منها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روايات الطائفة الأولى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يضع يده في الصلاة، وحكى اليمنى على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التكفير لا يفعل</w:t>
      </w:r>
      <w:r>
        <w:rPr>
          <w:rStyle w:val="FootnoteAnchor"/>
          <w:rtl w:val="true"/>
        </w:rPr>
        <w:footnoteReference w:id="117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اليمنى على اليسرى، بأنّ الراوي محمّد بن مسلم هو </w:t>
      </w:r>
    </w:p>
    <w:p>
      <w:pPr>
        <w:pStyle w:val="BookText"/>
        <w:rPr/>
      </w:pPr>
      <w:r>
        <w:rPr>
          <w:rFonts w:ascii="IRNazanin" w:hAnsi="IRNazanin" w:eastAsia="IRNazanin"/>
          <w:color w:val="111111"/>
          <w:sz w:val="28"/>
          <w:sz w:val="28"/>
          <w:szCs w:val="28"/>
          <w:rtl w:val="true"/>
          <w:lang w:bidi="fa-IR"/>
        </w:rPr>
        <w:t xml:space="preserve">القائل لهذه الجملة، وأنّ الفعل صدر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للبيان، ويحتمل أن هذا القول من العلاء الراوي عن محمّد بن مسلم يصف فعل محمّد بن مسلم أمام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أيضاً أنّ الضمير راجع إلى الرجل، وعلى كل تقدير فدلالة الرواية واضحة في النهي عن التكفير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حريز عن رجل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تكفر إنما يصنع ذلك المجوس</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والرواية واضحة الدلالة إلاّ أنها مرسلة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الخصال بسنده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يجمع المسلم يديه في صلاته وهو قائم بين يدي الله عزوجل يتشبه بأهل الكفر يعني المجوس</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وهذه الرواية تامة سنداً ودلالة، فإن التشبه بأهل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الروايات النهي والنهي ظاهر في الحرمة وإرشاده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 وهي الروايات الدالة على الجواز فهي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إلى الصلاة فعليك بالإقبال على صلاتك فإنما لك منها ما أقبلت عليه، ولا تعبث فيها بيديك، ولا برأسك، ولا بلحيتك ولا تحدث نفسك، ولا تتثأب، ولا تتمط، ولا تكفر فإنما يفعل ذلك المجوس، ولا تلثم، ولا تحتفز، وتفرج كما يتفرج البعير، ولا تقع على قدميك، ولا تفترش ذراعيك، ولا تفرقع أصابعك، فإن ذلك كله نقصان من الصلاة، ولا تقم إلى الصلاة متكاسلاً ولا متناعساً ولا متثاقلاً فإنها من خلال النفاق، فإنّ الله سبحانه نهى المؤمنين أن يقوموا إلى الصلاة وهم سكارى، يعني </w:t>
      </w:r>
    </w:p>
    <w:p>
      <w:pPr>
        <w:pStyle w:val="BookText"/>
        <w:rPr/>
      </w:pPr>
      <w:r>
        <w:rPr>
          <w:rFonts w:ascii="Amiri" w:hAnsi="Amiri" w:eastAsia="Amiri" w:cs="Amiri"/>
          <w:color w:val="111111"/>
          <w:sz w:val="28"/>
          <w:sz w:val="28"/>
          <w:szCs w:val="28"/>
          <w:rtl w:val="true"/>
          <w:lang w:bidi="ar-SA"/>
        </w:rPr>
        <w:t>سكر النوم، وقال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قاموا إلى الصلاة قاموا كسالى يراؤن الناس، ولا يذكرون الله إلاّ قليلاً</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والرواية واردة في بيان آداب الصلاة وما ذكر فيها فهو إما مستحب أو مكروه، ومن المكروهات التكفير وشاهده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ذلك كله نقصان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فالرواية ظاهرة في الكراهة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الرجل إحدى يديه على الأخرى في الصلاة عمل، وليس في الصلاة عمل</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لا دلالة فيها إلاّ على الكراهة لأنّ العمل له فردان مبطل وغير مبطل، وصدر الرواية ليس فيه ظهور في الحرمة فلا تدخل في القسم الأول وذيلها له ظهور في الكراهة فتحمل عليه وذلك لأنّ علي بن جعفر روى نحو هذه الرواية وفيها زيادة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صلاته أيضع إحدى يديه على الأخرى بكفه أو ذراعه؟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ذلك، فإن فعل فلا يعود له</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وضم هذه الزيادة الموجودة في كتاب علي بن جعفر إلى الرواية مشعر بالكراهة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الكراهة مضافاً إلى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يحكم بالإعادة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الرواية صدراً وذيلاً ظاهرة في الكراهة وإن كانت ليست كالأولى في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سند الرواية ففيها عبد الله بن الحسن ولم يرد فيه توثيق إلاّ أنّ في تصحيح رواياته تحقيقاً سيأتي قريباً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الدعائم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قائماً في الصلاة، فلا تضع يدك اليمنى على اليسرى، ولا اليسرى على اليمنى،فإن ذلك تكفير أهل </w:t>
      </w:r>
    </w:p>
    <w:p>
      <w:pPr>
        <w:pStyle w:val="BookText"/>
        <w:rPr/>
      </w:pPr>
      <w:r>
        <w:rPr>
          <w:rFonts w:ascii="Amiri" w:hAnsi="Amiri" w:eastAsia="Amiri" w:cs="Amiri"/>
          <w:color w:val="111111"/>
          <w:sz w:val="28"/>
          <w:sz w:val="28"/>
          <w:szCs w:val="28"/>
          <w:rtl w:val="true"/>
          <w:lang w:bidi="ar-SA"/>
        </w:rPr>
        <w:t xml:space="preserve">الكتاب، ولكن أرسلهما إرسالاً فإنه أحرى أن لا يشغل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عن الصلاة</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والمستفاد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أحرى الدلالة على الكراهة، وأما سند الرواية فهو غير تام على ما حققناه في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العياشي في تفسيره عن إسحاق بن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أيضع الرجل يده على ذراعه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 بني اسرائيل كانوا إذا دخلوا في الصلاة دخلوا متماوتين كأنهم موتى، فأنزل الله على نبيه خذ ما أتيتك بقوة، فإذا دخلت الصلاة فادخل فيها بجلد وقوة، ثمّ ذكرها في طلب الرزق فإذا طلبت الرزق فاطلبه بقوة</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والمستفاد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فالدلالة واضحة إلاّ أن الاستدلال بهذه الرواية على المدعى محل إشكال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مجملة بل في غاية الإجمال كما ذكر ذلك صاحب البحار</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الرواية واردة في مقام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ذيل الرواية لا علاقة له بصدرها وإنما ذكر للمناسبة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العياشي للرواية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يمكن الاستدلال به على الجواز هو هذه الروايات الأربع إلاّ أن الروايتين الأخيرتين غير معتبرتين لما ذكرنا، والعمدة هي الروايتان الأوليان فيقع شبه التعارض بينهما وبين ما دل على عدم الجواز</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الجمع بين الطائفتين هو حمل الروايات الناهية على الكراهة، مضافاً إلى أنّه يمكن المناقشة في دلالة صحيحة زرارة بأنها غير صريحة في التحريم </w:t>
      </w:r>
    </w:p>
    <w:p>
      <w:pPr>
        <w:pStyle w:val="BookText"/>
        <w:rPr/>
      </w:pPr>
      <w:r>
        <w:rPr>
          <w:rFonts w:ascii="IRNazanin" w:hAnsi="IRNazanin" w:eastAsia="IRNazanin"/>
          <w:color w:val="111111"/>
          <w:sz w:val="28"/>
          <w:sz w:val="28"/>
          <w:szCs w:val="28"/>
          <w:rtl w:val="true"/>
          <w:lang w:bidi="fa-IR"/>
        </w:rPr>
        <w:t xml:space="preserve">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بالنسبة إلى رواية الخصال فإنّ حديث الأربعمائة جله آداب وسنن وبيان حكمة التشريع ولم يرد فيه واجبات، وإن ورد فهو قليل جداً، مضافاً إلى ذكر بعض المحرمات فيمكن القول بأنّ الرواية ظاهرة في الكراهة وخصوصاً عند التشبه بالمجوس فإنّ فيه حزازة من هذه الناحية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هاتين الروايتين ليستا صريحتين في الحرمة وتلك الروايات واضحة الدلالة في الكراهة فحينئذ يجمع بينهما بالحمل على الكراهة، وبها قال المحقق كما تقدم، ونسب صاحب البحار إلى العلامة القول بالتوقف في المنع</w:t>
      </w:r>
      <w:r>
        <w:rPr>
          <w:rStyle w:val="FootnoteAnchor"/>
          <w:rtl w:val="true"/>
        </w:rPr>
        <w:footnoteReference w:id="1180"/>
      </w:r>
      <w:r>
        <w:rPr>
          <w:rFonts w:ascii="Amiri" w:hAnsi="Amiri" w:eastAsia="Amiri" w:cs="Amiri"/>
          <w:color w:val="111111"/>
          <w:sz w:val="28"/>
          <w:sz w:val="28"/>
          <w:szCs w:val="28"/>
          <w:rtl w:val="true"/>
          <w:lang w:bidi="ar-SA"/>
        </w:rPr>
        <w:t>، ومال إليه صاحب الحدائق</w:t>
      </w:r>
      <w:r>
        <w:rPr>
          <w:rStyle w:val="FootnoteAnchor"/>
          <w:rtl w:val="true"/>
        </w:rPr>
        <w:footnoteReference w:id="1181"/>
      </w:r>
      <w:r>
        <w:rPr>
          <w:rFonts w:ascii="Amiri" w:hAnsi="Amiri" w:eastAsia="Amiri" w:cs="Amiri"/>
          <w:color w:val="111111"/>
          <w:sz w:val="28"/>
          <w:sz w:val="28"/>
          <w:szCs w:val="28"/>
          <w:rtl w:val="true"/>
          <w:lang w:bidi="ar-SA"/>
        </w:rPr>
        <w:t>، وهكذا السيد الأستاذ</w:t>
      </w:r>
      <w:r>
        <w:rPr>
          <w:rStyle w:val="FootnoteAnchor"/>
          <w:rtl w:val="true"/>
        </w:rPr>
        <w:footnoteReference w:id="1182"/>
      </w:r>
      <w:r>
        <w:rPr>
          <w:rFonts w:ascii="Amiri" w:hAnsi="Amiri" w:eastAsia="Amiri" w:cs="Amiri"/>
          <w:color w:val="111111"/>
          <w:sz w:val="28"/>
          <w:sz w:val="28"/>
          <w:szCs w:val="28"/>
          <w:rtl w:val="true"/>
          <w:lang w:bidi="ar-SA"/>
        </w:rPr>
        <w:t>فإنهم قالوا بالكراهة، وإن كان الأقوى عدم التكفير وادعي نقل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علاقة المسألة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بالكراهة لا مجال للبحث لأنّ التكفير حينئذ جائز وإن كان مكروهاً، وأما على القول بالحرمة فأدلة التقية تشمله فيكون واجباً ومخالفته تكون حراماً فإذا لم يتق المصلي وصلى بلا تكفير فهل تكون الصلاة صحيحة أو لا؟</w:t>
      </w:r>
    </w:p>
    <w:p>
      <w:pPr>
        <w:pStyle w:val="BookText"/>
        <w:rPr/>
      </w:pPr>
      <w:r>
        <w:rPr>
          <w:rFonts w:ascii="Amiri" w:hAnsi="Amiri" w:eastAsia="Amiri" w:cs="Amiri"/>
          <w:color w:val="111111"/>
          <w:sz w:val="28"/>
          <w:sz w:val="28"/>
          <w:szCs w:val="28"/>
          <w:rtl w:val="true"/>
          <w:lang w:bidi="ar-SA"/>
        </w:rPr>
        <w:t>ذهب صاحب العروة إلى أنّه مشكل</w:t>
      </w:r>
      <w:r>
        <w:rPr>
          <w:rStyle w:val="FootnoteAnchor"/>
          <w:rtl w:val="true"/>
        </w:rPr>
        <w:footnoteReference w:id="1183"/>
      </w:r>
      <w:r>
        <w:rPr>
          <w:rFonts w:ascii="Amiri" w:hAnsi="Amiri" w:eastAsia="Amiri" w:cs="Amiri"/>
          <w:color w:val="111111"/>
          <w:sz w:val="28"/>
          <w:sz w:val="28"/>
          <w:szCs w:val="28"/>
          <w:rtl w:val="true"/>
          <w:lang w:bidi="ar-SA"/>
        </w:rPr>
        <w:t>وإن كان الأقوى هو الحكم بالصحة، والاحتياط بالإعادة، وجهة الإشكال تبتني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بالتقية موجباً للنهي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هنا يوجب الفساد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تم هذان الأمران فهو وإلاّ فلا وجه للإشكال في الصحة، والمقام كذلك </w:t>
      </w:r>
      <w:bookmarkStart w:id="329" w:name="pg16387_188502"/>
    </w:p>
    <w:p>
      <w:pPr>
        <w:pStyle w:val="BookText"/>
        <w:rPr/>
      </w:pPr>
      <w:bookmarkEnd w:id="329"/>
      <w:r>
        <w:rPr>
          <w:rFonts w:ascii="Amiri" w:hAnsi="Amiri" w:eastAsia="Amiri" w:cs="Amiri"/>
          <w:color w:val="111111"/>
          <w:sz w:val="28"/>
          <w:sz w:val="28"/>
          <w:szCs w:val="28"/>
          <w:rtl w:val="true"/>
          <w:lang w:bidi="ar-SA"/>
        </w:rPr>
        <w:t>فإنه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نهي في المقام،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ورود النهي إلاّ أن التكفير أمر خارج عن الصلاة وغير داخل في الأجزاء والشرائط، نعم لو كان من الأجزاء والشرائط لأوجب البطلان،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عملاً ماحياً لصورة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يظهر أن ترك التكفير حال التقية بناء على حرمته لا يوجب بطلان الصلاة والله العالم</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6877867_1280447820"/>
      <w:bookmarkStart w:id="331" w:name="_Toc111"/>
      <w:bookmarkEnd w:id="330"/>
      <w:r>
        <w:rPr>
          <w:rtl w:val="true"/>
        </w:rPr>
        <w:t>المسألة الرابعة</w:t>
      </w:r>
      <w:r>
        <w:rPr>
          <w:rtl w:val="true"/>
        </w:rPr>
        <w:t>:</w:t>
      </w:r>
      <w:bookmarkEnd w:id="331"/>
    </w:p>
    <w:p>
      <w:pPr>
        <w:pStyle w:val="BookText"/>
        <w:rPr/>
      </w:pPr>
      <w:r>
        <w:rPr>
          <w:rFonts w:ascii="Amiri" w:hAnsi="Amiri" w:eastAsia="Amiri" w:cs="Amiri"/>
          <w:color w:val="111111"/>
          <w:sz w:val="28"/>
          <w:sz w:val="28"/>
          <w:szCs w:val="28"/>
          <w:rtl w:val="true"/>
          <w:lang w:bidi="ar-SA"/>
        </w:rPr>
        <w:t>في السجود على غير الأرض أو ما أنبتت من غير المأكول والملبوس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المسائل الخلافية بين الخاصة والعامة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العامة إلى عدم اعتبار شيء من ذلك ولم ينقل عنهم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الخاصة فهم يعتبرون في صحة السجود أن يكون على الأرض أو ما أنبتت مما لا يؤكل ولا يلبس، وقد ادعي عليه الإجماع تحصيلاً ونقلاً متواتراً كما في الجواهر</w:t>
      </w:r>
      <w:r>
        <w:rPr>
          <w:rStyle w:val="FootnoteAnchor"/>
          <w:rtl w:val="true"/>
        </w:rPr>
        <w:footnoteReference w:id="1184"/>
      </w:r>
      <w:r>
        <w:rPr>
          <w:rFonts w:ascii="Amiri" w:hAnsi="Amiri" w:eastAsia="Amiri" w:cs="Amiri"/>
          <w:color w:val="111111"/>
          <w:sz w:val="28"/>
          <w:sz w:val="28"/>
          <w:szCs w:val="28"/>
          <w:rtl w:val="true"/>
          <w:lang w:bidi="ar-SA"/>
        </w:rPr>
        <w:t>، بل يمكن أن يدعى أنّه من ضروريات المذهب، وتدل عليه روايات كثيرة قيل إنها متواترة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وقع الخلاف بين الخاصة في بعض الموارد منها السجود على القطن والكتان، فقد نقل الإجماع على عدم جواز السجود عليهما كما في المختلف</w:t>
      </w:r>
      <w:r>
        <w:rPr>
          <w:rStyle w:val="FootnoteAnchor"/>
          <w:rtl w:val="true"/>
        </w:rPr>
        <w:footnoteReference w:id="1185"/>
      </w:r>
      <w:r>
        <w:rPr>
          <w:rFonts w:ascii="Amiri" w:hAnsi="Amiri" w:eastAsia="Amiri" w:cs="Amiri"/>
          <w:color w:val="111111"/>
          <w:sz w:val="28"/>
          <w:sz w:val="28"/>
          <w:szCs w:val="28"/>
          <w:rtl w:val="true"/>
          <w:lang w:bidi="ar-SA"/>
        </w:rPr>
        <w:t>، ونسب إلى السيد المرتضى في كتابي الجمل والانتصار</w:t>
      </w:r>
      <w:r>
        <w:rPr>
          <w:rStyle w:val="FootnoteAnchor"/>
          <w:rtl w:val="true"/>
        </w:rPr>
        <w:footnoteReference w:id="1186"/>
      </w:r>
      <w:r>
        <w:rPr>
          <w:rFonts w:ascii="Amiri" w:hAnsi="Amiri" w:eastAsia="Amiri" w:cs="Amiri"/>
          <w:color w:val="111111"/>
          <w:sz w:val="28"/>
          <w:sz w:val="28"/>
          <w:szCs w:val="28"/>
          <w:rtl w:val="true"/>
          <w:lang w:bidi="ar-SA"/>
        </w:rPr>
        <w:t>، ولكن نسب إليه في المسائل الموصلية القول بالكراهة</w:t>
      </w:r>
      <w:r>
        <w:rPr>
          <w:rStyle w:val="FootnoteAnchor"/>
          <w:rtl w:val="true"/>
        </w:rPr>
        <w:footnoteReference w:id="1187"/>
      </w:r>
      <w:r>
        <w:rPr>
          <w:rFonts w:ascii="Amiri" w:hAnsi="Amiri" w:eastAsia="Amiri" w:cs="Amiri"/>
          <w:color w:val="111111"/>
          <w:sz w:val="28"/>
          <w:sz w:val="28"/>
          <w:szCs w:val="28"/>
          <w:rtl w:val="true"/>
          <w:lang w:bidi="ar-SA"/>
        </w:rPr>
        <w:t>، وكذا نسب إلى العلامة في النهاية</w:t>
      </w:r>
      <w:r>
        <w:rPr>
          <w:rStyle w:val="FootnoteAnchor"/>
          <w:rtl w:val="true"/>
        </w:rPr>
        <w:footnoteReference w:id="11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وظاهر المحقق في المعتبر الميل إلى ذلك</w:t>
      </w:r>
      <w:r>
        <w:rPr>
          <w:rStyle w:val="FootnoteAnchor"/>
          <w:rtl w:val="true"/>
        </w:rPr>
        <w:footnoteReference w:id="1189"/>
      </w:r>
      <w:r>
        <w:rPr>
          <w:rFonts w:ascii="Amiri" w:hAnsi="Amiri" w:eastAsia="Amiri" w:cs="Amiri"/>
          <w:color w:val="111111"/>
          <w:sz w:val="28"/>
          <w:sz w:val="28"/>
          <w:szCs w:val="28"/>
          <w:rtl w:val="true"/>
          <w:lang w:bidi="ar-SA"/>
        </w:rPr>
        <w:t>، وهكذا المحدث الكاشاني</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وإنما ذكرنا هذا المورد بخصوصه لأنه محل الابتلاء وإلاّ فهناك موارد أخرى وقع فيها الخلاف بين فقهاء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الحكم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السجود على القطن والكتان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ارتباط المسألة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الجهة الأولى فقد ذكرنا أنّه لم يذكر فيه خلاف بين الأعلام وقد وردت فيه عدة روايات تدل عليه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تحدد ما يصح السجود عليه من غيره،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الحكم أنّه قال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عما يجوز السجود عليه وعما لا يجوز؟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لا يجوز إلاّ على الأرض أو على ما أنبتت الأرض إلاّ ما أكل أو لبس،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جعلتفداك ما العلة في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السجود خضوع لله عزوجل، فلا ينبغي أن يكون على ما يؤكل ويلبس، لأنّ أبناء الدنيا عبيد ما يأكلون ويلبسون، والساجد في سجوده في عبادة الله عزوجل، فلا ينبغي أن يضع جبهته في سجوده على معبود أبناء الدنيا الذين اغتروا بغرورها الحديث</w:t>
      </w:r>
      <w:r>
        <w:rPr>
          <w:rStyle w:val="FootnoteAnchor"/>
          <w:rtl w:val="true"/>
        </w:rPr>
        <w:footnoteReference w:id="119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صحيحة السند وواضحة الدلالة وجهة التعليل مؤكدة للمراد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حماد بن عثمان عن أبي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ما أنبتت الأرض إلاّ ما أكل أو لبس</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الفضيل بن يسار، وبريد بن معاوية جميعاً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بالقيام على المصلّى من الشعر والصوف إذا كان يسجد على الأرض، وإن كان من نبات الأرض فلا بأس بالقيام عليه والسجود عليه</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وهذه الرواية مضافاً إلى دلالتها على ما نحن فيه، تدل أيضاً على عدم جواز السجود على الشعر والصوف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أسجد على الزفت يعني القير؟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على الثوب الكرسف، ولا على الصوف، ولا على شيء من الحيوان، و لا على طعام، ولا على شيء من ثمار الأرض، ولا على شيء من الرياش</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الرحمن بن حمران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على الخمرة يجعلها على الطنفسة ويسجد عليها، فإذا لم تكن خمرة جعل حصى على الطنفسة حيث يسجد</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 xml:space="preserve">وهذه الرواية وإن كانت حكاية لفعل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لما كان في مقام البيان فهي دالة على المراد من عدم صحة السجود إلاّ على الأرض أو ما أنبتت من غير المأكول والملبوس</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أبي بالخمرةفأبطأت عليه، فأخذ كفاً من حصى فجعله على البساط ثمّ سجد</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وهذه الرواية كالرواية السابقة من حيث المضمون، وأما من حيث السند فهي وإن كان فيها محمّد بن سنان وفي وثاقته خلاف إلاّ أنّه ثقة كما هو نتيجة التحقيق، ولذلك عبرنا عنها بالصحيحة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المحقق الحلي في المعتبر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يصلي على البساط والشعر والطنافس؟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تسجد عليه وإن قمت عليه وسجدت على الأرض فلا بأس، وإن بسطت عليه الحصير وسجدت على الحصير فلا بأس</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والرواية من حيث الدلالة واضحة، وأما من حيث السند فالحلبي مشترك بين عبيد الله الحلبي ومحمّد بن علي الحلبي وكلاهما ثقتان</w:t>
      </w:r>
      <w:r>
        <w:rPr>
          <w:rStyle w:val="FootnoteAnchor"/>
          <w:rtl w:val="true"/>
        </w:rPr>
        <w:footnoteReference w:id="1198"/>
      </w:r>
      <w:r>
        <w:rPr>
          <w:rFonts w:ascii="IRNazanin" w:hAnsi="IRNazanin" w:eastAsia="IRNazanin"/>
          <w:color w:val="111111"/>
          <w:sz w:val="28"/>
          <w:sz w:val="28"/>
          <w:szCs w:val="28"/>
          <w:rtl w:val="true"/>
          <w:lang w:bidi="fa-IR"/>
        </w:rPr>
        <w:t xml:space="preserve">، والظاهر أنّ المراد هو الأول وهو صاحب الكتاب المعروف المشهور المصحح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الكتاب يرويه جماعات من الناس وللشيخ عدة طرق إليه</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وللمحقق طريق صحيح إلى جميع روايات وكتب الشيخ، كما أنّ لابن إدريس وابن طاووس طرقاً إلى روايات الشيخ وكتبه، وحينئذ فالرواية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المراد هو الثاني فكتابه مشهور أيضاً إلاّ أنّه لم يرد فيه أنّه صحّح على الإمام، ولابد حينئذ من الفحص لمعرفة أنّ للشيخ طريقاً صحيحاً إلى الكتاب فإن الطريق المذكور في الفهرست</w:t>
      </w:r>
      <w:r>
        <w:rPr>
          <w:rStyle w:val="FootnoteAnchor"/>
          <w:rtl w:val="true"/>
        </w:rPr>
        <w:footnoteReference w:id="1200"/>
      </w:r>
      <w:r>
        <w:rPr>
          <w:rFonts w:ascii="Amiri" w:hAnsi="Amiri" w:eastAsia="Amiri" w:cs="Amiri"/>
          <w:color w:val="111111"/>
          <w:sz w:val="28"/>
          <w:sz w:val="28"/>
          <w:szCs w:val="28"/>
          <w:rtl w:val="true"/>
          <w:lang w:bidi="ar-SA"/>
        </w:rPr>
        <w:t>ينتهي إلى أبي جميلة المفضل بن صالح</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أصلي على الطبري وقد ألقيت عليه شيئاً أسجد عليه،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لا تسجد عليه؟ أليس هو من نبات الأرض</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والرواية من جهة السند لا إشكال فيها فإنّ ياسر الخادم واقع في أسناد تفسير القمي كما ذكرنا ذلك فيما تقدم، فيحكم بوثاقته، وأما من جهةالدلالة فهي واضحة وإن اختلف في معنى الطبري،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حصير ينسب إلى طبرستان،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كتان منسوب إليها</w:t>
      </w:r>
      <w:r>
        <w:rPr>
          <w:rStyle w:val="FootnoteAnchor"/>
          <w:rtl w:val="true"/>
        </w:rPr>
        <w:footnoteReference w:id="1202"/>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بساط مخلوط بالقطن، وعلى كل حال فلا إشكال في دلالة الرواية، ولاسيما أن الطبري موضوع خارجي فالأمر فيه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تدل على جواز السجود على ما لا يصح السجود عليه حال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يسجد على المسح والبساط؟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كان في حال التقية</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الشيخ أيضاً كذلك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بالسجود على الثياب في حال التقية</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 والمفهوم من ذلك أنّه في حال عدم التقية لا يجوز السجود على 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يسجد على المسح؟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في تقية فلا بأس به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والمسح بالكسر فالسكون واحد المسوح ويعبرعنه بالبلاس وهو كساء معروف</w:t>
      </w:r>
      <w:r>
        <w:rPr>
          <w:rStyle w:val="FootnoteAnchor"/>
          <w:rtl w:val="true"/>
        </w:rPr>
        <w:footnoteReference w:id="1206"/>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تدل على جواز السجود على غير الأرض </w:t>
      </w:r>
    </w:p>
    <w:p>
      <w:pPr>
        <w:pStyle w:val="BookText"/>
        <w:rPr/>
      </w:pPr>
      <w:r>
        <w:rPr>
          <w:rFonts w:ascii="Amiri" w:hAnsi="Amiri" w:eastAsia="Amiri" w:cs="Amiri"/>
          <w:color w:val="111111"/>
          <w:sz w:val="28"/>
          <w:sz w:val="28"/>
          <w:szCs w:val="28"/>
          <w:rtl w:val="true"/>
          <w:lang w:bidi="ar-SA"/>
        </w:rPr>
        <w:t>في حال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عيينة بياع القصب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المسجد في اليوم الشديد الحر فأكره أن أصلي على الحصى، فأبسط ثوبي فأسجد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ليس به بأس</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وبهذا المضمون عدة روايات وجميعها تتضمن سؤال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السجود حال الضرورة، ومنه يفهم أن المرتكز في أذهان السائلين عدم الجواز حال الاختيار، ولم يرد التعبير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بالاضطرار إلاّ في رواية واحدة وهي رواية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عنالرجل يؤذيه حر الأرض وهو في الصلاة ولا يقدر على السجود، هل يصح له أن يضع ثوبه إذا كان قطناً أو كتاناً؟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مضطراً فليفعل</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وهذه الرواية من جهة الدلالة واضحة إلاّ أن الكلام من جهة السند، وذلك لأنها وردت في قرب الاسناد، وفي سندها عبد الله بن الحسن وهو ممن لم يرد فيه توثيق، ولهذا فهو ضعيف في نظر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هذه الروايات وغيرها مما لم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السجود على البساط والمسح والصوف والشعر في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الجهة الثانية وهي السجود على القطن والكتان فقد وقع الخلاف بين فقهاء الطائفة، والمشهور عدم الجواز حال الاختيار، وقد ذكرنا أنّ العلامة في المختلف نقل الإجماع على ذلك ومنشأ الاختلاف هو الروايات، فقد دلت عدة روايات على عدم الجواز كما دلت روايات أخرى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الدالة على عدم الجواز فهي قسمان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عدم الجواز بنحو الإطلاق وهي عدة روايات </w:t>
      </w:r>
    </w:p>
    <w:p>
      <w:pPr>
        <w:pStyle w:val="BookText"/>
        <w:rPr/>
      </w:pPr>
      <w:r>
        <w:rPr>
          <w:rFonts w:ascii="Amiri" w:hAnsi="Amiri" w:eastAsia="Amiri" w:cs="Amiri"/>
          <w:color w:val="111111"/>
          <w:sz w:val="28"/>
          <w:sz w:val="28"/>
          <w:szCs w:val="28"/>
          <w:rtl w:val="true"/>
          <w:lang w:bidi="ar-SA"/>
        </w:rPr>
        <w:t>وتقدم ذكرهاه وهي بإطلاقها تشمل القطن والكتان وغيرهما مما يؤكل أو يلبس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خصوص القطن والكتان 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أبي الفضل بن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يسجد إلاّ على الأرض أو ما أنبتت الأرض إلاّ القطن والكتان</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والرواية من حيث الدلالة واضحة فإن استثناء القطن والكتان مما أنبتت الأرض يدل على عدم جواز السجود عليهما، فلا إشكال في الدلالة إلاّ أن الرواية من حيث السند فيها القاسم بن عروة وهو لم يرد فيه توثيق، ولكنه واقع في أسناد نوادر الحكمة ولم يستثنه ابن الوليد فيحكم بوثاقته فتكون الرواية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شرايع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إلاّ على الأرض أو ما أنبتت الأرض إلاّ المأكول والقطنوالكتان</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صريحة في الدلالة وهي كالرواية السابقة بإضافة المأكول في المستثنى إلاّ أنها من جهة السند تشتمل على عدة مجاهيل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قرب الاسناد المتقدمة عن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يؤذيه حر الأرض وهو في الصلاة، ولا يقدر على السجود على الأرض، هل يصلح له أن يضع ثوبه إذا كان قطناً أو كتاناً؟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مضطراً فليفعل</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والمفهوم من الرواية عدم الجواز في غير حال الاضطرار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زرارة المتقدمة أيضاً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أسجد على الزفت يعني القير؟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على الثوب الكرسف، ولا على الصوف، ولا على شيء من الحيوان، ولا على طعام، ولا على شيء من ثمار الأرض، ولا </w:t>
      </w:r>
    </w:p>
    <w:p>
      <w:pPr>
        <w:pStyle w:val="BookText"/>
        <w:rPr/>
      </w:pPr>
      <w:r>
        <w:rPr>
          <w:rFonts w:ascii="Amiri" w:hAnsi="Amiri" w:eastAsia="Amiri" w:cs="Amiri"/>
          <w:color w:val="111111"/>
          <w:sz w:val="28"/>
          <w:sz w:val="28"/>
          <w:szCs w:val="28"/>
          <w:rtl w:val="true"/>
          <w:lang w:bidi="ar-SA"/>
        </w:rPr>
        <w:t>على شيء من الرياش</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ومحل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الثوب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الثوب القطني</w:t>
      </w:r>
      <w:r>
        <w:rPr>
          <w:rStyle w:val="FootnoteAnchor"/>
          <w:rtl w:val="true"/>
        </w:rPr>
        <w:footnoteReference w:id="1213"/>
      </w:r>
      <w:r>
        <w:rPr>
          <w:rFonts w:ascii="Amiri" w:hAnsi="Amiri" w:eastAsia="Amiri" w:cs="Amiri"/>
          <w:color w:val="111111"/>
          <w:sz w:val="28"/>
          <w:sz w:val="28"/>
          <w:szCs w:val="28"/>
          <w:rtl w:val="true"/>
          <w:lang w:bidi="ar-SA"/>
        </w:rPr>
        <w:t>، فإذا كان الثوب الكرسف من القطن فهو مشمول لعدم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قرب الاسناد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يسجد فتحول عمامته وقلنسوته بين جبهته وبين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يضع جبهته على الأرض</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والروايات صريحة في أن السجود لا يتحقق إلاّ بوضع الجبهة على الأرض، فلا يجوز وضعها على غيرها كالعمامة والقلنسوة،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الرواية في بيان وجوب تمكين الجبهة على الأرض فإذا وضعت على العمامة ارتفعت عن الأرض، ويجاب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وإن كان وارداً في العمامة إلاّ أنّه غير وارد بالنسبة إلى القلنسوة فتدخل الرواية في المقام، ثمّ إنّ الغالب في العمامة أن تكون من القطن، وأما القلنسوة فقد تكون من القطن وقد تكون من غيره، هذا من جهة الدلالة، وأما من جهة السند فالرواية واردة في قرب الاسناد وفي سندها عبد الله بن الحسن وهو ضعيف في نظر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وعدنا بتحقيق الحال في رواياته فيما تقدم وهذا موضع الوفاء، ويجري هذا التحقيق في جميع روايات قرب الاسناد المتقدمة والآتية المروية عن علي بن جعفر فإنّ عبد الله بن الحسن واقع في طريقها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تصحيح روايات الحميري عن عبد الله بن الحسن عن جده علي بن جعفر بعدة وجوه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النجاشي</w:t>
      </w:r>
      <w:r>
        <w:rPr>
          <w:rStyle w:val="FootnoteAnchor"/>
          <w:rtl w:val="true"/>
        </w:rPr>
        <w:footnoteReference w:id="1215"/>
      </w:r>
      <w:r>
        <w:rPr>
          <w:rFonts w:ascii="Amiri" w:hAnsi="Amiri" w:eastAsia="Amiri" w:cs="Amiri"/>
          <w:color w:val="111111"/>
          <w:sz w:val="28"/>
          <w:sz w:val="28"/>
          <w:szCs w:val="28"/>
          <w:rtl w:val="true"/>
          <w:lang w:bidi="ar-SA"/>
        </w:rPr>
        <w:t xml:space="preserve">أن لعلي بن جعفر كتاباً مبوباً وغير مبوب بمعنى أن </w:t>
      </w:r>
    </w:p>
    <w:p>
      <w:pPr>
        <w:pStyle w:val="BookText"/>
        <w:rPr/>
      </w:pPr>
      <w:r>
        <w:rPr>
          <w:rFonts w:ascii="Amiri" w:hAnsi="Amiri" w:eastAsia="Amiri" w:cs="Amiri"/>
          <w:color w:val="111111"/>
          <w:sz w:val="28"/>
          <w:sz w:val="28"/>
          <w:szCs w:val="28"/>
          <w:rtl w:val="true"/>
          <w:lang w:bidi="ar-SA"/>
        </w:rPr>
        <w:t>الكتاب يروى بطريقين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للمبوب والآخر لغير المبوب، ثمّ ذكر طريقه إلى المبوب وهو طريق صحيح، وذكر طريقه إلى غير المبوب وفيه عبد الله بن الحسن</w:t>
      </w:r>
      <w:r>
        <w:rPr>
          <w:rStyle w:val="FootnoteAnchor"/>
          <w:rtl w:val="true"/>
        </w:rPr>
        <w:footnoteReference w:id="1216"/>
      </w:r>
      <w:r>
        <w:rPr>
          <w:rFonts w:ascii="Amiri" w:hAnsi="Amiri" w:eastAsia="Amiri" w:cs="Amiri"/>
          <w:color w:val="111111"/>
          <w:sz w:val="28"/>
          <w:sz w:val="28"/>
          <w:szCs w:val="28"/>
          <w:rtl w:val="true"/>
          <w:lang w:bidi="ar-SA"/>
        </w:rPr>
        <w:t>وليس بين النسختين اختلاف، وإلاّ لنبّه النجاشي على ذلك كما هي عادته، وبضم الطريق المجهول إلى الطريق المعتبر تصبح الروايات كلها معتبرة، وذلك لأنّ الطريقين ينتهيان إلى كتاب واحد، هذا من جانب ومن جانب آخر فإنّ النجاشي يروي كتاب قرب الاسناد بطريق معتبر، فتكون النتيجة أن الروايات التي يرويها الحميري عن عبد الله بن الحسن عن جده علي بن جعفر من المسائل كلها معتبرة، هذا ويمكن تصحيح الطريق من جهة الشيخ أيضاً، وذلك لأنّ الشيخ</w:t>
      </w:r>
      <w:r>
        <w:rPr>
          <w:rStyle w:val="FootnoteAnchor"/>
          <w:rtl w:val="true"/>
        </w:rPr>
        <w:footnoteReference w:id="1217"/>
      </w:r>
      <w:r>
        <w:rPr>
          <w:rFonts w:ascii="Amiri" w:hAnsi="Amiri" w:eastAsia="Amiri" w:cs="Amiri"/>
          <w:color w:val="111111"/>
          <w:sz w:val="28"/>
          <w:sz w:val="28"/>
          <w:szCs w:val="28"/>
          <w:rtl w:val="true"/>
          <w:lang w:bidi="ar-SA"/>
        </w:rPr>
        <w:t>يروي جميع روايات وكتب الحميري ومنها قرب الاسناد المصحح بطريق النجاشي إلى علي بن جعفر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w:t>
      </w:r>
      <w:r>
        <w:rPr>
          <w:rStyle w:val="FootnoteAnchor"/>
          <w:rtl w:val="true"/>
        </w:rPr>
        <w:footnoteReference w:id="1218"/>
      </w:r>
      <w:r>
        <w:rPr>
          <w:rFonts w:ascii="Amiri" w:hAnsi="Amiri" w:eastAsia="Amiri" w:cs="Amiri"/>
          <w:color w:val="111111"/>
          <w:sz w:val="28"/>
          <w:sz w:val="28"/>
          <w:szCs w:val="28"/>
          <w:rtl w:val="true"/>
          <w:lang w:bidi="ar-SA"/>
        </w:rPr>
        <w:t>ذكر أنّ لعلي بن جعفر كتاباً اسمه المناسك والمسائل وذكر طريقه إليه، والظاهر أنّ هذا الكتاب هو كتاب الحلال والحرام الذي ذكره النجاشي</w:t>
      </w:r>
      <w:r>
        <w:rPr>
          <w:rStyle w:val="FootnoteAnchor"/>
          <w:rtl w:val="true"/>
        </w:rPr>
        <w:footnoteReference w:id="1219"/>
      </w:r>
      <w:r>
        <w:rPr>
          <w:rFonts w:ascii="Amiri" w:hAnsi="Amiri" w:eastAsia="Amiri" w:cs="Amiri"/>
          <w:color w:val="111111"/>
          <w:sz w:val="28"/>
          <w:sz w:val="28"/>
          <w:szCs w:val="28"/>
          <w:rtl w:val="true"/>
          <w:lang w:bidi="ar-SA"/>
        </w:rPr>
        <w:t>لا أنهما مختلفان، ولو كانا مختلفين لذكر الشيخ والنجاشي ذلك، فبناء على عدم التعدد وإن ذكره الشيخ بعنوان المناسك والمسائل وذكره النجاشي بعنوان الحلال والحرام إلاّ أنهما عنوانان لكتاب واحد، فينطبق ما ذكره الشيخ على ما ذكره النجاشي، وطريق النجاشي</w:t>
      </w:r>
      <w:r>
        <w:rPr>
          <w:rStyle w:val="FootnoteAnchor"/>
          <w:rtl w:val="true"/>
        </w:rPr>
        <w:footnoteReference w:id="1220"/>
      </w:r>
      <w:r>
        <w:rPr>
          <w:rFonts w:ascii="Amiri" w:hAnsi="Amiri" w:eastAsia="Amiri" w:cs="Amiri"/>
          <w:color w:val="111111"/>
          <w:sz w:val="28"/>
          <w:sz w:val="28"/>
          <w:szCs w:val="28"/>
          <w:rtl w:val="true"/>
          <w:lang w:bidi="ar-SA"/>
        </w:rPr>
        <w:t>وإن كان فيه عبد الله بن الحسن إلاّ أنّ طريق الشيخ</w:t>
      </w:r>
      <w:r>
        <w:rPr>
          <w:rStyle w:val="FootnoteAnchor"/>
          <w:rtl w:val="true"/>
        </w:rPr>
        <w:footnoteReference w:id="1221"/>
      </w:r>
      <w:r>
        <w:rPr>
          <w:rFonts w:ascii="Amiri" w:hAnsi="Amiri" w:eastAsia="Amiri" w:cs="Amiri"/>
          <w:color w:val="111111"/>
          <w:sz w:val="28"/>
          <w:sz w:val="28"/>
          <w:szCs w:val="28"/>
          <w:rtl w:val="true"/>
          <w:lang w:bidi="ar-SA"/>
        </w:rPr>
        <w:t xml:space="preserve">إليه معتبر فهو عن جماعة عن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محمّد بن يحيى عن العمركي الخراساني البوفكي عن علي </w:t>
      </w:r>
    </w:p>
    <w:p>
      <w:pPr>
        <w:pStyle w:val="BookText"/>
        <w:rPr/>
      </w:pP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الطريق معتبر ويكون طريقاً لما رواه الحميري عن عبد الله بن الحسن عن علي بن جعفر كما ذكره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يروي كتاب مسائل علي بن جعفر بعدة طرق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المتقدم عن البوفكي،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عن أبيه عن سعد والحميري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إدريس وعلي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موسى بن القاسم البجلي عنه</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فمع قطع النظر عن اتحاد الكتابين لكن يعلم من هذا الطريق أنّ للشيخ طريقاً إلى ما رواه الحميري من مسائل علي بن جعفر وهو طريق معتبر، كما يعلم أيضاً أن طريق الحميري لا ينحصر في عبد الله بن الحسن، بل له طريق آخر وهو عن أحمد بن محمّد بن عيسى عن موسى بن القاسم البجلي عن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الصدوق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ورويته عن محمّد بن الحسن بن أحمد بن الوليد رضي الله عنه عن محمّد بن الحسن الصفار، وسعد بن عبد الله جميعاً عن أحمد بن محمّد بن عيسى، والفضل بن عامر، عن موسى بن القاسم البجلي، عن علي بن جعفر</w:t>
      </w:r>
      <w:r>
        <w:rPr>
          <w:rStyle w:val="FootnoteAnchor"/>
          <w:rtl w:val="true"/>
        </w:rPr>
        <w:footnoteReference w:id="122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تقدير فيمكن تصحيح روايات الحميري من مسائل علي بن جعفر بعدة وجوه فكلّ ما ورد من قبل ومن بعد من روايات الحميري عن عبد الله بن الحسن عن جده علي بن جعفر فيما سأله أخاه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معتبر ولا يحتاج إلى ملاحظة السند، وعليه فما ورد عن السيد الأستاذ</w:t>
      </w:r>
      <w:r>
        <w:rPr>
          <w:rFonts w:eastAsia="IRNazanin" w:cs="IRNazanin"/>
          <w:color w:val="111111"/>
          <w:sz w:val="28"/>
          <w:szCs w:val="28"/>
          <w:rtl w:val="true"/>
          <w:lang w:bidi="fa-IR"/>
        </w:rPr>
        <w:t xml:space="preserve">! </w:t>
      </w:r>
      <w:r>
        <w:rPr>
          <w:rStyle w:val="FootnoteAnchor"/>
          <w:rtl w:val="true"/>
        </w:rPr>
        <w:footnoteReference w:id="1224"/>
      </w:r>
      <w:r>
        <w:rPr>
          <w:rFonts w:ascii="Amiri" w:hAnsi="Amiri" w:eastAsia="Amiri" w:cs="Amiri"/>
          <w:color w:val="111111"/>
          <w:sz w:val="28"/>
          <w:sz w:val="28"/>
          <w:szCs w:val="28"/>
          <w:rtl w:val="true"/>
          <w:lang w:bidi="ar-SA"/>
        </w:rPr>
        <w:t xml:space="preserve">في تضعيف الروايات الواردة عن هذا الطريق وطرحها من جهة ضعف السند لا يخلو من </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الروايات المانعة وأما الروايات المجوزة فهي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أصلي على الطبري وقد ألقيت عليه شيئاً أسجد عليه،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لا تسجد عليه، أليس هو من نبات الأرض</w:t>
      </w:r>
      <w:r>
        <w:rPr>
          <w:rStyle w:val="FootnoteAnchor"/>
          <w:rtl w:val="true"/>
        </w:rPr>
        <w:footnoteReference w:id="12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تقدمت الرواية وذكرنا الأقوال في تفسير الطبري ومفاد الرواية هو الجواز كما أنّ سند الرواية معتبر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داود الصرمي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السجود على القطن والكتان من غير تقية؟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والرواية في دلالتها واضحة، ولكنها من جهة السند فيها داود الصرمي وهو وإن لم يرد فيه توثيق إلاّ أنّه واقع في كتاب نوادر الحكمة</w:t>
      </w:r>
      <w:r>
        <w:rPr>
          <w:rStyle w:val="FootnoteAnchor"/>
          <w:rtl w:val="true"/>
        </w:rPr>
        <w:footnoteReference w:id="1227"/>
      </w:r>
      <w:r>
        <w:rPr>
          <w:rFonts w:ascii="Amiri" w:hAnsi="Amiri" w:eastAsia="Amiri" w:cs="Amiri"/>
          <w:color w:val="111111"/>
          <w:sz w:val="28"/>
          <w:sz w:val="28"/>
          <w:szCs w:val="28"/>
          <w:rtl w:val="true"/>
          <w:lang w:bidi="ar-SA"/>
        </w:rPr>
        <w:t>ولم يستثن فيحكم بوثاقته فتكون الرواية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الحسين بن علي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السجود على القطن والكتان من غير تقية ولا ضرورة؟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جائز</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واضحة الدلالة إلاّ أنها من جهة السند محل كلام، فإنّ الصنعاني لم يرد فيه توثيق إلاّ أنّه ورد في نوادر الحكمة الحسن بن علي بن كيسان فإن كان هذا هو الحسن وصحف بالحسين فيمكن الحكم بوثاقته واعتبار الرواية، وإن كان شخصاً آخر فالرواية غير معتبرة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وهناك روايات أخرى ذكرها صاحب الوسائل،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عن تحف العقول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شيء يكون غذاء الإنسان في مطعمه، أو مشربه، أو ملبسه، فلا تجوز الصلاة عليه، ولا السجود، إلاّ ما كان من نبات الأرض من غير ثمر، قبل أن يصير مغزولاً، فإذا صار غزلاً فلا تجوز الصلاة عليه إلاّ في حال الضرورة</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وهذه الرواية تصلح لأن تكون تفصيلاً في القطن والكتان قبل الغزل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سند الرواية ففيه وفي جميع روايات تحف العقول تحقيقاً ذكرناه في مباحثنا الرجالية فراجع</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هذه جملة الروايات الواردة في الجواز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الجمع بين الروايات فقد ذكروا للجمع بينها أربعة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الروايات الدالة على عدم الجواز على الكراهة جمعاً بينها وبين ما دل على الجواز، وإليه ذهب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الموصليات،ونسب إلى العلامة في النهاية، وهو ظاهر المحقق في المعتبر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كما نقله صاحب الوسائل وهو حمل الروايات المجوزة على حال الاضطرار</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المجوزة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بالتفصيل بمقتضى رواية تحف العقول بحمل الروايات المانعة على ما كان بعد الغزل والمجوزة على ما قبل الغزل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استشكل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منها واختار الوجه الثالث وهو الحمل على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الوجه الأول فقد ناقشه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يمكن المصير إليه لأنه جمع غير عرفي فإن الجواز وعدم الجواز غير قابلين للحمل على الكراهة، وذلك لأنّ الجواز إرشاد إلى الصحة وعدم الفساد، كما أنّ عدم الجواز إرشاد إلى عدم الصحة والفساد، نعم لو كان الأمر يدور بين النهي أو المنع مع الجواز لأمكن حمل النهي على الكراهة والمقام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الوجه إنما يتم في رواية واحدة دلت على عدم الجواز وهي صحيحة هشام بن الحكم وقد تقدمت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إلاّ على الأرض أو على ما أنبتت الأرض، إلاّ ما أكل أو لبس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يقع التعارض بينهما فتقدّم الروايات المانعة على المجوزة وذلك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مشهورة وأنها مخالفة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المجوزة غير مشهورة، وموافقة للعامة فتحمل 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الروايات المجوزة قد افترض السائل فيها عدم التقية وأجابه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طبق سؤاله ويردّه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إنما يجيب بحسب مطابقة جوابه للمصلحة، فعلى السائل أن يسأل ولا يلزم الإمام أن يجيب على طبق السؤال، فإن الإمام أعلم بما تقتضيه المصلحة، وقد يقتضي الجواب أن يكون على طبق التقية، وفي هذا المعنى روايات وردت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ذلك صاحب الحدائق </w:t>
      </w:r>
      <w:r>
        <w:rPr>
          <w:rFonts w:eastAsia="IRNazanin" w:cs="IRNazanin"/>
          <w:color w:val="111111"/>
          <w:sz w:val="28"/>
          <w:szCs w:val="28"/>
          <w:rtl w:val="true"/>
          <w:lang w:bidi="fa-IR"/>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الثاني وهو مذهب الشيخ فقد ناقشه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وجه لهذا الحمل لأنّ بعض الروايات افترض فيها عدم الضرورة فينبغي أن يكون الجواب هنا مطابقاً للسؤال، وليس الحال هنا كما في الموردالسابق حتى لا يراعى فيه حال السائل، فإنه هناك تراعى المصلحة في الجواب، أما هنا فيراعى حال </w:t>
      </w:r>
    </w:p>
    <w:p>
      <w:pPr>
        <w:pStyle w:val="BookText"/>
        <w:rPr/>
      </w:pPr>
      <w:r>
        <w:rPr>
          <w:rFonts w:ascii="Amiri" w:hAnsi="Amiri" w:eastAsia="Amiri" w:cs="Amiri"/>
          <w:color w:val="111111"/>
          <w:sz w:val="28"/>
          <w:sz w:val="28"/>
          <w:szCs w:val="28"/>
          <w:rtl w:val="true"/>
          <w:lang w:bidi="ar-SA"/>
        </w:rPr>
        <w:t>السائل والسؤال، وعليه فهذا الحمل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الرابع وهو التفصيل بين المغزول وغير المغزول، فقد ناقش فيه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غير صحيح،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المستند ضعيف وهي رواية تحف العقول، فإنها محكومة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الرواية غير تامة فإن الروايات المانعة غير قابلة للحمل على ما بعد الغزل بل الظاهر أنها شاملة لما قبل الغزل أيضاً، إذ ورد في صحيحة هشام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القطن والكتان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يكون معداً للبس لا أنّه ملبوس فعلاً، وذلك لأنّ الظاهر من الاستثناء أن يكون متصلاً والاتصال في الاسثتناء يقتضي أن يكون ما قبل الغزل لا ما صار مأكولاً أو ملبوساً لأنه والحال هذه لا يقال له نبات الأرض، وأما إذا قلنا بأن المراد هو الملبوس والمأكول كان الاستثناء منقطعاً وهو خلاف الظاهر، فلعدم لزوم المحذور يحمل على ما يعدّ للأكل واللبس وهو شامل لما قبل الغزل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ورد في بعض الروايات ما أكل أو لبس أي ما يعد للأكل واللبس لا ما كان قد أكل أو لبس فإنه سالب بانتفاء الموضوع، ومنه يستظهر أن هذا التفصيل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فالمتيقن هو الوجه الثالث وهو القول بالتعارض ولزوم الرجوع إلى المرجح السندي، ومقتضاه حمل أخبار الجواز على التقية وتقديم الروايات المانعة</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يمكن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الواردة في المقام على ثلاثة أقسام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المانعة عن السجود على الملبوس إذا كان من القطن </w:t>
      </w:r>
    </w:p>
    <w:p>
      <w:pPr>
        <w:pStyle w:val="BookText"/>
        <w:rPr/>
      </w:pPr>
      <w:r>
        <w:rPr>
          <w:rFonts w:ascii="Amiri" w:hAnsi="Amiri" w:eastAsia="Amiri" w:cs="Amiri"/>
          <w:color w:val="111111"/>
          <w:sz w:val="28"/>
          <w:sz w:val="28"/>
          <w:szCs w:val="28"/>
          <w:rtl w:val="true"/>
          <w:lang w:bidi="ar-SA"/>
        </w:rPr>
        <w:t>وهي عدة روايات وقد تقدمت كصحيحة زرارة، وصحيحة هشام، ورواية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تقيد المنع بما هو ملبوس بالفعل كالثوب الكرسف والعمامة، والقلنسوة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المانعة عن السجود على القطن والكتان مطلقاً مغزولاً أو غير مغزول، ومنها رواية أبي الفضل بن عبد الملك، ورواية الأعمش، وغيرها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جواز السجود على القطن والكتان من غير تقية أو ضرورة، كرواية داود الصرمي، ورواية الصنعاني،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فروايات القسمين الأخيرين مطلقة أي المنع مطلقاً والجواز مطلقاً، وأما القسم الأول فهي دالة على المنع في خصوص اللباس، ولم ترد رواية تدل على الجواز مطلقاً، في خصوص اللباس، وحينئذ فالروايات المجوزة تقيد الروايات المجوزة مطلقاً فتكون الروايات المانعة مخصصة بالروايات المقيدة فيكون من انقلاب النسبة، فإنا لما قيدنا أحد المطلقين يكون المطلق الآخر خاصاً 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الدالة على الجواز قبل الغزل في غير اللباس سليمة عن المعارض ويصبح الحكم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القطن والكتان إلاّ ما كان غير الملبوس وغير المغزول، وبناء على هذا فيكون مقتضى القاعدة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الدالة على اللباس مقيدة لروايات الجواز وروايات الجواز تكون خاصة بالنسبة إلى روايات المنع فيقيد بها الروايات الدالة على المنع مطلقاً، فإذا كان الثوب غير مغزول جاز السجود عليه وإلاّ فلا يجوز</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رواية تحف العقول، وقد ذكرنا في مباحثنا الرجالية أنّه لابد من الاحتياط في روايات الكتاب، ولاسيما أن صاحب الكتاب يقول إنها غير </w:t>
      </w:r>
    </w:p>
    <w:p>
      <w:pPr>
        <w:pStyle w:val="BookText"/>
        <w:rPr/>
      </w:pPr>
      <w:r>
        <w:rPr>
          <w:rFonts w:ascii="Amiri" w:hAnsi="Amiri" w:eastAsia="Amiri" w:cs="Amiri"/>
          <w:color w:val="111111"/>
          <w:sz w:val="28"/>
          <w:sz w:val="28"/>
          <w:szCs w:val="28"/>
          <w:rtl w:val="true"/>
          <w:lang w:bidi="ar-SA"/>
        </w:rPr>
        <w:t>مرسلة بل مسندة وهو الذي حذف أسنادها، مضافاً إلى ما يظهر من كلامه من أنّ الرواة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قلنا إنّ القطن والكتان لهما إطلاق فيكون مقتضى القاعدة ما ذكرناه، وأما إذا كان المراد من القطن والكتان هو اللباس لا المعد 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يدعى الظهور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يكون مقتضى القاعدة جواز السجود عليه قبل الغزل، وذلك لأنّ الروايات قيدت باللباس فهو خارج عن المقام وما عدا اللباس يحكم فيه بالجواز، وعلى كلا التقديرين فالحكم هو جواز السجود على القطن والكتان ولكن مع ذلك فالاحتياط يقتضي عدم السجود كما هو المشهور، وقد ادعي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ارتباط المسألة بالتقية فلا إشكال في أنّ التقية واجبة،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الدالة على أنّ التقية واجبة في كل شيء إلاّ مااستثني، وهذا المورد ليس من المستثنى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الخاصة الواردة في المقام وهي عدة 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يسجد على المسح والبساط؟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كان في حال التقية</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وفي نفس الرواية زيادة رواها الصدوق والشيخ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بالسجود على الثياب في حال التقية</w:t>
      </w:r>
      <w:r>
        <w:rPr>
          <w:rStyle w:val="FootnoteAnchor"/>
          <w:rtl w:val="true"/>
        </w:rPr>
        <w:footnoteReference w:id="1234"/>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يسجد على المسح؟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في تقية فلا بأس به</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وقد تقدمت هذه الروايات وهي تدل على خصوص هذا الحكم في حال التقية وأنه يجوز السجود على ما لا يصح السجود عليه، فإذا أتى المكلف بوظيفة التقية حكم بصحة صلاته، وأما إذا خالف التقية وسجد على ما يصح السجود عليه مخالفاً لوظيفته، فهل يحكم بصحة صلاته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ضابط هذه المسألة وهو أنّ الفعل المأتي به مخالفاً للتقية تارة يكون من أجزاء الواجب أو شرائطه وتارة لا يكون، وعلى كلتا الصورتين فتارة يعيد العمل ويأتي بوظيفة التقية وأخرى لا يعيد، فإذا لم يأت المكلف بوظيفة التقية كما في السجدة وهي من الأجزاء فحينئذ يحكم ببطلان صلاته لأنّ ما أتى به ليس بواجب عليه بل 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الواجب هو الإتيان بوظيفة التقية ولم يمتثل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صلاته نقص في الواجب من جهة الشرط أو الجزء على الخلاف والأكثر أنّه شرط لا جزء لأنّ السجدة تتحقق سواء على ما يصح أو لا، ولكن شرطها أن يكون على ما يصح وهذا النقص وقع من المكلف عمداً وهو موجب لنقصان الصلاة وبطلانها، وكذا يحكم ببطلان الصلاة فيما إذا أتى بسجدة أخرى موافقة للتقية، وجهة البطلان أنها زيادة عمدية موجبة لبطلان الصلاة، فبطلان الصلاة للمخالفة في الأول وللزيادة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يتم الكلام عن هذه الجهة وهي السجود 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وتتميماً للمسائل السابقة لا بأس بالتعرض إلى مطلق مهم له ربط وثيق بالمقام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يجوز السجود على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وهو أفضل،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 غير الملبوس والمأكول،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القرطاس</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الأمور مورد تسالم عند الفقهاء، وقد ادعي الإجماع عليها وإن كان في القرطاس خلاف، ولا فرق في القرطاس بين أن يكون متخذاً من القطن </w:t>
      </w:r>
    </w:p>
    <w:p>
      <w:pPr>
        <w:pStyle w:val="BookText"/>
        <w:rPr/>
      </w:pPr>
      <w:r>
        <w:rPr>
          <w:rFonts w:ascii="Amiri" w:hAnsi="Amiri" w:eastAsia="Amiri" w:cs="Amiri"/>
          <w:color w:val="111111"/>
          <w:sz w:val="28"/>
          <w:sz w:val="28"/>
          <w:szCs w:val="28"/>
          <w:rtl w:val="true"/>
          <w:lang w:bidi="ar-SA"/>
        </w:rPr>
        <w:t>والكتان أو من غيرهما، وهذا يؤيد ما ذكرنا من أنّ القطن والكتان غير الملبوس يجوز السجود عليه، وقد اعترف بذلك صاحب الجواهر</w:t>
      </w:r>
      <w:r>
        <w:rPr>
          <w:rStyle w:val="FootnoteAnchor"/>
          <w:rtl w:val="true"/>
        </w:rPr>
        <w:footnoteReference w:id="1236"/>
      </w:r>
      <w:r>
        <w:rPr>
          <w:rFonts w:ascii="Amiri" w:hAnsi="Amiri" w:eastAsia="Amiri" w:cs="Amiri"/>
          <w:color w:val="111111"/>
          <w:sz w:val="28"/>
          <w:sz w:val="28"/>
          <w:szCs w:val="28"/>
          <w:rtl w:val="true"/>
          <w:lang w:bidi="ar-SA"/>
        </w:rPr>
        <w:t>نعم لو قلنا إنّ القطن والكتان لا يجوز السجود عليه مطلقاً فنحتاج إلى دليل خاص في جواز السجود على القرطاس، وأما على القول بالجواز فلا نحتاج إلى هذا الدليل الخاص، ثمّ إنّ الأفضلية من هذه الأقسام للأول ثمّ الثاني ثمّ الثالث كما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إشكال في أنّ أفضل أفراد التراب هو التراب المنسوب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عنه بالتربة الحسينية وذلك بدليل عام ودليل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 التراب أفضل من سائر الأشياء فهذا يظهر من كثير من الروايات سيرة وعملاً،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وطهوراً</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إسحاق بن الفضيل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السجود على الحصر والبواري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وأن يسجد على الأرض أحبّ إليّ،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يحب ذلك أن يمكن جبهته من الأرض، فأنا أحبّ لك 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الأرض أفضل لأنّه أبلغ في التواضع والخضوع لله عزوجل</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الصدوق في الفقيه والعلل ورواها الشيخ في التهذيب،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الأرض سنّة</w:t>
      </w:r>
      <w:r>
        <w:rPr>
          <w:rStyle w:val="FootnoteAnchor"/>
          <w:rtl w:val="true"/>
        </w:rPr>
        <w:footnoteReference w:id="1240"/>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الرواية بيان لأفضلية السجود على الأرض، وكأنما التفاوت بين الأرض وغيرها في الأفضلية كالتفاوت بين الفريضة والسنّة وغيرها من </w:t>
      </w:r>
    </w:p>
    <w:p>
      <w:pPr>
        <w:pStyle w:val="BookText"/>
        <w:rPr/>
      </w:pPr>
      <w:r>
        <w:rPr>
          <w:rFonts w:ascii="Amiri" w:hAnsi="Amiri" w:eastAsia="Amiri" w:cs="Amiri"/>
          <w:color w:val="111111"/>
          <w:sz w:val="28"/>
          <w:sz w:val="28"/>
          <w:szCs w:val="28"/>
          <w:rtl w:val="true"/>
          <w:lang w:bidi="ar-SA"/>
        </w:rPr>
        <w:t>الروايات الدالة على أفضلية السجود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بالدليل العام فإنّ التربة الحسينية أحد أفراد تراب الأرضفهي داخلة تحت عموم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يتعلق بالدليل الخاص وهو تخصيص التربة الحسينية من دون غيرها من أفراد التراب وفيه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الروايات الخاصة، الثانية بيان جهة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فهنا عدة روايات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الصدوق في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على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ينور إلى الأرضين السبعة، ومن كانت معه سبحة من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مسبحاً وإن لم يسبح بها</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والرواية معتبرة فإنّ الصدوق شهد بصحة روايات كتابه وقد حققنا ذلك في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الطبرسي في الاحتجاج عن محمّد بن عبد الله بن جعفر الحميري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كتب يسأله عن السجدة على لوح من طين القبر، هل فيه فضل؟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ذلك وفيه الفضل </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والرواية وإن كانت في مقام بيان اصل الفضل إلاّ أنّه كاف في أفضليته على غيره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الشيخ في المصباح بإسناده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خريطة ديباج صفراء فيها تربة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إذا حضرته الصلاة صبه على سجادته وسجد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السجود على تربة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يخرق الحجب السبع</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والظاهر أنّ هذه الرواية صحيحة وذلك لأنّ الشيخ</w:t>
      </w:r>
      <w:r>
        <w:rPr>
          <w:rStyle w:val="FootnoteAnchor"/>
          <w:rtl w:val="true"/>
        </w:rPr>
        <w:footnoteReference w:id="1244"/>
      </w:r>
      <w:r>
        <w:rPr>
          <w:rFonts w:ascii="Amiri" w:hAnsi="Amiri" w:eastAsia="Amiri" w:cs="Amiri"/>
          <w:color w:val="111111"/>
          <w:sz w:val="28"/>
          <w:sz w:val="28"/>
          <w:szCs w:val="28"/>
          <w:rtl w:val="true"/>
          <w:lang w:bidi="ar-SA"/>
        </w:rPr>
        <w:t>يروي جميع كتب معاوية بن عمار بسند صحيح، وهي وإن لم يذكر سندها إلاّ أنها مروية من كتاب معاوية فإنّ معاوية ليس له روايات بل 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الديلمي في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يسجد إلاّ على 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تذللاً واستكانة إليه</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 xml:space="preserve">ومن استمرار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يعلم أنّ لهذا الفعل فضيلة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وغيرها من الروايات التي يستفاد منها أنّ تربة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أفراد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في بعض الروايات أنّ التسبيحة الواحدة بتربة الحسين بسبعين وفي بعضها بسبع تسبيحات وفي بعضها كتب مسبحاً وإن لم يسبح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يستفاد منها أفضلية التربة الحسينية على غيرها وقد ذكر في الروايات حدود التربة الحسينية من أرض كربلاء والمواضع الذي يؤخذ منها التراب وأمور أخرى تتعلق بالتربة وليرجع في ذلك إلى كتاب كامل الزيارات فإنه اشتمل على كثير من الروايات المتعلقة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الجهة الأولى</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الثانية وهي جهة التعليل الواردة في بعض الروايات فقد تقدم في صحيحة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السجود على الأرض أفضل لأنّه أبلغ في التواضع والخضوع لله عزوجل، وعين هذه الفضيلة جارية في 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أبلغ وأكثر تذللاً وخشوعاً من سائر التراب، فإنّ بقاع الأرض متفاوتة، ولما كانت تربة كربلاء قد امتزجت بالأجسام الطاهرة والدماء الزاكية الطيبة والتي كانت مجسدة للتواضع والخشوع والتسليم والعبودية المحضة لله تعالى كانت أخشع المخلوقات وأخضعها إلى الله عزوجل وأكثرها تسليماً لأمره تعالى، وقد ضم ثراها تلك الأجساد </w:t>
      </w:r>
    </w:p>
    <w:p>
      <w:pPr>
        <w:pStyle w:val="BookText"/>
        <w:rPr/>
      </w:pPr>
      <w:r>
        <w:rPr>
          <w:rFonts w:ascii="Amiri" w:hAnsi="Amiri" w:eastAsia="Amiri" w:cs="Amiri"/>
          <w:color w:val="111111"/>
          <w:sz w:val="28"/>
          <w:sz w:val="28"/>
          <w:szCs w:val="28"/>
          <w:rtl w:val="true"/>
          <w:lang w:bidi="ar-SA"/>
        </w:rPr>
        <w:t>الشريفة التي هي المظهر الأتم للخضوع والخشوع 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الأرض لما كانت مجسدة للتذلل والاستكانة إلى الله كان لها هذا الشأن العظيم، وقد ظهر ذلك حيث استشهد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امتثالاً لأمر الله ورضى بقضائه، وتسليماً له، وإحياء لدينه وإعلاء لكلمته، وإنما نقول إنّ ذلك كان تجسيداً وإظهاراً لأنّ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أخشع النفوس وهي الأقرب لله تعالى في خضوعها وعبوديتها من كل أحد إلاّ أن تجسيد ذلك وإظهاره كان على يد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غرو في ذلك فإنّ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النبيّ والنبيّ هو نفس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مني وأنا من حسين</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فمن هنا كان لأرض كربلاء هذه الخصوصية من دون سائر بقاع الأرض ولها الأثر الأكبر في احداث الخشوع والخضوع في القلوبوالأجساد ومن ذلك يكون حمل هذا التراب والتسبيح والدعاء والاستشفاء به أكثر ثواباً وأقرب إلى الله وأسرع إجابة وأعظم تأثيراً لأنه يقتضي القرب والخشوع والتذلل ويؤثر في نفس المؤمن الأثر العظيم، الأمر الذي يؤكد أنّ 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تنبض بالحياة، ولذا كان لها هذا التأثير في النفوس، والحامل لها كأنما يحمل معه شيئاً يقربه من الله زلفى، وإن من خصوصياتها أنها جعلت سبباً من أسباب الشفاء من كل داء، كما كشفت عن ذلك النصوص الشريفة وما ذلك إلاّ لأنّ وراءها أسرار غيبية وألطاف إلهية تقصر عن إدراكها العقول، فلما كانت تربة الحسين بهذه المثابة والمكانة والأثر كانت أفضل ما يسجد عليه من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يتم الكلام عن التقية في الصلاة</w:t>
      </w:r>
      <w:r>
        <w:rPr>
          <w:rFonts w:eastAsia="Amiri" w:cs="Amiri" w:ascii="Amiri" w:hAnsi="Amiri"/>
          <w:color w:val="111111"/>
          <w:sz w:val="28"/>
          <w:szCs w:val="28"/>
          <w:rtl w:val="true"/>
          <w:lang w:bidi="ar-SA"/>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6387_188524"/>
      <w:bookmarkStart w:id="333" w:name="pg16387_188524"/>
      <w:bookmarkEnd w:id="333"/>
    </w:p>
    <w:p>
      <w:pPr>
        <w:pStyle w:val="Heading2"/>
        <w:numPr>
          <w:ilvl w:val="1"/>
          <w:numId w:val="1"/>
        </w:numPr>
        <w:rPr/>
      </w:pPr>
      <w:bookmarkStart w:id="334" w:name="pg16387_188524"/>
      <w:bookmarkStart w:id="335" w:name="__RefHeading___Toc6877869_1280447820"/>
      <w:bookmarkStart w:id="336" w:name="_Toc112"/>
      <w:bookmarkEnd w:id="334"/>
      <w:bookmarkEnd w:id="335"/>
      <w:r>
        <w:rPr>
          <w:rtl w:val="true"/>
        </w:rPr>
        <w:t>الفصل السادس</w:t>
      </w:r>
      <w:bookmarkEnd w:id="336"/>
    </w:p>
    <w:p>
      <w:pPr>
        <w:pStyle w:val="Heading3"/>
        <w:numPr>
          <w:ilvl w:val="2"/>
          <w:numId w:val="1"/>
        </w:numPr>
        <w:rPr/>
      </w:pPr>
      <w:bookmarkStart w:id="337" w:name="__RefHeading___Toc6877871_1280447820"/>
      <w:bookmarkStart w:id="338" w:name="_Toc113"/>
      <w:bookmarkEnd w:id="337"/>
      <w:r>
        <w:rPr>
          <w:rtl w:val="true"/>
        </w:rPr>
        <w:t>اشارة</w:t>
      </w:r>
      <w:bookmarkEnd w:id="33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في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موضع الخلاف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الروايات ومفاد دلالاتها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التقية في الإفطار لا في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ثبوت الهلال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القضاء والكفارة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الإحالة على الفصل الأول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6387_188526"/>
      <w:bookmarkStart w:id="340" w:name="pg16387_188526"/>
      <w:bookmarkEnd w:id="340"/>
    </w:p>
    <w:p>
      <w:pPr>
        <w:pStyle w:val="Heading3"/>
        <w:numPr>
          <w:ilvl w:val="2"/>
          <w:numId w:val="1"/>
        </w:numPr>
        <w:rPr/>
      </w:pPr>
      <w:bookmarkStart w:id="341" w:name="pg16387_188526"/>
      <w:bookmarkStart w:id="342" w:name="__RefHeading___Toc6877873_1280447820"/>
      <w:bookmarkStart w:id="343" w:name="_Toc114"/>
      <w:bookmarkEnd w:id="341"/>
      <w:bookmarkEnd w:id="342"/>
      <w:r>
        <w:rPr>
          <w:rtl w:val="true"/>
        </w:rPr>
        <w:t>التقية في الصوم</w:t>
      </w:r>
      <w:bookmarkEnd w:id="343"/>
    </w:p>
    <w:p>
      <w:pPr>
        <w:pStyle w:val="BookText"/>
        <w:rPr/>
      </w:pPr>
      <w:r>
        <w:rPr>
          <w:rFonts w:ascii="Amiri" w:hAnsi="Amiri" w:eastAsia="Amiri" w:cs="Amiri"/>
          <w:color w:val="111111"/>
          <w:sz w:val="28"/>
          <w:sz w:val="28"/>
          <w:szCs w:val="28"/>
          <w:rtl w:val="true"/>
          <w:lang w:bidi="ar-SA"/>
        </w:rPr>
        <w:t>والكلام يقع فيه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 كما إذا كان اعتقاد المخالفين أنّ الارتماس في الماء جائز، أو لا يبطل به الصوم، وأن الأكل والشرب عند سقوط قرص الشمس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كما إذا ثبت العيد عندهم في يوم ولم يثبت عندنا، أو ثبت أنّه أول يوم من شهر رمضان ولم يثبت عندنا ذلك بحجة شرعية، فإذا اضطر المكلف إلى المخالفة تقية في صوم أو إفطار أو إلى الإتيان بما ينافي حكماً من أحكام الصوم فهل يسوغ له ذلك؟</w:t>
      </w:r>
    </w:p>
    <w:p>
      <w:pPr>
        <w:pStyle w:val="BookText"/>
        <w:rPr/>
      </w:pPr>
      <w:r>
        <w:rPr>
          <w:rFonts w:ascii="Amiri" w:hAnsi="Amiri" w:eastAsia="Amiri" w:cs="Amiri"/>
          <w:color w:val="111111"/>
          <w:sz w:val="28"/>
          <w:sz w:val="28"/>
          <w:szCs w:val="28"/>
          <w:rtl w:val="true"/>
          <w:lang w:bidi="ar-SA"/>
        </w:rPr>
        <w:t>لا إشكال في لزوم التقية في هذه الموارد، وإنما وقع الكلام بين الفقهاء في صحة الصوم وعدمه وفي المسألة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بالإجزاء مطلقاً حكماً كان أو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الإجزاء مطلقاً ولابد من القضاء وإليه ذهب صاحب المسالك</w:t>
      </w:r>
      <w:r>
        <w:rPr>
          <w:rStyle w:val="FootnoteAnchor"/>
          <w:rtl w:val="true"/>
        </w:rPr>
        <w:footnoteReference w:id="1247"/>
      </w:r>
      <w:r>
        <w:rPr>
          <w:rFonts w:ascii="IRNazanin" w:hAnsi="IRNazanin" w:eastAsia="IRNazanin"/>
          <w:color w:val="111111"/>
          <w:sz w:val="28"/>
          <w:sz w:val="28"/>
          <w:szCs w:val="28"/>
          <w:rtl w:val="true"/>
          <w:lang w:bidi="fa-IR"/>
        </w:rPr>
        <w:t>وصاحب الحدائق</w:t>
      </w:r>
      <w:r>
        <w:rPr>
          <w:rStyle w:val="FootnoteAnchor"/>
          <w:rtl w:val="true"/>
        </w:rPr>
        <w:footnoteReference w:id="1248"/>
      </w:r>
      <w:r>
        <w:rPr>
          <w:rFonts w:ascii="Amiri" w:hAnsi="Amiri" w:eastAsia="Amiri" w:cs="Amiri"/>
          <w:color w:val="111111"/>
          <w:sz w:val="28"/>
          <w:sz w:val="28"/>
          <w:szCs w:val="28"/>
          <w:rtl w:val="true"/>
          <w:lang w:bidi="ar-SA"/>
        </w:rPr>
        <w:t>والسيد الأستاذ</w:t>
      </w:r>
      <w:r>
        <w:rPr>
          <w:rStyle w:val="FootnoteAnchor"/>
          <w:rtl w:val="true"/>
        </w:rPr>
        <w:footnoteReference w:id="1249"/>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الحكم والموضوع فيجزي في الأول دون الثاني، وإليه </w:t>
      </w:r>
    </w:p>
    <w:p>
      <w:pPr>
        <w:pStyle w:val="BookText"/>
        <w:rPr/>
      </w:pPr>
      <w:r>
        <w:rPr>
          <w:rFonts w:ascii="IRNazanin" w:hAnsi="IRNazanin" w:eastAsia="IRNazanin"/>
          <w:color w:val="111111"/>
          <w:sz w:val="28"/>
          <w:sz w:val="28"/>
          <w:szCs w:val="28"/>
          <w:rtl w:val="true"/>
          <w:lang w:bidi="fa-IR"/>
        </w:rPr>
        <w:t>ذهب صاحب الجواهر</w:t>
      </w:r>
      <w:r>
        <w:rPr>
          <w:rStyle w:val="FootnoteAnchor"/>
          <w:rtl w:val="true"/>
        </w:rPr>
        <w:footnoteReference w:id="1250"/>
      </w:r>
      <w:r>
        <w:rPr>
          <w:rFonts w:ascii="Amiri" w:hAnsi="Amiri" w:eastAsia="Amiri" w:cs="Amiri"/>
          <w:color w:val="111111"/>
          <w:sz w:val="28"/>
          <w:sz w:val="28"/>
          <w:szCs w:val="28"/>
          <w:rtl w:val="true"/>
          <w:lang w:bidi="ar-SA"/>
        </w:rPr>
        <w:t>والسيد الحكيم</w:t>
      </w:r>
      <w:r>
        <w:rPr>
          <w:rStyle w:val="FootnoteAnchor"/>
          <w:rtl w:val="true"/>
        </w:rPr>
        <w:footnoteReference w:id="1251"/>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المقام لابد من ذكر المستند لهذه الأقوال وما تقتضيه القواعد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تنحصر في قسمين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العامة الدالة على أنّ التقية في كل أمر يضطر إليه، وأن من لا تقية له لا دين له، وقد تقدم الكلام فيها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وهي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عيسى بن أبي منصور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الذي يشك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اذهب فانظر أصام السلطان أم لا؟ فذهب ثمّ 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فدعا بالغذا فتغدينا معه</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وهذه الرواية من جهة السند معتبرة فإنّ عيسى بن أبي منصور ثقة خير فاضل من الفقهاء، كما ورد في الرسالة العددية</w:t>
      </w:r>
      <w:r>
        <w:rPr>
          <w:rStyle w:val="FootnoteAnchor"/>
          <w:rtl w:val="true"/>
        </w:rPr>
        <w:footnoteReference w:id="1253"/>
      </w:r>
      <w:r>
        <w:rPr>
          <w:rFonts w:ascii="IRNazanin" w:hAnsi="IRNazanin" w:eastAsia="IRNazanin"/>
          <w:color w:val="111111"/>
          <w:sz w:val="28"/>
          <w:sz w:val="28"/>
          <w:szCs w:val="28"/>
          <w:rtl w:val="true"/>
          <w:lang w:bidi="fa-IR"/>
        </w:rPr>
        <w:t>، وذكر الصدوق في مشيخته رواية في حقه، فقد روى بإسناده إلى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عيسى بن أبي منصور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تنظر خياراً في الدنيا خياراً في الآخرة فانظر إليه</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وطريق الصدوق إليه صحيح فالرواية من حيث السند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فكذلك فإنها واردة في مقام التقية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داود بن الحصين عن رجل من أصحابه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وهو بالحيرة في زمان أبي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دخلت عليه وقد شك الناس في الصوم، وهو والله من شهر رمضان، فسلمت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أصمت </w:t>
      </w:r>
    </w:p>
    <w:p>
      <w:pPr>
        <w:pStyle w:val="BookText"/>
        <w:rPr/>
      </w:pPr>
      <w:r>
        <w:rPr>
          <w:rFonts w:ascii="IRNazanin" w:hAnsi="IRNazanin" w:eastAsia="IRNazanin"/>
          <w:color w:val="111111"/>
          <w:sz w:val="28"/>
          <w:sz w:val="28"/>
          <w:szCs w:val="28"/>
          <w:rtl w:val="true"/>
          <w:lang w:bidi="fa-IR"/>
        </w:rPr>
        <w:t>اليوم؟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والمائدة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فادن فكل،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فأكلت، قال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معك والفطر معك، فقال الرجل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 يوماً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أفطر يوماً من شهر رمضان أحبّ إلي من أن يضرب عنقي</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والرواية وإن كانت من جهة الدلالة واضحة إلاّ أنها من جهة السند غير معتبرة، فإنّ داود بن الحصين من الثقات</w:t>
      </w:r>
      <w:r>
        <w:rPr>
          <w:rStyle w:val="FootnoteAnchor"/>
          <w:rtl w:val="true"/>
        </w:rPr>
        <w:footnoteReference w:id="1256"/>
      </w:r>
      <w:r>
        <w:rPr>
          <w:rFonts w:ascii="Amiri" w:hAnsi="Amiri" w:eastAsia="Amiri" w:cs="Amiri"/>
          <w:color w:val="111111"/>
          <w:sz w:val="28"/>
          <w:sz w:val="28"/>
          <w:szCs w:val="28"/>
          <w:rtl w:val="true"/>
          <w:lang w:bidi="ar-SA"/>
        </w:rPr>
        <w:t>ولكنه رواها عن رجل من أصحابه فهي 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رفاعة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العباس بالحيرة،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تقول في الصيام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إلى الإمام إن صمت صمنا، وإن أفطرت أفطرنا،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عليّ بالمائدة فأكلت معه، وأنا أعلم والله أنّه يوم من شهر رمضان، فكان إفطاري يوماً وقضاؤه أيسر عليّ من أن يضرب عنقي ولا يعبد الله</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وهذه الرواية من جهة السند مرسلة وإن كان رفاعة من الأجلاءمسكون إلى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الطريقة</w:t>
      </w:r>
      <w:r>
        <w:rPr>
          <w:rStyle w:val="FootnoteAnchor"/>
          <w:rtl w:val="true"/>
        </w:rPr>
        <w:footnoteReference w:id="1258"/>
      </w:r>
      <w:r>
        <w:rPr>
          <w:rFonts w:ascii="Amiri" w:hAnsi="Amiri" w:eastAsia="Amiri" w:cs="Amiri"/>
          <w:color w:val="111111"/>
          <w:sz w:val="28"/>
          <w:sz w:val="28"/>
          <w:szCs w:val="28"/>
          <w:rtl w:val="true"/>
          <w:lang w:bidi="ar-SA"/>
        </w:rPr>
        <w:t>إلاّ أنّه روى عن رجل فإن قلنا إن حسن الطريقة يوجب التمسك برواياته وإن كانت مرسلة فهو إلاّ أن ذلك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الدلالة فواضحة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خلاد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العباس في يوم شك، وأنا أعلم أنّه من شهر رمضان، وهو يتغدى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ليس هذا من أيامك،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صومي إلاّ بصومك، ولا </w:t>
      </w:r>
    </w:p>
    <w:p>
      <w:pPr>
        <w:pStyle w:val="BookText"/>
        <w:rPr/>
      </w:pPr>
      <w:r>
        <w:rPr>
          <w:rFonts w:ascii="Amiri" w:hAnsi="Amiri" w:eastAsia="Amiri" w:cs="Amiri"/>
          <w:color w:val="111111"/>
          <w:sz w:val="28"/>
          <w:sz w:val="28"/>
          <w:szCs w:val="28"/>
          <w:rtl w:val="true"/>
          <w:lang w:bidi="ar-SA"/>
        </w:rPr>
        <w:t>إفطاري إلاّ بإفطارك،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فأكلت وأنا والله أعلم أنّه من شهر رمضان</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وهذه الرواية من حيث الدلالة كالروايات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حيث السند ففيها خلاد بن عمارة ولم يرد في حقه توثيق، كما أنّه لم يرو له في الكتب الأربعة إلاّ هذه الرواية،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المشايخ الثقات قرينة على الوثاقة فيكون خلاد بن عمارة ثقة لرواية أحمد بن محمّد بن أبي نصر عنه، كما في سند نفس هذه الرواية، وبناء على هذا فالرواية معتبرة من حيث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الروايات الخاصة التي يتمسك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قد يستدل بها على المدعى إلاّ أن في دلالتها نظراً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شككنا سنة في عام من تلك الأعوام في الأضحى، فلما 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بعض أصحابنا يضحي،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 يوم يفطر الناس، والأضحى يوم يضحي الناس، والصوم يوم يصوم الناس</w:t>
      </w:r>
      <w:r>
        <w:rPr>
          <w:rStyle w:val="FootnoteAnchor"/>
          <w:rtl w:val="true"/>
        </w:rPr>
        <w:footnoteReference w:id="1260"/>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من جهة السند وإن أمكن القول باعتبارها نظراً إلى وقوع أبي الجارود في أسناد تفسير القمي</w:t>
      </w:r>
      <w:r>
        <w:rPr>
          <w:rStyle w:val="FootnoteAnchor"/>
          <w:rtl w:val="true"/>
        </w:rPr>
        <w:footnoteReference w:id="1261"/>
      </w:r>
      <w:r>
        <w:rPr>
          <w:rFonts w:ascii="Amiri" w:hAnsi="Amiri" w:eastAsia="Amiri" w:cs="Amiri"/>
          <w:color w:val="111111"/>
          <w:sz w:val="28"/>
          <w:sz w:val="28"/>
          <w:szCs w:val="28"/>
          <w:rtl w:val="true"/>
          <w:lang w:bidi="ar-SA"/>
        </w:rPr>
        <w:t>، وعدم استثنائه من كتاب نوادر الحكمة</w:t>
      </w:r>
      <w:r>
        <w:rPr>
          <w:rStyle w:val="FootnoteAnchor"/>
          <w:rtl w:val="true"/>
        </w:rPr>
        <w:footnoteReference w:id="1262"/>
      </w:r>
      <w:r>
        <w:rPr>
          <w:rFonts w:ascii="Amiri" w:hAnsi="Amiri" w:eastAsia="Amiri" w:cs="Amiri"/>
          <w:color w:val="111111"/>
          <w:sz w:val="28"/>
          <w:sz w:val="28"/>
          <w:szCs w:val="28"/>
          <w:rtl w:val="true"/>
          <w:lang w:bidi="ar-SA"/>
        </w:rPr>
        <w:t>، ورواية المشايخ الثقات عنه</w:t>
      </w:r>
      <w:r>
        <w:rPr>
          <w:rStyle w:val="FootnoteAnchor"/>
          <w:rtl w:val="true"/>
        </w:rPr>
        <w:footnoteReference w:id="1263"/>
      </w:r>
      <w:r>
        <w:rPr>
          <w:rFonts w:ascii="Amiri" w:hAnsi="Amiri" w:eastAsia="Amiri" w:cs="Amiri"/>
          <w:color w:val="111111"/>
          <w:sz w:val="28"/>
          <w:sz w:val="28"/>
          <w:szCs w:val="28"/>
          <w:rtl w:val="true"/>
          <w:lang w:bidi="ar-SA"/>
        </w:rPr>
        <w:t xml:space="preserve">، وهذه قرائن تدلّ على الوثاقةكما حققناها في محلّها، </w:t>
      </w:r>
    </w:p>
    <w:p>
      <w:pPr>
        <w:pStyle w:val="BookText"/>
        <w:rPr/>
      </w:pPr>
      <w:r>
        <w:rPr>
          <w:rFonts w:ascii="Amiri" w:hAnsi="Amiri" w:eastAsia="Amiri" w:cs="Amiri"/>
          <w:color w:val="111111"/>
          <w:sz w:val="28"/>
          <w:sz w:val="28"/>
          <w:szCs w:val="28"/>
          <w:rtl w:val="true"/>
          <w:lang w:bidi="ar-SA"/>
        </w:rPr>
        <w:t>مضافاً إلى أنّ الشيخ المفيد قد عدّه من الفقهاء الذين ليس فيهم قدح ولا طعن</w:t>
      </w:r>
      <w:r>
        <w:rPr>
          <w:rStyle w:val="FootnoteAnchor"/>
          <w:rtl w:val="true"/>
        </w:rPr>
        <w:footnoteReference w:id="1264"/>
      </w:r>
      <w:r>
        <w:rPr>
          <w:rFonts w:ascii="Amiri" w:hAnsi="Amiri" w:eastAsia="Amiri" w:cs="Amiri"/>
          <w:color w:val="111111"/>
          <w:sz w:val="28"/>
          <w:sz w:val="28"/>
          <w:szCs w:val="28"/>
          <w:rtl w:val="true"/>
          <w:lang w:bidi="ar-SA"/>
        </w:rPr>
        <w:t>وهذا كاف للأخذ بروايته، فلا بأس بالرواية من حيث السند إلاّ انها من حيث دخوله في المقام مشكل، 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يعلم أن الرواية واردة في مورد التقية، إذ من المحتمل أن المراد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الشياع بين الناس الموجب للاطمئنان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واردة في مقام التقية لما كان بعض الأصحاب يرتب الأثر ويضحي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لا تقية فيه، وإنما التقية في عدم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المناط هو الاطمئنان، والشياع بين الناس يوجب الاطمئنان نوعاً ولذلك أحال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فعل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وردت بعض الروايات تؤيد هذا المعنى وهو الشياع الموجب للاطمئنان، ومن ذلك رواية عبد الحميد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في الجبل في القرية فيها خمسمائة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كذلك فصم لصيامهم وافطر لفطرهم</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 xml:space="preserve">ورواية سماعة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اليوم في شهر رمضان يختلف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أهل مصر على صيامه للرؤية فاقضه إذا كان أهل مصر خمسمائة إنسان</w:t>
      </w:r>
      <w:r>
        <w:rPr>
          <w:rStyle w:val="FootnoteAnchor"/>
          <w:rtl w:val="true"/>
        </w:rPr>
        <w:footnoteReference w:id="1266"/>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أبي الجارود زياد بن المنذر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حين يصوم الناس وافطر حين يفطر الناس، فإنّ الله عزوجل </w:t>
      </w:r>
    </w:p>
    <w:p>
      <w:pPr>
        <w:pStyle w:val="BookText"/>
        <w:rPr/>
      </w:pPr>
      <w:r>
        <w:rPr>
          <w:rFonts w:ascii="Amiri" w:hAnsi="Amiri" w:eastAsia="Amiri" w:cs="Amiri"/>
          <w:color w:val="111111"/>
          <w:sz w:val="28"/>
          <w:sz w:val="28"/>
          <w:szCs w:val="28"/>
          <w:rtl w:val="true"/>
          <w:lang w:bidi="ar-SA"/>
        </w:rPr>
        <w:t>جعل الأهلة مواقيت</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ومحل الشاهد من الرواية الأخيرة هي الجملة الأخيرة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جعل الأهلة مواقيت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يقوى في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الروايات جاءت لبيان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شياع ثبوت الهلال بين الناس، وأنّ الشك الشخصي لا يعتنى به، ولذلك أحال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فعل الناس، وقريب من هذه الرواية في الدلالة الروايتان المتقدمتان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الرواية الأخيرة لا بأس بها من حيث السند فإنها وإن وقع في سندها محمّد بن سنان إلاّ أننا رجحنا العمل بروايته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أورد صاحب المستدرك عين هذه الرواية نقلاً عن تفسير العياشي</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ومن ذلك يعلم أنّ الإحالة على الناس من هذه الجهة، أي من جهة الأهلة والرؤية لا من جهة التقية، ويمكن استفادة ذلك من الروايات الواردة في اختلاف الأمصار ورؤية الهلال عندهم فيؤخذ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خارجة عن محل الكلام فلا يمكن الاستدلال بها على خصوص التقية، وسيأتي في مبحث التقية في الحج أن أكثر الفقهاء يستدلون بهذه الرواية، فإذا قلنا إنّ هذه الرواية خارجة عن المقام فكيف يستدل بها؟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السيد المرتضى في رسالة المحكم والمتشابه نقلاً عن تفسير النعماني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الرخصة التي صاحبها فيها بالخيار فإن الله نهى المؤمن أن يتخذ الكافر ولياً، ثمّ منّ عليه بإطلاق الرخصة له عند التقية في الظاهر أن يصوم بصيامه، ويفطر بإفطاره، ويصلي بصلاته، ويعمل بعمله ويظهر له استعمال ذلك موسعاً عليه فيه، وعليه أن يدين الله في الباطن بخلاف ما يظهر </w:t>
      </w:r>
      <w:bookmarkStart w:id="344" w:name="pg16387_188532"/>
    </w:p>
    <w:p>
      <w:pPr>
        <w:pStyle w:val="BookText"/>
        <w:rPr/>
      </w:pPr>
      <w:bookmarkEnd w:id="344"/>
      <w:r>
        <w:rPr>
          <w:rFonts w:ascii="Amiri" w:hAnsi="Amiri" w:eastAsia="Amiri" w:cs="Amiri"/>
          <w:color w:val="111111"/>
          <w:sz w:val="28"/>
          <w:sz w:val="28"/>
          <w:szCs w:val="28"/>
          <w:rtl w:val="true"/>
          <w:lang w:bidi="ar-SA"/>
        </w:rPr>
        <w:t>لمن يخافه من المخالفين</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وهذه الرواية من جهة الدلالة لا بأس بها، وأن الإفطار سائغ إذا كان لتقية، إلاّ أن الكلام في سند هذه الرواية وقد تقدم الكلام حول ذلك مفصلاً فراجع</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6877875_1280447820"/>
      <w:bookmarkStart w:id="346" w:name="_Toc115"/>
      <w:bookmarkEnd w:id="345"/>
      <w:r>
        <w:rPr>
          <w:rtl w:val="true"/>
        </w:rPr>
        <w:t>المستفاد من الروايات</w:t>
      </w:r>
      <w:r>
        <w:rPr>
          <w:rtl w:val="true"/>
        </w:rPr>
        <w:t>:</w:t>
      </w:r>
      <w:bookmarkEnd w:id="346"/>
    </w:p>
    <w:p>
      <w:pPr>
        <w:pStyle w:val="Heading4"/>
        <w:numPr>
          <w:ilvl w:val="3"/>
          <w:numId w:val="1"/>
        </w:numPr>
        <w:rPr/>
      </w:pPr>
      <w:bookmarkStart w:id="347" w:name="__RefHeading___Toc6877877_1280447820"/>
      <w:bookmarkStart w:id="348" w:name="_Toc116"/>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ذكرنا فيما تقدم من هذا البحث أنّ الأقوال في المسألة مختلفة، ومنها القول بعدم الإجزاء وأنه لابد من القضاء، وقد تعرّضنا لهذه المسألة على نحو العموم في بحث التقية مع الكفار، وذكرنا أيضاً هنا وهناك أنّ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القول بعدم الإجزاء، ولزوم الإعادة والقضاء ونقلنا استدلال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تعرّض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المسألة في هذا البحث وناقش في الأدلة التي يمكن الاستدلال بها على الصحة، وكلامه هنا يتضمن أموراً لم تذكر هناك، وتتميماً للبحث واستيفاء لجميع أطراف المسألة لا بأس بالتعرّض إلى ما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يمكن الاستدلال به على الصحة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العامة الدالة على الرفع وعلى التقية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الروايات بأنها لا تدل على الإجزاء، وإنما تدل على رفع الحكم التكليفي، وقد تقدم البحث في ذلك وأنها لا تشمل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وردت بالنسبة إلى استثناء المسح على الخفين، والمسكر، ومتعة الحج من التقية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وناقش في هذه الروايات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في نفسها متعارضة، فهناك روايات تدل على عدم ذلك،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الاتقاء </w:t>
      </w:r>
    </w:p>
    <w:p>
      <w:pPr>
        <w:pStyle w:val="BookText"/>
        <w:rPr/>
      </w:pPr>
      <w:r>
        <w:rPr>
          <w:rFonts w:ascii="Amiri" w:hAnsi="Amiri" w:eastAsia="Amiri" w:cs="Amiri"/>
          <w:color w:val="111111"/>
          <w:sz w:val="28"/>
          <w:sz w:val="28"/>
          <w:szCs w:val="28"/>
          <w:rtl w:val="true"/>
          <w:lang w:bidi="ar-SA"/>
        </w:rPr>
        <w:t>لانتفاء الموضوع، 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هو رفع الحكم التكليفي، وأما إثبات غيره من الأحكام الوضعية فلا دلالة فيها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الاستدلال بصحيحة أبي الصباح الكناني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صنعتم من شيء أو حلفتم عليه من يمين فأنتم فيه في سعة</w:t>
      </w:r>
      <w:r>
        <w:rPr>
          <w:rFonts w:eastAsia="IRNazanin" w:cs="IRNazanin"/>
          <w:color w:val="111111"/>
          <w:sz w:val="28"/>
          <w:szCs w:val="28"/>
          <w:rtl w:val="true"/>
          <w:lang w:bidi="fa-IR"/>
        </w:rPr>
        <w:t xml:space="preserve">» </w:t>
      </w:r>
      <w:r>
        <w:rPr>
          <w:rStyle w:val="FootnoteAnchor"/>
          <w:rtl w:val="true"/>
        </w:rPr>
        <w:footnoteReference w:id="1270"/>
      </w:r>
      <w:r>
        <w:rPr>
          <w:rFonts w:ascii="Amiri" w:hAnsi="Amiri" w:eastAsia="Amiri" w:cs="Amiri"/>
          <w:color w:val="111111"/>
          <w:sz w:val="28"/>
          <w:sz w:val="28"/>
          <w:szCs w:val="28"/>
          <w:rtl w:val="true"/>
          <w:lang w:bidi="ar-SA"/>
        </w:rPr>
        <w:t xml:space="preserve">على الإجزاء فغير تام، لأنّ الرواية واردة في مقام ما يلزم منه الضيق وعدمه، وموضوعه الفعل لا الترك، فما يلزم منه ترك الواجب غير مشمول للسعة، والرواية لا تدل عليه، وبناء على هذا فالعمل الناقص لا يكون مورداً للرواية، مضافاً إلى أن مورد الرواية هو الحلف فيكون المدلول هو رفع الحكم تكليفاً لا الرفع من جميع الجهات، ولذلك لو كان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بالكفارة فلا يشمله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العمل بالتقية عمل بالدين، وأنه من الدين، وحينئذ لا حاجة إلى الإعادة أو القضاء، لأنّ ما أتى به على طبق التقية هو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الدلالة تامة لو كان المراد أنّ العمل من الدين أي نفس ما أتى به هو من الدين، وحينئذ لابدّ من الحكم بالصحة والإجزاء، أما إذا كان المراد هو أنّ الاتقاء من الدين، والعمل هو مقدمة يتحقق به الاتقاء، فالاتقاء من الدين، لا أنّ العمل هو من الدين، وبناء على هذاالاحتمال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احتمال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الاستدلال بهذه الروايات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التي استدل بها على الإجزاء لا دلالة فيها على ذلك، مضافاً إلى أنّ القاعدة لا تقتضي الإجزاء، نعم إذا قام الدليل الخاص كالأمر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بالإتيان بالمانع أو ترك الجزء إذا أمر به بخصوصه فلا إشكال في صحة ما أتى به والاكتفاء به ولا حاجة معه إلى الإعادة أو القضاء، وأما إذا لم يكن مورداً </w:t>
      </w:r>
    </w:p>
    <w:p>
      <w:pPr>
        <w:pStyle w:val="BookText"/>
        <w:rPr/>
      </w:pPr>
      <w:r>
        <w:rPr>
          <w:rFonts w:ascii="IRNazanin" w:hAnsi="IRNazanin" w:eastAsia="IRNazanin"/>
          <w:color w:val="111111"/>
          <w:sz w:val="28"/>
          <w:sz w:val="28"/>
          <w:szCs w:val="28"/>
          <w:rtl w:val="true"/>
          <w:lang w:bidi="fa-IR"/>
        </w:rPr>
        <w:t xml:space="preserve">للأمر فهنا يلاحظ المورد فإن كان مما يقع الابتلاء به كثيراً ومع ذلك لم يرد فيه دليل خاص على الإجزاء وعدمه، كالتكتف في الصلاة مثلاً، وغسل الرجلين والنكس في الوضوء ونحو ذلك، وكان بمرأى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أمكن القول بالإجزاء مطلقاً حكماً وموضوعاً وعدم الحاجة إلى القضاء، وإن كان الابتلاء به قليلاً ونادراً كما نحن فيه مثل الصوم في يوم الشك أو الموقف في عرفات ونحو ذلك، فلا يمكن القول بالإجزاء، إذ ليس لنا سيرة متصلة بزمان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لنكتشف منها الصحة وعدمها فإن القاعدة تقتضي عدم 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لم يأت بالواجب أصلاً للتقية فهذا لا إجزاء فيه قطعاً لعدم الإتيان بالواجب، لا أنّه أتى به ناقصاً فإذا لم يصل تقية أو لم يصم في جميع اليوم كذلك وجب القضاء لعدم إتيانه بشيء من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الأحكام التكليفية والوضعية من حيث الإجزاء وعدمه إلاّ في هذه الصورة الأخيرة وهي عدم الإتيان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ولكنا قد استفدنا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في مبحث التقية مع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مطلقاً حتى في الأجزاء والشرائط لكن لا بهذه الأدلة الثلاثة التي ذكرها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نتمسك بها على الإجزاء، كما أنّه لا كلام لنا في الصورة الأخيرة وهي ما إذا لزم من التقية ترك الواجب، وإنما محل الكلام فيما إذا لم يأت بشرط أو جزء أو أتى بمانع، هذا أولاً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الروايات أن القضاء في الصوم موضوعه الإفطار بمعنى أنّ المكلف نوى الصوم وأفطر، فإن كان الإفطار يقابل الصوم ويناقضه فلابد حينئذ من القضاء لهذه الجهة، وقد أشار إلى هذا صاحب الجواهر</w:t>
      </w:r>
      <w:r>
        <w:rPr>
          <w:rStyle w:val="FootnoteAnchor"/>
          <w:rtl w:val="true"/>
        </w:rPr>
        <w:footnoteReference w:id="1272"/>
      </w:r>
      <w:r>
        <w:rPr>
          <w:rFonts w:ascii="Amiri" w:hAnsi="Amiri" w:eastAsia="Amiri" w:cs="Amiri"/>
          <w:color w:val="111111"/>
          <w:sz w:val="28"/>
          <w:sz w:val="28"/>
          <w:szCs w:val="28"/>
          <w:rtl w:val="true"/>
          <w:lang w:bidi="ar-SA"/>
        </w:rPr>
        <w:t xml:space="preserve">، ويمكن أن </w:t>
      </w:r>
    </w:p>
    <w:p>
      <w:pPr>
        <w:pStyle w:val="BookText"/>
        <w:rPr/>
      </w:pPr>
      <w:r>
        <w:rPr>
          <w:rFonts w:ascii="IRNazanin" w:hAnsi="IRNazanin" w:eastAsia="IRNazanin"/>
          <w:color w:val="111111"/>
          <w:sz w:val="28"/>
          <w:sz w:val="28"/>
          <w:szCs w:val="28"/>
          <w:rtl w:val="true"/>
          <w:lang w:bidi="fa-IR"/>
        </w:rPr>
        <w:t>يستشهد له ببعض الروايات التي تدل على أنّالمناط في القضاء هو الإفطار 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سئل عن رجل نسي فأكل وشرب؟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يفطر، إنما هو شيء رزقه الله فليتم صومه</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ومن هذه الرواية يعلم أنّ الأكل والشرب ليس مفطراً في حال النسيان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فنسي فأكل وشرب فلا يفطر من أجل أنّه نسي، فإنما هو رزق رزقه الله تعالى فليتم صيامه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صومه</w:t>
      </w:r>
      <w:r>
        <w:rPr>
          <w:rFonts w:eastAsia="IRNazanin" w:cs="IRNazanin"/>
          <w:color w:val="111111"/>
          <w:sz w:val="28"/>
          <w:szCs w:val="28"/>
          <w:rtl w:val="true"/>
          <w:lang w:bidi="fa-IR"/>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وهذه الرواية كالسابقة في دلالتها على أنّ الأكل والشرب نسياناً لا يعد إفطاراً فلا يلزم القضاء، ومن ذلك يستفاد أن موضوع القضاء هو الإفطار لا مجرد الأكل والشرب ولو كان عن نسيان، وبعبارة أخرى أن القضاء في الصوم لازم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الروايات هو الإجزاء فيما إذا كان من جهة النقص لا من جهة ترك الإتيان بالواجب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صاحب الجواهر</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موضوع القضاء هو الإفطار، وإذا تحقق الموضوع لزم الحكم، أما بالنسبة إلى الوجه الأول فهو في محله، فإنّ القول بشمول الأدلة لما لم يأت بالواجب رأساً مشكل، وقد ورد في نظائره الأمر بالقضاء كما إذا نسي الواجب أو جهل حتى انقضى زمانه، ومثل ما إذا فات الواجب لنوم أو مرض أو نحو ذلك، ففي هذه الموارد لابد من القضاء</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بالنسبة إلى المعذور كمن كان محبوساً ولم يستطع التشخيص، </w:t>
      </w:r>
    </w:p>
    <w:p>
      <w:pPr>
        <w:pStyle w:val="BookText"/>
        <w:rPr/>
      </w:pPr>
      <w:r>
        <w:rPr>
          <w:rFonts w:ascii="Amiri" w:hAnsi="Amiri" w:eastAsia="Amiri" w:cs="Amiri"/>
          <w:color w:val="111111"/>
          <w:sz w:val="28"/>
          <w:sz w:val="28"/>
          <w:szCs w:val="28"/>
          <w:rtl w:val="true"/>
          <w:lang w:bidi="ar-SA"/>
        </w:rPr>
        <w:t>فقد ورد في روايات صحيحة</w:t>
      </w:r>
      <w:r>
        <w:rPr>
          <w:rStyle w:val="FootnoteAnchor"/>
          <w:rtl w:val="true"/>
        </w:rPr>
        <w:footnoteReference w:id="1277"/>
      </w:r>
      <w:r>
        <w:rPr>
          <w:rFonts w:ascii="Amiri" w:hAnsi="Amiri" w:eastAsia="Amiri" w:cs="Amiri"/>
          <w:color w:val="111111"/>
          <w:sz w:val="28"/>
          <w:sz w:val="28"/>
          <w:szCs w:val="28"/>
          <w:rtl w:val="true"/>
          <w:lang w:bidi="ar-SA"/>
        </w:rPr>
        <w:t xml:space="preserve">أنّه يتوخى شهراً فيصومه، ويلاحظ بعد ذلك أن صيامه وقع متقدماً أو متأخراً أو موافقاً فإن كان موافقاً أو متأخراً فلا قضاء، وأما إذا كان الصيام متقدماً على زمان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القضاء مع أنّه معذور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ورد استثناء حالة الإغماء وهي محل كلام بين الفقهاء ولسنا في مقام 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ففي ما نحن فيه من هذا القبيل، فإنّ المكلف إذا ترك الواجب وإن كان معذوراً إلاّ أنّه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الوجه الثاني فقد ذكرنا روايتين يمكن أن يستشهد بهما على المدعى، إلاّ أن في دلالتهما تأمّلاً، فإنه وإن ورد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يفطر ويتم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لا يفطر أي لا يجب عليه أن يأكل بعد ذلك ويتم صومه، ولا تدلان على أن موضوع القضاء هو الإفطار، وهناك روايات أخرى قيل بدلالتها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رجل احتلم أول الليل أو أصاب من أهله، ثمّ نام متعمداً في شهر رمضان حتى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صومه ثمّ يقضيه إذا أفطر من شهر رمضان ويستغفر ربه</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والرواية وإن كانت واردة في موضوع الاحتلام إلاّ أن الحكم كلي وهو الإفطار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مسعدة بن صدقة عن أبي عبد الله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تقيأ متعمداً وهو صائم فقد أفطر وعليه الإعادة،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عذّبه وإن شاء غفر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تقيأ وهو صائم فعليه القضاء</w:t>
      </w:r>
      <w:r>
        <w:rPr>
          <w:rStyle w:val="FootnoteAnchor"/>
          <w:rtl w:val="true"/>
        </w:rPr>
        <w:footnoteReference w:id="1279"/>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أفطر يوماً </w:t>
      </w:r>
    </w:p>
    <w:p>
      <w:pPr>
        <w:pStyle w:val="BookText"/>
        <w:rPr/>
      </w:pPr>
      <w:r>
        <w:rPr>
          <w:rFonts w:ascii="Amiri" w:hAnsi="Amiri" w:eastAsia="Amiri" w:cs="Amiri"/>
          <w:color w:val="111111"/>
          <w:sz w:val="28"/>
          <w:sz w:val="28"/>
          <w:szCs w:val="28"/>
          <w:rtl w:val="true"/>
          <w:lang w:bidi="ar-SA"/>
        </w:rPr>
        <w:t>من شهر رمضان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بعشرين صاعاً ويقضي مكانه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التي علق فيها الحكم بالقضاء على الإفطار فعند تحقق الموضوع يترتب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 هذه الاستفادة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المذكورة أجنبية عن محل الكلام، وذلك لأنّها ناظرة إلى الإفطار العمدي الصادر عن قصد واختيار، وما نحن فيه هو التقية فشمولها للمقام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من روايات المقام اثنتان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عيسى بنأبي منصور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خلاد بن عمارة ولم يرد فيهما ذكر الإفطار، نعم ورد الإفطار في الروايتين الأخريين إلاّ أنهما مرسلتان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لا يمكن الاعتماد عليه لعدم الدليل على إناطة وجوب القضاء بالإفطار، ولكن مع عدم ثبوت هذا الوجه هل يجب القضاء فيه بخصوصه أم لا؟ فمن اضطر تقية إلى الإتيان بمانع أو إنقاص شرط أو جزء فهل حاله حال المتعمد، أم أن القضاء يسقط عنه كسقوط الحكم التكليفي؟ ونفس الكلام يرد بالنسبة إلى الجاهل فمن أفطر عن جهل هل يلزمه القضاء أم لا؟ إذ فرق في المقام بين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فقد قلنا بعدم دلالتها على شيء من ذلك وإتمام الحكم من جهة القواعد مشكل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السيد الأستاذ</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لصاحب العروة</w:t>
      </w:r>
      <w:r>
        <w:rPr>
          <w:rStyle w:val="FootnoteAnchor"/>
          <w:rtl w:val="true"/>
        </w:rPr>
        <w:footnoteReference w:id="1282"/>
      </w:r>
      <w:r>
        <w:rPr>
          <w:rFonts w:ascii="Amiri" w:hAnsi="Amiri" w:eastAsia="Amiri" w:cs="Amiri"/>
          <w:color w:val="111111"/>
          <w:sz w:val="28"/>
          <w:sz w:val="28"/>
          <w:szCs w:val="28"/>
          <w:rtl w:val="true"/>
          <w:lang w:bidi="ar-SA"/>
        </w:rPr>
        <w:t xml:space="preserve">إلى القول بوجوب القضاء في كلا الموردين مع أنّ الأمر في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أسهل من التقية، </w:t>
      </w:r>
    </w:p>
    <w:p>
      <w:pPr>
        <w:pStyle w:val="BookText"/>
        <w:rPr/>
      </w:pPr>
      <w:r>
        <w:rPr>
          <w:rFonts w:ascii="Amiri" w:hAnsi="Amiri" w:eastAsia="Amiri" w:cs="Amiri"/>
          <w:color w:val="111111"/>
          <w:sz w:val="28"/>
          <w:sz w:val="28"/>
          <w:szCs w:val="28"/>
          <w:rtl w:val="true"/>
          <w:lang w:bidi="ar-SA"/>
        </w:rPr>
        <w:t>فإنّ الوارد في الروايات عنوان التعمد في لزوم القضاء، والتعمد ظاهر في أنّ الإتيان بالمنافي عن علم وإرادة فلا يشمل الناسي والجاهل، ولذلك جعل التعمد مقابلاً للجاهل خصوصاً في مسائل الحج وأحكامه كالصيد وغيره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الاضطرار فإن كان في حال بحيث يسلب عنه الاختيار كما إذا أوجر في حلقه فهذا لا تعمد فيه فلا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عن اختيار إلاّ أنّه صدر منه لتقية فقد استظهر السيد من الأدلة شمولها لهذه الحالة، لأنه عن قصد وعلم فيكون حاله حال من أفطر متعمداً فيجب القضاء ولا تشمله الأدلة العامة كحديث الرفع ونحوه فإنها واردة في رفع الحكم التكليفي لا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ما ذكرناه، من أنّ حديث الرفع مطلق بالنسبة إلى الحكم التكليفي والوضعي، كما أنّ أدلة الإفطار مطلقة بالنسبة إلى المتعمد وغيره كالتقية فيقع التعارض بين الإطلاقين فعلى القول بالتساقط فالمرجع هو الأصل العملي وهو البراءة وعلى القول بتقديم أحد الإطلاقين على الآخر، فإن قدمت الأدلة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السيد الأستاذ</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تقييدها بالعلم بعيد في نفسه، مضافاً إلى أنّه خلافالظاهر بل هو أمر مستهجن ويحتاج إلى الدليل، وهي شاملة لأدلة التقية أيضاً، فالحكم حينئذ هو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بتقديم أدلة الرفع على الأدلة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هو عدم وجوب القضاء وتكون النتيجة مع القول بالتساقط واحدة، فإن الأصل العملي بناء عليه هو البراءة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أن حديث الرفع يشمل الحكم التكليفي والوضعي خلافاً لسيدنا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والأدلة الأولية إما أنها غير شاملة لحاكمية أدلة الرفع عليها، وإما </w:t>
      </w:r>
      <w:bookmarkStart w:id="349" w:name="pg16387_188539"/>
    </w:p>
    <w:p>
      <w:pPr>
        <w:pStyle w:val="BookText"/>
        <w:rPr/>
      </w:pPr>
      <w:bookmarkEnd w:id="349"/>
      <w:r>
        <w:rPr>
          <w:rFonts w:ascii="Amiri" w:hAnsi="Amiri" w:eastAsia="Amiri" w:cs="Amiri"/>
          <w:color w:val="111111"/>
          <w:sz w:val="28"/>
          <w:sz w:val="28"/>
          <w:szCs w:val="28"/>
          <w:rtl w:val="true"/>
          <w:lang w:bidi="ar-SA"/>
        </w:rPr>
        <w:t>أنها معارضة، فالقاعدة تقتضي عدم وجوب القضاء، ومع الشك في الدلالة تصبح المسألة من الشك في دوران الأمر بين الأقل والأكثر، وذلك لأنّ من أفطر يوماً تقية يجب عليه إتمامه أما وجوب صيام يوم آخر فمشكوك فيه، وحينئذ يؤخذ بالقدر المتيقن وهو إتمام صيام ذلك اليوم فقط، وتفصيل المسألة في علم الأصول، ولكن مقتضى الاحتياط وخصوصاً لما ورد في مرسلة رفاعة هو القضاء، فقد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إفطاري يوماً وقضاوه أيسر عليّ من أن يضرب عنقي</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6877879_1280447820"/>
      <w:bookmarkStart w:id="351" w:name="_Toc117"/>
      <w:bookmarkEnd w:id="350"/>
      <w:r>
        <w:rPr>
          <w:rtl w:val="true"/>
        </w:rPr>
        <w:t>فروع</w:t>
      </w:r>
      <w:r>
        <w:rPr>
          <w:rtl w:val="true"/>
        </w:rPr>
        <w:t>:</w:t>
      </w:r>
      <w:bookmarkEnd w:id="35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الحكم بجواز الإفطار أو وجوبه مختص بعدم المندوحة، وأما معها فلا يجوز الإفطار، وذلك لأنّ التقية الخوفية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مقيدة بعدم المندوحة، ولا فرق في الخوف بين أن يكون على النفس أو المال أو العرض، وبناء على هذا فإذا تحققت التقية بشرائطها وجب الإفطار وإلاّ فلا، وما ورد من الروايات من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ودخوله على أبي العباس وإفطاره فهو محمول على أنّه فعل خارجي، لا بيان فيه، أو أنّه صدر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حالة عدم المندوحة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في الإفطار على ما تتوقف عليه التقية، ولا يجوز التعدي إلى ما زاد عليه إذ لا دليل على الجواز، فمن اضطر إلى الأكل لا يجوز له الشرب وهكذا العكس، كما أنّه إذا كان رفع التقية بمرة واحدة لا يجوز له التكرار اقتصاراً على مقدار الضرورة، وهذا هو المستفاد من الأدلة كما ذكره صاحب المسالك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الروايات كرواية عيسى بن أبي منصور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فتغذينا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منها كيفية الأكل لكونه فعلاً خارجياً لا بيان فيه كما ذكرنا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الإمساك بقية النهار لمن أفطر تقية، فإذا أفطر </w:t>
      </w:r>
    </w:p>
    <w:p>
      <w:pPr>
        <w:pStyle w:val="BookText"/>
        <w:rPr/>
      </w:pPr>
      <w:r>
        <w:rPr>
          <w:rFonts w:ascii="Amiri" w:hAnsi="Amiri" w:eastAsia="Amiri" w:cs="Amiri"/>
          <w:color w:val="111111"/>
          <w:sz w:val="28"/>
          <w:sz w:val="28"/>
          <w:szCs w:val="28"/>
          <w:rtl w:val="true"/>
          <w:lang w:bidi="ar-SA"/>
        </w:rPr>
        <w:t>بعد ذلك فهل تجب الكفارة أم لا؟</w:t>
      </w:r>
    </w:p>
    <w:p>
      <w:pPr>
        <w:pStyle w:val="BookText"/>
        <w:rPr/>
      </w:pPr>
      <w:r>
        <w:rPr>
          <w:rFonts w:ascii="Amiri" w:hAnsi="Amiri" w:eastAsia="Amiri" w:cs="Amiri"/>
          <w:color w:val="111111"/>
          <w:sz w:val="28"/>
          <w:sz w:val="28"/>
          <w:szCs w:val="28"/>
          <w:rtl w:val="true"/>
          <w:lang w:bidi="ar-SA"/>
        </w:rPr>
        <w:t>الذي يظهر من المسالك</w:t>
      </w:r>
      <w:r>
        <w:rPr>
          <w:rStyle w:val="FootnoteAnchor"/>
          <w:rtl w:val="true"/>
        </w:rPr>
        <w:footnoteReference w:id="1284"/>
      </w:r>
      <w:r>
        <w:rPr>
          <w:rFonts w:ascii="Amiri" w:hAnsi="Amiri" w:eastAsia="Amiri" w:cs="Amiri"/>
          <w:color w:val="111111"/>
          <w:sz w:val="28"/>
          <w:sz w:val="28"/>
          <w:szCs w:val="28"/>
          <w:rtl w:val="true"/>
          <w:lang w:bidi="ar-SA"/>
        </w:rPr>
        <w:t>أنّ الكفارة واجبة لصدق الإفطار العمدي فإن أدلة الكفارة موضوعها الإفطار عن عمد وإذا صدق العنوان ترتب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في ذلك صاحب الجواهر</w:t>
      </w:r>
      <w:r>
        <w:rPr>
          <w:rStyle w:val="FootnoteAnchor"/>
          <w:rtl w:val="true"/>
        </w:rPr>
        <w:footnoteReference w:id="1285"/>
      </w:r>
      <w:r>
        <w:rPr>
          <w:rFonts w:ascii="Amiri" w:hAnsi="Amiri" w:eastAsia="Amiri" w:cs="Amiri"/>
          <w:color w:val="111111"/>
          <w:sz w:val="28"/>
          <w:sz w:val="28"/>
          <w:szCs w:val="28"/>
          <w:rtl w:val="true"/>
          <w:lang w:bidi="ar-SA"/>
        </w:rPr>
        <w:t>وصاحب المدارك</w:t>
      </w:r>
      <w:r>
        <w:rPr>
          <w:rStyle w:val="FootnoteAnchor"/>
          <w:rtl w:val="true"/>
        </w:rPr>
        <w:footnoteReference w:id="1286"/>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الكفارة الإفطار عن صوم لم يفطر فيه، وما نحن فيه ليس كذلك فإن إفطاره مسبوق بالإفطار عن تقية، فالحكم بوجوب الكفارة مورد للإشكال إذ لا يصدق على المفطر عنوان الإفطار عن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قلنا بصحة صوم من أفطر عن تقية وعدم وجوب القضاء عليه فالظاهر وجوب الكفارة، لأنّ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وحاله كحال من أكل ناسياً ثمّ أكل متعمداً، ولا إشكال في هذه الصورة بلزوم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بعدم صحة الصوم ووجوب القضاء كما أفاده صاحب العروة وتبعه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بشمول أدلة الكفارة له مشكل، وذلك لأنّ القدر المتيقن من الروايات هو لزوم الكفارة في حالة الحكم بصحة الصوم، وأما شمولها للصوم الباطل فغير محرز، فيكون مورداً للشك فلا يتمسك بالإطلاق ويقتصر فيه على القدر المتيقن فإذا أفطر بعد الإفطار عن تقية، فلا تلزمه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شككنا في شمول الأدلة للحالتين فالقدر المتيقن أن الحكم بوجوب الكفارة منوط بالحكم بصحة الصوم، وأما مع عدم الحكم بصحة الصوم فمقتضى أصالة البراءة عدم وجوب الكفارة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يتم الكلام حول التقية في الصوم</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6387_188542"/>
      <w:bookmarkStart w:id="353" w:name="pg16387_188542"/>
      <w:bookmarkEnd w:id="353"/>
    </w:p>
    <w:p>
      <w:pPr>
        <w:pStyle w:val="Heading2"/>
        <w:numPr>
          <w:ilvl w:val="1"/>
          <w:numId w:val="1"/>
        </w:numPr>
        <w:rPr/>
      </w:pPr>
      <w:bookmarkStart w:id="354" w:name="pg16387_188542"/>
      <w:bookmarkStart w:id="355" w:name="__RefHeading___Toc6877881_1280447820"/>
      <w:bookmarkStart w:id="356" w:name="_Toc118"/>
      <w:bookmarkEnd w:id="354"/>
      <w:bookmarkEnd w:id="355"/>
      <w:r>
        <w:rPr>
          <w:rtl w:val="true"/>
        </w:rPr>
        <w:t>الفصل السابع</w:t>
      </w:r>
      <w:bookmarkEnd w:id="356"/>
    </w:p>
    <w:p>
      <w:pPr>
        <w:pStyle w:val="Heading3"/>
        <w:numPr>
          <w:ilvl w:val="2"/>
          <w:numId w:val="1"/>
        </w:numPr>
        <w:rPr/>
      </w:pPr>
      <w:bookmarkStart w:id="357" w:name="__RefHeading___Toc6877883_1280447820"/>
      <w:bookmarkStart w:id="358" w:name="_Toc119"/>
      <w:bookmarkEnd w:id="357"/>
      <w:r>
        <w:rPr>
          <w:rtl w:val="true"/>
        </w:rPr>
        <w:t>اشارة</w:t>
      </w:r>
      <w:bookmarkEnd w:id="35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في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حرمة تظليل الرجل المحرم حال المسير اختياراً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وتكررها في إحرام واحد أو إحرامين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الحج الأكبر والشاهد والمشهود من خلال الروايات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حول ركنية الزمان والمكان في عرفات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يوم عرفة وبين سائر الأيام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الموقف إذا ثبت عند المخالفين أن يوم التروية هو يوم عرفة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الواقع تقية هل تجزي عن الواقع أو لا؟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6387_188544"/>
      <w:bookmarkStart w:id="360" w:name="pg16387_188544"/>
      <w:bookmarkEnd w:id="360"/>
    </w:p>
    <w:p>
      <w:pPr>
        <w:pStyle w:val="Heading3"/>
        <w:numPr>
          <w:ilvl w:val="2"/>
          <w:numId w:val="1"/>
        </w:numPr>
        <w:rPr/>
      </w:pPr>
      <w:bookmarkStart w:id="361" w:name="pg16387_188544"/>
      <w:bookmarkStart w:id="362" w:name="__RefHeading___Toc6877885_1280447820"/>
      <w:bookmarkStart w:id="363" w:name="_Toc120"/>
      <w:bookmarkEnd w:id="361"/>
      <w:bookmarkEnd w:id="362"/>
      <w:r>
        <w:rPr>
          <w:rtl w:val="true"/>
        </w:rPr>
        <w:t>التقية في الحج</w:t>
      </w:r>
      <w:bookmarkEnd w:id="363"/>
    </w:p>
    <w:p>
      <w:pPr>
        <w:pStyle w:val="Heading4"/>
        <w:numPr>
          <w:ilvl w:val="3"/>
          <w:numId w:val="1"/>
        </w:numPr>
        <w:rPr/>
      </w:pPr>
      <w:bookmarkStart w:id="364" w:name="__RefHeading___Toc6877887_1280447820"/>
      <w:bookmarkStart w:id="365" w:name="_Toc121"/>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وفيها مسألتان</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6877889_1280447820"/>
      <w:bookmarkStart w:id="367" w:name="_Toc122"/>
      <w:bookmarkEnd w:id="366"/>
      <w:r>
        <w:rPr>
          <w:rtl w:val="true"/>
        </w:rPr>
        <w:t>الأولى</w:t>
      </w:r>
      <w:r>
        <w:rPr>
          <w:rtl w:val="true"/>
        </w:rPr>
        <w:t xml:space="preserve">: </w:t>
      </w:r>
      <w:r>
        <w:rPr>
          <w:rtl w:val="true"/>
        </w:rPr>
        <w:t>في التظليل</w:t>
      </w:r>
      <w:r>
        <w:rPr>
          <w:rtl w:val="true"/>
        </w:rPr>
        <w:t>:</w:t>
      </w:r>
      <w:bookmarkEnd w:id="367"/>
    </w:p>
    <w:p>
      <w:pPr>
        <w:pStyle w:val="Heading5"/>
        <w:numPr>
          <w:ilvl w:val="4"/>
          <w:numId w:val="1"/>
        </w:numPr>
        <w:rPr/>
      </w:pPr>
      <w:bookmarkStart w:id="368" w:name="__RefHeading___Toc6877891_1280447820"/>
      <w:bookmarkStart w:id="369" w:name="_Toc123"/>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والكلام فيها يقع في مقامات</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6877893_1280447820"/>
      <w:bookmarkStart w:id="371" w:name="_Toc124"/>
      <w:bookmarkEnd w:id="370"/>
      <w:r>
        <w:rPr>
          <w:rtl w:val="true"/>
        </w:rPr>
        <w:t>المقام الأول</w:t>
      </w:r>
      <w:r>
        <w:rPr>
          <w:rtl w:val="true"/>
        </w:rPr>
        <w:t xml:space="preserve">: </w:t>
      </w:r>
      <w:r>
        <w:rPr>
          <w:rtl w:val="true"/>
        </w:rPr>
        <w:t>في حكم التظليل حال الإحرام</w:t>
      </w:r>
      <w:r>
        <w:rPr>
          <w:rtl w:val="true"/>
        </w:rPr>
        <w:t>:</w:t>
      </w:r>
      <w:bookmarkEnd w:id="371"/>
    </w:p>
    <w:p>
      <w:pPr>
        <w:pStyle w:val="BookText"/>
        <w:rPr/>
      </w:pPr>
      <w:r>
        <w:rPr>
          <w:rFonts w:ascii="Amiri" w:hAnsi="Amiri" w:eastAsia="Amiri" w:cs="Amiri"/>
          <w:color w:val="111111"/>
          <w:sz w:val="28"/>
          <w:sz w:val="28"/>
          <w:szCs w:val="28"/>
          <w:rtl w:val="true"/>
          <w:lang w:bidi="ar-SA"/>
        </w:rPr>
        <w:t>لاشك في حرمة التظليل للرجل الماشي أو الراكب بمظلة أو غيرها ولو كان بسقف المحمل أو السيارة أو الطائرة حال الإحرام، وهو من المتسالم عليه بين الفقهاء بل ادعي عليه الإجماع</w:t>
      </w:r>
      <w:r>
        <w:rPr>
          <w:rStyle w:val="FootnoteAnchor"/>
          <w:rtl w:val="true"/>
        </w:rPr>
        <w:footnoteReference w:id="1287"/>
      </w:r>
      <w:r>
        <w:rPr>
          <w:rFonts w:ascii="Amiri" w:hAnsi="Amiri" w:eastAsia="Amiri" w:cs="Amiri"/>
          <w:color w:val="111111"/>
          <w:sz w:val="28"/>
          <w:sz w:val="28"/>
          <w:szCs w:val="28"/>
          <w:rtl w:val="true"/>
          <w:lang w:bidi="ar-SA"/>
        </w:rPr>
        <w:t>، وإن نسب إلى ابن الجنيد القول بالاستحباب</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استفاضت الروايات الدالة على حرمته بالنسبة للرجل المحرم الماشي أو الراكب، وموضع البحث التقية في التظليل وما يترتب عليه من آثار، وقد تقدم أنّ التقية علة تبيح كل محذور إلاّ ما استثني وليس منه التظليل، فيكون داخلاً في المستثنى منه وتشمله الأدلة العامة الرافعة للحرمة التكليفية، بل قد ينعكس الأمر </w:t>
      </w:r>
    </w:p>
    <w:p>
      <w:pPr>
        <w:pStyle w:val="BookText"/>
        <w:rPr/>
      </w:pPr>
      <w:r>
        <w:rPr>
          <w:rFonts w:ascii="Amiri" w:hAnsi="Amiri" w:eastAsia="Amiri" w:cs="Amiri"/>
          <w:color w:val="111111"/>
          <w:sz w:val="28"/>
          <w:sz w:val="28"/>
          <w:szCs w:val="28"/>
          <w:rtl w:val="true"/>
          <w:lang w:bidi="ar-SA"/>
        </w:rPr>
        <w:t>ويصبح التظليل واجباً بعد أن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وإن لم يرد لها ذكر في الروايات ولا في كلمات الفقهاء إلاّ عن بعضهم كالسيد الأستاذ </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وغيره، وكان بناؤنا على التعرّض لموارد التقية الواردة في الروايات، ولكن لما كانت هذه المسألة معرضاً للابتلاء ناسب البحث عنها من هذه الجهة، وذلك لأنّ التقية داخلة في سائر الأعذار، بل المستفاد من الروايات الكثيرة والأدلة العامة الواردة في التقية أنها من أقوى العلل المسوّغة للمخالفة، وبناء على هذا فلا إشكال في ارتفاع الحكم التكليفي حال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بالنسبة إلى الآثار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تقتضي ارتفاع الحكم الوضعي أيضاً، فلا تجب الكفارة ولا القضاء أو الإعادة، ولكن لا يبعد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أن للمورد خصوصية تقتضي عدم ارتفاع الحكم الوضعي وأن التظليل مطلقاً ملازم للكفارة، ويدل على ذلك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أظلل وأنا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وعليك الكفارة،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علياً إذا قدم مكة ينحر بدنة لكفارة الظل</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السؤال في الرواية أنّ التظليل كان للضرورة بقرينة سائر الروايات المخصصة لها كحرارة الشمس ونحوها، ومحل الشاهد من الرواية هو أنّ الكفارة ملازمة للتظليل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سعد بن سعد الأشعري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يظلل على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علة؟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يؤذيه حرّ الشمس وهو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علة يظلل ويفدي</w:t>
      </w:r>
      <w:r>
        <w:rPr>
          <w:rStyle w:val="FootnoteAnchor"/>
          <w:rtl w:val="true"/>
        </w:rPr>
        <w:footnoteReference w:id="1291"/>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هذه الرواية والرواية السابقة أنّ الكفارة أو الفداء ملازم </w:t>
      </w:r>
      <w:bookmarkStart w:id="372" w:name="pg16387_188546"/>
    </w:p>
    <w:p>
      <w:pPr>
        <w:pStyle w:val="BookText"/>
        <w:rPr/>
      </w:pPr>
      <w:bookmarkEnd w:id="372"/>
      <w:r>
        <w:rPr>
          <w:rFonts w:ascii="IRNazanin" w:hAnsi="IRNazanin" w:eastAsia="IRNazanin"/>
          <w:color w:val="111111"/>
          <w:sz w:val="28"/>
          <w:sz w:val="28"/>
          <w:szCs w:val="28"/>
          <w:rtl w:val="true"/>
          <w:lang w:bidi="fa-IR"/>
        </w:rPr>
        <w:t xml:space="preserve">للتظليل سواء وقع عن اختيار أم لا، كما أنّ المستفاد من بعض الروايات الأخرى أنّ المرتكز في أذهان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الكفارة واجبة مع التظليل ومن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عبد 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أظلل وأنا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أفأظلل وأكفر؟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مرضت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 وكفر،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حاج يضحي ملبياً حتى تغيب الشمس إلاّ غابت ذنوبه معها</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هذا فيما إذا صدر التظليل عن اختيار المكلف، وأما إذا كان التظليل عن غير اختيار فهو خارج لأنّ التظليل غير مستند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ذلك بين أن يعلم بتحقق التقية من أول الأمر أعني قبل الإحرام، كما 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قصد الحج أو العمرة يبتلي بالتقية ولابد له من التظليل من أول إحرامه أو في أثنائه، أو لم يعلم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التقية حكمها حكم المرض بلا فرق بين علمه السابق بذلك وعدم علمه، وعليه فيجوز له التظليل أو يجب ولا يوجب ذلك الإخلالبصحة حجه وعمرته بل لا يكون من باب التزاحم كما لا يخفى</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6877895_1280447820"/>
      <w:bookmarkStart w:id="374" w:name="_Toc125"/>
      <w:bookmarkEnd w:id="373"/>
      <w:r>
        <w:rPr>
          <w:rtl w:val="true"/>
        </w:rPr>
        <w:t>المقام الثاني</w:t>
      </w:r>
      <w:r>
        <w:rPr>
          <w:rtl w:val="true"/>
        </w:rPr>
        <w:t xml:space="preserve">: </w:t>
      </w:r>
      <w:r>
        <w:rPr>
          <w:rtl w:val="true"/>
        </w:rPr>
        <w:t>في تعيين الكفارة</w:t>
      </w:r>
      <w:r>
        <w:rPr>
          <w:rtl w:val="true"/>
        </w:rPr>
        <w:t>:</w:t>
      </w:r>
      <w:bookmarkEnd w:id="374"/>
    </w:p>
    <w:p>
      <w:pPr>
        <w:pStyle w:val="BookText"/>
        <w:rPr/>
      </w:pPr>
      <w:r>
        <w:rPr>
          <w:rFonts w:ascii="Amiri" w:hAnsi="Amiri" w:eastAsia="Amiri" w:cs="Amiri"/>
          <w:color w:val="111111"/>
          <w:sz w:val="28"/>
          <w:sz w:val="28"/>
          <w:szCs w:val="28"/>
          <w:rtl w:val="true"/>
          <w:lang w:bidi="ar-SA"/>
        </w:rPr>
        <w:t>والروايات الواردة في ذلك مختلفة، ويمكن تقسيمها إلى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الكفارة شاة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الظل للمحرم من أذى مطر أو 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يفديه بشاة ويذبحها بمنى</w:t>
      </w:r>
      <w:r>
        <w:rPr>
          <w:rStyle w:val="FootnoteAnchor"/>
          <w:rtl w:val="true"/>
        </w:rPr>
        <w:footnoteReference w:id="1293"/>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إبراهيم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يظلل </w:t>
      </w:r>
    </w:p>
    <w:p>
      <w:pPr>
        <w:pStyle w:val="BookText"/>
        <w:rPr/>
      </w:pPr>
      <w:r>
        <w:rPr>
          <w:rFonts w:ascii="Amiri" w:hAnsi="Amiri" w:eastAsia="Amiri" w:cs="Amiri"/>
          <w:color w:val="111111"/>
          <w:sz w:val="28"/>
          <w:sz w:val="28"/>
          <w:szCs w:val="28"/>
          <w:rtl w:val="true"/>
          <w:lang w:bidi="ar-SA"/>
        </w:rPr>
        <w:t>على محمله ويفدي إذا كانت الشمس والمطر يضرّان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الفداء؟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إسماعيل بن بزيع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الظلال للمحرم من أذى مطر أو شمس وأنا أسمع، فأمره أن يفدي شاة ويذبحها بمنى</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مطلق الفداء من دون تعيين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هل يظلل على نفسه إذا أذته الشمس أو المطر أو كان مريضاً أم لا؟ فإن ظلل هل يجب عليه الفداء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يظلل على نفسه ويهريق دماً إن شاء الله</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والرواية من حيث الدلالة مطلقة إذ لم يعين فيها شيء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السند فالظاهر أنّ المراد من علي بن محمّد هو القاساني الذي يروي عنه الصفار كثيراً، وقد اختلف في وثاقته فقال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مكثراً من الحديث فاضلاً، غمز عليه أحمد بن محمّد بن عيسى، وذكر أنّه سمع منه مذاهب منكرة، وليس في كتبه ما يدل على ذلك</w:t>
      </w:r>
      <w:r>
        <w:rPr>
          <w:rStyle w:val="FootnoteAnchor"/>
          <w:rtl w:val="true"/>
        </w:rPr>
        <w:footnoteReference w:id="1297"/>
      </w:r>
      <w:r>
        <w:rPr>
          <w:rFonts w:ascii="Amiri" w:hAnsi="Amiri" w:eastAsia="Amiri" w:cs="Amiri"/>
          <w:color w:val="111111"/>
          <w:sz w:val="28"/>
          <w:sz w:val="28"/>
          <w:szCs w:val="28"/>
          <w:rtl w:val="true"/>
          <w:lang w:bidi="ar-SA"/>
        </w:rPr>
        <w:t>، وضعفه الشيخ في رجاله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القاشاني ضعيف</w:t>
      </w:r>
      <w:r>
        <w:rPr>
          <w:rStyle w:val="FootnoteAnchor"/>
          <w:rtl w:val="true"/>
        </w:rPr>
        <w:footnoteReference w:id="1298"/>
      </w:r>
      <w:r>
        <w:rPr>
          <w:rFonts w:ascii="Amiri" w:hAnsi="Amiri" w:eastAsia="Amiri" w:cs="Amiri"/>
          <w:color w:val="111111"/>
          <w:sz w:val="28"/>
          <w:sz w:val="28"/>
          <w:szCs w:val="28"/>
          <w:rtl w:val="true"/>
          <w:lang w:bidi="ar-SA"/>
        </w:rPr>
        <w:t>وقد ورد في كتاب نوادر الحكمة</w:t>
      </w:r>
      <w:r>
        <w:rPr>
          <w:rStyle w:val="FootnoteAnchor"/>
          <w:rtl w:val="true"/>
        </w:rPr>
        <w:footnoteReference w:id="1299"/>
      </w:r>
      <w:r>
        <w:rPr>
          <w:rFonts w:ascii="Amiri" w:hAnsi="Amiri" w:eastAsia="Amiri" w:cs="Amiri"/>
          <w:color w:val="111111"/>
          <w:sz w:val="28"/>
          <w:sz w:val="28"/>
          <w:szCs w:val="28"/>
          <w:rtl w:val="true"/>
          <w:lang w:bidi="ar-SA"/>
        </w:rPr>
        <w:t>ولم يستثنه ابن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جهة أخرى عد الشيخ في أصحاب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شيرة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وقد جزم العلامة بالاتحاد</w:t>
      </w:r>
      <w:r>
        <w:rPr>
          <w:rStyle w:val="FootnoteAnchor"/>
          <w:rtl w:val="true"/>
        </w:rPr>
        <w:footnoteReference w:id="1300"/>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متحداً فكلام الشيخ مضطرب، ويحمل التضعيف على مذهبه أو </w:t>
      </w:r>
    </w:p>
    <w:p>
      <w:pPr>
        <w:pStyle w:val="BookText"/>
        <w:rPr/>
      </w:pPr>
      <w:r>
        <w:rPr>
          <w:rFonts w:ascii="Amiri" w:hAnsi="Amiri" w:eastAsia="Amiri" w:cs="Amiri"/>
          <w:color w:val="111111"/>
          <w:sz w:val="28"/>
          <w:sz w:val="28"/>
          <w:szCs w:val="28"/>
          <w:rtl w:val="true"/>
          <w:lang w:bidi="ar-SA"/>
        </w:rPr>
        <w:t>على أن له حالتين، وإن كان متعدداً فلا إشكال على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الأستاذ في المعجم</w:t>
      </w:r>
      <w:r>
        <w:rPr>
          <w:rStyle w:val="FootnoteAnchor"/>
          <w:rtl w:val="true"/>
        </w:rPr>
        <w:footnoteReference w:id="1301"/>
      </w:r>
      <w:r>
        <w:rPr>
          <w:rFonts w:ascii="Amiri" w:hAnsi="Amiri" w:eastAsia="Amiri" w:cs="Amiri"/>
          <w:color w:val="111111"/>
          <w:sz w:val="28"/>
          <w:sz w:val="28"/>
          <w:szCs w:val="28"/>
          <w:rtl w:val="true"/>
          <w:lang w:bidi="ar-SA"/>
        </w:rPr>
        <w:t>أنّ إحراز الاتحاد مشكل، لاحتمال أن يكون علي بن شيرة عم علي بن محمد، وبناء على احتمال التعدد لا يمكن الحكم بالاتحاد والوثاقة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عدم الاتحاد اختلاف الطبقة، وبناء على عدم إحراز الاتحاد وعلى ما قررناه في بحوثنا الرجالية من أن عدم الاستثناء من نوادر الحكمة علامة التوثيق يكون علي بن محمّد بن شيرة القاساني مورداً للتعارض فلا يمكن الأخذ بروايته والنتيجة سقوط الرواية عن الاعتبار، مضافاً إلى أنّ الرواية مطلقة فتحمل على الروايات الأخرى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علي بن جعفر المتقدمة، وهي أيضاً مطلقة كالرواية السابقة، فتقيد بما دل على وجوب الشاة، وأما ما صدر من علي بن جعفر وأنه كفر ببدنة فلا دلالة فيه لأنه فعل خارجي لا بيان فيه، مضافاً إلى أنّ علي بن جعفر ليس بإمام ليكون فعله حجة بالنسبة إلينا، وإذا كان الواجب هو التكفير بشاة كما هو رأي السيد الأستاذ</w:t>
      </w:r>
      <w:r>
        <w:rPr>
          <w:rStyle w:val="FootnoteAnchor"/>
          <w:rtl w:val="true"/>
        </w:rPr>
        <w:footnoteReference w:id="1302"/>
      </w:r>
      <w:r>
        <w:rPr>
          <w:rFonts w:ascii="Amiri" w:hAnsi="Amiri" w:eastAsia="Amiri" w:cs="Amiri"/>
          <w:color w:val="111111"/>
          <w:sz w:val="28"/>
          <w:sz w:val="28"/>
          <w:szCs w:val="28"/>
          <w:rtl w:val="true"/>
          <w:lang w:bidi="ar-SA"/>
        </w:rPr>
        <w:t>فلا وجه لحمل صاحب الوسائل فعل علي بن جعفر على الأفضلية</w:t>
      </w:r>
      <w:r>
        <w:rPr>
          <w:rStyle w:val="FootnoteAnchor"/>
          <w:rtl w:val="true"/>
        </w:rPr>
        <w:footnoteReference w:id="1303"/>
      </w:r>
      <w:r>
        <w:rPr>
          <w:rFonts w:ascii="IRNazanin" w:hAnsi="IRNazanin" w:eastAsia="IRNazanin"/>
          <w:color w:val="111111"/>
          <w:sz w:val="28"/>
          <w:sz w:val="28"/>
          <w:szCs w:val="28"/>
          <w:rtl w:val="true"/>
          <w:lang w:bidi="fa-IR"/>
        </w:rPr>
        <w:t>، والأولى حمله على أنّه فعل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التصدق بمد من الطعام ومن ذلك</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يضرب عليها الظلال وهي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يضرب عليه الظلال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به شقيقة، ويتصدق بمد لكل يوم</w:t>
      </w:r>
      <w:r>
        <w:rPr>
          <w:rStyle w:val="FootnoteAnchor"/>
          <w:rtl w:val="true"/>
        </w:rPr>
        <w:footnoteReference w:id="1304"/>
      </w:r>
      <w:bookmarkStart w:id="375" w:name="pg16387_188549"/>
    </w:p>
    <w:p>
      <w:pPr>
        <w:pStyle w:val="BookText"/>
        <w:rPr/>
      </w:pPr>
      <w:bookmarkEnd w:id="375"/>
      <w:r>
        <w:rPr>
          <w:rFonts w:ascii="Amiri" w:hAnsi="Amiri" w:eastAsia="Amiri" w:cs="Amiri"/>
          <w:color w:val="111111"/>
          <w:sz w:val="28"/>
          <w:sz w:val="28"/>
          <w:szCs w:val="28"/>
          <w:rtl w:val="true"/>
          <w:lang w:bidi="ar-SA"/>
        </w:rPr>
        <w:t>والرواية وإن كانت دلالتها تامة إلاّ أنها ضعيفة السند بشخصين هما سهل بن زياد، وعلي بن أبي حمزة، فلا يمكن الاستدلال بها في المقام ولا ترفع اليد عن الروايات الصحيحة الدالة على لزوم التكفير بشاة، ومع الإغماض عن سند الرواية تحمل على الإعسار كما حملها صاحب الوسائل</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كفارة التظليل شاة</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6877897_1280447820"/>
      <w:bookmarkStart w:id="377" w:name="_Toc126"/>
      <w:bookmarkEnd w:id="376"/>
      <w:r>
        <w:rPr>
          <w:rtl w:val="true"/>
        </w:rPr>
        <w:t>المقام الثالث</w:t>
      </w:r>
      <w:r>
        <w:rPr>
          <w:rtl w:val="true"/>
        </w:rPr>
        <w:t>:</w:t>
      </w:r>
      <w:bookmarkEnd w:id="377"/>
    </w:p>
    <w:p>
      <w:pPr>
        <w:pStyle w:val="BookText"/>
        <w:rPr/>
      </w:pPr>
      <w:r>
        <w:rPr>
          <w:rFonts w:ascii="Amiri" w:hAnsi="Amiri" w:eastAsia="Amiri" w:cs="Amiri"/>
          <w:color w:val="111111"/>
          <w:sz w:val="28"/>
          <w:sz w:val="28"/>
          <w:szCs w:val="28"/>
          <w:rtl w:val="true"/>
          <w:lang w:bidi="ar-SA"/>
        </w:rPr>
        <w:t>في تكرر الكفارة بتكرر الفعل وعدمه وفيه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في إحرامين مستقلين كالعمرة والحج مثلاً، وفي هذه الصورة تتكرر الكفارة بلا إشكال، لأنّ</w:t>
      </w:r>
    </w:p>
    <w:p>
      <w:pPr>
        <w:pStyle w:val="BookText"/>
        <w:rPr/>
      </w:pPr>
      <w:r>
        <w:rPr>
          <w:rFonts w:ascii="Amiri" w:hAnsi="Amiri" w:eastAsia="Amiri" w:cs="Amiri"/>
          <w:color w:val="111111"/>
          <w:sz w:val="28"/>
          <w:sz w:val="28"/>
          <w:szCs w:val="28"/>
          <w:rtl w:val="true"/>
          <w:lang w:bidi="ar-SA"/>
        </w:rPr>
        <w:t>الأصل عدم تداخل الأسباب، ويكون حاله حال الإفطار في يومين، مضافاً إلى التصريح بذلك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في إحرام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القاعدة هو تكرر الكفارة لأنّ الأصل عدم تداخل الأسباب، وإذا تعددت الأسباب فلكل سبب كفارة، والتظليل إذا تكرر وإن كان في إحرام واحد فهو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عدم التكرر والحكم بالتداخل في إحرام واحد 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ورود دليل عليه مع أنّه مورد الابتلاء، كما أنّه لم يرد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بتعدد الكفارة مع أن كلامهم في مقام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بعض الروايات التصريح بذلك، والتفريق بين ما وقع في إحرام واحد وبين ما وقع في إحرامين، ومن ذلك</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صحيحة أبي علي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 يشتد عليّ كشف الظلال في الإحرام لأني محرور يشتد عليّ حر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 وأرق دماً،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نحرم بالعمرة وندخل مكة فنحل </w:t>
      </w:r>
      <w:bookmarkStart w:id="378" w:name="pg16387_188550"/>
    </w:p>
    <w:p>
      <w:pPr>
        <w:pStyle w:val="BookText"/>
        <w:rPr/>
      </w:pPr>
      <w:bookmarkEnd w:id="378"/>
      <w:r>
        <w:rPr>
          <w:rFonts w:ascii="Amiri" w:hAnsi="Amiri" w:eastAsia="Amiri" w:cs="Amiri"/>
          <w:color w:val="111111"/>
          <w:sz w:val="28"/>
          <w:sz w:val="28"/>
          <w:szCs w:val="28"/>
          <w:rtl w:val="true"/>
          <w:lang w:bidi="ar-SA"/>
        </w:rPr>
        <w:t>ونحرم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 دمين</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والرواية واضحة الدلالة ومعتبرة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إهراق أكثر من دم واحد وإن تكرر التظليل فيإحرام واحد</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6877899_1280447820"/>
      <w:bookmarkStart w:id="380" w:name="_Toc127"/>
      <w:bookmarkEnd w:id="379"/>
      <w:r>
        <w:rPr>
          <w:rtl w:val="true"/>
        </w:rPr>
        <w:t>المسألة الثانية</w:t>
      </w:r>
      <w:r>
        <w:rPr>
          <w:rtl w:val="true"/>
        </w:rPr>
        <w:t xml:space="preserve">: </w:t>
      </w:r>
      <w:r>
        <w:rPr>
          <w:rtl w:val="true"/>
        </w:rPr>
        <w:t>في التقية في عرفات والمشعر ومنى وأحكامها</w:t>
      </w:r>
      <w:r>
        <w:rPr>
          <w:rtl w:val="true"/>
        </w:rPr>
        <w:t>:</w:t>
      </w:r>
      <w:bookmarkEnd w:id="380"/>
    </w:p>
    <w:p>
      <w:pPr>
        <w:pStyle w:val="Heading5"/>
        <w:numPr>
          <w:ilvl w:val="4"/>
          <w:numId w:val="1"/>
        </w:numPr>
        <w:rPr/>
      </w:pPr>
      <w:bookmarkStart w:id="381" w:name="__RefHeading___Toc6877901_1280447820"/>
      <w:bookmarkStart w:id="382" w:name="_Toc128"/>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ويقع الكلام فيها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على لزوم الإتيان بالأعمال الخاصة في الأيام المخصوصة اختياراً أو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أدلة التقية عموماً وخصوصاً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المقام الأول فلا إشكال في وجوب الوقوف في عرفات من زوال يوم التاسع من ذي الحجة إلى غروب الشمس، وقد ادعي إجماع المسلمين على ذلك</w:t>
      </w:r>
      <w:r>
        <w:rPr>
          <w:rStyle w:val="FootnoteAnchor"/>
          <w:rtl w:val="true"/>
        </w:rPr>
        <w:footnoteReference w:id="1307"/>
      </w:r>
      <w:r>
        <w:rPr>
          <w:rFonts w:ascii="IRNazanin" w:hAnsi="IRNazanin" w:eastAsia="IRNazanin"/>
          <w:color w:val="111111"/>
          <w:sz w:val="28"/>
          <w:sz w:val="28"/>
          <w:szCs w:val="28"/>
          <w:rtl w:val="true"/>
          <w:lang w:bidi="fa-IR"/>
        </w:rPr>
        <w:t>، نعم نسب إلى أحمد الخلاف</w:t>
      </w:r>
      <w:r>
        <w:rPr>
          <w:rStyle w:val="FootnoteAnchor"/>
          <w:rtl w:val="true"/>
        </w:rPr>
        <w:footnoteReference w:id="1308"/>
      </w:r>
      <w:r>
        <w:rPr>
          <w:rFonts w:ascii="Amiri" w:hAnsi="Amiri" w:eastAsia="Amiri" w:cs="Amiri"/>
          <w:color w:val="111111"/>
          <w:sz w:val="28"/>
          <w:sz w:val="28"/>
          <w:szCs w:val="28"/>
          <w:rtl w:val="true"/>
          <w:lang w:bidi="ar-SA"/>
        </w:rPr>
        <w:t>في مبدأ الوقوف، فقد أوجبه من فجر يوم التاسع لا من الزوال، هذا في الوقوف الاختياري، وأما الوقوف الاضطراري فهو الوقوف برهة من الليل، والوقوف في المشعر فالاختياري منه من طلوع فجر يوم العيد إلى طلوع الشمس، وأما الاضطراري فهو الوقوف وقتاً ما بعد طلوع الشمس إلى زوال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أعمال منى من الرمي والذبح والحلق أو التقصير فيجب الإتيان بها يوم العيد اختياراً، وأما الاضطراري من ذلك ففيها تفاصيل ليس هنا موضع ذكرها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وجوب هذه الأعمال الخاصة في الأيام المخصوصة مما لا خلاف فيه، وقد ذكر العلامة في التذكرة والمنتهى أن ذلك محل إجماع من </w:t>
      </w:r>
    </w:p>
    <w:p>
      <w:pPr>
        <w:pStyle w:val="BookText"/>
        <w:rPr/>
      </w:pPr>
      <w:r>
        <w:rPr>
          <w:rFonts w:ascii="Amiri" w:hAnsi="Amiri" w:eastAsia="Amiri" w:cs="Amiri"/>
          <w:color w:val="111111"/>
          <w:sz w:val="28"/>
          <w:sz w:val="28"/>
          <w:szCs w:val="28"/>
          <w:rtl w:val="true"/>
          <w:lang w:bidi="ar-SA"/>
        </w:rPr>
        <w:t>المسلمين</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وقد دلت على ذلك روايات كثيرة وهي على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حكي فيها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بالمدينة عشر سنين لم يحج، ثمّ أنزل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1310"/>
      </w:r>
      <w:r>
        <w:rPr>
          <w:rFonts w:ascii="IRNazanin" w:hAnsi="IRNazanin" w:eastAsia="IRNazanin"/>
          <w:color w:val="111111"/>
          <w:sz w:val="28"/>
          <w:sz w:val="28"/>
          <w:szCs w:val="28"/>
          <w:rtl w:val="true"/>
          <w:lang w:bidi="fa-IR"/>
        </w:rPr>
        <w:t xml:space="preserve">، فأمر المؤذنين أن يؤذنوا بأعلى أصواتهم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يحج من عامه هذا،فعلم به من حضر المدينة وأهل العوالي والأعراب، فاجتمعوا فحجّ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كانوا تابعين ينتظرون ما يؤمرون به فيتبعونه، أو يصنع شيئاً فيصنعونه،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أربع بقين من ذي القعدة، فلما انتهى إلى ذي الحليفة فزالت الشمس اغتسل ، ثمّ خرج حتى أتى المسجد الذي عند الشجرة فصلى فيه الظهر، وعزم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 مفرداً، وخرج حتى انتهى إلى البيداء عند الميل الأوّل، فصفّ الناس له سماطين فلبّى بالحجّ مفرداً وساق الهدي ستاً وستين بدنة أو أربعاً وستين، حتى انتهى إلى مكة في سلخ أربع من ذي الحجّة، فطاف بالبيت سبعة أشواط، وصلى ركعتين خلف مقام إبراهيم، ثمّ عاد إلى الحجر فاستلمه، وقد كان استلمه في أول طوافه،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 والمروة من شعائر الله فابدؤا بما بدأ الله به، وإن المسلمين كانوا يظنون أنّ السعي بين الصفا والمروة شيء صنعه المشركون،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شَعَائِرِ اللهِ فَمَنْ حَجَّ الْبَيْتَ أَوْ اعْتَمَرَ فَلا جُنَاحَ عَلَيْهِ أَنْ يَطَّوَّفَ بِهِمَا</w:t>
      </w:r>
      <w:r>
        <w:rPr>
          <w:rFonts w:eastAsia="IRNazanin" w:cs="IRNazanin"/>
          <w:color w:val="111111"/>
          <w:sz w:val="28"/>
          <w:szCs w:val="28"/>
          <w:rtl w:val="true"/>
          <w:lang w:bidi="fa-IR"/>
        </w:rPr>
        <w:t>)</w:t>
      </w:r>
      <w:r>
        <w:rPr>
          <w:rStyle w:val="FootnoteAnchor"/>
          <w:rtl w:val="true"/>
        </w:rPr>
        <w:footnoteReference w:id="1311"/>
      </w:r>
      <w:r>
        <w:rPr>
          <w:rFonts w:ascii="Amiri" w:hAnsi="Amiri" w:eastAsia="Amiri" w:cs="Amiri"/>
          <w:color w:val="111111"/>
          <w:sz w:val="28"/>
          <w:sz w:val="28"/>
          <w:szCs w:val="28"/>
          <w:rtl w:val="true"/>
          <w:lang w:bidi="ar-SA"/>
        </w:rPr>
        <w:t xml:space="preserve">ثمّ أتى الصفا فصعد عليه فاستقبل الركن اليماني، فحمد الله وأثنى عليه ودعا مقدار ما تقرأ سورة البقرة مترسلاً، ثمّ انحدر إلى المروة فوقف عليها كما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على الصفا، ثمّ انحدر وعاد إلى الصفا فوقف عليها، ثمّ انحدر إلى المروة حتى فرغ من سعيه، ثمّ أتى جبرئيل وهو على المروة، فأمره أن يأمر الناس أن يحلوا إلاّ سائق هدي،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أنحل ولم نفرغ من مناسكنا؟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فلما وقف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بالمروة بعد فراغه من السعي أقبل على الناس بوجهه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وأومأ بيده إلى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يأمرني أن آمر من لم يسق هدياً أن يحل، ولو استقبلت من أمري مثل الذي استدبرت لصنعت من ما أمرتكم، ولكني سقت الهدي، ولا ينبغي لسائق الهدي أن يحلّ حتى يبلغ الهدي محلّه،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لنخرجن حجاجاً وشعورنا تقطر؟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إنك لن تؤمن بعدها أبداً، فقال له سراقة بن مالك بن خثعم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علمنا ديننا كأنما خلقنا اليوم، فهذا الذي أمرتنا به لعامنا هذا أم لما يستقبل؟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للأبد إلى يوم القيامة، ثمّ شبك أصابعه بعضها إلى بعض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العمرة في الحج إلى يوم القيامة، وقدم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اليمن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بمكة فدخل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قد أحلّت، فوجد ريحاً طيبة، ووجد عليهاثياباً مصبوغة،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مستفتياً ومحرشاً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فاطمة قد أحلّت، عليها ثياب مصبوغة،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أمرت الناس بذلك، وأنت يا علي بما أهللت؟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إهلالاً كإهلال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على إحرامك مثلي، وأنت شريكي في هديتي،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بالبطحاء هو وأصحابه، ولم ينزل الدور، فلما كان يوم التروية عند زوال الشمس أمر الناس أن يغتسلوا ويهلّوا بالحج، وهو قول الله الذي أنزله على نبيه</w:t>
      </w:r>
      <w:r>
        <w:rPr>
          <w:rFonts w:eastAsia="IRNazanin" w:cs="IRNazanin"/>
          <w:color w:val="111111"/>
          <w:sz w:val="28"/>
          <w:szCs w:val="28"/>
          <w:rtl w:val="true"/>
          <w:lang w:bidi="fa-IR"/>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فَاتَّبِعُوا مِلَّةَ إِبْرَاهِيمَ</w:t>
      </w:r>
      <w:r>
        <w:rPr>
          <w:rFonts w:eastAsia="Amiri" w:cs="Amiri" w:ascii="Amiri" w:hAnsi="Amiri"/>
          <w:color w:val="111111"/>
          <w:sz w:val="28"/>
          <w:szCs w:val="28"/>
          <w:rtl w:val="true"/>
          <w:lang w:bidi="ar-SA"/>
        </w:rPr>
        <w:t>)</w:t>
      </w:r>
      <w:r>
        <w:rPr>
          <w:rStyle w:val="FootnoteAnchor"/>
          <w:rtl w:val="true"/>
        </w:rPr>
        <w:footnoteReference w:id="1312"/>
      </w:r>
      <w:r>
        <w:rPr>
          <w:rFonts w:ascii="IRNazanin" w:hAnsi="IRNazanin" w:eastAsia="IRNazanin"/>
          <w:color w:val="111111"/>
          <w:sz w:val="28"/>
          <w:sz w:val="28"/>
          <w:szCs w:val="28"/>
          <w:rtl w:val="true"/>
          <w:lang w:bidi="fa-IR"/>
        </w:rPr>
        <w:t xml:space="preserve">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مهلين بالحج حتى أتوا منى، فصلى الظهر والعصر والمغرب والعشاء والآخرة والفجر، ثمّ غدا والناس معه، فكانت قريش تفيض من المزدلفة وهي جمع، ويمنعون الناس أن يفيضوا منها، فأقبل رسول الله وقريش ترجو أن يكون إفاضته من حيث كانوا يفيضون، فأنزل الله على نبيه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أَفِيضُوا مِنْ حَيْثُ أَفَاضَ النَّاسُ وَاسْتَغْفِرُوا اللهَ</w:t>
      </w:r>
      <w:r>
        <w:rPr>
          <w:rFonts w:eastAsia="IRNazanin" w:cs="IRNazanin"/>
          <w:color w:val="111111"/>
          <w:sz w:val="28"/>
          <w:szCs w:val="28"/>
          <w:rtl w:val="true"/>
          <w:lang w:bidi="fa-IR"/>
        </w:rPr>
        <w:t>)</w:t>
      </w:r>
      <w:r>
        <w:rPr>
          <w:rStyle w:val="FootnoteAnchor"/>
          <w:rtl w:val="true"/>
        </w:rPr>
        <w:footnoteReference w:id="1313"/>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وإسماعيل وإسحاق في إفاضتهم منها ومن كان بعدهم، فلما رأت قريش قبة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مضت، كأنه دخل في أنفسهم شيء للذي كانوا يرجون من الإفاضة من مكانهم، حتى انتهوا إلى نمرة وهي بطن عرفة بجبال الأراك، فضربت قبته، وضرب الناس أخبيتهم عندها، فلما زالت الشمس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قريش وقد اغتسل وقطع التلبية حتى وقف بالمسجد، فوعظ الناس وأمرهم ونهاهم، ثمّ صلى الظهر والعصر بأذان واحد وإقامتين، ثمّ مضى إلى الموقف فوقف به فجعل الناس يبتدرون أخفاف ناقته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يقفون إلى جنبها فنحاها ففعلوا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إنه ليس موضع أخفاف ناقتي بالموقف، ولكن هذا كله موقف، وأومأ بيده إلى الموقف، فتفرّق الناس، وفعل مثل ذلك بمزدلفة، فوقف حتى وقع القرص قرص الشمس، ثمّ أفاض وأمر الناس بالدعة، حتى إذا انتهى إلى المزدلفة وهي المشعر الحرام فصلى المغرب والعشاء والآخرة بأذان واحد وإقامتين، ثمّ أقام حتى صلى الفجر وعجّل ضعفاء بني هاشم بالليل وأمرهم أن لا يرموا الجمرة جمرة العقبة حتى تطلع الشمس، فلما أضاء له النهار أفاض حتى انتهى إلى منى فرمى جمرة العقبة، وكانالهدي الذي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وستين، أو ستاً وستين، وجاء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بأربعة وثلاثين، أو ستّ وثلاثين، فنحر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 وستين، ونحر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وثلاثين بدنة، </w:t>
      </w:r>
    </w:p>
    <w:p>
      <w:pPr>
        <w:pStyle w:val="BookText"/>
        <w:rPr/>
      </w:pPr>
      <w:r>
        <w:rPr>
          <w:rFonts w:ascii="IRNazanin" w:hAnsi="IRNazanin" w:eastAsia="IRNazanin"/>
          <w:color w:val="111111"/>
          <w:sz w:val="28"/>
          <w:sz w:val="28"/>
          <w:szCs w:val="28"/>
          <w:rtl w:val="true"/>
          <w:lang w:bidi="fa-IR"/>
        </w:rPr>
        <w:t xml:space="preserve">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يؤخذ من كل بدنة منها حذوة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لحم ثمّ تطرح في مرقة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تطبخ فأكل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وحسيا من مرقها، ولم يعطوا الجزارين جلودها ولا جلالها ولا قلائدها، وتصدق بها، وحلق وزار البيت ورجع إلى منى فأقام بها حتى كان اليوم الثالث من آخر أيام التشريق، ثمّ رمى الجمار ونفر حتى انتهى إلى الأبطح،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ترجع نساؤك بحجة وعمرة معاً، وأرجع بحجة، فأقام بالأبطح، وبعث معها عبد الرحمن بن أبي بكر إلى التنعيم فأهلت بعمرة، ثمّ جاءت وطافت بالبيت وصلت ركعتين عند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وسعت بين الصفا والمروة، ثمّ 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 من يومه ولم يدخل المسجد الحرام، ولم يطف بالبيت ودخل من أعلى مكة من عقبة المدنيين، وخرج من أسفل مكة من ذي طوى</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ومحل الشاهد من هذه الرواية أنّ الموقف هو عرفة،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في بطنها، وأنه في اليوم التاسع عند الزوال، وإنما أوردنا الرواية على طولها لما اشتملت عليه من وصف أفعاله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تأدية المناسك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الروايات في حكاية فعل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أبان بن عثمان عن أبي بصير، أنّه سمع أبا جعفر وأبا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كان يوم التروية، 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تروه من الماء فسميت التروية، ثمّ أتى منى فأباته بها، ثمّ غدا به إلى عرفات، فضرب خباءه بنمرة دون عرفة، فبنى مسجداً بأحجار بيض وكان يعرف أثر مسجد إبراهيم، حتى أدخل في هذا المسجد الذي بنمرة حيث يصلي الإمام يوم عرفة فصلى بها الظهر والعصر، ثمّ عمد إلى عرفات،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p>
    <w:p>
      <w:pPr>
        <w:pStyle w:val="BookText"/>
        <w:rPr/>
      </w:pPr>
      <w:r>
        <w:rPr>
          <w:rFonts w:ascii="Amiri" w:hAnsi="Amiri" w:eastAsia="Amiri" w:cs="Amiri"/>
          <w:color w:val="111111"/>
          <w:sz w:val="28"/>
          <w:sz w:val="28"/>
          <w:szCs w:val="28"/>
          <w:rtl w:val="true"/>
          <w:lang w:bidi="ar-SA"/>
        </w:rPr>
        <w:t>عرفات فاعرف بها مناسكك، واعترف بذنبك، فسمى عرفات، ثمّ أفاض إلى المزدلفة، فسميت المزدلفة، لأنه ازدلف إليها، ثمّ قام على المشعر الحرام، فأمره الله أن يذبح ابنه وقد رأى فيه شمائله وخلائقه، فلما أصبح أفاض من المشعر إلى منى، ثمّ 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زوريالبيت واحتبس الغلام الحديث</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أبان بن عثمان أيضاً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آدم لما اُمر بالتوبة قال جبرئيل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آدم فخرج به يوم التروية فأمره أن يغتسل ويحرم، فلما كان يوم الثامن من ذي الحجة أخرجه جبرئيل إلى منى فبات فيها، فلما أصبح توجه إلى عرفات، وكان قد علّمه الإحرام وأمره بالتلبية، فلما زالت الشمس يوم عرفة قطع التلبية وأمره أن يغتسل، فلما صلى العصر أوقفه بعرفات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 آدم إلى أن غابت الشمس رافعاً يديه إلى السماء يتضرع ويبكي إلى الله، فلما غابت الشمس رده إلى المشعر فبات به، فلما أصبح قام على المشعر فدعا الله بكلمات فتاب عليه، ثمّ أفاض إلى منى وأمره جبرئيل أن يحلق الشعر الذي عليه فحلقه، ثمّ رده إلى مكة فأتى به إلى عند الجمرة الأولى، فعرض له إبليس عندها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أين تريد؟ فأمره جبرئيل أن يرميه بسبع حصيات وأن يكبّر مع كل حصاة تكبيرة ففعل آدم، ثمّ ذهب فعرض له إبليس عند الجمرة الثانية، فأمره أن يرميه بسبع حصيات فرمى وكبر مع كل حصاة تكبيرة، ثمّ عرض له عند الجمرة الثالثة فأمره أن يرميه بسبع حصيات فرمى وكبّر مع كل حصاة، فذهب إبليس،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 تراه بعد هذا أبداً، ثمّ انطلق به إلى البيت الحرام وأمره أن يطوف به سبع مرات ففعل،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قبل توبتك وحلّت لك زوجتك</w:t>
      </w:r>
      <w:r>
        <w:rPr>
          <w:rStyle w:val="FootnoteAnchor"/>
          <w:rtl w:val="true"/>
        </w:rPr>
        <w:footnoteReference w:id="1316"/>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أتاه جبرئيل عند زوال الشمس من يوم التروية،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ارتو من الماء لك ولأهلك، ولم يكن بين مكة وعرفات يومئذ ماء، فسميت التروية لذلك، ثمّ ذهب به حتى أتى منى، فصلى بها الظهر والعصر والعشائين والفجر، حتى إذا بزغت الشمس خرج إلى عرفات، فنزل بنمرة وهي بطن عرفة، فلما زالت الشمس خرج وقد اغتسل فصلى الظهر والعصربأذان واحد وإقامتين وصلى في موضع المسجد الذي بعرفات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به إلى الموقف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اعترف بذنبك واعرف مناسكك، فلذلك سميت عرفة، حتى غابت الشمس، ثمّ أفاض به إلى المشعر،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ازدلف إلى المشعر الحرام، فسميت المزدلفة، وأتى به المشعر الحرام فصلّى به المغرب والعشاء الآخرة بأذان واحد وإقامتين، ثمّ بات بها حتى إذا صلى الصبح أراه الموقف، ثمّ أفاض به إلى منى، فأمره فرمى جمرة العقبة وعندها ظهر له إبليس ثمّ أمره بالذبح الحديث</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معاوية بن عمار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عرفات لم سميت عرفات؟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فلما زالت الشمس 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اعترف بذنبك واعرف مناسكك، فسميت عرفات لقول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فاعترف</w:t>
      </w:r>
      <w:r>
        <w:rPr>
          <w:rStyle w:val="FootnoteAnchor"/>
          <w:rtl w:val="true"/>
        </w:rPr>
        <w:footnoteReference w:id="1319"/>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العياشي في تفسيره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البيت أكان يحج قبل أن يبعث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وتصديقه في القرآن قول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تَأْجُرَنِي ثَمَانِيَةَ 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يقل ثماني سنين، وإن آدم ونوح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 وسليمان بن داود قد حج بالجن والإنس والطير والريح، وحج موسى على جمل أحمر،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وإنه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أحاديث الشيعة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بدؤ البيت وعلة بنائه وطوافه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وغيرها من الروايات الكثيرة الدالة على حج الأنبياء، بل فيها ما يدل على أنّ الحج كان قبل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ذلك ما رواه الصدوق عن بكير بن أعين عن أخيه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أسألك في الحج منذ أربعين عاماً فتفتيني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بيت يحج قبل آدم بألفي عام تفنى مسائله في أربعين 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أحاديث الشيعة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حج موسى وعيسى وداود وسليمان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يستفاد من هذه الطائفة أنّ الأنبياء السابقين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شيّد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يقفون في اليوم التاسع في عرفات، وأن ما يأتون به من المناسك لا يختلف عما فعله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فكأن أعمال الحجواحدة منذ زمان آدم وإلى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 إشكال في هذه الروايات من حيث السند ولا سيما أن معاوية بن عمار له كتاب في الحج، والطريق إليه صحيح وقد ذكرنا ذلك في بحوثنا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تعيين الموقف في وقت محدد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للإمام أن يصلي الظهر من يوم التروية بمنى، ويبيت بها ويصبح حتى تطلع الشمس ثمّ يخرج</w:t>
      </w:r>
      <w:r>
        <w:rPr>
          <w:rStyle w:val="FootnoteAnchor"/>
          <w:rtl w:val="true"/>
        </w:rPr>
        <w:footnoteReference w:id="1321"/>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الرواية وإن لم يصرّح فيها بالخروج إلى عرفات إلاّ أن رواية الصدوق بإسناده عن جميل بن دراج قد صرح فيها بذلك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الإمام أن يصلي الظهر بمنى، ويبيت بها ويصبح حتى تطلع الشمس ثمّ يخرج إلى عرفات</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انتهيت إلى عرفات فاضرب خباك بنمرة، ونمرة هي بطن عرنة دون الموقف ودون عرفة، فإذا زالت الشمس يوم عرفة فاغتسل وصل الظهر والعصر بأذان واحد وإقامتين، فإنما تعجل العصر وتجمع بينهما لتفرغ نفسك للدعاء فإنه يوم دعاء ومسألة</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ابن يزيد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زاغت الشمس يوم عرفة فاقطع التلبية واغتسل، وعليك بالتكبير والتهليل والتحميد والتسبيح والثناء على الله، وصل الظهر والعصر بأذان واحد وإقامتين</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وغيرها من الروايات التي تدل على تعيين الموقف وتحديده بيوم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فيها أن يوم عرفة هو الشاهد أو المشهود ومن تلك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الرحمن بن أبي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يوم الجمعة، والمشهود يوم عرفة، والموعود يوم القيامة</w:t>
      </w:r>
      <w:r>
        <w:rPr>
          <w:rStyle w:val="FootnoteAnchor"/>
          <w:rtl w:val="true"/>
        </w:rPr>
        <w:footnoteReference w:id="1325"/>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أبي الجارود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 والمشهود يوم عرفة، والموعود يوم القيامة</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وَشَاهِدٍ وَمَشْهُودٍ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يوم الجمعة، والمشهود يوم عرفة</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وسند الرواية ليس بنقي، فإن فيه أبا جميلة وهو محل خلاف، ولنا حوله تحقيق ذكرناه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محمّد بن هاشم عمن روى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هو يوم عرفة، والمشهود يوم القيامة</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وغيرها من الروايات الدالة على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ويلحق بهذه الطائفة الروايات الدالة على معنى الحج الأكبر وأنه يوم عرفة أو غيره، 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الفضيل بن عياض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الحج الأكبر،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أعندك فيه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الأكبر يوم عرفة، يعني من أدرك يوم عرفة إلى طلوع الفجر من يوم النحر فقد ادرك الحج، ومن فاته ذلك فقد فاته الحج، فجعل ليلة عرفة لما قبلها ولما بعدها، والدليل على ذلك أنّه من أدرك ليلة النحر إلى طلوع الفجر فقد ادرك الحج وأجزأ عنه من عرفة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الأكبر يوم النحر واحتج بقول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فَسِيحُوا فِي الأَرْضِ أَرْبَعَةَ أَشْهُرٍ </w:t>
      </w:r>
      <w:r>
        <w:rPr>
          <w:rFonts w:eastAsia="IRNazanin" w:cs="IRNazanin"/>
          <w:color w:val="111111"/>
          <w:sz w:val="28"/>
          <w:szCs w:val="28"/>
          <w:rtl w:val="true"/>
          <w:lang w:bidi="fa-IR"/>
        </w:rPr>
        <w:t>)</w:t>
      </w:r>
      <w:r>
        <w:rPr>
          <w:rStyle w:val="FootnoteAnchor"/>
          <w:rtl w:val="true"/>
        </w:rPr>
        <w:footnoteReference w:id="1330"/>
      </w:r>
      <w:r>
        <w:rPr>
          <w:rFonts w:ascii="Amiri" w:hAnsi="Amiri" w:eastAsia="Amiri" w:cs="Amiri"/>
          <w:color w:val="111111"/>
          <w:sz w:val="28"/>
          <w:sz w:val="28"/>
          <w:szCs w:val="28"/>
          <w:rtl w:val="true"/>
          <w:lang w:bidi="ar-SA"/>
        </w:rPr>
        <w:t>فهي عشرون من ذي الحجة والمحرم وصفر وشهر ربيع الأول وعشر من شهر ربيع الآخر، ولو كان الحج الأكبر يوم عرفة لكان السيح أربعة أشهر ويوماً</w:t>
      </w:r>
      <w:r>
        <w:rPr>
          <w:rStyle w:val="FootnoteAnchor"/>
          <w:rtl w:val="true"/>
        </w:rPr>
        <w:footnoteReference w:id="1331"/>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روايات هذه الطائفة تعيين يوم التاسع من شهر ذي الحجة بأنه يوم عرفة وهو يوم الموقف، ومحل الشاهد من الرواية الأخيرة، أن من أدرك عرفة إلى طلوع الفجر من يوم النحر فقد أدركالحج، وهذا إشارة إلى الموقف الاضطراري، ولذلك جعل ليلة عرفة لما قبلها وما بعدها، وأما معنى الحج الأكبر </w:t>
      </w:r>
    </w:p>
    <w:p>
      <w:pPr>
        <w:pStyle w:val="BookText"/>
        <w:rPr/>
      </w:pPr>
      <w:r>
        <w:rPr>
          <w:rFonts w:ascii="IRNazanin" w:hAnsi="IRNazanin" w:eastAsia="IRNazanin"/>
          <w:color w:val="111111"/>
          <w:sz w:val="28"/>
          <w:sz w:val="28"/>
          <w:szCs w:val="28"/>
          <w:rtl w:val="true"/>
          <w:lang w:bidi="fa-IR"/>
        </w:rPr>
        <w:t xml:space="preserve">فقد استدل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يوم العيد بالآية الشريفة، ولولا ذلك لكان مقدار السيح أكثر من أربعة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فيها من انقلاب الحج من التمتع إلى الافراد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الحائض إذا قدمت مكة يوم التروية؟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تمضي كما هي إلى عرفات فتجعلها حجة، ثمّ تقيم حتى تطهر فتخرج إلى التنعيم فتحرم فتجعلها عمرة، قال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صنعت عائشة</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أهل بالحج والعمرة جميعاً، ثمّ قدم مكة والناس بعرفات فخشي إن هو طاف وسعى بين الصفا والمروة أن يفوته الموقف؟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 العمرة فإذا أتم حجه صح، كما صنعت عائشة ولا هدي عليه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في يوم عرفة وبينه وبين مكة ثلاثة أميال وهو متمتع بالعمرة إلى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التلبية تلبية المتعة، ويهل بالحج بالتلبية إذا صلى الفجر ويمضي إلى عرفات، فيقف مع الناس، ويقضي جميع المناسك، ويقيم بمكة حتى يعتمر عمرة المحرم، ولا شيء عليه</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زكريا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إذا دخل يوم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متعة له يجعلها عمرة مفردة</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bookmarkStart w:id="383" w:name="pg16387_188561"/>
    </w:p>
    <w:p>
      <w:pPr>
        <w:pStyle w:val="BookText"/>
        <w:rPr/>
      </w:pPr>
      <w:bookmarkEnd w:id="383"/>
      <w:r>
        <w:rPr>
          <w:rFonts w:ascii="Amiri" w:hAnsi="Amiri" w:eastAsia="Amiri" w:cs="Amiri"/>
          <w:color w:val="111111"/>
          <w:sz w:val="28"/>
          <w:sz w:val="28"/>
          <w:szCs w:val="28"/>
          <w:rtl w:val="true"/>
          <w:lang w:bidi="ar-SA"/>
        </w:rPr>
        <w:t>الرجل والمرأة يتمتعان بالعمرة إلى الحج ثمّ يدخلان مكة يوم عرفة 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يجعلانها حجة مفردة، وحد المتعة إلى يوم التروية</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وغيرها من الروايات والمستفاد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ضاق به الوقت عن الإتيان بعمرة التمتع إلى يوم التروية انقلب حجه إلى الافراد ولزمه التوجه إلى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من الروايات التي يمكن أن يستدل بها على تعيين يوم الموقف وبيان الحد الواجب منه اختياراً واضطراراً، وهناك روايات أخرى دالة على هذا المعنى ولا تبعد دعوى التواتر على ذلك، ويترتب على تحديد يوم عرفات ما يتلوه من أعمال، كالموقف في المزدلفة وأنه بين الطلوعين من يوم العاشر، وكذلك أعمال يوم العاشر من الرمي والذبح والحلق أو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يتم الكلام حول المقام الأول</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6877903_1280447820"/>
      <w:bookmarkStart w:id="385" w:name="_Toc129"/>
      <w:bookmarkEnd w:id="384"/>
      <w:r>
        <w:rPr>
          <w:rtl w:val="true"/>
        </w:rPr>
        <w:t>المقام الثاني</w:t>
      </w:r>
      <w:r>
        <w:rPr>
          <w:rtl w:val="true"/>
        </w:rPr>
        <w:t>:</w:t>
      </w:r>
      <w:bookmarkEnd w:id="385"/>
    </w:p>
    <w:p>
      <w:pPr>
        <w:pStyle w:val="Heading6"/>
        <w:numPr>
          <w:ilvl w:val="5"/>
          <w:numId w:val="1"/>
        </w:numPr>
        <w:rPr/>
      </w:pPr>
      <w:bookmarkStart w:id="386" w:name="__RefHeading___Toc6877905_1280447820"/>
      <w:bookmarkStart w:id="387" w:name="_Toc130"/>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في ما يمكن أن يستدل به على الإجزاء فيما إذا أتى المكلف بالأعمال موافقاً للعامة عن تقية، وعلى ضوء تمامية الأدلة تكون أعماله صحيحة ولا حاجة إلى القضاء والإعادة، وهذه الأدلة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الأدلة العامة فأمور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التقية وقد تقدمت</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التقية من الدين، وبناء على ذلك فإن ما يأتي به المكلف من أعمال، تقية فهي محكومة بالصحة لأنّها من الدين، فالموقف عن تقية وإن كان مخالفاً للواقع إلاّ أنّه مراد للمولى، وهكذا ما ورد من هذه النظائر من الروايات العامة الدالة على سقوط التكليف بالواقع والاجتزاء بغيره، ولا حاجة حينئذ إلى القضاء أو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 فإن من لم يتمكن من الإتيان بالواجب بجميع أجزائه وشرائطه كالموقف مثلاً أجزأه الإتيان بأصل الواجب وإن كان في زمان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الاضطرار وأحاديث الرفع، فإنّ من مصاديق الاضطرار التقية في الموقف بناء على شمولها للأحكام التكليفية والوضعية، فتكون الشرطية حينئذ مرفوعة، وأمّا بناء على القول باختصاصها بالأحكام التكليفية فلا إطلاق ولا 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الخاصة فهي أمور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وقد ادعي في المقام أنّ العمل المأتي به تقية مجز عن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المستمرة والمتصلة بزمان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العمل قائم على متابعة العامة في الموقف من دون أن يرد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بالقضاء،وعدم الورود دليل على قيام السيرة العملية الممضاة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سيما أنّ المسألة مورد للابتلاء، وأن ذلك على مرأى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من قرنين من الزمان، ومن ذلك يستفاد صحة العمل وإلاّ لنبّه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الجارود</w:t>
      </w:r>
      <w:r>
        <w:rPr>
          <w:rStyle w:val="FootnoteAnchor"/>
          <w:rtl w:val="true"/>
        </w:rPr>
        <w:footnoteReference w:id="1337"/>
      </w:r>
      <w:r>
        <w:rPr>
          <w:rFonts w:ascii="IRNazanin" w:hAnsi="IRNazanin" w:eastAsia="IRNazanin"/>
          <w:color w:val="111111"/>
          <w:sz w:val="28"/>
          <w:sz w:val="28"/>
          <w:szCs w:val="28"/>
          <w:rtl w:val="true"/>
          <w:lang w:bidi="fa-IR"/>
        </w:rPr>
        <w:t>وقد تقدمت، ومحل الشاهد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والأضحى يوم يضحي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ومعنى هذا تنزيل الأضحى عند العامة منزلة الأضحى الواقعي وبالملازمة ينزل ما قبله وما بعده كذلك، فيكون يوم عرفة عندهم كيوم عرفة في الواقع فيثبت المطلوب، ولا حاجة إلى الإعادة والقضاء بل تترتب جميع آثار الصحة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الواردة في المقام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الآمرة بالحج كما يحج </w:t>
      </w:r>
    </w:p>
    <w:p>
      <w:pPr>
        <w:pStyle w:val="BookText"/>
        <w:rPr/>
      </w:pPr>
      <w:r>
        <w:rPr>
          <w:rFonts w:ascii="Amiri" w:hAnsi="Amiri" w:eastAsia="Amiri" w:cs="Amiri"/>
          <w:color w:val="111111"/>
          <w:sz w:val="28"/>
          <w:sz w:val="28"/>
          <w:szCs w:val="28"/>
          <w:rtl w:val="true"/>
          <w:lang w:bidi="ar-SA"/>
        </w:rPr>
        <w:t>الناس، وبناء على هذا فنحن مأمورون بمتابعتهم، وهذا دليل على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الحكم بالإجزاء في سائر الموارد لا في خصوص الحج كالتكتف في الصلاة تقية، والصلاة جماعة اقتداء بإمامهم كذلك، وهكذا بالنسبة إلى الصوم والإفطار وغيرها من الموارد الخاصة، وبتنقيح المناط وإلغاء الخصوصيات يتعدى من هذه الموارد إلى ما نحن فيه، فيحكم حينئذ بالإجزاء في الموقف وإن كان مخالفاً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يستدل به للقول بالإجزاء على 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تحقيق ذلك فالبحث يقتضي الكلام تارة في الأدلة الخاصة، وأخرى في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الأدلة الخاصة فأولها الإجماع وقد نوقش فيه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الصغرى فهذا الإجماع غير معلوم التحقق، وذلك لأنّ هذه المسألة لم تذكر في أكثر الكتب الفقهية والمتعرض لها قليل فكيف يدعى الإجماع في المقام؟</w:t>
      </w:r>
    </w:p>
    <w:p>
      <w:pPr>
        <w:pStyle w:val="BookText"/>
        <w:rPr/>
      </w:pPr>
      <w:r>
        <w:rPr>
          <w:rFonts w:ascii="Amiri" w:hAnsi="Amiri" w:eastAsia="Amiri" w:cs="Amiri"/>
          <w:color w:val="111111"/>
          <w:sz w:val="28"/>
          <w:sz w:val="28"/>
          <w:szCs w:val="28"/>
          <w:rtl w:val="true"/>
          <w:lang w:bidi="ar-SA"/>
        </w:rPr>
        <w:t>وأما من جهة الكبرى فعلى فرض تمامية الصغرى إلاّ أن الكلام في حجية هذا الإجماع، إذ يحتمل أن يكون مدركياً فلا اعتبار به في نفسه بل المناط حينئذ هو المدرك، وبناء على هذا فلا يمكن الاعتماد على هذا الإجماع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العملية المتصلة بزمان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وحيث لم يرد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في ذلك ولا الاحتياط لا بالنسبة إليهم أنفسهم، ولا إلى شيعتهم،فيمكن القطع بهذه السيرة وفيه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يحرز الاختلاف في تلك الأزمنة، وعلى فرضه لم يعلم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يحجّون في زمان الاختلاف فلعل حجهم كان في زمان الموافقة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أن المرجع عند حصول الاختلاف هو قول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باعتبارهم من العلماء عند عامة المسلمين، ومن أهل تلك البلاد، فلم يحرز الأخذ بخلاف رأيهم، ولا سيما أنّه لم تتحدد آنذاك معالم المذاهب ويمتاز بعضها عن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التسليم بأنّ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يحجون في زمان المخالفة لكن من أين لنا أن نعلم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يأتون بالوظيفة الواقعية؟ وعدم وصول ذلك إلينا ليس دليلاً على العدم، ولا سيما أنّ المسألة ليست خلافية في المذهب، وقد ذكرنا أنّ الجميع يتفق على أنّ الموقف هو يوم التاسع، والخلاف حينئذ إنما هو في الموضوع الخارجي لا الحكم التكليفي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 يأتي بوظيفته بحسب تشخيصه ولا دليل لنا على أنّ تلك الأزمنة مثل هذه الأزمنة في التشديد على وحدة الموقف</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ما ذكره صاحب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الجواب عن اتهام الشيعة بمخالفة سائر المسلمين في بعض مناسك الحج كالوقوف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ندري ما يريد بالوقوف بعرفة الذي زعم مخالفتهم فيه، فإن عرفة مكان مخصوص معلوم محدود عند جميع المسلمين سنيهم وشيعيهم يقفون فيه يوم التاسع من ذي الحجة، ولعله يريد أن الشيعة قد يقفون في ثاني اليوم الذي يقف فيه غيرهم، وهذا لا لوم فيه عليهم إذا لم يروا الهلال ولم يثبت عندهم كون يوم وقوف غيرهم يوم عرفة، ولم يحصل حكم حاكمهم الشرعي بذلك سيّما في أيام قضاة الترك الذين علمت حالهم في التساهل في أمر إثبات الهلال، وكانوا يبذلون الجهود في تدبير الشهود لجعل وقوف عرفة يوم الجمعة لينالوا الخلعة السلطانية، ولم لا يكون اللوم على غيرهم في ذلك أو لا لوم على الفريقين في عملهم بما أوجبه مذهبهم لا عناداً ولا خلافاً للحق، وفي كثير من السنين كان يتّحد يوم الوقوف للكل، ونحن قد حججنا مرتين كانالوقوف فيهما واحداً </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أمير الحاج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يصف رحلته إلى الحج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وبعد أن عرف كل منّا محلّه أسرعنا جميعاً إلى جبل الرحمة المعروف بعرفات حيث وقفنا هنالك على سبيل الاحتياط لجواز أن يكون هذا اليوم يوم عرفة مع أنّه ثامن ذي الحجة</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 xml:space="preserve">وبناء على ذلك فإحراز أن العمل سيرة متصلة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ممكن وليست هذه السيرة مورداً للاطمئنان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وأهمها رواية أبي الجارود، ويتوقف الاستدلال بها على ثبوت أمور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سندها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واردة في مقام التقية ولا خصوصية للشك، بل حتى في صورة العلم ليكون الحكم فيها مطلقاً والكبرى كلية، وأما مع اختصاصها بمورد الشك فهي خارجة عن المقام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الملازمة بين العيد وعرفات متحققة بمعنى أن يكون مفاد الرواية أن يوم عرفة يوم يعرف الناس، وهكذا بالنسبة إلى ما قبله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ليست واردة في مقام بيان حجية الشهرة والشياع، وإلاّ فهي أجنبية عما نحن فيه، وهذا الأمر يلازم الأمر الثاني وذلك لأنّه إذا ثبت أن الرواية واردة في مقام بيان حجية الشياع فهي غير واردة في مقام التقية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إلاّ أن إحراز هذه الأمور بحيث يكون للرواية ظهور في ذلك مشكل، نعم الأمر الأول منها لا إشكال فيه، فإنّ أبا الجارود وإن لم يرد فيه توثيق إلاّ أنّه واقع في القسم الأول من تفسير القمي، كما أنّه لم يستثن من كتاب نوادر الحكمة، مضافاً إلى ثناء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وقد أشرنا إلى ذلك فيما تقدم فيمكن الحكم بوثاقته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الأمر الثاني ففيه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أبي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بعض أصحابنا يضحي فيه إشعار بأن المقام ليس مقام تقية، وإلاّ فلا معنى لتضحية بعض الأصحاب،فالمسألة تتناول موضوعاً خارجياً لا حكماً شرعياً حتى يرجع فيه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والصوم يوم يصوم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تقية فيه؟ فإن مورد التقية إنما هو الإفطار لا الصوم، وما ورد في بعض الروايات من هذا القبيل فهو من باب الأشباه والنظائر، وإلاّ فلا تقية في الصوم لأنّ المكلف يمكنه إظهار أنّه صائم وهو غير صائم في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روى في التهذيب هذه الرواية بسند آخر عن نفس أبي الجارود زياد بن المنذر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حين يصوم الناس، وافطر حين يفطر الناس، فإنّ الله عزوجل جعل الأهلة مواقيت</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وهذه الرواية لم تشتمل على صدر تلك الرواية ولم يذكر فيها التضحية، والمذكور هو الفقرتان الأخيرتان بإضافة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عزوجل جعل الأهلة 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إنما هو بالهلال لأنه أمر توقيفي فالحجة من جهة رؤيتهم الهلال، وهذه الرواية ظاهرة في أن المقام ليس مقام تقية بل من جهة الرؤية والشهادة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عين الرواية السابقة كما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الراوي واحد والإمام واحد، وإن اشتملت على زيادة ونقيصة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تكون الرواية واردة في مقام التقية، والحكم بمتابعة الناس في إفطارهم وصيامهم إنما هو من جهة الشك، مضافاً إلى أنّ الرواية ليست واردة في الحج، وذكر التضحية لا يخصصها </w:t>
      </w:r>
    </w:p>
    <w:p>
      <w:pPr>
        <w:pStyle w:val="BookText"/>
        <w:rPr/>
      </w:pPr>
      <w:r>
        <w:rPr>
          <w:rFonts w:ascii="Amiri" w:hAnsi="Amiri" w:eastAsia="Amiri" w:cs="Amiri"/>
          <w:color w:val="111111"/>
          <w:sz w:val="28"/>
          <w:sz w:val="28"/>
          <w:szCs w:val="28"/>
          <w:rtl w:val="true"/>
          <w:lang w:bidi="ar-SA"/>
        </w:rPr>
        <w:t>بالحج لأنّ التضحية أعم من أن تكون في الحج أو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لم يحرز أنّه المراد من الرواية، فلا يمكن الاستدلال بها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الثالث فهو وإن كان في النظر البدوي كذلك فإنه لا خصوصية للعيد والأضحى، بل يشمل يوم عرفة أيضاً، كما يشمل أول الشهر وغيره من سائر الأيام، إلاّ أنّه يمكن أن يناقش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فرقاً بين عرفة وغيره، وذلك لأنّ الوقوف يوم عرفة ركن من أركان الحج ويبطل الحج بفوات ركنه مطلقاً سواء كان عن جهل أو نسيان أو تقية، وأما أعمال يوم العيد فليست هي من الأركان فيمكن إجراء أحكام التقيةفيها،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الزمان غير الواقعي منزلة الواقعي تارة يكون مطلقاً، وأخرى من جهة العمل فقط، فإن كان الأول فلا فرق بين يوم العيد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فلا ملازمة بينهما وتنزيل الأضحى تقية منزلة الواقع لا يلازم تنزيل يوم عرفة كذلك وسيأتي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الرابع فلا يبعد القول بأن الرواية واردة في مقام حجية الشياع والشهرة ويؤيده عدة من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 الحميد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في الجبل في القرية فيها خمسمائة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كذلك فصم لصيامهم وافطر لفطرهم</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أخاه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يرى الهلال في شهر رمضان وحده، لا يبصره غيره، له أن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يشك فليفطر، وإلاّ فليصم مع الناس</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والمستفاد من هذه الرواية والرواية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صيام الناس حجة في مورد الشك، ومع عدمه فالعمل على اليقين، ومضمون الروايتين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سماعة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اليوم في شهر رمضان يختلف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أهل مصر على صيامه للرؤية فاقضه، إذا كان أهل مصر خمسمائة إنسان</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الرواية هو حجية الشهرة والشياع وإلاّ فالعدد لا مفهوم له ولا خصوصية لصيام خمسمائة إنسان أو إفطارهم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صام تسعة وعشرين،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له بينة عادلة على أهل مصر أنهم صاموا ثلاثين على رؤيته قضى يوماً</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والرواية واضحة الدلالة في أنّ الاعتبار بصيام أهل مصر ثلاثين يوماً، فيستفاد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الشياع حجة مضافاً إلى أنّ الرواية صحيحة من حيث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هلالرمضان يغم علينا في تسع وعشرين من شعبان؟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تصمه إلاّ أن تراه، فإن شهد أهل بلد آخر أنهم رأوه فاقضه</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وهذه الرواية صريحة الدلالة على أنّ التعويل في الصيام وترتيب القضاء على صيام البلد الآخر وشيوع ثبوت الهلال عندهم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مجموع هذه الروايات يستكشف أن رواية أبي الجارود واردة في هذا المقام وهو حجية الشياع، وأن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 يوم يفطر الناس والأضحى يوم يضحي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 هذا القبيل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فرض عدم تعينه فلا أقل من كونه احتمالاً قوياً يعتد به، ومعه فلا يمكن الاستدلال بالرواية على أنها واردة في مقام التقية، وقد تقدم في صحيحة علي بن جعفر ما يستفاد منه حجية الشياع وفي رواية أخرى له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يرى هلال شهر رمضان وحده لا يبصره غيره أله أن يصوم؟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يشك فيه فليصم وحده، وإلاّ يصوم مع الناس إذا صاموا</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والوارد في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فليفطر، فيعلم أن السؤال فيها عن شهر شوال وفي هذه الرواية عن شهر رمضان، وبناء على هذا ففي أول الشهر وفي آخر الشهر يكون الشياع حجة في حالة الشك فقط،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رواية أبي الجارود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الشياع كما هو احتمال قوي فلا تصل النوبة إلى حملها على التقية، وما أوردناه من الروايات شاهد على هذا، ولا سيما الرواية الأخرى لأبي الجارود الواردة في جعل الأهلة مواقيت، كما تقدم فتخرج الرواية عن المقام،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منها هو خصوص التقية فلابد من تقييدها بروايتي علي بن جعفر المتقدمتين، فإنّ موردهما الشك وفي ما عدا الشك يكون العمل على طبق اليقين، وبناء على ذلك فلا يمكن التعدي من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مورد العلم بالخلاف فيقال بلزوم المتابعة حتى في حال العلم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روايتي علي بن جعفر وإن لم يرد فيهما ذكر العيد والأضحى إلاّ أنّه لا خصوصية لهما لأنّهما واردتان في الفطر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أبي الجارود لا إطلاق فيها، ومفادها الإجزاء والحكم بأن العيد عيدهم، والصيام صومهم مختص بيوم الشك، وأما اليقين بالخلاف فغير مشمول للرواية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النبوية الواردة في المقام ومنها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صومكم يوم تصومون وأضحاكم يوم تضحون</w:t>
      </w:r>
      <w:r>
        <w:rPr>
          <w:rStyle w:val="FootnoteAnchor"/>
          <w:rtl w:val="true"/>
        </w:rPr>
        <w:footnoteReference w:id="1347"/>
      </w:r>
      <w:r>
        <w:rPr>
          <w:rFonts w:ascii="Amiri" w:hAnsi="Amiri" w:eastAsia="Amiri" w:cs="Amiri"/>
          <w:color w:val="111111"/>
          <w:sz w:val="28"/>
          <w:sz w:val="28"/>
          <w:szCs w:val="28"/>
          <w:rtl w:val="true"/>
          <w:lang w:bidi="ar-SA"/>
        </w:rPr>
        <w:t xml:space="preserve">، ومنها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يوم تصومون، </w:t>
      </w:r>
    </w:p>
    <w:p>
      <w:pPr>
        <w:pStyle w:val="BookText"/>
        <w:rPr/>
      </w:pPr>
      <w:r>
        <w:rPr>
          <w:rFonts w:ascii="Amiri" w:hAnsi="Amiri" w:eastAsia="Amiri" w:cs="Amiri"/>
          <w:color w:val="111111"/>
          <w:sz w:val="28"/>
          <w:sz w:val="28"/>
          <w:szCs w:val="28"/>
          <w:rtl w:val="true"/>
          <w:lang w:bidi="ar-SA"/>
        </w:rPr>
        <w:t>والفطر يوم تفطرون، والأضحى يوم تضحون</w:t>
      </w:r>
      <w:r>
        <w:rPr>
          <w:rStyle w:val="FootnoteAnchor"/>
          <w:rtl w:val="true"/>
        </w:rPr>
        <w:footnoteReference w:id="134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فطركم يوم تفطرون وأضحاكم يوم تضحون وعرفة يوم تعرّفون</w:t>
      </w:r>
      <w:r>
        <w:rPr>
          <w:rStyle w:val="FootnoteAnchor"/>
          <w:rtl w:val="true"/>
        </w:rPr>
        <w:footnoteReference w:id="134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ففيها أنّ هذه الروايات عامية ولا وجود لها في روايات الخاصة كما أن دلالتها على المدعى غير تامة مضافاً إلى ضعفها من جهة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تقدم أنّ هذا الأمر يلازم الأمر الثاني في الثبوت، وحيث إنه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الملازمة عدم ثبوت هذا الأمر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العامة فالكلام تارة يقع في أدلة التقية وأخرى في قاعدة الميسور، وثالثة في أدلة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الأدلة العامة فسيأتي الكلام عنها، وأما قاعدة الميسور فقد أشكل عليها بضعف المستند وقد تقدم الكلام حول أسانيدها على نحو الإجمال، وتفصيل ذلك في بحوثنا الرجالية</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وأشكل على دلالتها صغرى وكبرى، أما من جهة الكبرى فإنّ هذه القاعدة إنما يعمل على طبقها فيما إذا عمل عليها المشهور، وما نحن فيه ليس كذلك</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جهة الصغرى فمحل الكلام لا مجال فيه للتمسك بهذه القاعدة لإمكان الاحتياط، ولا أقل من إدراك البديل وهو الموقف الاضطراري، ومع إمكان الاحتياط أو إدراك البديل لا تصل النوبة إلى هذه القاعدة، ثمّ إنه على فرض عدم إمكان الاحتياط لا يفوت الواجب بل يبقى على حاله ويأتي به من قابل إذ ينكشف أنّه غير مستطيع فلم يتحقق الشرط فلا يجب، لا أنّه وجب </w:t>
      </w:r>
    </w:p>
    <w:p>
      <w:pPr>
        <w:pStyle w:val="BookText"/>
        <w:rPr/>
      </w:pPr>
      <w:r>
        <w:rPr>
          <w:rFonts w:ascii="Amiri" w:hAnsi="Amiri" w:eastAsia="Amiri" w:cs="Amiri"/>
          <w:color w:val="111111"/>
          <w:sz w:val="28"/>
          <w:sz w:val="28"/>
          <w:szCs w:val="28"/>
          <w:rtl w:val="true"/>
          <w:lang w:bidi="ar-SA"/>
        </w:rPr>
        <w:t>وعرض عدم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أدلة العسر فالنقاش فيها صغروي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العسر إنما يصدق فيما إذا كان الواجب مؤقتاً ويفوت الواجب بفوات وقته كالمسح على المرارة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رواية عبد الاعلى مولى آل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الإتيان بالصلاة جالساً، أو الاضطرار إلى شرب الماء حال الصوم، أو نحو ذلك، أما إذا كان الواجب غير موقت كالحج فلا يصدق عليه الاضطرار إذ يمكنه أن يأتي بالواجب البديل، أو يؤخره إلى زمان آخر، فأدلة العسر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أدلة التقية العامة، فقد أشكل عليها بأنّ هذه الأدلة لا يستفاد منها الإجزاء والصحة، وأقصى ما تفيده هو ارتفاع الحكم التكليفي، وما نحن فيه حكم وضعي وهكذا بالنسبة إلى حديث الرفع والكلام فيه هو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منّا مفصلاً حول دلالة هذه الأدلة واستفادة الإطلاق منها وعدمه، وقد قوينا دلالتها على الإجزاء لكونها مطلقة فتشمل الأحكام التكليفية والوضعية معاً، إلاّ أنّ دلالتها على الإجزاء في خصوص المقام محل إشكال، وذلك لأنّ إفادة الأدلة للإجزاء موقوف على ما إذا لم يكن للواجب إطلاق وقد ذكرنا ذلك فيما تقدم،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للواجب أو للجزء أو للشرط إطلاق أي يستفاد من دليله أنّه واجب مطلق لا فرق في وجوبه بين حالتي الاضطرار والاختيار فهنا لا نقول بالإجزاء، ومحل كلامنا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الواجب وهو الوقوف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مطلق أي في جميع الحالات، 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الوقوف بعرفات ركن وأن الإخلال به سواء كان عن عمد أو غير عمد وعن اضطرار أو غير اضطرار، موجب لفساد الحج وإن كان الركن هو الوقوف في الجملة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هو الركن من الموقف هل هو المكان أي عرفات وإن كان في زمان </w:t>
      </w:r>
    </w:p>
    <w:p>
      <w:pPr>
        <w:pStyle w:val="BookText"/>
        <w:rPr/>
      </w:pPr>
      <w:r>
        <w:rPr>
          <w:rFonts w:ascii="Amiri" w:hAnsi="Amiri" w:eastAsia="Amiri" w:cs="Amiri"/>
          <w:color w:val="111111"/>
          <w:sz w:val="28"/>
          <w:sz w:val="28"/>
          <w:szCs w:val="28"/>
          <w:rtl w:val="true"/>
          <w:lang w:bidi="ar-SA"/>
        </w:rPr>
        <w:t xml:space="preserve">آخر غير يوم التاسع، أو هو الزمان، أو هو المجموع من الزمان والمكان فقد اختلفت الروايات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ركنية المكان أو الحدود المكانية فيمكن أن تستفاد من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ارتفعوا عن بطن عرنة،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الأراك لا حج لهم</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وقفت بعرفات فادن من الهضاب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والهضاب هي الجبال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الأراك لا حج لهم، يعني الذين يقفون عند الأراك</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والأراك موضع قريب من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هاتين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الموقف هو المكان، وفواته موجب لفساد الحج بلا فرق بين الاختيار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ركنية الزمان فيدل عليها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يأتي بعدما يفيض الناس من عرفات؟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 مهل حتى يأتي عرفات في ليلته فيقف بها ثمّ يفيض فيدرك الناس بالمشعر قبل أن يفيضوا فلا يتم حجه حتى يأتي عرفات من ليلته ليقف بها</w:t>
      </w:r>
      <w:r>
        <w:rPr>
          <w:rStyle w:val="FootnoteAnchor"/>
          <w:rtl w:val="true"/>
        </w:rPr>
        <w:footnoteReference w:id="135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صريحة في أنّ إدراك الموقف الاضطراري بدلاً عن الاختياري كاف في إتمام الحج فالمناط هو الزمان</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مفرد للحج فاته الموقفان جميعاً،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إلى طلوع الشمس يوم النحر، فإن طلعت الشمس </w:t>
      </w:r>
    </w:p>
    <w:p>
      <w:pPr>
        <w:pStyle w:val="BookText"/>
        <w:rPr/>
      </w:pPr>
      <w:r>
        <w:rPr>
          <w:rFonts w:ascii="Amiri" w:hAnsi="Amiri" w:eastAsia="Amiri" w:cs="Amiri"/>
          <w:color w:val="111111"/>
          <w:sz w:val="28"/>
          <w:sz w:val="28"/>
          <w:szCs w:val="28"/>
          <w:rtl w:val="true"/>
          <w:lang w:bidi="ar-SA"/>
        </w:rPr>
        <w:t>من يوم النحر فليس له حج ويجعلها عمرة، وعليه الحج من قابل</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والرواية واضحة الدلالة على أنّ الركن هو الزمان سواء كان باختياره أو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عبد 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رجل بمنى،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أدرك الناس بالموقفين جميعاً،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إسحاق بن عمار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 مزدلفة فوقف بها قبل أن تزول الشمس يوم النحر فقد أدرك الحج</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وهذه الرواية شبيهة بصحيحة الحلبي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معتبرة على ما حققناه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جعل المقام ثلاثاً بمنى؟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جعلت فداك؟ أو لماذا جعلها؟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شيئاً منها فقد أدرك الحج</w:t>
      </w:r>
      <w:r>
        <w:rPr>
          <w:rStyle w:val="FootnoteAnchor"/>
          <w:rtl w:val="true"/>
        </w:rPr>
        <w:footnoteReference w:id="1356"/>
      </w:r>
      <w:r>
        <w:rPr>
          <w:rFonts w:ascii="Amiri" w:hAnsi="Amiri" w:eastAsia="Amiri" w:cs="Amiri"/>
          <w:color w:val="111111"/>
          <w:sz w:val="28"/>
          <w:sz w:val="28"/>
          <w:szCs w:val="28"/>
          <w:rtl w:val="true"/>
          <w:lang w:bidi="ar-SA"/>
        </w:rPr>
        <w:t>وغيرها من الروايات التي يستفاد منها أنّ ركنية الموقف من جهة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ركنية المجموع من الزمان والمكان فيدل عليها جملة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عمر بن أذينة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الأكبر الموقف بعرفة، ورمي الجمار</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الأكبر الوقوف بعرفة وبجمع، وبرمي الجمار بمنى، والحج الأصغر العمرة</w:t>
      </w:r>
      <w:r>
        <w:rPr>
          <w:rStyle w:val="FootnoteAnchor"/>
          <w:rtl w:val="true"/>
        </w:rPr>
        <w:footnoteReference w:id="1358"/>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الروايتان دالتان على أنّ المراد من الحج الأكبر هو الموقف بعرفة </w:t>
      </w:r>
    </w:p>
    <w:p>
      <w:pPr>
        <w:pStyle w:val="BookText"/>
        <w:rPr/>
      </w:pPr>
      <w:r>
        <w:rPr>
          <w:rFonts w:ascii="IRNazanin" w:hAnsi="IRNazanin" w:eastAsia="IRNazanin"/>
          <w:color w:val="111111"/>
          <w:sz w:val="28"/>
          <w:sz w:val="28"/>
          <w:szCs w:val="28"/>
          <w:rtl w:val="true"/>
          <w:lang w:bidi="fa-IR"/>
        </w:rPr>
        <w:t xml:space="preserve">من جهة الزمان والمكان، ثمّ إنّ هنا عدة 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صحيح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أنّ الحج الأكبر هو يوم النحر، وقد تقدمت رواية الفضل بن عياض وفيها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الحج الأكبر الوارد في الآية الكريمة على يوم النحر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منافاة بين هذه الروايات ويمكن الجمع بينها بأنّ إدراك اليومين معاً هو الحج الأكبر ومما يؤيد 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رسالة المحكم والمتشابه نقلاً عن تفسير النعماني بإسناده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حدود الحج فأربعة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والطواف بالبيت، والسعي بين الصفا والمروة، والوقوف في الموقفين، وما يتبعها ويتصل بها، فمن ترك هذه الحدود وجب عليه الكفارة والإعادة</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والمستفاد من هذه الرواية أنّ الوقوف بعرفة حد من حدود الحج وتركه يستوجب الإعادة، وإنما جعلناها مؤيدة لما في ذيلها من ترتب الكفارة مضافاً إلى عدم صراحتها في إفادة الركنية بالنسبة للوقوف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يوم عرفة هو اليوم المشهود، وقد تقدمت عدة روايات في الطائفة الرابعة تدل على ذلك، وفيها إشعار بالاهتمام بهذا اليوم ومنها يستكشف ركنيته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المصدود وهو ما رواه في الكافي عن محمّد بن يحيى، عن أحمد بن محمد، عن الفضل بن يونس،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عرض له سلطان فأخذه ظالماً له يوم عرفة قبل أن يعرف، فبعث به إلى مكة فحبسه، فلما كان يوم النحر خلّى سبيله، كيف يصنع؟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يلحق فيقف بجمع، ثمّ ينصرف إلى منى فيرمي ويذبح ويحلق ولا شيء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خلى عنه يوم النفر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مصدود عن الحج، إن كان دخل متمتعاً بالعمرة </w:t>
      </w:r>
      <w:bookmarkStart w:id="388" w:name="pg16387_188575"/>
    </w:p>
    <w:p>
      <w:pPr>
        <w:pStyle w:val="BookText"/>
        <w:rPr/>
      </w:pPr>
      <w:bookmarkEnd w:id="388"/>
      <w:r>
        <w:rPr>
          <w:rFonts w:ascii="Amiri" w:hAnsi="Amiri" w:eastAsia="Amiri" w:cs="Amiri"/>
          <w:color w:val="111111"/>
          <w:sz w:val="28"/>
          <w:sz w:val="28"/>
          <w:szCs w:val="28"/>
          <w:rtl w:val="true"/>
          <w:lang w:bidi="ar-SA"/>
        </w:rPr>
        <w:t>إلى الحج فليطف بالبيت اسبوعاً ثمّ يسعى اسبوعاً ويحلق رأسه ويذبح شاة، فإن كان مفرداً للحج فليس عليه ذبح ولا شيء عليه</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والمستفاد من هذه الرواية أنّ عدم إدراكه للموقف يستوجب بطلان حجه مع أنّه مضطر، فيمكن استفادة الركنية من ذلك، نعم إذا فاته الموقف الاختياري والاضطراري في عرفة وأمكنه إدراك الموقف الاختياري بمزدلفة أغناه ذلك عن إدراك عرفة، وأما إذا فاته الموقف في مزدلفة أيضاً فقد فاته الحج كما هو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أنّ وجوب الوقوف على نحو الإطلاق أي سواء كان على نحو الاضطرار أو الاختيار فأدلة العسر والحرج وأدلة التقية غير نافعة في المقام، فلا يمكن الحكم بالإجزاء ولابد من إدراك الموقف على كل حال ويترتب على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المتابعة في حالة الشك، إما من جهة التقية، وإما من جهة الأمارية والشياع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صحة المتابعة في حالة العلم بالخلاف، كما إذا رأى الهلال بنفسه، وكذا إذا قامت البينة على الخلاف على القول بتقديم الشهادة على الشياع، وفيه بحث ليس هنا محل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ذكرناه من الأدلة فالحكم بالإجزاء والصحة مشكل جداً والقول به بعيد في النظر</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6877907_1280447820"/>
      <w:bookmarkStart w:id="390" w:name="_Toc131"/>
      <w:bookmarkEnd w:id="389"/>
      <w:r>
        <w:rPr>
          <w:rtl w:val="true"/>
        </w:rPr>
        <w:t>الفرع الأول</w:t>
      </w:r>
      <w:r>
        <w:rPr>
          <w:rtl w:val="true"/>
        </w:rPr>
        <w:t>:</w:t>
      </w:r>
      <w:bookmarkEnd w:id="390"/>
    </w:p>
    <w:p>
      <w:pPr>
        <w:pStyle w:val="Heading6"/>
        <w:numPr>
          <w:ilvl w:val="5"/>
          <w:numId w:val="1"/>
        </w:numPr>
        <w:rPr/>
      </w:pPr>
      <w:bookmarkStart w:id="391" w:name="__RefHeading___Toc6877909_1280447820"/>
      <w:bookmarkStart w:id="392" w:name="_Toc132"/>
      <w:bookmarkEnd w:id="391"/>
      <w:r>
        <w:rPr>
          <w:rtl w:val="true"/>
        </w:rPr>
        <w:t>اشارة</w:t>
      </w:r>
      <w:bookmarkEnd w:id="392"/>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مناسك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خالف ما تقتضيه التقية بتسويل نفسه أنّ الاحتياط في مخالفتهم ارتكب محرماً وفسد 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تجب متابعة الحاكم السني تقية، ويصح معها الحج، والاحتياط </w:t>
      </w:r>
    </w:p>
    <w:p>
      <w:pPr>
        <w:pStyle w:val="BookText"/>
        <w:rPr/>
      </w:pPr>
      <w:r>
        <w:rPr>
          <w:rFonts w:ascii="Amiri" w:hAnsi="Amiri" w:eastAsia="Amiri" w:cs="Amiri"/>
          <w:color w:val="111111"/>
          <w:sz w:val="28"/>
          <w:sz w:val="28"/>
          <w:szCs w:val="28"/>
          <w:rtl w:val="true"/>
          <w:lang w:bidi="ar-SA"/>
        </w:rPr>
        <w:t>حينئذ غير مشروع، ولا سيما إذا كان فيه خوف تلف النفس ونحوه، كما قد يتفق ذلك في زماننا هذا</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وهذا الفرع له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المكلف متابعتهم ولا يأتي بالموقف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المتابعة ويأتي بالموقف مخالفاً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بالنسبة للصورة الأولى فلا إشكال في بطلان حجه لتركه الوقوف عمداً، وقد ذكرنا فيما تقدم أنّ الوقوف ركن ويبطل الحج بتركه، أما على القول بعدم إجزاء الموقف تقية فواضح، وأما على القول بأنّ التقية تبدل الواقع ولازمها الإجزاء فكذلك، وهكذا بناء على القول بأنّ دليل التقية السيرة المتصلة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الحكم بالبطلان بين أن يكون دليل التقية لفظياً أو لبياً وذلك لأنّه لم يأت بوظيفته، فلا وجه للحكم بصحة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التقية إذا كانت لفظية واستفدنا منها رفع الحكم الواقعي فقط من دون إثبات لجزء أو شرط فيمكن القول بالصحة إذا أتى ببقية الأعمال وقد ذهب بعضهم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بناء على ما تقدم من أنّ لأدلة الإجزاء والشرائط إطلاقاً لا يختص بحال الاضطرار وعدمه، وقد استظهرنا من الروايات ركنية الوقوف فلا مناص من القول بالبطلان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الصورة الثانية ففيها تفصيل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أتى به المكلف من العمل تارة يكون مخالفاً لمقتضى التقية، وأخرى لا يكون، فعلى الأول يكون عمله باطلاً كما هو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وقع منهياً عنه والنهي في العبادة يقتضي فسادها، كما أنّ مخالفة التقية حرام، فما أتى به من العمل محرم عليه ومحكوم </w:t>
      </w:r>
    </w:p>
    <w:p>
      <w:pPr>
        <w:pStyle w:val="BookText"/>
        <w:rPr/>
      </w:pPr>
      <w:r>
        <w:rPr>
          <w:rFonts w:ascii="IRNazanin" w:hAnsi="IRNazanin" w:eastAsia="IRNazanin"/>
          <w:color w:val="111111"/>
          <w:sz w:val="28"/>
          <w:sz w:val="28"/>
          <w:szCs w:val="28"/>
          <w:rtl w:val="true"/>
          <w:lang w:bidi="fa-IR"/>
        </w:rPr>
        <w:t>بالفساد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الثاني فتارة يكون عمله موافقاً للحجة الشرعية من بيّنة، أو شياع، أو اكمال عدة، أو نحو ذلك، وأخرى لا يكون، فإن كان غير موافق للحجة فالعمل باطل إلاّ أن يتبين موافقته للحجة وقد أتى به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موافقاً للحجة الشرعية مخالفاً للتقية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العمل أيضاً واستدل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أتى به من العمل مخالف للتقية، ومخالفة التقية حرام فالعبادة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التقية وإن لم نقل بحرمتها إلاّ أنّ التقية واجبة، وما يكون خلاف التقية يقع منهياً عنه من جهة اقتضاء الأمر بالشيء النهي عن ضده، فالعمل على خلاف التقية ضد للواجب فيكون من هذه الجهة محرماً ويقع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على خلاف التقية حرام لا من باب التقية، بل من باب إذاعة السر، فإنه مصداق من مصاديق الإذاعة وقد تقدم أنّ إذاعة السر في نفسها حرام، فالعمل المأتي به الموجب لإذاعة السر منهي عنه فيقع فاسداً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الاقتضاء في خصوص المورد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المقدس أوجب التقية وبين الكيفية، وأنه لابد أن يؤتى بالعمل على طبق ما حدده الشارع ولازمه عدم كفاية غيره من الأعمال وإن كان هو الوظيفة الأولى، نظير التيمم بدلاً من الوضوء عند عدم التمكن من استعمال الماء، فمن كانت وظيفته التيمم وخالف وأتى بالوضوء فوضؤه باطل، كما ذهب إليه المحقق النائيني</w:t>
      </w:r>
      <w:r>
        <w:rPr>
          <w:rStyle w:val="FootnoteAnchor"/>
          <w:rtl w:val="true"/>
        </w:rPr>
        <w:footnoteReference w:id="1362"/>
      </w:r>
      <w:r>
        <w:rPr>
          <w:rFonts w:ascii="Amiri" w:hAnsi="Amiri" w:eastAsia="Amiri" w:cs="Amiri"/>
          <w:color w:val="111111"/>
          <w:sz w:val="28"/>
          <w:sz w:val="28"/>
          <w:szCs w:val="28"/>
          <w:rtl w:val="true"/>
          <w:lang w:bidi="ar-SA"/>
        </w:rPr>
        <w:t xml:space="preserve">وهذا معنى قولهم إن التفصيل قاطع للشركة، فليس للمكلف إلاّ أن يتعبد بما حدده له الشارع، إذ العبادات أمور توقيفية لا مجال فيها للاختيار، إلاّ أن ينص الشارع على ذلك، وما نحن فيه من هذا القبيل، فإن المكلف مأمور في حالة الخوف أن يعمل بعملهم ، </w:t>
      </w:r>
    </w:p>
    <w:p>
      <w:pPr>
        <w:pStyle w:val="BookText"/>
        <w:rPr/>
      </w:pPr>
      <w:r>
        <w:rPr>
          <w:rFonts w:ascii="Amiri" w:hAnsi="Amiri" w:eastAsia="Amiri" w:cs="Amiri"/>
          <w:color w:val="111111"/>
          <w:sz w:val="28"/>
          <w:sz w:val="28"/>
          <w:szCs w:val="28"/>
          <w:rtl w:val="true"/>
          <w:lang w:bidi="ar-SA"/>
        </w:rPr>
        <w:t>وليس له أن يأتي بوظيفته الأولى، فإنه منهي عنها نظير التيمم بدلاً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تقدم من رواية الكشي</w:t>
      </w:r>
      <w:r>
        <w:rPr>
          <w:rStyle w:val="FootnoteAnchor"/>
          <w:rtl w:val="true"/>
        </w:rPr>
        <w:footnoteReference w:id="1363"/>
      </w:r>
      <w:r>
        <w:rPr>
          <w:rFonts w:ascii="Amiri" w:hAnsi="Amiri" w:eastAsia="Amiri" w:cs="Amiri"/>
          <w:color w:val="111111"/>
          <w:sz w:val="28"/>
          <w:sz w:val="28"/>
          <w:szCs w:val="28"/>
          <w:rtl w:val="true"/>
          <w:lang w:bidi="ar-SA"/>
        </w:rPr>
        <w:t>بسنده عن داود الرقي وحاصلها أنّ من عمل بالتقية فعمله صحيح، وإلاّ فباطل والرواية صريحة الدلالة إلاّ أن الكلام من جهة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فيمكن استفادة حرمة العمل المخالف للتقية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الوجوه التي يمكن الاستدلال بها على فساد العمل المخالفللتقية، وأقربها إلى الاعتبار هو الوجه الرابع، وأما بقية الوجوه فللمناقشة فيها مجال وإن كان بعضها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فالنقاش في الكبرى، وذلك لأنّ إثبات حرمة مخالفة التقية من الروايات مشكل جداً، نعم لا إشكال في أنّ التقية واجبة بل هي من أعظم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أنّ التقية ديني ودين آبائي، وإن من لا تقية له لا دين له،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لا يصلي لا دين له، يعني أنّ ترك الواجب بمنزلة عدم الدين، أما أن تركها حرام ويلزمه عقابان فهذا لم يتضح من الروايات الكثيرة،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يستفاد من بعض الروايات أن ترك التقية مصداق للإلقاء في التهلكة وقد ورد النهي عن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فإذا كان ذلك مصداقاً للتهلكة وهي محرمة فتقع العبادة حينئذ باطلة ويدل على ذلك عدة روايات</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تفسير العياشي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تلقوا بأيديكم إلى التهلكة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التقية</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الرياء مع المنافق في داره عبادة، ومع المؤمن شرك، والتقية واجبة لا يجوز تركها إلى أن يخرج القائم، فمن تركها فقد دخل في نهي الله عزوجل، ونهي رسول الله، والأئمة صلوات الله عليهم</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ومحل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في نهي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ورد في تفسير هذه الآية أنّ المراد هو مخالفة السلطان، ومن ذلك ما أورده في تفسير البرهان عن ابن بابويه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بشار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طاعة السلطان واجبة ومن ترك طاعة السلطان فقد ترك طاعة الله عزوجل ودخل في نهيه، إن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ولاتلقوا بأيديكم إلى التهلكة</w:t>
      </w:r>
      <w:r>
        <w:rPr>
          <w:rFonts w:eastAsia="IRNazanin" w:cs="IRNazanin"/>
          <w:color w:val="111111"/>
          <w:sz w:val="28"/>
          <w:szCs w:val="28"/>
          <w:rtl w:val="true"/>
          <w:lang w:bidi="fa-IR"/>
        </w:rPr>
        <w:t xml:space="preserve">» </w:t>
      </w:r>
      <w:r>
        <w:rPr>
          <w:rStyle w:val="FootnoteAnchor"/>
          <w:rtl w:val="true"/>
        </w:rPr>
        <w:footnoteReference w:id="1367"/>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على هذا فروايتا العياشي والهداية وإن كانتا مطلقتين إلاّ أنّه لا يمكن الأخذ بإطلاقهما، هذا مع الغض عن المناقشة في سند الروايتين، فاستظهار أن ترك التقية من المحرمات لم يتضح دليله، نعم قد يستفاد من بعض الروايات الأخر أن ترك التقية أحد مصاديق الإلقاء في التهلكة وليست خاصة بمخالفة السلطان، ومن ذلك معتبرة عبد الله 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على دينكم واحجبوه بالتقية، فإنه لا إيمان لمن لا تقية له، إنما أنتم في الناس كالنحل في الطير، ولو أنّ الطير يعلم ما في أجواف النحل ما بقي منها شيء إلاّ أكلته، ولو أنّ الناس علموا ما في أجوافكم أنكم تحبونا أهل البيت لأكلوكم بألسنتهم ولنحلوكم في السر والعلانية، رحم الله عبداً منكم كان على ولايتنا</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والمستفاد من هذه الرواية أنّ ترك التقية يوجب الضرر، وما فيه ضرر فهو حرام، والرواية من جهة السند معتبرة فإن العباس بن عامر ثقة</w:t>
      </w:r>
      <w:r>
        <w:rPr>
          <w:rStyle w:val="FootnoteAnchor"/>
          <w:rtl w:val="true"/>
        </w:rPr>
        <w:footnoteReference w:id="1369"/>
      </w:r>
      <w:r>
        <w:rPr>
          <w:rFonts w:ascii="Amiri" w:hAnsi="Amiri" w:eastAsia="Amiri" w:cs="Amiri"/>
          <w:color w:val="111111"/>
          <w:sz w:val="28"/>
          <w:sz w:val="28"/>
          <w:szCs w:val="28"/>
          <w:rtl w:val="true"/>
          <w:lang w:bidi="ar-SA"/>
        </w:rPr>
        <w:t>، وجابر المكفوف ثقة أيضاً فقد عده ابن شهراشوب</w:t>
      </w:r>
      <w:r>
        <w:rPr>
          <w:rStyle w:val="FootnoteAnchor"/>
          <w:rtl w:val="true"/>
        </w:rPr>
        <w:footnoteReference w:id="1370"/>
      </w:r>
      <w:r>
        <w:rPr>
          <w:rFonts w:ascii="IRNazanin" w:hAnsi="IRNazanin" w:eastAsia="IRNazanin"/>
          <w:color w:val="111111"/>
          <w:sz w:val="28"/>
          <w:sz w:val="28"/>
          <w:szCs w:val="28"/>
          <w:rtl w:val="true"/>
          <w:lang w:bidi="fa-IR"/>
        </w:rPr>
        <w:t xml:space="preserve">من خواص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عبد الله بن أبي يعفور من الثقات</w:t>
      </w:r>
      <w:r>
        <w:rPr>
          <w:rStyle w:val="FootnoteAnchor"/>
          <w:rtl w:val="true"/>
        </w:rPr>
        <w:footnoteReference w:id="1371"/>
      </w:r>
      <w:r>
        <w:rPr>
          <w:rFonts w:ascii="Amiri" w:hAnsi="Amiri" w:eastAsia="Amiri" w:cs="Amiri"/>
          <w:color w:val="111111"/>
          <w:sz w:val="28"/>
          <w:sz w:val="28"/>
          <w:szCs w:val="28"/>
          <w:rtl w:val="true"/>
          <w:lang w:bidi="ar-SA"/>
        </w:rPr>
        <w:t>أيضاً، ومن جهة الدلالة واضحة، فالرواية معتبرة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روايتان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كتاب سليم بن قيس الهلالي عن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التقية من دين الله ولا دين لمن لا تقية له، والله لولا التقية ما عبد الله في الأرض في دولة إبليس،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دولة إبليس؟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ولي إمام هدى فهي في دولة الحق على إبليس، وإذا ولى إمام ضلالة فهي دولة إبليس الخبر</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والمستفاد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بالتقية إنما هو لرفع الضرر، فإنّ عدم العبادة ضرر، ولذلك شرعت التقية لرفع الضرر والتمكن منالعبادة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من جهة السند غير معتبرة ولذلك جعلناها مؤيدة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تحف العقول</w:t>
      </w:r>
      <w:r>
        <w:rPr>
          <w:rStyle w:val="FootnoteAnchor"/>
          <w:rtl w:val="true"/>
        </w:rPr>
        <w:footnoteReference w:id="1373"/>
      </w:r>
      <w:r>
        <w:rPr>
          <w:rFonts w:ascii="IRNazanin" w:hAnsi="IRNazanin" w:eastAsia="IRNazanin"/>
          <w:color w:val="111111"/>
          <w:sz w:val="28"/>
          <w:sz w:val="28"/>
          <w:szCs w:val="28"/>
          <w:rtl w:val="true"/>
          <w:lang w:bidi="fa-IR"/>
        </w:rPr>
        <w:t xml:space="preserve">من وصية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جعفر محمّد بن النعمان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النعمان إني لأحدث الرجل منكم بحديث فيتحدث به عني فاستحل بذلك لعنته والبراءة منه، فإن أبي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أقرّ للعين من التقية، إن التقية جنة المؤمن ولولا التقية ما عبد الله، وقال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يَتَّخِذْ الْمُؤْمِنُونَ الْكَافِرِينَ أَوْلِيَاءَ مِنْ دُونِ الْمُؤْمِنِينَ وَمَنْ يَفْعَلْ ذَلِكَ فَلَيْسَ مِنْ اللهِ فِي شَيْءٍ إِلاَّ أَنْ تَتَّقُوا مِنْهُمْ تُقَاةً</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كالرواية الأولى من حيث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استفادة حرمة ترك التقية من هذه الروايات من جهة أنّ مخالفة التقية تستوجب الضرر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وهو أنهما ضدان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شرائط الضدين اتحاد الزمان وما نحن فيه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تحقق الضدية إلاّ أنا ذكرنا في محله من مباحثنا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إما أن تكون من باب التلازم، أو من باب المقدمية، وقد ناقشنا في كلا الأمرين وذكرنا أنّ الضد من باب المقدمة لا يكون محرماً إلاّ مع سائر الشرائط، ومنها الإرادة وبدونها لا تتحقق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غير تام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الثالث وهو أنّ الحرمة من باب إذاعة السر لا من جهة التقية فقد تقدم الكلام حول هذا الأمر مفصلاً، وذكرنا جملة من الروايات الدالة على حرمة الإذاعة، وقد استظهرنا أنّ الروايات واردة في مورد خاص وهو ما يتعلق بالأحاديث الراجعة إلى الولاية، ورجحنا في ما سبق أنّ المراد منها خصوص أمر الولاية وما يرتبط بها من أسرار فلا تكون الروايات مطلقة لتشمل جميع الأمور حتى الأعمال، فتعميم التحريم غير تام، ويكفي ورود الشك فلا يمكن التعدي، وبناء على هذا فإذا لم نقل بأنّ العمل على خلاف التقية مصداق للإذاعة فالحكم بالحرمة محل إشكال، ولكن قد يستفاد الإطلاق من بعض الروايات وإن كل إذاعة حرام، وهي أعم من موضوع الولاية، ومن ذلك صحيحة هشام بن سالم </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يُؤْتَوْنَ أَجْرَهُمْ مَرَّتَيْنِ بِمَا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صبروا على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وَيَدْرَءُونَ بِالْحَسَنَةِ السَّيِّئَةَ</w:t>
      </w:r>
      <w:r>
        <w:rPr>
          <w:rFonts w:eastAsia="Amiri" w:cs="Amiri" w:ascii="Amiri" w:hAnsi="Amiri"/>
          <w:color w:val="111111"/>
          <w:sz w:val="28"/>
          <w:szCs w:val="28"/>
          <w:rtl w:val="true"/>
          <w:lang w:bidi="ar-SA"/>
        </w:rPr>
        <w:t>)</w:t>
      </w:r>
      <w:r>
        <w:rPr>
          <w:rStyle w:val="FootnoteAnchor"/>
          <w:rtl w:val="true"/>
        </w:rPr>
        <w:footnoteReference w:id="13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التقية والسيئة الإذاعة</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مطلقة والمستفاد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الإذاعة في مقابل التقية وعبر عن الإذاعة بأنها سيئة وهي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مضمون هذه الرواية في مرسلة حريز</w:t>
      </w:r>
      <w:r>
        <w:rPr>
          <w:rStyle w:val="FootnoteAnchor"/>
          <w:rtl w:val="true"/>
        </w:rPr>
        <w:footnoteReference w:id="1377"/>
      </w:r>
      <w:r>
        <w:rPr>
          <w:rFonts w:ascii="Amiri" w:hAnsi="Amiri" w:eastAsia="Amiri" w:cs="Amiri"/>
          <w:color w:val="111111"/>
          <w:sz w:val="28"/>
          <w:sz w:val="28"/>
          <w:szCs w:val="28"/>
          <w:rtl w:val="true"/>
          <w:lang w:bidi="ar-SA"/>
        </w:rPr>
        <w:t xml:space="preserve">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تَسْتَوِي الْحَسَنَةُ وَلا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التقية والسيئة الإذاعة، 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أحسن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الَّذِي بَيْنَكَ وَبَيْنَهُ عَدَاوَةٌ كَأَنَّهُ وَلِيٌّ حَمِيمٌ </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التقييد بتلك الروايات المذكورة الواردة في إذاعة أحاديث الولاية لأنّ الإذاعة هنا جعلت في مقابل التقية كما ذكرنا، ولا منافاة بين تلك الروايات الخاصة الواردة في الولاية وبين هذه الروايات، وذلك لأنّ هذه الروايات واردة في الأعمال، وأما تلك الروايات فهي واردة في أمر الولاية فالموضوع في كلتا الطائفتين مختلف، وبناء على هذا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الإذاعة مطلقاً في مقابل التقية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استفادة حرمة مخالفة التقية من الوجه الأول والثالث مضافاً إلى الوجه الرابع الذي قلنا عنه إنه هو الأقرب إلى الاعتبار، ولعل من قال بالحرمة استند إليه أو إلى ما تسالم عليه القدماء من أنّ الأمر بالشيء يقتضي النهي عن ضده، لا من جهة الروايات وإلاّ لاستدلوا بها</w:t>
      </w:r>
      <w:r>
        <w:rPr>
          <w:rFonts w:eastAsia="Amiri" w:cs="Amiri" w:ascii="Amiri" w:hAnsi="Amiri"/>
          <w:color w:val="111111"/>
          <w:sz w:val="28"/>
          <w:szCs w:val="28"/>
          <w:rtl w:val="true"/>
          <w:lang w:bidi="ar-SA"/>
        </w:rPr>
        <w:t xml:space="preserve">. </w:t>
      </w:r>
      <w:bookmarkStart w:id="393" w:name="pg16387_188583"/>
    </w:p>
    <w:p>
      <w:pPr>
        <w:pStyle w:val="Heading6"/>
        <w:numPr>
          <w:ilvl w:val="5"/>
          <w:numId w:val="1"/>
        </w:numPr>
        <w:rPr/>
      </w:pPr>
      <w:bookmarkStart w:id="394" w:name="__RefHeading___Toc6877911_1280447820"/>
      <w:bookmarkStart w:id="395" w:name="_Toc133"/>
      <w:bookmarkEnd w:id="393"/>
      <w:bookmarkEnd w:id="394"/>
      <w:r>
        <w:rPr>
          <w:rtl w:val="true"/>
        </w:rPr>
        <w:t>بقي شيء</w:t>
      </w:r>
      <w:r>
        <w:rPr>
          <w:rtl w:val="true"/>
        </w:rPr>
        <w:t>:</w:t>
      </w:r>
      <w:bookmarkEnd w:id="395"/>
    </w:p>
    <w:p>
      <w:pPr>
        <w:pStyle w:val="BookText"/>
        <w:rPr/>
      </w:pPr>
      <w:r>
        <w:rPr>
          <w:rFonts w:ascii="Amiri" w:hAnsi="Amiri" w:eastAsia="Amiri" w:cs="Amiri"/>
          <w:color w:val="111111"/>
          <w:sz w:val="28"/>
          <w:sz w:val="28"/>
          <w:szCs w:val="28"/>
          <w:rtl w:val="true"/>
          <w:lang w:bidi="ar-SA"/>
        </w:rPr>
        <w:t>وهو أنّ المكلف إذا أتى بالفعل الآخر احتياطاً فهل يحكم عليه باللغوية وعدم الاتصاف بالوجوب والحرمة؟</w:t>
      </w:r>
    </w:p>
    <w:p>
      <w:pPr>
        <w:pStyle w:val="BookText"/>
        <w:rPr/>
      </w:pPr>
      <w:r>
        <w:rPr>
          <w:rFonts w:ascii="Amiri" w:hAnsi="Amiri" w:eastAsia="Amiri" w:cs="Amiri"/>
          <w:color w:val="111111"/>
          <w:sz w:val="28"/>
          <w:sz w:val="28"/>
          <w:szCs w:val="28"/>
          <w:rtl w:val="true"/>
          <w:lang w:bidi="ar-SA"/>
        </w:rPr>
        <w:t>قد يقال ذلك إذ لا أمر في المقام فما أتى به فهو لغو وعبث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باللغوية مطلقاً لا يمكن المساعدة عليه، لإمكان أنيكون له أثر في صحة العمل، وذلك في صورة انكشاف الخلاف، وأن ما أتى به احتياطاً موافق للواقع وقد أتى به رجاء، وحينئذ يحكم بصحة عمله بخلاف ما لم يأت به فالحكم باللغوية مطلقاً محل نظر</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6877913_1280447820"/>
      <w:bookmarkStart w:id="397" w:name="_Toc134"/>
      <w:bookmarkEnd w:id="396"/>
      <w:r>
        <w:rPr>
          <w:rtl w:val="true"/>
        </w:rPr>
        <w:t>الفرع الثاني</w:t>
      </w:r>
      <w:r>
        <w:rPr>
          <w:rtl w:val="true"/>
        </w:rPr>
        <w:t>:</w:t>
      </w:r>
      <w:bookmarkEnd w:id="397"/>
    </w:p>
    <w:p>
      <w:pPr>
        <w:pStyle w:val="BookText"/>
        <w:rPr/>
      </w:pPr>
      <w:r>
        <w:rPr>
          <w:rFonts w:ascii="Amiri" w:hAnsi="Amiri" w:eastAsia="Amiri" w:cs="Amiri"/>
          <w:color w:val="111111"/>
          <w:sz w:val="28"/>
          <w:sz w:val="28"/>
          <w:szCs w:val="28"/>
          <w:rtl w:val="true"/>
          <w:lang w:bidi="ar-SA"/>
        </w:rPr>
        <w:t>إذا علم المكلف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تارة في الحكم التكليفي وأخرى 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جهة الحكم التكليفي فالظاهر من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العمل على طبق التقية وإن كان خلاف الواقع، وهو وإن لم يصرّح بذلك إلاّ أن ذلك يظهر من إشكاله في الحكم الوضعي دون التكليفي</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هذا مع عدم المندوحة، وأما معها فالمتابعة ليست واجبة ولا دليل عليها، وما أتى به المكلف من العمل مع وجود المندوحة محكوم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الحكم الوضعي فقد استشكل السيد الأستاذ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للإجزاء لأنّ أدلة التقية لا تفي للحكم بالإجزاء بل لا تتكفل ببيان الحكم الوضعي</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الأدلة الخاصة كالسيرة ورواية أبي الجارود فهي واردة في مقام الشك وما نحن فيه هو العلم بالخلاف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الأدلة العامة 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في مقام بيان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الشمول للحكم الوضعي إلاّ أن ذلك مشروط بتحقق موضوع التقية، وفي المقام لم يتحقق الموضوع، إذ أنّ تحققه إنما يتم في ما إذا كان الحكم المخالف الصادر عنهم هو مبنى عقيدتهم ومذهبهم، وأما إذا كان عن جهل منهم في التطبيق واشتباه في التشخيص فهذا خطأ منهم، والفارق بين هذا وذاك أنهم لو علموا بالواقع لما حكموا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التقية لم يتحقق فلا يمكن الحكم بالإجزاء والصحة</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أفاده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القول بإمكان استفادة الإطلاقمن الأدلة وأنها شاملة للحكم الوضعي والتكليفي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أيضاً أنّ الأدلة وإن كانت مطلقة إلاّ أن للمورد خصوصية لا يمكن معها الأخذ بهذه الأدلة ليحكم بالإجزاء، وذلك لأنّ أدلة الموقف لها إطلاق تقتضي الوجوب على كل حال وقد تقدم الكلام فيه فلا نعيد، كما أنّ الأدلة الخاصة غير ناهضة فإن السيرة غير ثابتة ولا يمكن الاعتماد عليها، ورواية أبي الجارود واردة في مقام حجية الشهرة بناء على القول بأن موردها التقية، وما نحن فيه هو صورة العلم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الإشكال في الحكم بالإجزاء في محله، وحينئذ يتبدل الحج بالعمرة المفردة، فإن كان على استطاعته من قابل فعليه أن يحج، وإلاّ سقط عنه الوجوب والله هو العالم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حول التقية في الحج</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6387_188586"/>
      <w:bookmarkStart w:id="399" w:name="pg16387_188586"/>
      <w:bookmarkEnd w:id="399"/>
    </w:p>
    <w:p>
      <w:pPr>
        <w:pStyle w:val="Heading2"/>
        <w:numPr>
          <w:ilvl w:val="1"/>
          <w:numId w:val="1"/>
        </w:numPr>
        <w:rPr/>
      </w:pPr>
      <w:bookmarkStart w:id="400" w:name="pg16387_188586"/>
      <w:bookmarkStart w:id="401" w:name="__RefHeading___Toc6877915_1280447820"/>
      <w:bookmarkStart w:id="402" w:name="_Toc135"/>
      <w:bookmarkEnd w:id="400"/>
      <w:bookmarkEnd w:id="401"/>
      <w:r>
        <w:rPr>
          <w:rtl w:val="true"/>
        </w:rPr>
        <w:t>الفصل الثامن</w:t>
      </w:r>
      <w:bookmarkEnd w:id="402"/>
    </w:p>
    <w:p>
      <w:pPr>
        <w:pStyle w:val="Heading3"/>
        <w:numPr>
          <w:ilvl w:val="2"/>
          <w:numId w:val="1"/>
        </w:numPr>
        <w:rPr/>
      </w:pPr>
      <w:bookmarkStart w:id="403" w:name="__RefHeading___Toc6877917_1280447820"/>
      <w:bookmarkStart w:id="404" w:name="_Toc136"/>
      <w:bookmarkEnd w:id="403"/>
      <w:r>
        <w:rPr>
          <w:rtl w:val="true"/>
        </w:rPr>
        <w:t>اشارة</w:t>
      </w:r>
      <w:bookmarkEnd w:id="4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في الزكاة</w:t>
      </w:r>
    </w:p>
    <w:p>
      <w:pPr>
        <w:pStyle w:val="BookText"/>
        <w:rPr/>
      </w:pPr>
      <w:r>
        <w:rPr>
          <w:rFonts w:ascii="Amiri" w:hAnsi="Amiri" w:eastAsia="Amiri" w:cs="Amiri"/>
          <w:color w:val="111111"/>
          <w:sz w:val="28"/>
          <w:sz w:val="28"/>
          <w:szCs w:val="28"/>
          <w:rtl w:val="true"/>
          <w:lang w:bidi="ar-SA"/>
        </w:rPr>
        <w:t>موضوع البحث وتعيينه</w:t>
      </w:r>
    </w:p>
    <w:p>
      <w:pPr>
        <w:pStyle w:val="BookText"/>
        <w:rPr/>
      </w:pPr>
      <w:r>
        <w:rPr>
          <w:rFonts w:ascii="Amiri" w:hAnsi="Amiri" w:eastAsia="Amiri" w:cs="Amiri"/>
          <w:color w:val="111111"/>
          <w:sz w:val="28"/>
          <w:sz w:val="28"/>
          <w:szCs w:val="28"/>
          <w:rtl w:val="true"/>
          <w:lang w:bidi="ar-SA"/>
        </w:rPr>
        <w:t>الإمامة من أصول الدين</w:t>
      </w:r>
    </w:p>
    <w:p>
      <w:pPr>
        <w:pStyle w:val="BookText"/>
        <w:rPr/>
      </w:pPr>
      <w:r>
        <w:rPr>
          <w:rFonts w:ascii="Amiri" w:hAnsi="Amiri" w:eastAsia="Amiri" w:cs="Amiri"/>
          <w:color w:val="111111"/>
          <w:sz w:val="28"/>
          <w:sz w:val="28"/>
          <w:szCs w:val="28"/>
          <w:rtl w:val="true"/>
          <w:lang w:bidi="ar-SA"/>
        </w:rPr>
        <w:t>إعطاء الزكاة للمخالف وبراءة الذمة</w:t>
      </w:r>
    </w:p>
    <w:p>
      <w:pPr>
        <w:pStyle w:val="BookText"/>
        <w:rPr/>
      </w:pPr>
      <w:r>
        <w:rPr>
          <w:rFonts w:ascii="Amiri" w:hAnsi="Amiri" w:eastAsia="Amiri" w:cs="Amiri"/>
          <w:color w:val="111111"/>
          <w:sz w:val="28"/>
          <w:sz w:val="28"/>
          <w:szCs w:val="28"/>
          <w:rtl w:val="true"/>
          <w:lang w:bidi="ar-SA"/>
        </w:rPr>
        <w:t>بذلك وعدمها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 بين الاختيار والإكراه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6387_188588"/>
      <w:bookmarkStart w:id="406" w:name="pg16387_188588"/>
      <w:bookmarkEnd w:id="406"/>
    </w:p>
    <w:p>
      <w:pPr>
        <w:pStyle w:val="Heading3"/>
        <w:numPr>
          <w:ilvl w:val="2"/>
          <w:numId w:val="1"/>
        </w:numPr>
        <w:rPr/>
      </w:pPr>
      <w:bookmarkStart w:id="407" w:name="pg16387_188588"/>
      <w:bookmarkStart w:id="408" w:name="__RefHeading___Toc6877919_1280447820"/>
      <w:bookmarkStart w:id="409" w:name="_Toc137"/>
      <w:bookmarkEnd w:id="407"/>
      <w:bookmarkEnd w:id="408"/>
      <w:r>
        <w:rPr>
          <w:rtl w:val="true"/>
        </w:rPr>
        <w:t>التقية في الزكاة</w:t>
      </w:r>
      <w:bookmarkEnd w:id="409"/>
    </w:p>
    <w:p>
      <w:pPr>
        <w:pStyle w:val="Heading4"/>
        <w:numPr>
          <w:ilvl w:val="3"/>
          <w:numId w:val="1"/>
        </w:numPr>
        <w:rPr/>
      </w:pPr>
      <w:bookmarkStart w:id="410" w:name="__RefHeading___Toc6877921_1280447820"/>
      <w:bookmarkStart w:id="411" w:name="_Toc138"/>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ويقع الكلام فيها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أوصاف المستحقين للزكاة وهي أمور، ومحل الكلام منها أمران</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6877923_1280447820"/>
      <w:bookmarkStart w:id="413" w:name="_Toc139"/>
      <w:bookmarkEnd w:id="412"/>
      <w:r>
        <w:rPr>
          <w:rtl w:val="true"/>
        </w:rPr>
        <w:t>الأول</w:t>
      </w:r>
      <w:r>
        <w:rPr>
          <w:rtl w:val="true"/>
        </w:rPr>
        <w:t xml:space="preserve">: </w:t>
      </w:r>
      <w:r>
        <w:rPr>
          <w:rtl w:val="true"/>
        </w:rPr>
        <w:t>الإيمان بالمعنى الأخص</w:t>
      </w:r>
      <w:r>
        <w:rPr>
          <w:rtl w:val="true"/>
        </w:rPr>
        <w:t>:</w:t>
      </w:r>
      <w:bookmarkEnd w:id="413"/>
    </w:p>
    <w:p>
      <w:pPr>
        <w:pStyle w:val="BookText"/>
        <w:rPr/>
      </w:pPr>
      <w:r>
        <w:rPr>
          <w:rFonts w:ascii="IRNazanin" w:hAnsi="IRNazanin" w:eastAsia="IRNazanin"/>
          <w:color w:val="111111"/>
          <w:sz w:val="28"/>
          <w:sz w:val="28"/>
          <w:szCs w:val="28"/>
          <w:rtl w:val="true"/>
          <w:lang w:bidi="fa-IR"/>
        </w:rPr>
        <w:t xml:space="preserve">وهو عبارة عن الإسلام مع الاعتقاد بإمامة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 ذلك مجمع عليه بين الأصحاب</w:t>
      </w:r>
      <w:r>
        <w:rPr>
          <w:rStyle w:val="FootnoteAnchor"/>
          <w:rtl w:val="true"/>
        </w:rPr>
        <w:footnoteReference w:id="1381"/>
      </w:r>
      <w:r>
        <w:rPr>
          <w:rFonts w:ascii="Amiri" w:hAnsi="Amiri" w:eastAsia="Amiri" w:cs="Amiri"/>
          <w:color w:val="111111"/>
          <w:sz w:val="28"/>
          <w:sz w:val="28"/>
          <w:szCs w:val="28"/>
          <w:rtl w:val="true"/>
          <w:lang w:bidi="ar-SA"/>
        </w:rPr>
        <w:t>مضافاً إلى دلالة كثير من الروايات كما سيأتي</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عليه في المنتهى</w:t>
      </w:r>
      <w:r>
        <w:rPr>
          <w:rStyle w:val="FootnoteAnchor"/>
          <w:rtl w:val="true"/>
        </w:rPr>
        <w:footnoteReference w:id="1382"/>
      </w:r>
      <w:r>
        <w:rPr>
          <w:rFonts w:ascii="Amiri" w:hAnsi="Amiri" w:eastAsia="Amiri" w:cs="Amiri"/>
          <w:color w:val="111111"/>
          <w:sz w:val="28"/>
          <w:sz w:val="28"/>
          <w:szCs w:val="28"/>
          <w:rtl w:val="true"/>
          <w:lang w:bidi="ar-SA"/>
        </w:rPr>
        <w:t xml:space="preserve">أيضاً بأنّ الإمامة من أركان الدين وأصوله، وقد علم ثبوتها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فالجاحد بها لا يكون مصدّقاً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جاء به، فيكون كافراً فلا يستحق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الزكاة معونة وإرفاق فلا تعطى لغير المؤمن، لأنه محاد لله ولرسوله، والمعونة والإرفاق مودة فلا يجوز فعلها مع غير المؤمن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w:t>
      </w:r>
      <w:r>
        <w:rPr>
          <w:rFonts w:eastAsia="Amiri" w:cs="Amiri" w:ascii="Amiri" w:hAnsi="Amiri"/>
          <w:color w:val="111111"/>
          <w:sz w:val="28"/>
          <w:szCs w:val="28"/>
          <w:rtl w:val="true"/>
          <w:lang w:bidi="ar-SA"/>
        </w:rPr>
        <w:t xml:space="preserve">) </w:t>
      </w:r>
      <w:r>
        <w:rPr>
          <w:rStyle w:val="FootnoteAnchor"/>
          <w:rtl w:val="true"/>
        </w:rPr>
        <w:footnoteReference w:id="1383"/>
      </w:r>
      <w:r>
        <w:rPr>
          <w:rFonts w:ascii="Amiri" w:hAnsi="Amiri" w:eastAsia="Amiri" w:cs="Amiri"/>
          <w:color w:val="111111"/>
          <w:sz w:val="28"/>
          <w:sz w:val="28"/>
          <w:szCs w:val="28"/>
          <w:rtl w:val="true"/>
          <w:lang w:bidi="ar-SA"/>
        </w:rPr>
        <w:t>، وقد قرر صاحب الحدائق كلا الوجهين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الوجه الأول فبأن حديث الغدير مما تواتر بين الفريقين، وأجمع على نقله رواة الطرفين، بل تواتره من طرق العامة أشهر وارتكاب بعض متعصبي المخالفين فيه التأويلات الباردة والتمحلات الشاردة تعصباً وعناداً على الله ورسوله لا يخرجه عن الدلالة، ولا سيما مع اعتراف جمع منهم بالدلالة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الوجه الثاني فبأن ظاهر الأخبار الواردة في العلة في وضع الزكاة تدل على أنها وضعت للإرفاق والمعاونة، ولا يشمل ذلك المخالف لأنّ نصبهم للشيعة الذي هو أظهر من الشمس في دائرة النهار بل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صرحت به جملة من الأخبار معلوم وواضح</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هذا وقد تنظر صاحب المدارك في كلا الوجهين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الدليلين بحث</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والذي 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آمن بالله ورسوله، وسلم ذهنه وعقله من الشبهات، وتجرد عن موروثات الآباء والأجداد، وألقى السمع وهو شهيد، ونظر نظرة العاقل المنصف إلى مجموع ما ورد من الآيات، كآية التطهير وآية المباهلة وآية المودة وآية الإنذار يوم الدار وآية الولاية وغيرها، وتأمل في الروايات الكثيرة كحديث المنزلة وحديث الثقلين وحديث السفينة وغيرها مما تواتر نقله يرى هل تكون بمجموعها تقبل الشك والريب في صدورها ودلالتها؟ وهل هناك أمر من أمور الشيعة بل من أمور الدين قد ورد فيه هذا المقدار من الأدلة والبراهين؟ وهل اعتنى القرآن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كعنايتهما بهذا الأمر تثبيتاً وتركيزاً عليه في النفوس؟ وليجعل من نفسه وعقله ووجدانه حكماً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ثبتنا الله على الحق وهدانا وإياهم إلى الصراط المستقيم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حال فالعمدة في المقام هي الروايات الواردة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كثير من الروايات تدل على اشتراط الإيمان في مستحق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صحيحة بريد بن معاوية العجلي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عمل عمله وهو في حال نصبه وضلالته ثمّ منّ الله عليه وعرفه الولاية فإنه يوجر عليه إلاّ الزكاة، لأنّه يضعها في غير موضعها، لأنها لأهل الولاية، وأما الصلاة والحج والصيام فليس عليه قضاء</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والرواية صريحة الدلالة في اعتبار الإيمان في مستحق الزكاة، وأن وضعها في غير موضعها يستوجب الضمان والإعادة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وبكير والفضيل ومحمّد بن مسلم وبريد العجلي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رواية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يكون في بعض هذه الأهواء الحرورية، والمرجئة، والعثمانية والقدرية، ثمّ يتوب، ويعرف هذا الأمر، ويحسن رأيه، أيعيد كل صلاة صلاها أو صوم أو زكاة أو حج أو ليس عليه إعادة شيء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إعادة شيء من ذلك غير الزكاة، ولابد أن يؤديها لأنه وضعالزكاة في غير موضعها، وإنما موضعها أهل الولاية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الرواية حصر موضع الزكاة بأهل الولاية</w:t>
      </w:r>
      <w:r>
        <w:rPr>
          <w:rStyle w:val="FootnoteAnchor"/>
          <w:rtl w:val="true"/>
        </w:rPr>
        <w:footnoteReference w:id="1387"/>
      </w:r>
      <w:r>
        <w:rPr>
          <w:rFonts w:ascii="Amiri" w:hAnsi="Amiri" w:eastAsia="Amiri" w:cs="Amiri"/>
          <w:color w:val="111111"/>
          <w:sz w:val="28"/>
          <w:sz w:val="28"/>
          <w:szCs w:val="28"/>
          <w:rtl w:val="true"/>
          <w:lang w:bidi="ar-SA"/>
        </w:rPr>
        <w:t>ولا يجزي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عمل عمله الناصب في حال ضلاله أو حال نصبه ثمّ منّ الله عليه وعرفه هذا الأمر فإنه يوجر عليه ويكتب له إلاّ الزكاة فإنه يعيدها، لأنه وضعها في غير موضعها وإنما موضعها أهل الولاية، فأما الصلاة والصوم فليس عليه قضاؤهما</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وهذه الرواية بمضمون الرواية السابقة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إسماعيل بن سعد الأشعري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p>
    <w:p>
      <w:pPr>
        <w:pStyle w:val="BookText"/>
        <w:rPr/>
      </w:pPr>
      <w:r>
        <w:rPr>
          <w:rFonts w:ascii="Amiri" w:hAnsi="Amiri" w:eastAsia="Amiri" w:cs="Amiri"/>
          <w:color w:val="111111"/>
          <w:sz w:val="28"/>
          <w:sz w:val="28"/>
          <w:szCs w:val="28"/>
          <w:rtl w:val="true"/>
          <w:lang w:bidi="ar-SA"/>
        </w:rPr>
        <w:t>الزكاة هل توضع فيمن لا 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زكاة الفطرة</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ضريس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المدايني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زكاة نخرجها من أموالنا ففي من نضعها؟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ولايتك،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في بلاد ليس بها أحد من أوليائك،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بها إلى بلدهم تدفع إليهم، ولا تدفعها إلى قوم إذا دعوتهم غداً إلى أمرك لم يجيبوك وكان والله الذبح</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أدفع زكاة المال والصدقة إلى محتاج غير أصحابي؟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 الصدقة والزكاة إلاّ لأصحابك</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يعقوب بن شعيب الحداد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منا يكون في أرض منقطعة كيف يصنع بزكاة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يضعها في إخوانه وأهل ولايته،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يحضره منهم فيها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بها إليهم،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يجد من يحملها إليهم؟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يدفعها إلى من لا ينصب،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لغيرهم إلاّ الحجر</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وهذه الرواية تدل على أنّ الناصب لا يعطى، وأما غير الناصب فيعطى مع عدم وجود المؤمن، ولكن الرواية ضعيفة السند بإبراهيم بنإسحاق فإن المراد به النهاوندي الضعيف المتهم في دينه</w:t>
      </w:r>
      <w:r>
        <w:rPr>
          <w:rStyle w:val="FootnoteAnchor"/>
          <w:rtl w:val="true"/>
        </w:rPr>
        <w:footnoteReference w:id="1393"/>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زرارة وابن مسلم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لأهل الولاية، قد بين الله لكم موضعها من كتابه</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علي بن جعفر أنّه سأله أخاه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الزكاة هل هي لأهل الولاية؟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لكم ذلك في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والرواية وإن وردت في قرب الاسناد وفي سندها عبد الله بن الحسن، إلاّ أنّه قد تقدم أنّ روايات علي بن جعفر الواردة في قرب الاسناد كلها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يموت ويترك العيال أيعطون من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حتى ينشأوا ويبلغوا ويسألوا، من أين كانوا يعيشون إذا قطع ذلك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يعرفون،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يحفظ فيهم ميتهم ويحبّب إليهم دين أبيهم فلا يلبثون أن يهتموا بدين أبيهم، فإذا بلغوا وعدلوا إلى غيركم فلا تعطوهم</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بصير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وأنا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قرابتي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زكاة مالي وهم لا يعرفون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تعط الزكاة إلاّ مسلماً، وأعطهم من غير ذلك،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إنما في المال الزكاة وحدها؟ ما فرض الله في المال من غير الزكاة أكثر، تعطى منه القرابة والمعترض لك مما يسألك فتعطيه ما لم تعرفه بالنصب، فإذا عرفته بالنصب فلا تعط إلاّ أن تخاف لسانه فتشتري دينك وعرضك به</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والذي يظهر من الرواية أنّ النواصب غير مسلمين، وأنهم لا يعطون من مال الزكاة شيئاً، ويعطى من لم يعرف بالنصب من غير مال الزكاة، كما يعطى الناصب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غير مال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التقية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له الزكاة وله قرابة يحتاجون غير عارفين أيعطيهم من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ولاكرامة، </w:t>
      </w:r>
      <w:bookmarkStart w:id="414" w:name="pg16387_188593"/>
    </w:p>
    <w:p>
      <w:pPr>
        <w:pStyle w:val="BookText"/>
        <w:rPr/>
      </w:pPr>
      <w:bookmarkEnd w:id="414"/>
      <w:r>
        <w:rPr>
          <w:rFonts w:ascii="Amiri" w:hAnsi="Amiri" w:eastAsia="Amiri" w:cs="Amiri"/>
          <w:color w:val="111111"/>
          <w:sz w:val="28"/>
          <w:sz w:val="28"/>
          <w:szCs w:val="28"/>
          <w:rtl w:val="true"/>
          <w:lang w:bidi="ar-SA"/>
        </w:rPr>
        <w:t>لا يجعل الزكاة وقاية لماله يعطيهم من غير الزكاة إن أراد</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له قرابة وموال وأتباع يحبون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يعرفون صاحب هذا الأمر أيعطون من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والرواية وإن كان في سندها سهل بن زياد إلاّ أنّه يمكن تصحيحها من طريق آخر، وهو أنّ للشيخ طرقاً صحيحة إلى كتب أحمد بن محمّد بن أبي نصر فتكون 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وغيرها تدل دلالة واضحة على اعتبار الايمان في مستحق الزكاة، ولا يعطى أحد ممن لا يعرف هذا الأمر مطلقاً ناصباً كان أو غيره، إلاّ ما دلت عليه رواية يعقوب بن شعيب الحداد من جواز إعطاء غير الناصب مع عدم وجود المؤمن، إلاّ أنّ الرواية ضعيفة السند كما تقدم</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6877925_1280447820"/>
      <w:bookmarkStart w:id="416" w:name="_Toc140"/>
      <w:bookmarkEnd w:id="415"/>
      <w:r>
        <w:rPr>
          <w:rtl w:val="true"/>
        </w:rPr>
        <w:t>الثاني</w:t>
      </w:r>
      <w:r>
        <w:rPr>
          <w:rtl w:val="true"/>
        </w:rPr>
        <w:t xml:space="preserve">: </w:t>
      </w:r>
      <w:r>
        <w:rPr>
          <w:rtl w:val="true"/>
        </w:rPr>
        <w:t>العدالة</w:t>
      </w:r>
      <w:r>
        <w:rPr>
          <w:rtl w:val="true"/>
        </w:rPr>
        <w:t>:</w:t>
      </w:r>
      <w:bookmarkEnd w:id="416"/>
    </w:p>
    <w:p>
      <w:pPr>
        <w:pStyle w:val="BookText"/>
        <w:rPr/>
      </w:pPr>
      <w:r>
        <w:rPr>
          <w:rFonts w:ascii="Amiri" w:hAnsi="Amiri" w:eastAsia="Amiri" w:cs="Amiri"/>
          <w:color w:val="111111"/>
          <w:sz w:val="28"/>
          <w:sz w:val="28"/>
          <w:szCs w:val="28"/>
          <w:rtl w:val="true"/>
          <w:lang w:bidi="ar-SA"/>
        </w:rPr>
        <w:t>وقد اختلف في اشتراطها فنسب إلى جماعة منهم الشيخ</w:t>
      </w:r>
      <w:r>
        <w:rPr>
          <w:rStyle w:val="FootnoteAnchor"/>
          <w:rtl w:val="true"/>
        </w:rPr>
        <w:footnoteReference w:id="1400"/>
      </w:r>
      <w:r>
        <w:rPr>
          <w:rFonts w:ascii="Amiri" w:hAnsi="Amiri" w:eastAsia="Amiri" w:cs="Amiri"/>
          <w:color w:val="111111"/>
          <w:sz w:val="28"/>
          <w:sz w:val="28"/>
          <w:szCs w:val="28"/>
          <w:rtl w:val="true"/>
          <w:lang w:bidi="ar-SA"/>
        </w:rPr>
        <w:t>والسيد وابن البراج وابن حمزة وغيرهم</w:t>
      </w:r>
      <w:r>
        <w:rPr>
          <w:rStyle w:val="FootnoteAnchor"/>
          <w:rtl w:val="true"/>
        </w:rPr>
        <w:footnoteReference w:id="1401"/>
      </w:r>
      <w:r>
        <w:rPr>
          <w:rFonts w:ascii="Amiri" w:hAnsi="Amiri" w:eastAsia="Amiri" w:cs="Amiri"/>
          <w:color w:val="111111"/>
          <w:sz w:val="28"/>
          <w:sz w:val="28"/>
          <w:szCs w:val="28"/>
          <w:rtl w:val="true"/>
          <w:lang w:bidi="ar-SA"/>
        </w:rPr>
        <w:t>اعتبارها، وأن لا يرتكب المستحق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الجنيد</w:t>
      </w:r>
      <w:r>
        <w:rPr>
          <w:rStyle w:val="FootnoteAnchor"/>
          <w:rtl w:val="true"/>
        </w:rPr>
        <w:footnoteReference w:id="1402"/>
      </w:r>
      <w:r>
        <w:rPr>
          <w:rFonts w:ascii="Amiri" w:hAnsi="Amiri" w:eastAsia="Amiri" w:cs="Amiri"/>
          <w:color w:val="111111"/>
          <w:sz w:val="28"/>
          <w:sz w:val="28"/>
          <w:szCs w:val="28"/>
          <w:rtl w:val="true"/>
          <w:lang w:bidi="ar-SA"/>
        </w:rPr>
        <w:t>اشتراط عدم ارتكاب الكبائر خاصة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آخرون منهم صاحب العروة</w:t>
      </w:r>
      <w:r>
        <w:rPr>
          <w:rStyle w:val="FootnoteAnchor"/>
          <w:rtl w:val="true"/>
        </w:rPr>
        <w:footnoteReference w:id="1403"/>
      </w:r>
      <w:r>
        <w:rPr>
          <w:rFonts w:ascii="Amiri" w:hAnsi="Amiri" w:eastAsia="Amiri" w:cs="Amiri"/>
          <w:color w:val="111111"/>
          <w:sz w:val="28"/>
          <w:sz w:val="28"/>
          <w:szCs w:val="28"/>
          <w:rtl w:val="true"/>
          <w:lang w:bidi="ar-SA"/>
        </w:rPr>
        <w:t xml:space="preserve">إلى أنّ الشرط هو عدم العلم بصرف المال في المعصية، واحتاط السيد الأستاذ </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إضافة إلى ما ذهب إليه صاحب العروة بأن لا يكون تاركاً للصلاة، ولا متجاهراً بالفسق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من الصدوقين والديلمي عدم اشتراط شيء إلاّ الإيمان</w:t>
      </w:r>
      <w:r>
        <w:rPr>
          <w:rStyle w:val="FootnoteAnchor"/>
          <w:rtl w:val="true"/>
        </w:rPr>
        <w:footnoteReference w:id="1405"/>
      </w:r>
      <w:r>
        <w:rPr>
          <w:rFonts w:ascii="Amiri" w:hAnsi="Amiri" w:eastAsia="Amiri" w:cs="Amiri"/>
          <w:color w:val="111111"/>
          <w:sz w:val="28"/>
          <w:sz w:val="28"/>
          <w:szCs w:val="28"/>
          <w:rtl w:val="true"/>
          <w:lang w:bidi="ar-SA"/>
        </w:rPr>
        <w:t xml:space="preserve">وقد استدل للقول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الطائفة، وأنه مقتضى الاحتياط واليقين ببراءة الذمة، مضافاً إلى ما ذكره من إمكان الاستدلال بكل ظاهر من القرآن والسنة المقطوع بها يقتضي النهي عن معاونة الفساق والعصاة وتقويتهم في ذلك</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وللمناقشة في ذكره من الإجماع والاحتياط واليقين ببراءة الذمة، مجال، وأما ظاهر الكتاب والسنة فهو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من الرجوع إلى الإطلاقات المستفادة من الروايات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محمّد بن عيسى عن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شارب الخمر يعطى من الزكاة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والرواية من جهة الدلالة واضحة، ومفادها أنّ شارب الخمر لا يعطى شيئاً من الزكاة، إلاّ أنها من جهة السند تشتمل على داود الصرمي، ولم يرد فيه توثيق كما أنّ المسؤل غير معلوم، فهي بحسب الاصطلاح 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القول باعتبار الرواية ودفع ما يرد عليها من جهة السند</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وثاقة داود الصرمي فهو وإن لم يرد فيه توثيق في الكتب الرجالية، إلاّ أنّه وقع في المستثنى منه من كتاب نوادر الحكمة</w:t>
      </w:r>
      <w:r>
        <w:rPr>
          <w:rStyle w:val="FootnoteAnchor"/>
          <w:rtl w:val="true"/>
        </w:rPr>
        <w:footnoteReference w:id="1408"/>
      </w:r>
      <w:r>
        <w:rPr>
          <w:rFonts w:ascii="Amiri" w:hAnsi="Amiri" w:eastAsia="Amiri" w:cs="Amiri"/>
          <w:color w:val="111111"/>
          <w:sz w:val="28"/>
          <w:sz w:val="28"/>
          <w:szCs w:val="28"/>
          <w:rtl w:val="true"/>
          <w:lang w:bidi="ar-SA"/>
        </w:rPr>
        <w:t>، وقد حققنا في محله أنّ وقوع الراوي في كتاب نوادر الحكمة دليل على وثاقته ما لم يستثن، وبهذا يمكن اعتبار روايته، وأما وقوعه في أسناد كامل الزيارات</w:t>
      </w:r>
      <w:r>
        <w:rPr>
          <w:rStyle w:val="FootnoteAnchor"/>
          <w:rtl w:val="true"/>
        </w:rPr>
        <w:footnoteReference w:id="1409"/>
      </w:r>
      <w:r>
        <w:rPr>
          <w:rFonts w:ascii="Amiri" w:hAnsi="Amiri" w:eastAsia="Amiri" w:cs="Amiri"/>
          <w:color w:val="111111"/>
          <w:sz w:val="28"/>
          <w:sz w:val="28"/>
          <w:szCs w:val="28"/>
          <w:rtl w:val="true"/>
          <w:lang w:bidi="ar-SA"/>
        </w:rPr>
        <w:t xml:space="preserve">فليس توثيقاً له إذ ليس هو من </w:t>
      </w:r>
    </w:p>
    <w:p>
      <w:pPr>
        <w:pStyle w:val="BookText"/>
        <w:rPr/>
      </w:pPr>
      <w:r>
        <w:rPr>
          <w:rFonts w:ascii="Amiri" w:hAnsi="Amiri" w:eastAsia="Amiri" w:cs="Amiri"/>
          <w:color w:val="111111"/>
          <w:sz w:val="28"/>
          <w:sz w:val="28"/>
          <w:szCs w:val="28"/>
          <w:rtl w:val="true"/>
          <w:lang w:bidi="ar-SA"/>
        </w:rPr>
        <w:t>مشايخ ابن قولويه لتشمله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الإضمار في الرواية فيقال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رواها الشيخ المفيد في المقنعة</w:t>
      </w:r>
      <w:r>
        <w:rPr>
          <w:rStyle w:val="FootnoteAnchor"/>
          <w:rtl w:val="true"/>
        </w:rPr>
        <w:footnoteReference w:id="1410"/>
      </w:r>
      <w:r>
        <w:rPr>
          <w:rFonts w:ascii="Amiri" w:hAnsi="Amiri" w:eastAsia="Amiri" w:cs="Amiri"/>
          <w:color w:val="111111"/>
          <w:sz w:val="28"/>
          <w:sz w:val="28"/>
          <w:szCs w:val="28"/>
          <w:rtl w:val="true"/>
          <w:lang w:bidi="ar-SA"/>
        </w:rPr>
        <w:t>، والشيخ الكليني في الكافي</w:t>
      </w:r>
      <w:r>
        <w:rPr>
          <w:rStyle w:val="FootnoteAnchor"/>
          <w:rtl w:val="true"/>
        </w:rPr>
        <w:footnoteReference w:id="1411"/>
      </w:r>
      <w:r>
        <w:rPr>
          <w:rFonts w:ascii="IRNazanin" w:hAnsi="IRNazanin" w:eastAsia="IRNazanin"/>
          <w:color w:val="111111"/>
          <w:sz w:val="28"/>
          <w:sz w:val="28"/>
          <w:szCs w:val="28"/>
          <w:rtl w:val="true"/>
          <w:lang w:bidi="fa-IR"/>
        </w:rPr>
        <w:t xml:space="preserve">، وقد ذكر الأخير أنّه لا يورد في كتابه إلاّ الروايات الواردة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يبعد أنتكون الرواية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أنّه قد ورد في ترجمة داود الصرمي</w:t>
      </w:r>
      <w:r>
        <w:rPr>
          <w:rStyle w:val="FootnoteAnchor"/>
          <w:rtl w:val="true"/>
        </w:rPr>
        <w:footnoteReference w:id="1412"/>
      </w:r>
      <w:r>
        <w:rPr>
          <w:rFonts w:ascii="IRNazanin" w:hAnsi="IRNazanin" w:eastAsia="IRNazanin"/>
          <w:color w:val="111111"/>
          <w:sz w:val="28"/>
          <w:sz w:val="28"/>
          <w:szCs w:val="28"/>
          <w:rtl w:val="true"/>
          <w:lang w:bidi="fa-IR"/>
        </w:rPr>
        <w:t xml:space="preserve">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يكنى أبا سليمان، وبقي إلى أيام أبي الحسن صاحب العسكر، وله مسائل إليه، وهذه الرواية من مسائله فالرواية معتبرة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عن محمّد بن الحسن، عن أحمد بن إدريس، ومحمّد بن يحيى جميعاً، عن محمّد بن أحمد بن يحيى، عن علي بن محمد، عن بعض أصحابنا، عن بشر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للرجل يعني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المؤمن الذي يعطى من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يعطى المؤمن ثلاثة آلاف،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عشرة آلاف، ويعطى الفاجر بقدر، لأنّ المؤمن ينفقها في طاعة الله والفاجر في معصية الله</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والرواية تتضمن السؤال عن مقدار ما يعطى المستحق، وقد فرق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المؤمن والفاجر في مقدار ما يعطى كل منهما، معللاً ذلك بإنفاق المؤمن ماله في طاعة الله وإنفاق الفاجر ماله في معصية الله، ويستفاد من الرواية بمقتضى إطلاقها جواز إعطاء الفاسق، فهي من جهة الدلالة لا إشكال فيها وبها تقيد الرواية المتقدمة، ويكون الممنوع من الإعطاء هو خصوص شارب الخمر، وما عداه يجوز إعطاؤه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الرواية غير معتبرة من جهة السند لأنّها مرسلة، ولا يمكن </w:t>
      </w:r>
    </w:p>
    <w:p>
      <w:pPr>
        <w:pStyle w:val="BookText"/>
        <w:rPr/>
      </w:pPr>
      <w:r>
        <w:rPr>
          <w:rFonts w:ascii="Amiri" w:hAnsi="Amiri" w:eastAsia="Amiri" w:cs="Amiri"/>
          <w:color w:val="111111"/>
          <w:sz w:val="28"/>
          <w:sz w:val="28"/>
          <w:szCs w:val="28"/>
          <w:rtl w:val="true"/>
          <w:lang w:bidi="ar-SA"/>
        </w:rPr>
        <w:t>الاعتماد عليها ولا مجال للاستدلال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سليمان عن رجل من أهل الجزيرة يكنى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وأنا أسمع،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w:t>
      </w:r>
      <w:r>
        <w:rPr>
          <w:rStyle w:val="FootnoteAnchor"/>
          <w:rtl w:val="true"/>
        </w:rPr>
        <w:footnoteReference w:id="1414"/>
      </w:r>
      <w:r>
        <w:rPr>
          <w:rFonts w:ascii="Amiri" w:hAnsi="Amiri" w:eastAsia="Amiri" w:cs="Amiri"/>
          <w:color w:val="111111"/>
          <w:sz w:val="28"/>
          <w:sz w:val="28"/>
          <w:szCs w:val="28"/>
          <w:rtl w:val="true"/>
          <w:lang w:bidi="ar-SA"/>
        </w:rPr>
        <w:t>أخبرني عن هذه النظرة التي ذكرها الله عزوجل في كتابه لها حد يعرف إذا صار هذا المعسر إليه لابد له من أن ينتظر، وقد أخذ مال هذا الرجل وأنفقه على عياله وليس له غلة ينتظر إدراكها، ولا دين ينتظر محله، ولا مال غائب ينتظر قدومه،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ينتظر بقدر ما ينتهي خبره إلى الإمام، فيقضي عنه ما عليه من الدين من سهم الغارمين إذا كان أنفقه في طاعة الله عزوجل، فإن كان أنفقه في معصية الله عزوجل فلا شيء له على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لهذا الرجل الذي ائتمنه وهو لا يعلم فيما أنفقه؟ في طاعة الله أمفي معصيته؟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له في ماله فيرده عليه وهو صاغر</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والشاهد في الرواية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أنفقه في طاعة الله عزوجل فإن كان أنفقه في معصية الله عزوجل فلا شيء له على الإمام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صريح في أنّ من أنفق ماله في المعصية مطلقاً صغيرة كانت أو كبيرة فلا يستحق شيئاً من مال الزكاة، فالرواية من حيث الدلالة تامة إلاّ أنّ الإشكال فيها من جهة السند فإنها مرسلة ولا يمكن الاعتماد عليها من هذه الجهة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 بإسناده عن علي بن إبراهيم أنّه ذكر في تفسيره تفصيل هذه الثمانية الأصناف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لا يسألون وعليهم مؤنات من عيالهم، والدليل على أنهم هم الذين لا يسألون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يَسْأَلُونَ النَّاسَ إِلْحَافاً</w:t>
      </w:r>
      <w:r>
        <w:rPr>
          <w:rFonts w:eastAsia="Amiri" w:cs="Amiri" w:ascii="Amiri" w:hAnsi="Amiri"/>
          <w:color w:val="111111"/>
          <w:sz w:val="28"/>
          <w:szCs w:val="28"/>
          <w:rtl w:val="true"/>
          <w:lang w:bidi="ar-SA"/>
        </w:rPr>
        <w:t>)</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والمساكين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الزمانات وقد دخل فيهم الرجال والنساء والصبيان، والعاملين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السعاة والجباة في أخذها وجمعها وحفظها حتى يؤدوها إلى من يقسمها، والمؤلفة قلوبهم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وحدوا الله وخلعوا عبادة من دون الله ولم يدخل المعرفة قلوبهم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يتألفهم ويعلمهم ويعرفهم كيما يعرفوا، فجعل لهم نصيباً في الصدقات لكي يعرفوا ويرغبوا، وفي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لزمتهم كفارات في قتل الخطأ، وفي الظهار وفي الايمان، وفي قتل الصيد في الحرم وليس عندهم ما يكفرون وهم مؤمنون، فجعل الله لهم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الصدقات ليكفر عنهم، والغارمين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وقعت عليهم ديون أنفقوها في طاعة الله من غير إسراف فيجب على الإمام أن يقضي عنهم ويفكهم من مال الصدقات، وفي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يخرجون في الجهاد وليس عندهم ما يتقوون به، أو قوم من المؤمنين ليس عندهم ما يحجون به، أو في جميع سبل الخير، فعلى الإمام أن يعطيهم من مال الصدقات حتى يقووا على الحج والجهاد، وابن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الطريق الذين يكونون في الأسفار في طاعة الله فيقطع عليهم ويذهب مالهم، فعلى الإمام أن يردهم إلى أوطانهم من مال الصدقات</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الوسائل</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علي بن إبراهيم في تفسيره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ما نقله الشيخ، ومحل الشاهد من هذه الرواية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والغارمين قوم قد وقعت عليهم ديون أنفقوها في طاعة الله من غير إسراف، ويستفاد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إذا أنفقوا المال في الطاعة استحقوا وإلاّ فلا، فالرواية من جهة الدلالة تامة، إلاّ أن الإشكال فيها من جهة السند فهي وإن وردت في تفسير القمي وهو كتاب مشهور معروف والطريق إليه معتبر، إلاّ أن طريق علي بن إبراهيم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مذكور فهي بحسب الاصطلاح مرفوعة السند لأنّ علي بن إبراهيم لا يمكن أن </w:t>
      </w:r>
    </w:p>
    <w:p>
      <w:pPr>
        <w:pStyle w:val="BookText"/>
        <w:rPr/>
      </w:pPr>
      <w:r>
        <w:rPr>
          <w:rFonts w:ascii="IRNazanin" w:hAnsi="IRNazanin" w:eastAsia="IRNazanin"/>
          <w:color w:val="111111"/>
          <w:sz w:val="28"/>
          <w:sz w:val="28"/>
          <w:szCs w:val="28"/>
          <w:rtl w:val="true"/>
          <w:lang w:bidi="fa-IR"/>
        </w:rPr>
        <w:t>يروي عن الإمام الصادق أو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وسائط، وحينئذ لا يمكن الاعتماد على هذه الرواية في مقام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عارف فاضل توفي وترك عليه ديناً قد ابتلى به لم يكن بمفسد ولا بمسرف ولا معروف بالمسألة، هل يقضي عنه من الزكاة الالف والالفان؟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وهذه الرواية قد يستدل بها على المدعى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بمفسد ولا بمسرف ولا معروف بالمسألة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فهو مستحق فيعطى من مال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وارد في كلام السائل لا في 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والإمام أجابه على طبق سؤاله، ولا يدل ذلك على اختصاص الزكاة بمن ذكره في سؤاله، كما لا يدل على عدم استحقاق غيره، فالرواية وإن كانت من جهة السند معتبرة إلاّ أنها من جهة الدلالة غير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الحسين بن علوان عن جعفر بن محمّد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يعطى المستدينون من الصدقة والزكاة دينهم كله ما بلغ، إذا استدانوا في غير سرف الحديث</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والمستفاد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استدان مالاً وأنفقه في غير سرف فهو مستحق، وأما إذا كان أنفقه في سرف فلا يعطى، ومن أجلى مصاديق السرف صرف المال في المعصية فإنه إنفاق للمال في غير موضعه، ومنفق المال في المعصية لا يستحق أن يعطى من مال الزكاة شيئاً، فالرواية من جهة الدلالةتامة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جهة السند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علوان غير موثق، وما ذكره النجاشي من التوثيق</w:t>
      </w:r>
      <w:r>
        <w:rPr>
          <w:rStyle w:val="FootnoteAnchor"/>
          <w:rtl w:val="true"/>
        </w:rPr>
        <w:footnoteReference w:id="1421"/>
      </w:r>
      <w:r>
        <w:rPr>
          <w:rFonts w:ascii="Amiri" w:hAnsi="Amiri" w:eastAsia="Amiri" w:cs="Amiri"/>
          <w:color w:val="111111"/>
          <w:sz w:val="28"/>
          <w:sz w:val="28"/>
          <w:szCs w:val="28"/>
          <w:rtl w:val="true"/>
          <w:lang w:bidi="ar-SA"/>
        </w:rPr>
        <w:t xml:space="preserve">راجع لأخيه الحسن، ولكن الظاهر رجوع التوثيق إلى </w:t>
      </w:r>
    </w:p>
    <w:p>
      <w:pPr>
        <w:pStyle w:val="BookText"/>
        <w:rPr/>
      </w:pPr>
      <w:r>
        <w:rPr>
          <w:rFonts w:ascii="Amiri" w:hAnsi="Amiri" w:eastAsia="Amiri" w:cs="Amiri"/>
          <w:color w:val="111111"/>
          <w:sz w:val="28"/>
          <w:sz w:val="28"/>
          <w:szCs w:val="28"/>
          <w:rtl w:val="true"/>
          <w:lang w:bidi="ar-SA"/>
        </w:rPr>
        <w:t>الحسين لا إلى أخيه، ويعلم ذلك من الوقوف على طريقة النجاشي في تراجمه للرجال، وقد تقدم أنّ بعضهم فهم من ذلك رجوع التوثيق إلى الحسن، وقلنا هناك إنه خلاف الظاهر، فالرواية معتبرة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وردت بهذا المضمون وفي بعضها جاء بعنوان الإسراف بدلاً من السرف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صرف المال في المعصية لا يستحق، ولا يجوز إعطاؤه في دين كان أو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خديجة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 من الزكاة أحداً ممن تعول،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لرجل خمسمائة درهم وكان عياله كثيراً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زكاة ينفقها على عياله يزيدها في نفقتهم وفي كسوتهم وفي طعام لم يكونوا يطعمونه، وإن لم يكن له عيال وكان وحده فليقسمها في قوم ليس بهم بأس، أعفّاء عن المسألة لا يسألون أحداً شيئاً،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تعطين قرابتك الزكاة كلها، ولكن أعطهم بعضها، واقسم بعضها في سائر المسلمين،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تحل لصاحب الدار والخادم ومن كان له خمسمائة درهم بعد أن يكون له عيال، ويجعل زكاة الخمسمائة زيادة في نفقة عياله يوسع عليهم</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ومحل الشاهد من الرواية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فليقسمها في قوم ليس بهم بأس أعفاء عن المسألة لا يسألون أحداً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واستدل بذلك على اشتراط العدالة في المستحق فإن إطلاق عدم البأس يقتضي كونهم غير عصاة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بهم من جهة الإيمان والعمل وذلك هو معنى العدالة والاستقامة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أشكل على هذه الرواية بوجهين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السند فإنّ فيه سالم </w:t>
      </w:r>
    </w:p>
    <w:p>
      <w:pPr>
        <w:pStyle w:val="BookText"/>
        <w:rPr/>
      </w:pPr>
      <w:r>
        <w:rPr>
          <w:rFonts w:ascii="Amiri" w:hAnsi="Amiri" w:eastAsia="Amiri" w:cs="Amiri"/>
          <w:color w:val="111111"/>
          <w:sz w:val="28"/>
          <w:sz w:val="28"/>
          <w:szCs w:val="28"/>
          <w:rtl w:val="true"/>
          <w:lang w:bidi="ar-SA"/>
        </w:rPr>
        <w:t>بن مكرم وهو أبو خديجة وقد ضعفه الشيخ</w:t>
      </w:r>
      <w:r>
        <w:rPr>
          <w:rStyle w:val="FootnoteAnchor"/>
          <w:rtl w:val="true"/>
        </w:rPr>
        <w:footnoteReference w:id="1423"/>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الدلالة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بهم بأس لا دلالة فيه على أنّ العاصي لا يعطى، وأن الإعطاء منحصر في خصوص هذا المورد، فلعله من باب الأولوية ويجوز إعطاء من به بأس وإن كان على خلاف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يسألون أحداً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بهم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المعنى إن الإعطاء مشروط بعدم المسألة، فلا تكون دليلاً على اعتبار عدم المعصية في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 من جهة السند فقد حققنا في محله من مباحثنا الرجالية أنّ أبا خديجة وإن ضعفه الشيخ إلاّ أن النجاشي قد وثقه</w:t>
      </w:r>
      <w:r>
        <w:rPr>
          <w:rStyle w:val="FootnoteAnchor"/>
          <w:rtl w:val="true"/>
        </w:rPr>
        <w:footnoteReference w:id="1424"/>
      </w:r>
      <w:r>
        <w:rPr>
          <w:rFonts w:ascii="Amiri" w:hAnsi="Amiri" w:eastAsia="Amiri" w:cs="Amiri"/>
          <w:color w:val="111111"/>
          <w:sz w:val="28"/>
          <w:sz w:val="28"/>
          <w:szCs w:val="28"/>
          <w:rtl w:val="true"/>
          <w:lang w:bidi="ar-SA"/>
        </w:rPr>
        <w:t>، وأفردنا بحثاً خاصاً حول أبي خديجة</w:t>
      </w:r>
      <w:r>
        <w:rPr>
          <w:rStyle w:val="FootnoteAnchor"/>
          <w:rtl w:val="true"/>
        </w:rPr>
        <w:footnoteReference w:id="1425"/>
      </w:r>
      <w:r>
        <w:rPr>
          <w:rFonts w:ascii="Amiri" w:hAnsi="Amiri" w:eastAsia="Amiri" w:cs="Amiri"/>
          <w:color w:val="111111"/>
          <w:sz w:val="28"/>
          <w:sz w:val="28"/>
          <w:szCs w:val="28"/>
          <w:rtl w:val="true"/>
          <w:lang w:bidi="ar-SA"/>
        </w:rPr>
        <w:t>وذكرنا سبب تضعيف الشيخ له، وقد رجحنا قول النجاشي، وقلنا بوثاقته والاعتماد على روايته، وبناء على ذلك فالرواية من حيث السند 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من جهة الدلالة فالظاهر من الرواية هو اعتبار الإيمان، فإن نفي البأس عنهم باعتبار أنهم من أهل الولاية وحينئذ لا يبقى مجال للأخذ بالإطلاق الشامل للعاصي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هو الانحصار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فليقسمها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التقسيم خاص بهم ولا يشمل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يسألون أحداً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بهم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نعم هذه الجملة من تتمة الكلام وبيان لبعض أوصافهم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المستفاد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البأس راجع إلى المخالفين الذين هم </w:t>
      </w:r>
    </w:p>
    <w:p>
      <w:pPr>
        <w:pStyle w:val="BookText"/>
        <w:rPr/>
      </w:pPr>
      <w:r>
        <w:rPr>
          <w:rFonts w:ascii="Amiri" w:hAnsi="Amiri" w:eastAsia="Amiri" w:cs="Amiri"/>
          <w:color w:val="111111"/>
          <w:sz w:val="28"/>
          <w:sz w:val="28"/>
          <w:szCs w:val="28"/>
          <w:rtl w:val="true"/>
          <w:lang w:bidi="ar-SA"/>
        </w:rPr>
        <w:t>ليسوا من أهل الولاية ولا ربط لها بالعصاة، وعليه لا يمكن الاستدلال بهذه الرواية على اشتراط العدالة في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سنان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الزكاة من أجل قوت الفقراء وتحصين أموال الأغنياء، لأن الله عزوجل كلّف أهل الصحة القيام بشأن أهل الزمانة والبلوى، كما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وَأَنْفُسِكُمْ</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 xml:space="preserve">في أموالكم إخراج الزكاة وفي أنفسكم توطين الأنفس على الصبر، مع ما في ذلك من أداء شكر نعم الله عزوجل، والطمع في الزيادة، مع ما فيه منالزيادة والرأفة والرحمة لأهل الضعف والعطف على أهل المسكنة والحث لهم على المواساة، وتقوية الفقراء والمعونة لهم على أمر 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لأهل الغنى وعبرة لهم ليستدلوا على فقراء الآخرة بهم، ومالهم من الحث في ذلك على الشكر لله تبارك وتعالى لما خولهم وأعطاهم والدعاء والتضرع والخوف من أن يصيروا مثلهم في أمور كثيرة في أداء الزكاة والصدقات وصلة الأرحام واصطناع المعروف</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ومحل الشاهد من هذه الرواية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والمعونة لهم على أمر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هي إحدى العلل الموجبة لإعطاء الزكاة، ويستفاد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على خلاف ذلك فلا يستحق شيئاً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نوقش في سند الرواية بأنّ طريق الصدوق إلى كتاب مسائل محمّد بن سنان ضعيف، وقد ذكر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أنّ ضعف الطريق بعلي بن العباس</w:t>
      </w:r>
      <w:r>
        <w:rPr>
          <w:rStyle w:val="FootnoteAnchor"/>
          <w:rtl w:val="true"/>
        </w:rPr>
        <w:footnoteReference w:id="1428"/>
      </w:r>
      <w:r>
        <w:rPr>
          <w:rFonts w:ascii="Amiri" w:hAnsi="Amiri" w:eastAsia="Amiri" w:cs="Amiri"/>
          <w:color w:val="111111"/>
          <w:sz w:val="28"/>
          <w:sz w:val="28"/>
          <w:szCs w:val="28"/>
          <w:rtl w:val="true"/>
          <w:lang w:bidi="ar-SA"/>
        </w:rPr>
        <w:t>فإنه لم يوثق مضافاً إلى الخلاف في وثاقة محمّد بن سنان وعليه فلا يمكن الاستدلال بهذه الرواية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قد رجحنا وثاقة محمّد بن سنان</w:t>
      </w:r>
      <w:r>
        <w:rPr>
          <w:rStyle w:val="FootnoteAnchor"/>
          <w:rtl w:val="true"/>
        </w:rPr>
        <w:footnoteReference w:id="1429"/>
      </w:r>
      <w:r>
        <w:rPr>
          <w:rFonts w:ascii="Amiri" w:hAnsi="Amiri" w:eastAsia="Amiri" w:cs="Amiri"/>
          <w:color w:val="111111"/>
          <w:sz w:val="28"/>
          <w:sz w:val="28"/>
          <w:szCs w:val="28"/>
          <w:rtl w:val="true"/>
          <w:lang w:bidi="ar-SA"/>
        </w:rPr>
        <w:t>والأخذ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إلى مسائل محمّد بن سنان وإن كان ضعيفاً إلاّ أنّه يمكن تصحيحه بالطريق العام فإنّ للصدوق طريقاً معتبراً إلى جميع روايات وكتب محمّد بن سنان</w:t>
      </w:r>
      <w:r>
        <w:rPr>
          <w:rStyle w:val="FootnoteAnchor"/>
          <w:rtl w:val="true"/>
        </w:rPr>
        <w:footnoteReference w:id="1430"/>
      </w:r>
      <w:r>
        <w:rPr>
          <w:rFonts w:ascii="Amiri" w:hAnsi="Amiri" w:eastAsia="Amiri" w:cs="Amiri"/>
          <w:color w:val="111111"/>
          <w:sz w:val="28"/>
          <w:sz w:val="28"/>
          <w:szCs w:val="28"/>
          <w:rtl w:val="true"/>
          <w:lang w:bidi="ar-SA"/>
        </w:rPr>
        <w:t>، ومنها كتاب المسائل فضعف هذا الطريق بخصوصه لا يضر، مضافاً إلى ما ذكره ابن عقدة من أنّ الكتاب معروف</w:t>
      </w:r>
      <w:r>
        <w:rPr>
          <w:rStyle w:val="FootnoteAnchor"/>
          <w:rtl w:val="true"/>
        </w:rPr>
        <w:footnoteReference w:id="1431"/>
      </w:r>
      <w:r>
        <w:rPr>
          <w:rFonts w:ascii="Amiri" w:hAnsi="Amiri" w:eastAsia="Amiri" w:cs="Amiri"/>
          <w:color w:val="111111"/>
          <w:sz w:val="28"/>
          <w:sz w:val="28"/>
          <w:szCs w:val="28"/>
          <w:rtl w:val="true"/>
          <w:lang w:bidi="ar-SA"/>
        </w:rPr>
        <w:t>فقد يقال بعدم الحاجة إلى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الرواية من جهة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المناقشة في الرواية من جهة الدلالة 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إذا أعطي من يصرفه في المعصية فالإشكال في محله، وأما إذا علمنا أنّه لا يصرفه في المعصية فلا دليل على عدم الإعطاء ولا يكون مورداً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تدل الرواية على أنّ الإعطاء والصرف في الطاعة والمعونة على أمر الدين، فالرواية موافقة لرواية الحسين بن علوانالمتقدمة الدالة على عدم صرف المال في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صباح بن سيابة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أيما مؤمن أو مسلم مات وترك ديناً لم يكن في فساد ولا إسراف فعلى الإمام أن يقضيه، فإن لم يقضه فعليه إثم ذلك، إن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الصَّدَقَاتُ لِلْفُقَرَاءِ وَالْمَسَاكِينِ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فهو من الغارمين وله سهم عند الإمام، فإن حبسه فإثمه عليه</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من حيث الدلالة واضحة، فإن دين المدين يؤدى من الزكاة إذا لم يكن في فساد ولا إسراف</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أنها من جهة السند غير تامة وإن أوردها الكليني في الكافي</w:t>
      </w:r>
      <w:r>
        <w:rPr>
          <w:rStyle w:val="FootnoteAnchor"/>
          <w:rtl w:val="true"/>
        </w:rPr>
        <w:footnoteReference w:id="1433"/>
      </w:r>
      <w:r>
        <w:rPr>
          <w:rFonts w:ascii="Amiri" w:hAnsi="Amiri" w:eastAsia="Amiri" w:cs="Amiri"/>
          <w:color w:val="111111"/>
          <w:sz w:val="28"/>
          <w:sz w:val="28"/>
          <w:szCs w:val="28"/>
          <w:rtl w:val="true"/>
          <w:lang w:bidi="ar-SA"/>
        </w:rPr>
        <w:t xml:space="preserve">وذلك </w:t>
      </w:r>
      <w:bookmarkStart w:id="417" w:name="pg16387_188603"/>
    </w:p>
    <w:p>
      <w:pPr>
        <w:pStyle w:val="BookText"/>
        <w:rPr/>
      </w:pPr>
      <w:bookmarkEnd w:id="417"/>
      <w:r>
        <w:rPr>
          <w:rFonts w:ascii="Amiri" w:hAnsi="Amiri" w:eastAsia="Amiri" w:cs="Amiri"/>
          <w:color w:val="111111"/>
          <w:sz w:val="28"/>
          <w:sz w:val="28"/>
          <w:szCs w:val="28"/>
          <w:rtl w:val="true"/>
          <w:lang w:bidi="ar-SA"/>
        </w:rPr>
        <w:t>لأنّ صباح بن سيابه لم يرد فيه توثيق، نعم ورد عنه روايتان تشيران إلى كونه من الشيعة الإمامية وهذا لا يكفي في الحكم بوثاقته، فالرواية لا يمكن الاعتماد عليها لضعف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اشتراط العدالة بما ورد في بعض الروايات كقوله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يزني الزاني وهو مؤمن، ولا يسرق وهو مؤمن ولا يشرب الخمر وهو مؤمن</w:t>
      </w:r>
      <w:r>
        <w:rPr>
          <w:rStyle w:val="FootnoteAnchor"/>
          <w:rtl w:val="true"/>
        </w:rPr>
        <w:footnoteReference w:id="1434"/>
      </w:r>
      <w:r>
        <w:rPr>
          <w:rFonts w:ascii="Amiri" w:hAnsi="Amiri" w:eastAsia="Amiri" w:cs="Amiri"/>
          <w:color w:val="111111"/>
          <w:sz w:val="28"/>
          <w:sz w:val="28"/>
          <w:szCs w:val="28"/>
          <w:rtl w:val="true"/>
          <w:lang w:bidi="ar-SA"/>
        </w:rPr>
        <w:t xml:space="preserve">ونحوها، فلا يستحق المرتكب لهذه المعاصي ونحوها شيئاً من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المناقشة فيها واضحة فإن للإيمان مراتب كما أن عدم الإيمان أيضاً يتفاوت فيه الناس شدة وضعفاً، ولذا لا يحكم بكفر مرتكب المعصية وبنجاسته، نعم تتفاوت درجات العصاة كما تتفاوت درجات المؤمنين، فلا يمكن الاعتماد على هذه الروايات في مقام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يعتمد عليه من الأدلة هو عدم كون المستحق شارب الخمر بمقتضى دلالة رواية داود الصرمي المتقدمة، وان لا يكون صرف المال في المعصية بمقتضى معتبرة الحسين بن علوان ومعتبرة محمّد بن سنان، وأما اعتبار شيء آخر فلم نعثر على دليل عليه، نعم ما يكون من المعاصي في درجة شرب الخمر أو أعظم منه كترك الصلاة مثلاً فهو بتنقيح المناط والأولوية يلحق بشرب الخمر، فلا يجوز إعطاء تارك الصلاة شيئاً من الزكاة، ومثله المتجاهر بالفسقفإن في إعطائهما تشجيعاً وتقوية لهما، ومقتضى الاحتياط عدم إعطائهما شيئاً، وأما في غير ما ذكرنا فليس لنا دليل عليه فاشتراط العدالة مطلقاً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عن الجهة الأولى</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6877927_1280447820"/>
      <w:bookmarkStart w:id="419" w:name="_Toc141"/>
      <w:bookmarkEnd w:id="418"/>
      <w:r>
        <w:rPr>
          <w:rtl w:val="true"/>
        </w:rPr>
        <w:t>الجهة الثانية</w:t>
      </w:r>
      <w:r>
        <w:rPr>
          <w:rtl w:val="true"/>
        </w:rPr>
        <w:t>:</w:t>
      </w:r>
      <w:bookmarkEnd w:id="419"/>
    </w:p>
    <w:p>
      <w:pPr>
        <w:pStyle w:val="BookText"/>
        <w:rPr/>
      </w:pPr>
      <w:r>
        <w:rPr>
          <w:rFonts w:ascii="Amiri" w:hAnsi="Amiri" w:eastAsia="Amiri" w:cs="Amiri"/>
          <w:color w:val="111111"/>
          <w:sz w:val="28"/>
          <w:sz w:val="28"/>
          <w:szCs w:val="28"/>
          <w:rtl w:val="true"/>
          <w:lang w:bidi="ar-SA"/>
        </w:rPr>
        <w:t>فيما تقتضيه الأدلة بالنسبة إلى التقية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وجوب وضع الزكاة في موضعها، وهي الأصناف الثمانية على طبق ما تقدم في الجهة الأولى، فإذا عرض للمكلف أن يضعها في غير موضعها </w:t>
      </w:r>
    </w:p>
    <w:p>
      <w:pPr>
        <w:pStyle w:val="BookText"/>
        <w:rPr/>
      </w:pPr>
      <w:r>
        <w:rPr>
          <w:rFonts w:ascii="Amiri" w:hAnsi="Amiri" w:eastAsia="Amiri" w:cs="Amiri"/>
          <w:color w:val="111111"/>
          <w:sz w:val="28"/>
          <w:sz w:val="28"/>
          <w:szCs w:val="28"/>
          <w:rtl w:val="true"/>
          <w:lang w:bidi="ar-SA"/>
        </w:rPr>
        <w:t>تقية، أو أكره على إعطائها لمن لا يستحق أو أخذت منه قهراً من سلطان أو جائر فهل يكون الإعطاء مجزياً ويحسب من الزكاة أم لابد من ضمانها؟</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المتغلب إذا أخذ الصدقة لم تبرأ بذلك ذمته من وجوب الزكاة عليه، لأنّ ذلك تحكم ظلم به، والصدقة لأهلها ويجب عليه إخراجها، وقد روي أنّ ذلك مجز عنه، والأول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الزكاة إمام غير عادل أجزأت عنه لأن إمامته لم تزل بفسقه، وذهب أكثر الفقهاء من المحققين وأكثر أصحاب الشافعي إلى أنّه إذا فسق زالت إمامته، وقال أحمد بن حنبل وعامة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الإمامة بفسقه، وهو ظاهر قول الشافعي وقال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تجيء على أصوله، فأما فسق الإمام فعندنا لا يجوز لأنه لا يكون إلاّ معصوماً، وليس هذا موضع الدلالة عليه، والذي يدل على أنّ ذمته لم تبرأ مما أخذه المتغلب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حق لأهلها فلا تبرأ ذمته بأخذ غير من له الحق، ومن أبرأ الذمة بذلك فعليه الدلالة</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والتحقيق في المسألة يتوقف على ذكر الروايات الخاصة الواردة في المقام وهي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الإجزاء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العشور التي تؤخذ من الرجل أيحتسب بها من زكاته؟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w:t>
      </w:r>
      <w:r>
        <w:rPr>
          <w:rStyle w:val="FootnoteAnchor"/>
          <w:rtl w:val="true"/>
        </w:rPr>
        <w:footnoteReference w:id="1436"/>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أخذه منك العاشر فطرحه في كوزة فهو من زكاتك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يطرح في الكوز فلا تحتسبه من زكاتك</w:t>
      </w:r>
      <w:r>
        <w:rPr>
          <w:rStyle w:val="FootnoteAnchor"/>
          <w:rtl w:val="true"/>
        </w:rPr>
        <w:footnoteReference w:id="1437"/>
      </w:r>
      <w:r>
        <w:rPr>
          <w:rFonts w:ascii="Amiri" w:hAnsi="Amiri" w:eastAsia="Amiri" w:cs="Amiri"/>
          <w:color w:val="111111"/>
          <w:sz w:val="28"/>
          <w:sz w:val="28"/>
          <w:szCs w:val="28"/>
          <w:rtl w:val="true"/>
          <w:lang w:bidi="ar-SA"/>
        </w:rPr>
        <w:t>، والكوز إناء يوضع فيه المال والمراد به صندوق السلطان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 xml:space="preserve">أصحاب أبي أتوه فسألوه عما يأخذ السلطان؟ فرقّ لهم، وإنه ليعلم أنّ الزكاة لا تحل إلاّ لأهلها، فأمرهم أن يحتسبوا به، فجال فكري والله لهم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أبه إنهم إن سمعوا إذا لم يزك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حق أحب الله أن يظهره</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عبيد الله بن علي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صدقة المال يأخذه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آمرك أن تعيد</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يأخذ منه هؤلاء زكاة ماله أو خمس غنيمته أو خمس ما يخرج له من المعادن أيحسب ذلك له في زكاته وخمسه؟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والرواية وإن كانت مرسلة إلاّ أنّه قد تقدم أنّ مرسلات الصدوق في الفقيه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كلها صريحة الدلالة في أنّ ما يأخذ السلطان أو وكيله يحتسب من مال الزكاة ولا حاجة للإعادة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عدم الاحتساب من الزكاة، وأن دفعها إليهم لا يجزي، وهي رواية واحدة وهي صحيحة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هؤلاء المصدقين يأتونا ويأخذون منا الصدقة فنعطيهم إياها أتجزي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هؤلاء قوم غصبوكم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ظلموكم أموالكم، وإنما الصدقة لأهلها</w:t>
      </w:r>
      <w:r>
        <w:rPr>
          <w:rStyle w:val="FootnoteAnchor"/>
          <w:rtl w:val="true"/>
        </w:rPr>
        <w:footnoteReference w:id="1441"/>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صريحة في عدم الإجزاء، وحملها على الاستحباب بعيد لا يمكن المصير إليه، ويمكن الجمع بين هذه الرواية وبين الروايات السابقة بما دلت عليه بعض الروايات من عدم جواز الإعطاء اختياراً، فإن أعطىعن اختيار فلا يجزي، وأما إذا أخذ قهراً فيحتسب من الزكاة، والشاهد عليه صحيحة عيص بن </w:t>
      </w:r>
    </w:p>
    <w:p>
      <w:pPr>
        <w:pStyle w:val="BookText"/>
        <w:rPr/>
      </w:pPr>
      <w:r>
        <w:rPr>
          <w:rFonts w:ascii="IRNazanin" w:hAnsi="IRNazanin" w:eastAsia="IRNazanin"/>
          <w:color w:val="111111"/>
          <w:sz w:val="28"/>
          <w:sz w:val="28"/>
          <w:szCs w:val="28"/>
          <w:rtl w:val="true"/>
          <w:lang w:bidi="fa-IR"/>
        </w:rPr>
        <w:t xml:space="preserve">القاسم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أخذوا منكم بنو أمية فاحتسبوا به، ولا تعطوهم شيئاً ما استطعتم، فإنّ المال لا يبقى على هذا أن يزكيه مرتين</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 xml:space="preserve">ففي هذه الرواية تفصيل بين ما أخذ قهراً فيحتسب من الزكاة وبين ما أعطى عن اختيار فلا يحتسب، وصحيحة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المكره وعتقه؟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طلاقه بطلاق، ولا عتقه بعتق،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تاجر أمر بالعشار ومعي 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غيبه ما استطعت وضعه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حلفني بالطلاق والعتاق؟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له، ثمّ أخذ تمرة فحفر بها من زبد كان قدامه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أبالي حلفت لهم بالطلاق والعتاق أو آكلها</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والمستفاد منها عدم جواز إعطائهم المال عن طواعية واختيار، ولابد من التحفظ على المال ووضعه في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البختري عن جعفر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 في زكاتك بما أخذ العشار منك، واحفظها عنه ما استطعت</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والرواية صريحة في دلالتها إلاّ أن في سندها ضعفاً ولذا جعلناها مؤيدة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الأدلة هو التفصيل في المقام بين الاختيار والإكراه، والإجزاء إنما هو في الثاني دون الأول، لا كما ذهب إليه الشيخ من عدم الإجزاء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يتم الكلام عن التقية في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آخر ما أردناه في الجزء الأول ويتلوه الجزء الثاني، وأوّله التقية في الجهاد</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w:t>
      </w:r>
      <w:r>
        <w:rPr>
          <w:rFonts w:eastAsia="Amiri" w:cs="Amiri" w:ascii="Amiri" w:hAnsi="Amiri"/>
          <w:color w:val="111111"/>
          <w:sz w:val="28"/>
          <w:szCs w:val="28"/>
          <w:rtl w:val="true"/>
          <w:lang w:bidi="ar-SA"/>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16387_188608"/>
      <w:bookmarkStart w:id="421" w:name="pg16387_188608"/>
      <w:bookmarkEnd w:id="421"/>
    </w:p>
    <w:p>
      <w:pPr>
        <w:pStyle w:val="Heading2"/>
        <w:numPr>
          <w:ilvl w:val="1"/>
          <w:numId w:val="1"/>
        </w:numPr>
        <w:rPr/>
      </w:pPr>
      <w:bookmarkStart w:id="422" w:name="pg16387_188608"/>
      <w:bookmarkStart w:id="423" w:name="__RefHeading___Toc6877929_1280447820"/>
      <w:bookmarkStart w:id="424" w:name="_Toc142"/>
      <w:bookmarkEnd w:id="422"/>
      <w:bookmarkEnd w:id="423"/>
      <w:r>
        <w:rPr>
          <w:rtl w:val="true"/>
        </w:rPr>
        <w:t>الفهرس</w:t>
      </w:r>
      <w:bookmarkEnd w:id="4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المحتويات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16387_188610"/>
      <w:bookmarkStart w:id="426" w:name="pg16387_188610"/>
      <w:bookmarkEnd w:id="426"/>
    </w:p>
    <w:p>
      <w:pPr>
        <w:pStyle w:val="Heading2"/>
        <w:numPr>
          <w:ilvl w:val="1"/>
          <w:numId w:val="1"/>
        </w:numPr>
        <w:rPr/>
      </w:pPr>
      <w:bookmarkStart w:id="427" w:name="pg16387_188610"/>
      <w:bookmarkStart w:id="428" w:name="__RefHeading___Toc6877931_1280447820"/>
      <w:bookmarkStart w:id="429" w:name="_Toc143"/>
      <w:bookmarkEnd w:id="427"/>
      <w:bookmarkEnd w:id="428"/>
      <w:r>
        <w:rPr>
          <w:rtl w:val="true"/>
        </w:rPr>
        <w:t>مصادر الكتاب</w:t>
      </w:r>
      <w:bookmarkEnd w:id="42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لأبي بكر محمد بن عبد الله المعروف بابن العربي 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بن محمد البجاوي، 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لشيخ الطائفة الطوسي تصحيح وتعليق المعلم الثالث ميرداماد الاسترابادي تحقيق السيد مهدي الرجائي 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للشيخ المفيد 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للشيخ أبي عبد الله محمد بن محمد بن النعمان العكبري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الأولى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وتعليق السيد حسن الموسوي الخرسان،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السبق للشيخ علاء الدين أبي الحسن علي بن أبي الفضل الحسن بن أبي المجد الحلبي مطبوع ضمن كتاب الجوامع الفقهية، انتشارات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علم الرجال بين النظرية والتطبيق تقريراً لبحث الشيخ مسلم الداوري، لمحمد علي المعلم،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نمونة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من الكافي لثقة الإسلام الكليني، نشر الشيخ محمد الاخوندي، مطبعة الحيدري 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لأمين الإسلام أبي علي الفضل بن الحسن الطبرسي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الثانية، منشورات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المفيد لفخر الشيعة أبي عبد الله محمد بن محمد بن النعمان العكبري البغدادي الملقب بالشيخ المفيد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بصيرتي،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والمذاهب الأربعة للشيخ أسد حيدر الطبعة الثانية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الصعب في المذهب والمعتقد للكاتب السيد إدريس الحسيني،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النخيل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الذاهب إلى تكفير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أبي المعالي فخار بن معد الموسوي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الدكتور السيد محمد بحر العلوم ، الطبعة الثالثة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منشورات دار الزهراء للطباعة والنشر والتوزيع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لشيخ الإسلام المولى محمد باقر المجلسي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الأجزاء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المولى الشيخ محمد باقر المجلسي تحقيق الشيخ عبد الزهراء العلوي دار الرضا،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في ترتيب الشرائع لعلاء الدين أبي بكر بن مسعود الكاساني الحنفي ت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ونهاية المقتصد لأبي الوليد محمد بن أحمد بن محمد بن رشد القرطبي ت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للسيد هاشم الحسيني البحراني 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مطبعة آفتاب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دار الكتب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الطبري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أبي الفضل إبراهيم دار سويدان،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الشيعة للشيخ محمد حسين المظفر منشورات 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لشيخ الطائفة أبي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 أحمد حبيب قصير العاملي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للشيخ أبي محمد الحسن بن علي بن الحسين بن شعبة الحراني، الطبعة الخامسة منشورات مكتبة بصيرتي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للعلامة الحلي من منشورات المكتبة الرضوية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أبو النضر محمد بن مسعود بن عياش السلمي السمرقندي، تصحيح وتحقيق وتعليق السيد هاشم الرسولي المحلاتي 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القرهن الكريم للسيد عبد الله شبر 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منشورات دار الهجرة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لأبي الحسن علي بن إبراهيم القمي تصحيح وتعليق السيد طيب الموسوي الجزائري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السرور،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محمد بن عمر بن الحسين الرازي الشافعي 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المراغي لأحمد مصطفى المراغي، الطبعة الثانية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إحياء التراث العربي</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للشيخ عبد علي بن جمعة العروسي الحويزي </w:t>
      </w:r>
    </w:p>
    <w:p>
      <w:pPr>
        <w:pStyle w:val="BookText"/>
        <w:rPr/>
      </w:pPr>
      <w:r>
        <w:rPr>
          <w:rFonts w:ascii="Amiri" w:hAnsi="Amiri" w:eastAsia="Amiri" w:cs="Amiri"/>
          <w:color w:val="111111"/>
          <w:sz w:val="28"/>
          <w:sz w:val="28"/>
          <w:szCs w:val="28"/>
          <w:rtl w:val="true"/>
          <w:lang w:bidi="ar-SA"/>
        </w:rPr>
        <w:t xml:space="preserve">تصحيح وتعليق وإشراف السيد هاشم الرسولي المحلاتي الطبعة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نجفي،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في شرح العروة الوثقى تقريراً لبحث آية الله العظمى السيد أبي القاسم الخوئي للميرزا علي الغروي التبريزي الطبعة الثالثة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في علم الرجال للشيخ عبد الله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لشيخ الطائفة الطوسي تحقيق وتعليق السيد حسن الموسوي الخرسان، الطبعة الثالثة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ألف تحت إشراف السيد حسن الطباطبائي البروجردي منشورات مدينة العلم لآية الله العظمى الخوئي،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عيسى محمد بن عيسى بن سورة 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وشرح أحم محمد شاكر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المسانيد لعماد الدين أبي الفداء إسماعيل بن عمر بن كثير القرشي الدمشقي الشافعي 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وإخراج وتعليق الدكتور عبد المعطي أمين قلعجي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شرح شرائع الإسلام للشيخ محمد حسن النجفي 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السابعة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في أحكام العترة الطاهرة للشيخ يوسف البحراني 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النجف، مطبعة النجف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لقطب الدين الراوندي 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مؤسسة الإمام المهدي قم المقدسة، ا 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لأبي جعفر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علي أكبر غفاري، منشورات جامعة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رنكين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مكتب الكتب المتنوعة 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معارف القرن العشرين لمحمد فريد وجدي 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لعبد الرحمن جلال الدين السيوطي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الفوائد وهو تعليقة على شرح ا لمنظومة للسبزواري للشيخ محمد تقي الآملي من منشورات مركز نشر الكتاب بطهران مطبعة المصطفوي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وتعليق السيد محمد صادق آل بحر العلوم الطبعة الأولى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منشورات المكتبة والمطبعة الحيدرية في ا 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بن علي بن المطهر الحلي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لطبعة الثانية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منشورات المطبعة الحيدرية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لأبي العباس أحمد بن علي النجاشي الكوفي الأسدي 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جواد النائيني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الأضواء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التقية للشيخ مرتضى الأنصاري 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مطبوعة في ضمن كتاب المكاسب الطبع القديم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طاهر خوش نويس</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 للمعة الدمشقية للشيخ الشهيد زين الدين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إشراف السيد محمد كلانتر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جامعة النجف الدينية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من الكافي لثقة الإسلام الكليني تصحيح ومقابلة وتعليق علي أكبر غفاري الطبعة الثانية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لأبي عبد الله محمد بن يزيد القزويني 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فؤاد عبد الباقي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لأبي عبد الرحمن أحمد بن شعيب بن علي النسائي 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لأبي بكر أحمد بن الحسين بن علي ا لبيهقي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لعز الدين أبي حامد عبد الحميد بن هبة الله بن محمد بن أبي الحديد المدائني 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إبراهيم،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شرعة التسمية للمعلم الثالث الأمير السيد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رضا الاستادي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ميرداماد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الحوار مع المستشرق كوربان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حسين الطباطبائي ترجمة جواد جواد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أم القرى للتحقيق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لأبي عبد الله محمد بن إسماعيل بن إبراهيم بن المغيرة البخاري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الأصول لشيخ الطائفة الطوسي تحقيق محمد مهدي نجف الطبعة الأولى المحققة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سيد الشهداء، قم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للشيخ الصدوق،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ومطبعتها في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القارىء شرح صحيح البخاري لبدر الدين أبي محمد محمود بن أحمد العيني 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العزيزية في الأحاديث الدينية للشيخ محمد بن علي بن إبراهيم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الحاج الشيخ مجتبى العراقي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مطبعة سيد الشهداء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للشيخ الصدوق تصحيح وتعليق السيد مهدي اللاجوردي انتشارات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والسنة والأدب للشيخ عبد الحسين أحمد الأميني النجفي الطبعة الخامسة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نشر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للسيد أبي المكارم عز الدين حمزة بن علي بن زهرة الحسيني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ضمن كتاب الجوامع الفقهية انتشارات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بشرح صحيح البخاري لأبي الفضل شهاب الدين أحمد بن علي بن محمد بن حجر العسقلاني الشافعي الطبعة الثانية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مرتضى الأنصاري المشتملة على حواشي وتعاليق الهمداني وصاحب الاوثق ورحمة الله طبع باهتمام الميرزا حسين آقا المصطفوي 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مرتضى الأنصاري 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الله النوراني الطبعة السادسة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مؤسسة النشر الإسلامي التابعة لجماعة المدرسين بقم المشرفة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من الكافي لثقة الإسلام أبي جعفر محمد بن يعقوب الكليني الرازي 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ومقابلة وتعليق علي أكبر غفاري الطبعة الثانية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الحيدري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لعبد الرحمن الجزيري،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للشيخ أسد حيدر الطبعة الثانية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تقرير أبحاث الميرزا محمد حسين الغروي النائيني للشيخ محمد علي الكاظمي الخراساني تعليق آقا ضياء الدين العراقي تحقيق الشيخ رحمة الله رحمتي الأراكي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وتعليق السيد محمد صادق آل بحر العلوم الطبعة الثانية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منشورات المطبعة الحيدرية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لمجد الدين محمد بن يعقوب الفيروزآبادي 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لأبي العباس عبد الله بن جعفر الحميري القمي، اصدار 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لأبي الفداء عماد الدين اسماعيل بن عمر بن كثير القرشي الدمشقي 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المسمى عرائس المجالس لأبي إسحاق أحمد بن محمد بن إبراهيم النيسابوري المعروف بالثعلبي 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الرائد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للشيخ أبي القاسم جعفر بن محمد بن قولويه 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وتعليق الشيخ ميرزا عبد الحسين الأميني التبريزي 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لعز الدين أبي الحسن علي بن أبي الكرم محمد بن محمد بن عبد الكريم بن عبد الواحد الشيباني المعروف بابن الأثير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السرائر لأبي عبد الله محمد بن إدريس العجلي الحلي الطبعة الثانية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من مصباح الفقيه للشيخ آقا رضا الهمداني مطبعة الحيدري من منشورات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الطبع القديم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الطهارة للشيخ مرتضى الأنصاري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الطبع القديم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عباد الله الطهراني والشيخ أحمد ناصح الطبعة الأولى المحققة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مسائل علي بن جعفر ومستدركاتها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مهر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الوافي لمحمد محسن بن الشاه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اصفهان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للفيض الكاشاني الطبع القديم منشورات مكتبة آية الله العظمى المرعشي النجفي، قم المقدسة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الهداية للشيخ الصدوق مطبوع في ضمن كتاب الجوامع الفقهية انتشارات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التنزيل وعيون الأقاويل في وجوه التأويل لأبي القاسم جار الله محمود بن عمر الزمخشري الخوارزمي 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لأبي الحسن علي بن عيسى بن أبي الفتح الإربلي تعليق السيد هاشم الرسولي المطبعة العلمية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للشيخ الصدوق تصحيح وتعليق علي أكبر غفاري مؤسسة النشر التابعة لجماعة المدرسين بقم ا لمشرفة، إيران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العرفان في فقه القرآن للشيخ جمال الدين المقداد بن عبد الله السيوري ت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لعلاء الدين المتقي بن حسام الدين الهندي 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لأبي الفتح محمد بن علي الكراجكي 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مصطفوي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لأبي الفضل جمال الدين محمد بن مكرم بن منظور المصري ت</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في فقه الإمامية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وتعليق السيد محمد تقي الكشفي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للشيخ فخر الدين ا لطريحي 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أحمد الحسيني الطبعة المحققة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للشيخ أبي علي الفضل بن الحسن الطبرسي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شركة المعارف الإسلامية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رضا الكلبيكاني الطبعة الثالثة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للشيخ أبي جعفر أحمد بن محمد بن خالد البرقي تصحيح وتعليق 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دار الكتب الإسلامية،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لأبي محمد علي بن أحمد بن سعيد بن حزم 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لجنة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للشيخ حسن بن سليمان الحلي انتشارات الرسول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لأبي منصور الحسن بن يوسف بن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النشر التابعة لجماعة المدرسين بقم المقدسة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الأحكام في شرح شرائع الإسلام للسيد محمد بن علي الموسوي العاملي ت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الأولى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الحرمين لأمير الحاج المصري إبراهيم رفعت باشا الطبعة الأولى مطبعة دار الكتب المصرية بالقاهرة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المراسم للشيخ أبي يعلى سلار بن عبد العزيز الديلمي مطبوع ضمن كتاب الجوامع الفقهية انتشارات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في شرح شرائع الإسلام للشيخ الشهيد زين الدين بن علي العاملي الجبعي 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ومستنبط المسائل للشيخ ميرزا حسين النوري الطبرسي ت</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المستطرفات لأبي عبد الله محمد بن إدريس العجلي الحلي المطبوع ضمن كتاب السرائر الطبعة الثانية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انتشارات المعارف الإسلامية </w:t>
      </w:r>
    </w:p>
    <w:p>
      <w:pPr>
        <w:pStyle w:val="BookText"/>
        <w:rPr/>
      </w:pPr>
      <w:r>
        <w:rPr>
          <w:rFonts w:ascii="Amiri" w:hAnsi="Amiri" w:eastAsia="Amiri" w:cs="Amiri"/>
          <w:color w:val="111111"/>
          <w:sz w:val="28"/>
          <w:sz w:val="28"/>
          <w:szCs w:val="28"/>
          <w:rtl w:val="true"/>
          <w:lang w:bidi="ar-SA"/>
        </w:rPr>
        <w:t>المطبعة العلية قم 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 العروة الوثقى للسيد محسن الطباطبائي الحكيم الطبعة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النجف الأشرف، دار الكتب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الشيعة في أحكام الشريعة للمولى أحمد بن المولى مهدي النراقي ت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العظمى المرعشي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الوثقى محاضرات زعيم الحوزة العلمية آية الله العظمى السيد أبي القاسم الخوئي للشيخ مرتضى البروجردي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مدرسة دار العلم المطبعة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مشيخة الفقيه شرح وترجمة وتعليق الشيخ محمد جعفر شمس الدين، دار التعارف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لأحمد بن محمد بن علي المقري الفيومي 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السابعة بالمطبعة الأميرية بالقاهرة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شرح ا لمختصر لنجم الدين أبي القاسم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مجمع الذخائر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وتفصيل طبقات الرواة للسيد أبي القاسم الخوئي الطبعة الخامسة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مفردات ألفاظ القرآن للعلامة الراغب الاصفهاني تحقيق نديم مرعشلي دار الكتاب العربي مطبعة التقدم العربي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لغة الفقهاء وضع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 محمد رواس قلعجه جي و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صادق قيبني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النفائس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 إخراج نخبة من الأساتذة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مجمع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العروة الوثقى 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آية الله العظمى الخوئي للسيد رضا الخلخالي منشورات مدرسة 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والشرح الكبير لموفق الدين أبي محمد عبد الله بن أحمد بن قدامة 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ولشمس الدين أبي الفرج عبد الرحمن بن أبي عمر محمد بن أحمد بن قدامة المقدسي 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للشيخ الصدوق تحقيق لجنة التحقيق التابعة لمؤسسة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اعتماد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للشيخ المفيد تحقيق ونشر مؤسسة النشر الإسلامي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مكيال المكارم في فوائد الدعاء للقائم للسيد ميرزا محمد تقي الاصفهاني الطبعة الثانية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لمرجع المسلمين زعيم الحوزة العلمية السيد أبي القاسم الموسوي الخوئي الطبعة التاسعة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في تاريخ الأمم والملوك لأبي الفرج عبد الرحمن بن علي بن محمد الجوزي 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وتحقيق محمد عبد القادر عطا ومصطفى عبد القادر عطا الطبعة الأولى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منتقى الجمان في الأحاديث الصحاح والحسان للشيخ جمال الدين أبي منصور الحسن بن زين الدين الشهيد 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جاويد</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في تحقيق المذهب للعلامة الحلي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الراغب في إيمان أبي طالب للشيخ محمد رضا الطبسي النجفي إشراف عماد الدين الطبسي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للشيخ الصدوق تصحيح وتعليق علي أكبر غفاري الطبعة الثانية منشورات جامعة المدرسين في الحوزة العلمية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للسيد أبي القاسم الخوئي الطبعة الثامنة والعشرون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في فقه الإمام الشافعي لأبي إسحاق إبراهيم بن علي بن يوسف الفيروزآبادي الشيرازي ت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للعلامة السيد محمد حسين الطباطبائي الطبعة الخامسة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الناصريات للسيد أبي القاسم علي بن الحسين بن موسى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ضمن كتاب الجوامع الفقهية انتشارات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شرح الشيخ محمد عبده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 دار التبليغ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ضبط وفهرسة الدكتور صبحي الصالح الطبعة الثانية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الكتاب اللبناني ومكتبة المدرسة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لمحمد بن علي بن محمد الشوكاني 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للشيخ محمد حسن الحر العاملي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 منشورات المكتبة الإسلامية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للشيخ عماد الدين أبي جعفر محمد بن علي بن حمزة الطوسي المشهدي مطبوع ضمن كتاب الجوامع الفقهية انتشارات جهان الطبع القديم</w:t>
      </w:r>
      <w:r>
        <w:rPr>
          <w:rFonts w:eastAsia="Amiri" w:cs="Amiri" w:ascii="Amiri" w:hAnsi="Amiri"/>
          <w:color w:val="111111"/>
          <w:sz w:val="28"/>
          <w:szCs w:val="28"/>
          <w:rtl w:val="true"/>
          <w:lang w:bidi="ar-SA"/>
        </w:rPr>
        <w:t xml:space="preserve">. </w:t>
      </w:r>
      <w:bookmarkStart w:id="430" w:name="pg16387_188624"/>
    </w:p>
    <w:p>
      <w:pPr>
        <w:pStyle w:val="Heading2"/>
        <w:numPr>
          <w:ilvl w:val="1"/>
          <w:numId w:val="1"/>
        </w:numPr>
        <w:rPr/>
      </w:pPr>
      <w:bookmarkStart w:id="431" w:name="__RefHeading___Toc6877933_1280447820"/>
      <w:bookmarkStart w:id="432" w:name="_Toc144"/>
      <w:bookmarkEnd w:id="430"/>
      <w:bookmarkEnd w:id="431"/>
      <w:r>
        <w:rPr>
          <w:rtl w:val="true"/>
        </w:rPr>
        <w:t>فهرس المحتويات الکتاب</w:t>
      </w:r>
      <w:bookmarkEnd w:id="432"/>
    </w:p>
    <w:p>
      <w:pPr>
        <w:pStyle w:val="BookText"/>
        <w:rPr/>
      </w:pPr>
      <w:r>
        <w:rPr>
          <w:rFonts w:ascii="IRNazanin" w:hAnsi="IRNazanin" w:eastAsia="IRNazanin"/>
          <w:color w:val="111111"/>
          <w:sz w:val="28"/>
          <w:sz w:val="28"/>
          <w:szCs w:val="28"/>
          <w:rtl w:val="true"/>
          <w:lang w:bidi="fa-IR"/>
        </w:rPr>
        <w:t>کلمة الشیخ الاستاد دام الظله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التقية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قبل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التقية في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التقية في زمان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التقية في زمان يوسف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التقية في زمان موسى الكليم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امرأة مؤمن آل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آسية بنت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مؤمن آخر من بني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وأصحاب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التقية في زمان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بعد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المرحلة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أقوال العلماء في إيمان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 والتقية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المرحلة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صور من الظلم والمعاناة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شبهات مغرضة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التقية في الفقه الإمامي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المدخل التقية وأدلتها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التقية في اللغة والاصطلاح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أدلة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منقولاً ومحصّلاً، قولاً وعملاً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الفصل الأول التقية في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التقية في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المقام الثالث في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التقية في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بقي أمران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وها هنا مسألتان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الفصل الثاني التقية في فروع الدين التي لا يشترط فيها قصد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الكافرين 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وها هنا مسألتان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حرمة التولي مطلقة أو مقيدة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حرمة الموالاة للكافر مشروطة بالاتخاذ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التسليم على الكفار ابتداء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إطعام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الكفار إلى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التقية مع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وها هنا مبحثان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التقية مع الكافر عدم المندوحة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المرفوع بالنسبة الى التقية مع الكافر هو الحكم التكليف أو يشمل الحكم الوضعي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أقسام التقية مع الكافر والمخالف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والخوف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المورد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الكتمان عن الكافر والمخالف وغيرهما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متعلق الكتمان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الكتمان عن مطلق المخالفين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الكتمان من جهة الخوف فقط أو يشمل المداراة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المورد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في تسمية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الحرمة بذكر الاسم الشريف للغير أو انها مطلقة فيشمل الذكر للنفس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تشمل الحرمة كتابة الاسم الشريف أو أنها تختص بالتلفظ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الحرمة بالاسم أو تعم الكنية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الاسم والكنية في المولود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الاسم المعلن والاسم الخفي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وجه الحكمة لحرمة التسمية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 فروع الدين المشروطة بقصد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التقية 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التحقيق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يستفاد من الروايات ورفع التنافي فيما بينها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المسألة حال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المسألة حال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الرأس كلاًّ أو بعضاً مع الأذنين أو بدونهما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 على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الإتيان بالمسح على جميع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الأذنين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المسألة حال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الرجلين أو مسحهما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كثير من العامة بدلالة الآية على المسح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عدة من الصحابة الى القول بالمسح وقراءتهم الآية بالجر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المسألة حال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الرأس والرجلين بنفس ماء الوضوء أو بماء مستأنف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الاصول العملية واللفظية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المسألة حال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 على البشرة وجوازه على الحائل خفاً كان أو غيره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الاصول العملية واللفظية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المسألة حال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اقتضت التقية المسح على الخفين فهل يحكم بصحة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اقتضت التقية المسح على الخفين وخالف المكلف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التقية في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الأدلة من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الجمع بين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نسب إلى المحقق البهبهاني من الملازمة بين الطلوع والغروب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الافتراء على الشيعة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الادلة بالنسبة إلى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التقية في الصلاة خلف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خلف المخالف 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خلف المخالف لا تعد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من قراءة الفاتحة فهل يجزيه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الجهر بالقراءة حال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تلحق طوائف الشيعة الأخرى غير الامامية بالمخالفين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الحضور في جماعة الفرقة الحقة مع عدم احراز الشرائط جائز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مسائل التقية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بالبسملة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البسملة آية 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الجهر والاخفات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الموضع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القول بالوجوب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المسألة بالتقية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التأمين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التحقيق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المستفاد من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على غير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الحكم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على القطن والكنان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ارتباط المسألة بالتقية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التربة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الوارد في بعض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التقية في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المستفاد من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بجواز الافطار أو وجوبه مختص بعدم المندوحة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في الافطار على ما تتوقف عليه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افطر تقية ثم افطر اختياراً فهل تجب الكفارة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التقية في الحج وفيها مسألتان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التظليل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التظليل حال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تكرر الكفارة بتكرر الفعل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عرفات والمشعر ومنى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على لزوم الاتيان بالاعمال الخاصة في أوقاتها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يمكن أن يستدل به على الاجزاء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خالف ما تقتضيه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يترك المكلف متابعتهم ولا يأتي بالموقف رأساً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يترك المتابعة ويأتي بالموقف مخالفاً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المكلف بالخلاف وبيان الحكم التكليفي والوضعي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التقية في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المستحقين ومحل الكلام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تقتضيه الادلة بالنسبة للتقية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بيروت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بيروت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التقية الحديث </w:t>
      </w:r>
      <w:r>
        <w:rPr>
          <w:rFonts w:eastAsia="IRNazanin" w:cs="IRNazanin"/>
          <w:b w:val="false"/>
          <w:bCs w:val="false"/>
          <w:i w:val="false"/>
          <w:iCs w:val="false"/>
          <w:color w:val="333333"/>
          <w:sz w:val="20"/>
          <w:szCs w:val="20"/>
        </w:rPr>
        <w:t>31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الاستقامة بالقاهرة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والملوك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بيروت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بيروت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من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الآية </w:t>
      </w:r>
      <w:r>
        <w:rPr>
          <w:rFonts w:eastAsia="IRNazanin" w:cs="IRNazanin"/>
          <w:b w:val="false"/>
          <w:bCs w:val="false"/>
          <w:i w:val="false"/>
          <w:iCs w:val="false"/>
          <w:color w:val="333333"/>
          <w:sz w:val="20"/>
          <w:szCs w:val="20"/>
        </w:rPr>
        <w:t>62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كتاب بدء الخلق باب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وَاتَّخَذَ اللهُ إِبْرَاهِيمَ خَلِيلاً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استانبول افست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 وروى مسلم في صحيحه نحوه لاحظ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إبراهيم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الفضائل طبع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أوردنا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رواية الطبري التالية للاستشهاد على المفروغية عن مشروعية التقية عند العامة، وأن كبار محدثيهم ومؤرخيهم قد رووا بعض ما يتعلق بالتقية في صحاحهم، ولا معنى بعد هذا للتشنيع والتحامل على الشيعة في موضوع متفق عليه بين الطرفين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المسمى 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التراث</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الاستقامة بالقاهرة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والملوك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الاستقامة بالقاهرة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المسمى 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الإسلامية طهران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المسمى 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الخامسة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الميمنية مصر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المسمى 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قم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المسمى 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المسمى 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التقية الحديث </w:t>
      </w:r>
      <w:r>
        <w:rPr>
          <w:rFonts w:eastAsia="IRNazanin" w:cs="IRNazanin"/>
          <w:b w:val="false"/>
          <w:bCs w:val="false"/>
          <w:i w:val="false"/>
          <w:iCs w:val="false"/>
          <w:color w:val="333333"/>
          <w:sz w:val="20"/>
          <w:szCs w:val="20"/>
        </w:rPr>
        <w:t>40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شركة المعارف الإسلامية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المسمى 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المسمى 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شركة المعارف الإسلامية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 المحققة</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المسمى 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التقية الحديث </w:t>
      </w:r>
      <w:r>
        <w:rPr>
          <w:rFonts w:eastAsia="IRNazanin" w:cs="IRNazanin"/>
          <w:b w:val="false"/>
          <w:bCs w:val="false"/>
          <w:i w:val="false"/>
          <w:iCs w:val="false"/>
          <w:color w:val="333333"/>
          <w:sz w:val="20"/>
          <w:szCs w:val="20"/>
        </w:rPr>
        <w:t>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الكراجكي في كنز الفوائد أن أبا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لابنه جعفر وقد أمره بالصلاة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صل جناح ابن عمك، فلما أجابه قال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الراغب في إيمان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الكتب العربية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الراغب في إيمان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ابن أبي الحديد في شرح النهج باختلاف يسير راجع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الكتب العربية</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النساء الطبع القديم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بسنده عن عبد الله بن مسكان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بنت أسد جاءت إلى أبي طالب لتبشره بمولد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اصبري سبتاً أبشرك بمثله إلاّ النبوة،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 ثلاثون سنة، وكان 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أمير المؤمنين صلوات الله عليه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الرواية من لطائف الدلالات ما لا يخفى</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الرواية مفصلة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أمير المؤمنين صلوات الله عليه الحديث </w:t>
      </w:r>
      <w:r>
        <w:rPr>
          <w:rFonts w:eastAsia="IRNazanin" w:cs="IRNazanin"/>
          <w:b w:val="false"/>
          <w:bCs w:val="false"/>
          <w:i w:val="false"/>
          <w:iCs w:val="false"/>
          <w:color w:val="333333"/>
          <w:sz w:val="20"/>
          <w:szCs w:val="20"/>
        </w:rPr>
        <w:t>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الإسلامية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ابن أبي الحديد في شرح النهج باختلاف يسير راجع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الكتب العربية</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على الذاهب إلى تكفير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الطبعة الثالثة ص </w:t>
      </w:r>
      <w:r>
        <w:rPr>
          <w:rFonts w:eastAsia="IRNazanin" w:cs="IRNazanin"/>
          <w:b w:val="false"/>
          <w:bCs w:val="false"/>
          <w:i w:val="false"/>
          <w:iCs w:val="false"/>
          <w:color w:val="333333"/>
          <w:sz w:val="20"/>
          <w:szCs w:val="20"/>
        </w:rPr>
        <w:t>16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على المذاهب إلى تكفير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الطبعة الثالثة ص </w:t>
      </w:r>
      <w:r>
        <w:rPr>
          <w:rFonts w:eastAsia="IRNazanin" w:cs="IRNazanin"/>
          <w:b w:val="false"/>
          <w:bCs w:val="false"/>
          <w:i w:val="false"/>
          <w:iCs w:val="false"/>
          <w:color w:val="333333"/>
          <w:sz w:val="20"/>
          <w:szCs w:val="20"/>
        </w:rPr>
        <w:t>22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الراغب في إيمان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الراغب في إيمان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الانتقال الصعب في المذهب والمعتقد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النخيل للطباعة والنشر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الحمرا</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دار إحياء التراث العربي</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سكوت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حقه في الخلافة مدة طويلة، وفي قضية التحكيم بعد معركة النهروان، وفي صلح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معاوية بن أبي سفيان، وفي سكوت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شهادة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زمان معاوية، وفي ولاية العهد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القضايا والأحداث التي عاشها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الصديقة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كشف الغمة في معرفة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قم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الحوار مع المستشرق كوربان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 المترجمة</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العربية</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وَقَلِيلٌ مِنْ عِبَادِي الشَّكُورُ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الَّذِينَ آمَنُوا وَعَمِلُوا الصَّالِحَاتِ وَقَلِيلٌ مَا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آمَنَ مَعَهُ إِلاَّ 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من الآيات</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فِي ذَلِكَ لآيَةً وَمَا كَانَ أَكْثَرُهُمْ 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جِئْنَاكُمْ بِالْحَقِّ وَلَكِنَّ أَكْثَرَكُمْ لِلْحَقِّ كَارِهُونَ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وَجَدْنَا لأَكْثَرِهِمْ مِنْ عَهْدٍ وَإِنْ وَجَدْنَا أَكْثَرَهُمْ لَفَاسِقِينَ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كثير</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تفاصيل القضية ومصادرها الشيعية والسنية في 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 المحققة</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الخامسة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عدة مصادر</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الإسلامية نقلاً عن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تنسب الدولة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تأسست سنة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عثمان الأول بن طغرل مؤسس السلالة العثمانية وكانوا أول أمرهم أمراء على البلاد التركية ثمّ استقلوا بالخلافة سنة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مكتبة بصيرتي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الثانية</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التقية وهي مطبوعة ضمن كتاب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الثانية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شركة المعارف الإسلامية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الإسلامية</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الإسلامية</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مطلع الكتاب حديث ضاف حول نشأة التقية في التاريخ فراجع</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إلى ذلك في مقدمة الكتاب فراجع</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الحديث </w:t>
      </w:r>
      <w:r>
        <w:rPr>
          <w:rFonts w:eastAsia="IRNazanin" w:cs="IRNazanin"/>
          <w:b w:val="false"/>
          <w:bCs w:val="false"/>
          <w:i w:val="false"/>
          <w:iCs w:val="false"/>
          <w:color w:val="333333"/>
          <w:sz w:val="20"/>
          <w:szCs w:val="20"/>
        </w:rPr>
        <w:t>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كتاب مصابيح الظلم باب التقية الحديث </w:t>
      </w:r>
      <w:r>
        <w:rPr>
          <w:rFonts w:eastAsia="IRNazanin" w:cs="IRNazanin"/>
          <w:b w:val="false"/>
          <w:bCs w:val="false"/>
          <w:i w:val="false"/>
          <w:iCs w:val="false"/>
          <w:color w:val="333333"/>
          <w:sz w:val="20"/>
          <w:szCs w:val="20"/>
        </w:rPr>
        <w:t>307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الحديث </w:t>
      </w:r>
      <w:r>
        <w:rPr>
          <w:rFonts w:eastAsia="IRNazanin" w:cs="IRNazanin"/>
          <w:b w:val="false"/>
          <w:bCs w:val="false"/>
          <w:i w:val="false"/>
          <w:iCs w:val="false"/>
          <w:color w:val="333333"/>
          <w:sz w:val="20"/>
          <w:szCs w:val="20"/>
        </w:rPr>
        <w:t>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الاحاديث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التقية مع الخوفي في كل 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الخامسة وأصول علم الرجال بين النظرية والتطبيق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أوردت الرواية، ولعل الصحيح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التكلم لا الخطاب</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الحديث </w:t>
      </w:r>
      <w:r>
        <w:rPr>
          <w:rFonts w:eastAsia="IRNazanin" w:cs="IRNazanin"/>
          <w:b w:val="false"/>
          <w:bCs w:val="false"/>
          <w:i w:val="false"/>
          <w:iCs w:val="false"/>
          <w:color w:val="333333"/>
          <w:sz w:val="20"/>
          <w:szCs w:val="20"/>
        </w:rPr>
        <w:t>15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التحريم ص </w:t>
      </w:r>
      <w:r>
        <w:rPr>
          <w:rFonts w:eastAsia="IRNazanin" w:cs="IRNazanin"/>
          <w:b w:val="false"/>
          <w:bCs w:val="false"/>
          <w:i w:val="false"/>
          <w:iCs w:val="false"/>
          <w:color w:val="333333"/>
          <w:sz w:val="20"/>
          <w:szCs w:val="20"/>
        </w:rPr>
        <w:t>319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التقية المطبوعة ضمن كتاب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الحديث </w:t>
      </w:r>
      <w:r>
        <w:rPr>
          <w:rFonts w:eastAsia="IRNazanin" w:cs="IRNazanin"/>
          <w:b w:val="false"/>
          <w:bCs w:val="false"/>
          <w:i w:val="false"/>
          <w:iCs w:val="false"/>
          <w:color w:val="333333"/>
          <w:sz w:val="20"/>
          <w:szCs w:val="20"/>
        </w:rPr>
        <w:t>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بصيرتي</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ذيل الحديث </w:t>
      </w:r>
      <w:r>
        <w:rPr>
          <w:rFonts w:eastAsia="IRNazanin" w:cs="IRNazanin"/>
          <w:b w:val="false"/>
          <w:bCs w:val="false"/>
          <w:i w:val="false"/>
          <w:iCs w:val="false"/>
          <w:color w:val="333333"/>
          <w:sz w:val="20"/>
          <w:szCs w:val="20"/>
        </w:rPr>
        <w:t>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الكاملة المحققة</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الحديث </w:t>
      </w:r>
      <w:r>
        <w:rPr>
          <w:rFonts w:eastAsia="IRNazanin" w:cs="IRNazanin"/>
          <w:b w:val="false"/>
          <w:bCs w:val="false"/>
          <w:i w:val="false"/>
          <w:iCs w:val="false"/>
          <w:color w:val="333333"/>
          <w:sz w:val="20"/>
          <w:szCs w:val="20"/>
        </w:rPr>
        <w:t>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الحديث </w:t>
      </w:r>
      <w:r>
        <w:rPr>
          <w:rFonts w:eastAsia="IRNazanin" w:cs="IRNazanin"/>
          <w:b w:val="false"/>
          <w:bCs w:val="false"/>
          <w:i w:val="false"/>
          <w:iCs w:val="false"/>
          <w:color w:val="333333"/>
          <w:sz w:val="20"/>
          <w:szCs w:val="20"/>
        </w:rPr>
        <w:t>13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بصيرتي</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الحديث </w:t>
      </w:r>
      <w:r>
        <w:rPr>
          <w:rFonts w:eastAsia="IRNazanin" w:cs="IRNazanin"/>
          <w:b w:val="false"/>
          <w:bCs w:val="false"/>
          <w:i w:val="false"/>
          <w:iCs w:val="false"/>
          <w:color w:val="333333"/>
          <w:sz w:val="20"/>
          <w:szCs w:val="20"/>
        </w:rPr>
        <w:t>11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الحديث </w:t>
      </w:r>
      <w:r>
        <w:rPr>
          <w:rFonts w:eastAsia="IRNazanin" w:cs="IRNazanin"/>
          <w:b w:val="false"/>
          <w:bCs w:val="false"/>
          <w:i w:val="false"/>
          <w:iCs w:val="false"/>
          <w:color w:val="333333"/>
          <w:sz w:val="20"/>
          <w:szCs w:val="20"/>
        </w:rPr>
        <w:t>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أبواب المائة فما فوقه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كتاب مصابيح الظلم باب الحب والبغض في الله الحديث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ذيل الحديث </w:t>
      </w:r>
      <w:r>
        <w:rPr>
          <w:rFonts w:eastAsia="IRNazanin" w:cs="IRNazanin"/>
          <w:b w:val="false"/>
          <w:bCs w:val="false"/>
          <w:i w:val="false"/>
          <w:iCs w:val="false"/>
          <w:color w:val="333333"/>
          <w:sz w:val="20"/>
          <w:szCs w:val="20"/>
        </w:rPr>
        <w:t>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ذيل الحديث </w:t>
      </w:r>
      <w:r>
        <w:rPr>
          <w:rFonts w:eastAsia="IRNazanin" w:cs="IRNazanin"/>
          <w:b w:val="false"/>
          <w:bCs w:val="false"/>
          <w:i w:val="false"/>
          <w:iCs w:val="false"/>
          <w:color w:val="333333"/>
          <w:sz w:val="20"/>
          <w:szCs w:val="20"/>
        </w:rPr>
        <w:t>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الحديث </w:t>
      </w:r>
      <w:r>
        <w:rPr>
          <w:rFonts w:eastAsia="IRNazanin" w:cs="IRNazanin"/>
          <w:b w:val="false"/>
          <w:bCs w:val="false"/>
          <w:i w:val="false"/>
          <w:iCs w:val="false"/>
          <w:color w:val="333333"/>
          <w:sz w:val="20"/>
          <w:szCs w:val="20"/>
        </w:rPr>
        <w:t>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الحديث </w:t>
      </w:r>
      <w:r>
        <w:rPr>
          <w:rFonts w:eastAsia="IRNazanin" w:cs="IRNazanin"/>
          <w:b w:val="false"/>
          <w:bCs w:val="false"/>
          <w:i w:val="false"/>
          <w:iCs w:val="false"/>
          <w:color w:val="333333"/>
          <w:sz w:val="20"/>
          <w:szCs w:val="20"/>
        </w:rPr>
        <w:t>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الحديث </w:t>
      </w:r>
      <w:r>
        <w:rPr>
          <w:rFonts w:eastAsia="IRNazanin" w:cs="IRNazanin"/>
          <w:b w:val="false"/>
          <w:bCs w:val="false"/>
          <w:i w:val="false"/>
          <w:iCs w:val="false"/>
          <w:color w:val="333333"/>
          <w:sz w:val="20"/>
          <w:szCs w:val="20"/>
        </w:rPr>
        <w:t>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السادس في البحث حول وجوب إزالة النجاسة</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نوادر البزنطي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من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 دار الكتب الإسلامية</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القارىء شرح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في ترتيب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الطبعة الأولى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لجنة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الآفاق الجديدة، بيروت لبنان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مؤسسة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منشورات جماعة المدرسين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إحياء التراث العربي</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النجف</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نشر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والسنن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حذيفة بن اليمان ص </w:t>
      </w:r>
      <w:r>
        <w:rPr>
          <w:rFonts w:eastAsia="IRNazanin" w:cs="IRNazanin"/>
          <w:b w:val="false"/>
          <w:bCs w:val="false"/>
          <w:i w:val="false"/>
          <w:iCs w:val="false"/>
          <w:color w:val="333333"/>
          <w:sz w:val="20"/>
          <w:szCs w:val="20"/>
        </w:rPr>
        <w:t>427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بئر بضاعة ص </w:t>
      </w:r>
      <w:r>
        <w:rPr>
          <w:rFonts w:eastAsia="IRNazanin" w:cs="IRNazanin"/>
          <w:b w:val="false"/>
          <w:bCs w:val="false"/>
          <w:i w:val="false"/>
          <w:iCs w:val="false"/>
          <w:color w:val="333333"/>
          <w:sz w:val="20"/>
          <w:szCs w:val="20"/>
        </w:rPr>
        <w:t>174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الطهارة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وسننها الحديث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الطهارة الحديث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سؤر الحمار</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الطهارة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وسننها الحديث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الجيل</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الحديث </w:t>
      </w:r>
      <w:r>
        <w:rPr>
          <w:rFonts w:eastAsia="IRNazanin" w:cs="IRNazanin"/>
          <w:b w:val="false"/>
          <w:bCs w:val="false"/>
          <w:i w:val="false"/>
          <w:iCs w:val="false"/>
          <w:color w:val="333333"/>
          <w:sz w:val="20"/>
          <w:szCs w:val="20"/>
        </w:rPr>
        <w:t>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الحديث </w:t>
      </w:r>
      <w:r>
        <w:rPr>
          <w:rFonts w:eastAsia="IRNazanin" w:cs="IRNazanin"/>
          <w:b w:val="false"/>
          <w:bCs w:val="false"/>
          <w:i w:val="false"/>
          <w:iCs w:val="false"/>
          <w:color w:val="333333"/>
          <w:sz w:val="20"/>
          <w:szCs w:val="20"/>
        </w:rPr>
        <w:t>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الحديث </w:t>
      </w:r>
      <w:r>
        <w:rPr>
          <w:rFonts w:eastAsia="IRNazanin" w:cs="IRNazanin"/>
          <w:b w:val="false"/>
          <w:bCs w:val="false"/>
          <w:i w:val="false"/>
          <w:iCs w:val="false"/>
          <w:color w:val="333333"/>
          <w:sz w:val="20"/>
          <w:szCs w:val="20"/>
        </w:rPr>
        <w:t>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الحديث </w:t>
      </w:r>
      <w:r>
        <w:rPr>
          <w:rFonts w:eastAsia="IRNazanin" w:cs="IRNazanin"/>
          <w:b w:val="false"/>
          <w:bCs w:val="false"/>
          <w:i w:val="false"/>
          <w:iCs w:val="false"/>
          <w:color w:val="333333"/>
          <w:sz w:val="20"/>
          <w:szCs w:val="20"/>
        </w:rPr>
        <w:t>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الحديث </w:t>
      </w:r>
      <w:r>
        <w:rPr>
          <w:rFonts w:eastAsia="IRNazanin" w:cs="IRNazanin"/>
          <w:b w:val="false"/>
          <w:bCs w:val="false"/>
          <w:i w:val="false"/>
          <w:iCs w:val="false"/>
          <w:color w:val="333333"/>
          <w:sz w:val="20"/>
          <w:szCs w:val="20"/>
        </w:rPr>
        <w:t>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التقدم العربي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شركة المعارف الإسلامية</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العلمية الإسلامية</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الثانية</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يصلي في الثوب وهو غير طاهر عالماً أو جاهلاً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الكتب الإسلامية الطبعة الثانية</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تطهير الثياب وغيرها من النجاسات دار الكتب الإسلامية الطبعة الرابعة</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الثانية</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الحديث </w:t>
      </w:r>
      <w:r>
        <w:rPr>
          <w:rFonts w:eastAsia="IRNazanin" w:cs="IRNazanin"/>
          <w:b w:val="false"/>
          <w:bCs w:val="false"/>
          <w:i w:val="false"/>
          <w:iCs w:val="false"/>
          <w:color w:val="333333"/>
          <w:sz w:val="20"/>
          <w:szCs w:val="20"/>
        </w:rPr>
        <w:t>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ذيل الحديث </w:t>
      </w:r>
      <w:r>
        <w:rPr>
          <w:rFonts w:eastAsia="IRNazanin" w:cs="IRNazanin"/>
          <w:b w:val="false"/>
          <w:bCs w:val="false"/>
          <w:i w:val="false"/>
          <w:iCs w:val="false"/>
          <w:color w:val="333333"/>
          <w:sz w:val="20"/>
          <w:szCs w:val="20"/>
        </w:rPr>
        <w:t>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الحديث </w:t>
      </w:r>
      <w:r>
        <w:rPr>
          <w:rFonts w:eastAsia="IRNazanin" w:cs="IRNazanin"/>
          <w:b w:val="false"/>
          <w:bCs w:val="false"/>
          <w:i w:val="false"/>
          <w:iCs w:val="false"/>
          <w:color w:val="333333"/>
          <w:sz w:val="20"/>
          <w:szCs w:val="20"/>
        </w:rPr>
        <w:t>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الطهارة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الثانية</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 البزنطي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مؤسسة آل البيت 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ذيل الحديث </w:t>
      </w:r>
      <w:r>
        <w:rPr>
          <w:rFonts w:eastAsia="IRNazanin" w:cs="IRNazanin"/>
          <w:b w:val="false"/>
          <w:bCs w:val="false"/>
          <w:i w:val="false"/>
          <w:iCs w:val="false"/>
          <w:color w:val="333333"/>
          <w:sz w:val="20"/>
          <w:szCs w:val="20"/>
        </w:rPr>
        <w:t>9</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مرسلة عن الصدوق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الحديث </w:t>
      </w:r>
      <w:r>
        <w:rPr>
          <w:rFonts w:eastAsia="IRNazanin" w:cs="IRNazanin"/>
          <w:b w:val="false"/>
          <w:bCs w:val="false"/>
          <w:i w:val="false"/>
          <w:iCs w:val="false"/>
          <w:color w:val="333333"/>
          <w:sz w:val="20"/>
          <w:szCs w:val="20"/>
        </w:rPr>
        <w:t>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ذيل الحديث </w:t>
      </w:r>
      <w:r>
        <w:rPr>
          <w:rFonts w:eastAsia="IRNazanin" w:cs="IRNazanin"/>
          <w:b w:val="false"/>
          <w:bCs w:val="false"/>
          <w:i w:val="false"/>
          <w:iCs w:val="false"/>
          <w:color w:val="333333"/>
          <w:sz w:val="20"/>
          <w:szCs w:val="20"/>
        </w:rPr>
        <w:t>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في النجف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في النجف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المكاسب الحديث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ما رواه عمار بن موسى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مات رجل مسلم وليس معه رجل مسلم ولا امرأة مسلمة من ذوي قرابته ومعه رجال نصارى ونساء مسلمات ليس بينه وبينهن قرابة؟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يغتسل النصارى ثمّ يغسلونه فقد اضطر، وعن المرأة المسلمة تموت وليس معها امرأة مسلمة ولا رجل مسلم من ذوي قرابتها ومعها نصرانية ورجال مسلمون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بينها وبينهم قرابة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تغتسل النصرانية ثمّ تغسلها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صحيحة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اليهودية والنصرانية والمجوسية أحبّ إليّ من ولد الزنا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معتبرة ابن القداح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بأمهات الأولاد فإن في أرحامهم 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الروايات الكثيرة</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صحيحة زرارة قال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يتزوج اليهودية والنصرانية متعة وعنده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المكاسب الحديث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الحديث </w:t>
      </w:r>
      <w:r>
        <w:rPr>
          <w:rFonts w:eastAsia="IRNazanin" w:cs="IRNazanin"/>
          <w:b w:val="false"/>
          <w:bCs w:val="false"/>
          <w:i w:val="false"/>
          <w:iCs w:val="false"/>
          <w:color w:val="333333"/>
          <w:sz w:val="20"/>
          <w:szCs w:val="20"/>
        </w:rPr>
        <w:t>19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الحديث </w:t>
      </w:r>
      <w:r>
        <w:rPr>
          <w:rFonts w:eastAsia="IRNazanin" w:cs="IRNazanin"/>
          <w:b w:val="false"/>
          <w:bCs w:val="false"/>
          <w:i w:val="false"/>
          <w:iCs w:val="false"/>
          <w:color w:val="333333"/>
          <w:sz w:val="20"/>
          <w:szCs w:val="20"/>
        </w:rPr>
        <w:t>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الحديث </w:t>
      </w:r>
      <w:r>
        <w:rPr>
          <w:rFonts w:eastAsia="IRNazanin" w:cs="IRNazanin"/>
          <w:b w:val="false"/>
          <w:bCs w:val="false"/>
          <w:i w:val="false"/>
          <w:iCs w:val="false"/>
          <w:color w:val="333333"/>
          <w:sz w:val="20"/>
          <w:szCs w:val="20"/>
        </w:rPr>
        <w:t>12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الحديث </w:t>
      </w:r>
      <w:r>
        <w:rPr>
          <w:rFonts w:eastAsia="IRNazanin" w:cs="IRNazanin"/>
          <w:b w:val="false"/>
          <w:bCs w:val="false"/>
          <w:i w:val="false"/>
          <w:iCs w:val="false"/>
          <w:color w:val="333333"/>
          <w:sz w:val="20"/>
          <w:szCs w:val="20"/>
        </w:rPr>
        <w:t>21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التقية المطبوعة ضمن كتاب المكاسب الطبع القديم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الحديث </w:t>
      </w:r>
      <w:r>
        <w:rPr>
          <w:rFonts w:eastAsia="IRNazanin" w:cs="IRNazanin"/>
          <w:b w:val="false"/>
          <w:bCs w:val="false"/>
          <w:i w:val="false"/>
          <w:iCs w:val="false"/>
          <w:color w:val="333333"/>
          <w:sz w:val="20"/>
          <w:szCs w:val="20"/>
        </w:rPr>
        <w:t>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كتاب المآكل الحديث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من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الحديث </w:t>
      </w:r>
      <w:r>
        <w:rPr>
          <w:rFonts w:eastAsia="IRNazanin" w:cs="IRNazanin"/>
          <w:b w:val="false"/>
          <w:bCs w:val="false"/>
          <w:i w:val="false"/>
          <w:iCs w:val="false"/>
          <w:color w:val="333333"/>
          <w:sz w:val="20"/>
          <w:szCs w:val="20"/>
        </w:rPr>
        <w:t>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الحديث </w:t>
      </w:r>
      <w:r>
        <w:rPr>
          <w:rFonts w:eastAsia="IRNazanin" w:cs="IRNazanin"/>
          <w:b w:val="false"/>
          <w:bCs w:val="false"/>
          <w:i w:val="false"/>
          <w:iCs w:val="false"/>
          <w:color w:val="333333"/>
          <w:sz w:val="20"/>
          <w:szCs w:val="20"/>
        </w:rPr>
        <w:t>12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الحديث </w:t>
      </w:r>
      <w:r>
        <w:rPr>
          <w:rFonts w:eastAsia="IRNazanin" w:cs="IRNazanin"/>
          <w:b w:val="false"/>
          <w:bCs w:val="false"/>
          <w:i w:val="false"/>
          <w:iCs w:val="false"/>
          <w:color w:val="333333"/>
          <w:sz w:val="20"/>
          <w:szCs w:val="20"/>
        </w:rPr>
        <w:t>16</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الحديث </w:t>
      </w:r>
      <w:r>
        <w:rPr>
          <w:rFonts w:eastAsia="IRNazanin" w:cs="IRNazanin"/>
          <w:b w:val="false"/>
          <w:bCs w:val="false"/>
          <w:i w:val="false"/>
          <w:iCs w:val="false"/>
          <w:color w:val="333333"/>
          <w:sz w:val="20"/>
          <w:szCs w:val="20"/>
        </w:rPr>
        <w:t>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الأولى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الحديث </w:t>
      </w:r>
      <w:r>
        <w:rPr>
          <w:rFonts w:eastAsia="IRNazanin" w:cs="IRNazanin"/>
          <w:b w:val="false"/>
          <w:bCs w:val="false"/>
          <w:i w:val="false"/>
          <w:iCs w:val="false"/>
          <w:color w:val="333333"/>
          <w:sz w:val="20"/>
          <w:szCs w:val="20"/>
        </w:rPr>
        <w:t>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التقية المطبوعة ضمن كتاب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الصدوق طهران مطبعة الحيدري</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كتاب مصابيح الظلم الحديث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التقية المطبوعة ضمن كتاب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6</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الثانية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الإسلامية</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تعيين موضع المسح ومقداره للرجال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الحديث </w:t>
      </w:r>
      <w:r>
        <w:rPr>
          <w:rFonts w:eastAsia="IRNazanin" w:cs="IRNazanin"/>
          <w:b w:val="false"/>
          <w:bCs w:val="false"/>
          <w:i w:val="false"/>
          <w:iCs w:val="false"/>
          <w:color w:val="333333"/>
          <w:sz w:val="20"/>
          <w:szCs w:val="20"/>
        </w:rPr>
        <w:t>14</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الاسلامية</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19</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9</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11</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3</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16</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باب في كتمان الحديث وإذاعته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التقية الحديث </w:t>
      </w:r>
      <w:r>
        <w:rPr>
          <w:rFonts w:eastAsia="IRNazanin" w:cs="IRNazanin"/>
          <w:b w:val="false"/>
          <w:bCs w:val="false"/>
          <w:i w:val="false"/>
          <w:iCs w:val="false"/>
          <w:color w:val="333333"/>
          <w:sz w:val="20"/>
          <w:szCs w:val="20"/>
        </w:rPr>
        <w:t>36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الباب تجد فيه روايات أخرى في هذا المعنى</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20</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التقية الحديث </w:t>
      </w:r>
      <w:r>
        <w:rPr>
          <w:rFonts w:eastAsia="IRNazanin" w:cs="IRNazanin"/>
          <w:b w:val="false"/>
          <w:bCs w:val="false"/>
          <w:i w:val="false"/>
          <w:iCs w:val="false"/>
          <w:color w:val="333333"/>
          <w:sz w:val="20"/>
          <w:szCs w:val="20"/>
        </w:rPr>
        <w:t>10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ورد في كتم الدين عن غير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بصيرتي</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والخمسون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تسمية القائم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648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ص </w:t>
      </w:r>
      <w:r>
        <w:rPr>
          <w:rFonts w:eastAsia="IRNazanin" w:cs="IRNazanin"/>
          <w:b w:val="false"/>
          <w:bCs w:val="false"/>
          <w:i w:val="false"/>
          <w:iCs w:val="false"/>
          <w:color w:val="333333"/>
          <w:sz w:val="20"/>
          <w:szCs w:val="20"/>
        </w:rPr>
        <w:t>287</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مؤسسة مهدية ميرداماد</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في فوائد الدعاء للقائم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التسمية ص </w:t>
      </w:r>
      <w:r>
        <w:rPr>
          <w:rFonts w:eastAsia="IRNazanin" w:cs="IRNazanin"/>
          <w:b w:val="false"/>
          <w:bCs w:val="false"/>
          <w:i w:val="false"/>
          <w:iCs w:val="false"/>
          <w:color w:val="333333"/>
          <w:sz w:val="20"/>
          <w:szCs w:val="20"/>
        </w:rPr>
        <w:t>32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والنهي عن المنكر الحديث</w:t>
      </w:r>
      <w:r>
        <w:rPr>
          <w:rFonts w:eastAsia="IRNazanin" w:cs="IRNazanin"/>
          <w:b w:val="false"/>
          <w:bCs w:val="false"/>
          <w:i w:val="false"/>
          <w:iCs w:val="false"/>
          <w:color w:val="333333"/>
          <w:sz w:val="20"/>
          <w:szCs w:val="20"/>
        </w:rPr>
        <w:t>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التقية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التقية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17</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19</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8</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التسمية ص </w:t>
      </w:r>
      <w:r>
        <w:rPr>
          <w:rFonts w:eastAsia="IRNazanin" w:cs="IRNazanin"/>
          <w:b w:val="false"/>
          <w:bCs w:val="false"/>
          <w:i w:val="false"/>
          <w:iCs w:val="false"/>
          <w:color w:val="333333"/>
          <w:sz w:val="20"/>
          <w:szCs w:val="20"/>
        </w:rPr>
        <w:t>31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باب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جيش الغضب الحديث </w:t>
      </w:r>
      <w:r>
        <w:rPr>
          <w:rFonts w:eastAsia="IRNazanin" w:cs="IRNazanin"/>
          <w:b w:val="false"/>
          <w:bCs w:val="false"/>
          <w:i w:val="false"/>
          <w:iCs w:val="false"/>
          <w:color w:val="333333"/>
          <w:sz w:val="20"/>
          <w:szCs w:val="20"/>
        </w:rPr>
        <w:t>4</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لوقوعه في أسناد تفسير القمي راجع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لوقوعه في أسناد تفسير القمي راجع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المحققة مؤسسة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3</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مؤسسة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الهداية 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الأسماء والكنى الحديث </w:t>
      </w:r>
      <w:r>
        <w:rPr>
          <w:rFonts w:eastAsia="IRNazanin" w:cs="IRNazanin"/>
          <w:b w:val="false"/>
          <w:bCs w:val="false"/>
          <w:i w:val="false"/>
          <w:iCs w:val="false"/>
          <w:color w:val="333333"/>
          <w:sz w:val="20"/>
          <w:szCs w:val="20"/>
        </w:rPr>
        <w:t>15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الأربعة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الولادة والنفاس والعقيقة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4</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7</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باب الكرات وحالاتها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في فقه الإمام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الفكر</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4</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27</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ذيل الحديث </w:t>
      </w:r>
      <w:r>
        <w:rPr>
          <w:rFonts w:eastAsia="IRNazanin" w:cs="IRNazanin"/>
          <w:b w:val="false"/>
          <w:bCs w:val="false"/>
          <w:i w:val="false"/>
          <w:iCs w:val="false"/>
          <w:color w:val="333333"/>
          <w:sz w:val="20"/>
          <w:szCs w:val="20"/>
        </w:rPr>
        <w:t>1</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3</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18</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19</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20</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18</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البزنطي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وضوء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النجف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7</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5</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18</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27</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15</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المسح على الرجلين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4</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15</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جامعة المدرسين، ومصباح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النجف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24</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وضوء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منشورات مكتبة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العامة بأصفهان</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3</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من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في ترتيب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1402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المطبعة الإسلامية</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11</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والفرض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ذيل الحديث </w:t>
      </w:r>
      <w:r>
        <w:rPr>
          <w:rFonts w:eastAsia="IRNazanin" w:cs="IRNazanin"/>
          <w:b w:val="false"/>
          <w:bCs w:val="false"/>
          <w:i w:val="false"/>
          <w:iCs w:val="false"/>
          <w:color w:val="333333"/>
          <w:sz w:val="20"/>
          <w:szCs w:val="20"/>
        </w:rPr>
        <w:t>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منشورات مكتبة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العامة بأصفهان</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غسل الوجه واليدين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3</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الوضوء وترتيبه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النهاية 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الجيل</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الإسلامية</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3</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4</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3</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والسنة والفضيلة فيه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جاويد</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بيروت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السابعة</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4</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8</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جامعة المدرسين</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وهو سنن الترمذي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الطهارة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للطباعة والنشر بيروت</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3</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10</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11</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8</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5</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7</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بكاء الملائكة على 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8</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4</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والفرض منه ص </w:t>
      </w:r>
      <w:r>
        <w:rPr>
          <w:rFonts w:eastAsia="IRNazanin" w:cs="IRNazanin"/>
          <w:b w:val="false"/>
          <w:bCs w:val="false"/>
          <w:i w:val="false"/>
          <w:iCs w:val="false"/>
          <w:color w:val="333333"/>
          <w:sz w:val="20"/>
          <w:szCs w:val="20"/>
        </w:rPr>
        <w:t>58</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6</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والفرض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8</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الجيل</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9</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6</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7</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9</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20</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17</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8</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12</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 للمطبوعات</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10</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19</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الحديث </w:t>
      </w:r>
      <w:r>
        <w:rPr>
          <w:rFonts w:eastAsia="IRNazanin" w:cs="IRNazanin"/>
          <w:b w:val="false"/>
          <w:bCs w:val="false"/>
          <w:i w:val="false"/>
          <w:iCs w:val="false"/>
          <w:color w:val="333333"/>
          <w:sz w:val="20"/>
          <w:szCs w:val="20"/>
        </w:rPr>
        <w:t>2</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18</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3</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6</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13</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3</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11</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4</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16</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الوضوء وترتيبه الحديث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178</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181</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الجيل</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جامعة المدرسين</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كتاب الجوامع الفقهية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5</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اضطر إلى الخمر للدواء أو العطش أو للتقية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اضطر إلى الخمر والمسكر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18</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12</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5</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5</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الجيل</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الطبعة الثالثة</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الحديث </w:t>
      </w:r>
      <w:r>
        <w:rPr>
          <w:rFonts w:eastAsia="IRNazanin" w:cs="IRNazanin"/>
          <w:b w:val="false"/>
          <w:bCs w:val="false"/>
          <w:i w:val="false"/>
          <w:iCs w:val="false"/>
          <w:color w:val="333333"/>
          <w:sz w:val="20"/>
          <w:szCs w:val="20"/>
        </w:rPr>
        <w:t>1</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7</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11</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4</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المغرب والعشاء الآخرة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وقت فرض الصيام وأيام الشهر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5</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5</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ذيل الحديث </w:t>
      </w:r>
      <w:r>
        <w:rPr>
          <w:rFonts w:eastAsia="IRNazanin" w:cs="IRNazanin"/>
          <w:b w:val="false"/>
          <w:bCs w:val="false"/>
          <w:i w:val="false"/>
          <w:iCs w:val="false"/>
          <w:color w:val="333333"/>
          <w:sz w:val="20"/>
          <w:szCs w:val="20"/>
        </w:rPr>
        <w:t>6</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10</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9</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13</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12</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ص </w:t>
      </w:r>
      <w:r>
        <w:rPr>
          <w:rFonts w:eastAsia="IRNazanin" w:cs="IRNazanin"/>
          <w:b w:val="false"/>
          <w:bCs w:val="false"/>
          <w:i w:val="false"/>
          <w:iCs w:val="false"/>
          <w:color w:val="333333"/>
          <w:sz w:val="20"/>
          <w:szCs w:val="20"/>
        </w:rPr>
        <w:t>38</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14</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40</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15</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13</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8</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244</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ذيل الحديث </w:t>
      </w:r>
      <w:r>
        <w:rPr>
          <w:rFonts w:eastAsia="IRNazanin" w:cs="IRNazanin"/>
          <w:b w:val="false"/>
          <w:bCs w:val="false"/>
          <w:i w:val="false"/>
          <w:iCs w:val="false"/>
          <w:color w:val="333333"/>
          <w:sz w:val="20"/>
          <w:szCs w:val="20"/>
        </w:rPr>
        <w:t>3</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والوقوف بعرفة الحديث </w:t>
      </w:r>
      <w:r>
        <w:rPr>
          <w:rFonts w:eastAsia="IRNazanin" w:cs="IRNazanin"/>
          <w:b w:val="false"/>
          <w:bCs w:val="false"/>
          <w:i w:val="false"/>
          <w:iCs w:val="false"/>
          <w:color w:val="333333"/>
          <w:sz w:val="20"/>
          <w:szCs w:val="20"/>
        </w:rPr>
        <w:t>2</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15</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المواقيت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المغرب والعشاء الآخرة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16</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17</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27</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14</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24</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العشائين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الإسلامية</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 للمطبوعات</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24</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11</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السادسة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الأضواء</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25</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ذيل الحديث </w:t>
      </w:r>
      <w:r>
        <w:rPr>
          <w:rFonts w:eastAsia="IRNazanin" w:cs="IRNazanin"/>
          <w:b w:val="false"/>
          <w:bCs w:val="false"/>
          <w:i w:val="false"/>
          <w:iCs w:val="false"/>
          <w:color w:val="333333"/>
          <w:sz w:val="20"/>
          <w:szCs w:val="20"/>
        </w:rPr>
        <w:t>25</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30</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 المغرب والعشاء الآخرة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16</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18</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21</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أوقات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23</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13</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ذيل الحديث </w:t>
      </w:r>
      <w:r>
        <w:rPr>
          <w:rFonts w:eastAsia="IRNazanin" w:cs="IRNazanin"/>
          <w:b w:val="false"/>
          <w:bCs w:val="false"/>
          <w:i w:val="false"/>
          <w:iCs w:val="false"/>
          <w:color w:val="333333"/>
          <w:sz w:val="20"/>
          <w:szCs w:val="20"/>
        </w:rPr>
        <w:t>3</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4</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ذيل الحديث </w:t>
      </w:r>
      <w:r>
        <w:rPr>
          <w:rFonts w:eastAsia="IRNazanin" w:cs="IRNazanin"/>
          <w:b w:val="false"/>
          <w:bCs w:val="false"/>
          <w:i w:val="false"/>
          <w:iCs w:val="false"/>
          <w:color w:val="333333"/>
          <w:sz w:val="20"/>
          <w:szCs w:val="20"/>
        </w:rPr>
        <w:t>15</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17</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16</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25</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18</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24</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4</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9</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10</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11</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20</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23</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نيل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عكست الروافض القضية، فجعلت تأخير صلاة المغرب إلى اشتباك النجوم، والحديث يرده، قال النووي في 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تعجيل المغرب عقيب غروب الشمس مجمع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حكي عن الشيعة فيه شيء لا التفات إليه ولا أصل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15</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23</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الحديث </w:t>
      </w:r>
      <w:r>
        <w:rPr>
          <w:rFonts w:eastAsia="IRNazanin" w:cs="IRNazanin"/>
          <w:b w:val="false"/>
          <w:bCs w:val="false"/>
          <w:i w:val="false"/>
          <w:iCs w:val="false"/>
          <w:color w:val="333333"/>
          <w:sz w:val="20"/>
          <w:szCs w:val="20"/>
        </w:rPr>
        <w:t>1</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6</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8</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الحديث </w:t>
      </w:r>
      <w:r>
        <w:rPr>
          <w:rFonts w:eastAsia="IRNazanin" w:cs="IRNazanin"/>
          <w:b w:val="false"/>
          <w:bCs w:val="false"/>
          <w:i w:val="false"/>
          <w:iCs w:val="false"/>
          <w:color w:val="333333"/>
          <w:sz w:val="20"/>
          <w:szCs w:val="20"/>
        </w:rPr>
        <w:t>2</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الجماعة الحديث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الإسلامية</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ذيل الحديث </w:t>
      </w:r>
      <w:r>
        <w:rPr>
          <w:rFonts w:eastAsia="IRNazanin" w:cs="IRNazanin"/>
          <w:b w:val="false"/>
          <w:bCs w:val="false"/>
          <w:i w:val="false"/>
          <w:iCs w:val="false"/>
          <w:color w:val="333333"/>
          <w:sz w:val="20"/>
          <w:szCs w:val="20"/>
        </w:rPr>
        <w:t>83</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8</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9</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7</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11</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7</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9</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11</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الهداية المطبوع ضمن كتا 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النهاية المطبوع ضمن كتاب 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في أحكام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والفهرست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8</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الهداية المطبوع ضمن كتاب الجوامع الفقهية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ذيل الحديث </w:t>
      </w:r>
      <w:r>
        <w:rPr>
          <w:rFonts w:eastAsia="IRNazanin" w:cs="IRNazanin"/>
          <w:b w:val="false"/>
          <w:bCs w:val="false"/>
          <w:i w:val="false"/>
          <w:iCs w:val="false"/>
          <w:color w:val="333333"/>
          <w:sz w:val="20"/>
          <w:szCs w:val="20"/>
        </w:rPr>
        <w:t>3</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8</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10</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14</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14</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من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3</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5</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1</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2</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6</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8</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2</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385</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14</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15</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1</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2</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3</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5</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كيفية الصلاة وصفتها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قول آمين بعد الحمد ذيل الحديث </w:t>
      </w:r>
      <w:r>
        <w:rPr>
          <w:rFonts w:eastAsia="IRNazanin" w:cs="IRNazanin"/>
          <w:b w:val="false"/>
          <w:bCs w:val="false"/>
          <w:i w:val="false"/>
          <w:iCs w:val="false"/>
          <w:color w:val="333333"/>
          <w:sz w:val="20"/>
          <w:szCs w:val="20"/>
        </w:rPr>
        <w:t>3</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المطبوع ضمن كتاب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القارىء شرح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1</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5</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الإسلامية</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الإسلامية</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كتاب الصلاة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الطبعة الأولى</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245</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2</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4</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156</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5</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الثانية</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ذيل الحديث </w:t>
      </w:r>
      <w:r>
        <w:rPr>
          <w:rFonts w:eastAsia="IRNazanin" w:cs="IRNazanin"/>
          <w:b w:val="false"/>
          <w:bCs w:val="false"/>
          <w:i w:val="false"/>
          <w:iCs w:val="false"/>
          <w:color w:val="333333"/>
          <w:sz w:val="20"/>
          <w:szCs w:val="20"/>
        </w:rPr>
        <w:t>1</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الثانية</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9</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6</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9</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الثانية</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6</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73</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 للمطبوعات</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كتاب الصلاة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العلمية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5</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7</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الحديث</w:t>
      </w:r>
      <w:r>
        <w:rPr>
          <w:rFonts w:eastAsia="IRNazanin" w:cs="IRNazanin"/>
          <w:b w:val="false"/>
          <w:bCs w:val="false"/>
          <w:i w:val="false"/>
          <w:iCs w:val="false"/>
          <w:color w:val="333333"/>
          <w:sz w:val="20"/>
          <w:szCs w:val="20"/>
        </w:rPr>
        <w:t>11</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ذيل الحديث </w:t>
      </w:r>
      <w:r>
        <w:rPr>
          <w:rFonts w:eastAsia="IRNazanin" w:cs="IRNazanin"/>
          <w:b w:val="false"/>
          <w:bCs w:val="false"/>
          <w:i w:val="false"/>
          <w:iCs w:val="false"/>
          <w:color w:val="333333"/>
          <w:sz w:val="20"/>
          <w:szCs w:val="20"/>
        </w:rPr>
        <w:t>7</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ذيل الحديث </w:t>
      </w:r>
      <w:r>
        <w:rPr>
          <w:rFonts w:eastAsia="IRNazanin" w:cs="IRNazanin"/>
          <w:b w:val="false"/>
          <w:bCs w:val="false"/>
          <w:i w:val="false"/>
          <w:iCs w:val="false"/>
          <w:color w:val="333333"/>
          <w:sz w:val="20"/>
          <w:szCs w:val="20"/>
        </w:rPr>
        <w:t>1</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8</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4</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4</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الإسلامية</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 للمطبوعات</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6</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 وجاء فيه عن زياد بن المنذر عن أبي الجارود وهو خطأ والصحيح زياد بن المنذر أبي الجارود كما في تفسير البرهان وقد نبّه عليه السيد الخوئي في المعجم عند ترجمة زياد</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5</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8</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الحديث </w:t>
      </w:r>
      <w:r>
        <w:rPr>
          <w:rFonts w:eastAsia="IRNazanin" w:cs="IRNazanin"/>
          <w:b w:val="false"/>
          <w:bCs w:val="false"/>
          <w:i w:val="false"/>
          <w:iCs w:val="false"/>
          <w:color w:val="333333"/>
          <w:sz w:val="20"/>
          <w:szCs w:val="20"/>
        </w:rPr>
        <w:t>2</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9</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6</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4</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المتن</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Pr>
        <w:t>1382</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في شرح المناسك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التاسعة</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8</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ذيل الحديث </w:t>
      </w:r>
      <w:r>
        <w:rPr>
          <w:rFonts w:eastAsia="IRNazanin" w:cs="IRNazanin"/>
          <w:b w:val="false"/>
          <w:bCs w:val="false"/>
          <w:i w:val="false"/>
          <w:iCs w:val="false"/>
          <w:color w:val="333333"/>
          <w:sz w:val="20"/>
          <w:szCs w:val="20"/>
        </w:rPr>
        <w:t>8</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24</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34</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يؤيد ذلك ما رواه الصدوق في الفقيه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ألف أتية على قدميه، منها سبعمائة حجة وثلثمائة عمرة، وكان يأتيه من ناحية الشام، وكان يحج على ثور، والمكان الذي يبيت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الحطيم وهو ما بين باب البيت والحجر الأسود، وطاف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ينظر إلى حواء مائة عام، وقال له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حياك الله وبياك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أصلحك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ورد في حج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وكيفيته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35</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الحديث </w:t>
      </w:r>
      <w:r>
        <w:rPr>
          <w:rFonts w:eastAsia="IRNazanin" w:cs="IRNazanin"/>
          <w:b w:val="false"/>
          <w:bCs w:val="false"/>
          <w:i w:val="false"/>
          <w:iCs w:val="false"/>
          <w:color w:val="333333"/>
          <w:sz w:val="20"/>
          <w:szCs w:val="20"/>
        </w:rPr>
        <w:t>7</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ذلك عدة روايات أخرى منها رواية زيد الشحام عمن رواه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موسى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سبعون نبياً من بني إسرائيل، خطم إبلهم من ليف يلبون وتجيبهم الجبال، وعلى موسى عباءتان قطوانيتان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عبدك وابن عبدك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موسى وعيسى وداود وسليمان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والوقوف بعرفة الحديث </w:t>
      </w:r>
      <w:r>
        <w:rPr>
          <w:rFonts w:eastAsia="IRNazanin" w:cs="IRNazanin"/>
          <w:b w:val="false"/>
          <w:bCs w:val="false"/>
          <w:i w:val="false"/>
          <w:iCs w:val="false"/>
          <w:color w:val="333333"/>
          <w:sz w:val="20"/>
          <w:szCs w:val="20"/>
        </w:rPr>
        <w:t>2</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والوقوف بعرفة الحديث </w:t>
      </w:r>
      <w:r>
        <w:rPr>
          <w:rFonts w:eastAsia="IRNazanin" w:cs="IRNazanin"/>
          <w:b w:val="false"/>
          <w:bCs w:val="false"/>
          <w:i w:val="false"/>
          <w:iCs w:val="false"/>
          <w:color w:val="333333"/>
          <w:sz w:val="20"/>
          <w:szCs w:val="20"/>
        </w:rPr>
        <w:t>1</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والوقوف بعرفة الحديث </w:t>
      </w:r>
      <w:r>
        <w:rPr>
          <w:rFonts w:eastAsia="IRNazanin" w:cs="IRNazanin"/>
          <w:b w:val="false"/>
          <w:bCs w:val="false"/>
          <w:i w:val="false"/>
          <w:iCs w:val="false"/>
          <w:color w:val="333333"/>
          <w:sz w:val="20"/>
          <w:szCs w:val="20"/>
        </w:rPr>
        <w:t>4</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والوقوف بعرفة الحديث </w:t>
      </w:r>
      <w:r>
        <w:rPr>
          <w:rFonts w:eastAsia="IRNazanin" w:cs="IRNazanin"/>
          <w:b w:val="false"/>
          <w:bCs w:val="false"/>
          <w:i w:val="false"/>
          <w:iCs w:val="false"/>
          <w:color w:val="333333"/>
          <w:sz w:val="20"/>
          <w:szCs w:val="20"/>
        </w:rPr>
        <w:t>7</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والوقوف بعرفة الحديث </w:t>
      </w:r>
      <w:r>
        <w:rPr>
          <w:rFonts w:eastAsia="IRNazanin" w:cs="IRNazanin"/>
          <w:b w:val="false"/>
          <w:bCs w:val="false"/>
          <w:i w:val="false"/>
          <w:iCs w:val="false"/>
          <w:color w:val="333333"/>
          <w:sz w:val="20"/>
          <w:szCs w:val="20"/>
        </w:rPr>
        <w:t>6</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20</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2</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8</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11</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الإمساك الحديث</w:t>
      </w:r>
      <w:r>
        <w:rPr>
          <w:rFonts w:eastAsia="IRNazanin" w:cs="IRNazanin"/>
          <w:b w:val="false"/>
          <w:bCs w:val="false"/>
          <w:i w:val="false"/>
          <w:iCs w:val="false"/>
          <w:color w:val="333333"/>
          <w:sz w:val="20"/>
          <w:szCs w:val="20"/>
        </w:rPr>
        <w:t>7</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المصرية بالقاهرة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أول شهر رمضان وآخره،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7</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13</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3</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23759</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23760</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23761</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والوقوف بعرفة الحديث </w:t>
      </w:r>
      <w:r>
        <w:rPr>
          <w:rFonts w:eastAsia="IRNazanin" w:cs="IRNazanin"/>
          <w:b w:val="false"/>
          <w:bCs w:val="false"/>
          <w:i w:val="false"/>
          <w:iCs w:val="false"/>
          <w:color w:val="333333"/>
          <w:sz w:val="20"/>
          <w:szCs w:val="20"/>
        </w:rPr>
        <w:t>10</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11</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 والوقوف بعرفة الحديث </w:t>
      </w:r>
      <w:r>
        <w:rPr>
          <w:rFonts w:eastAsia="IRNazanin" w:cs="IRNazanin"/>
          <w:b w:val="false"/>
          <w:bCs w:val="false"/>
          <w:i w:val="false"/>
          <w:iCs w:val="false"/>
          <w:color w:val="333333"/>
          <w:sz w:val="20"/>
          <w:szCs w:val="20"/>
        </w:rPr>
        <w:t>9</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6</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31</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الحديث </w:t>
      </w:r>
      <w:r>
        <w:rPr>
          <w:rFonts w:eastAsia="IRNazanin" w:cs="IRNazanin"/>
          <w:b w:val="false"/>
          <w:bCs w:val="false"/>
          <w:i w:val="false"/>
          <w:iCs w:val="false"/>
          <w:color w:val="333333"/>
          <w:sz w:val="20"/>
          <w:szCs w:val="20"/>
        </w:rPr>
        <w:t>2</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التاسعة</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جامعة المدرسين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التقية مع الخوف في كل 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التقية مع الخوف في كل 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7</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التقية مع الخوف في كل 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الخامسة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54</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9</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في شرح المناسك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في شرح المناسك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9</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15</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الطبعة الثالثة</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المطبوع ضمن كتاب 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زيارة أبي الحسن علي بن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منشورات جامعة المدرسين</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يحل له أن يأخذ الزكاة ومن لا يحل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الحديث </w:t>
      </w:r>
      <w:r>
        <w:rPr>
          <w:rFonts w:eastAsia="IRNazanin" w:cs="IRNazanin"/>
          <w:b w:val="false"/>
          <w:bCs w:val="false"/>
          <w:i w:val="false"/>
          <w:iCs w:val="false"/>
          <w:color w:val="333333"/>
          <w:sz w:val="20"/>
          <w:szCs w:val="20"/>
        </w:rPr>
        <w:t>3</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7</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ذيل الحديث </w:t>
      </w:r>
      <w:r>
        <w:rPr>
          <w:rFonts w:eastAsia="IRNazanin" w:cs="IRNazanin"/>
          <w:b w:val="false"/>
          <w:bCs w:val="false"/>
          <w:i w:val="false"/>
          <w:iCs w:val="false"/>
          <w:color w:val="333333"/>
          <w:sz w:val="20"/>
          <w:szCs w:val="20"/>
        </w:rPr>
        <w:t>7</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6</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المحققة</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يستحق الزكاة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حق الإمام على الرعية وحق الرعية على الإمام 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4</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7</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الحديث </w:t>
      </w:r>
      <w:r>
        <w:rPr>
          <w:rFonts w:eastAsia="IRNazanin" w:cs="IRNazanin"/>
          <w:b w:val="false"/>
          <w:bCs w:val="false"/>
          <w:i w:val="false"/>
          <w:iCs w:val="false"/>
          <w:color w:val="333333"/>
          <w:sz w:val="20"/>
          <w:szCs w:val="20"/>
        </w:rPr>
        <w:t>1</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image" Target="media/image2.jpeg"/><Relationship Id="rId584" Type="http://schemas.openxmlformats.org/officeDocument/2006/relationships/image" Target="media/image2.jpeg"/><Relationship Id="rId585" Type="http://schemas.openxmlformats.org/officeDocument/2006/relationships/footer" Target="footer576.xml"/><Relationship Id="rId586" Type="http://schemas.openxmlformats.org/officeDocument/2006/relationships/footnotes" Target="footnotes.xml"/><Relationship Id="rId587" Type="http://schemas.openxmlformats.org/officeDocument/2006/relationships/numbering" Target="numbering.xml"/><Relationship Id="rId588" Type="http://schemas.openxmlformats.org/officeDocument/2006/relationships/fontTable" Target="fontTable.xml"/><Relationship Id="rId589" Type="http://schemas.openxmlformats.org/officeDocument/2006/relationships/settings" Target="settings.xml"/><Relationship Id="rId5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581</Pages>
  <Words>122729</Words>
  <Characters>540639</Characters>
  <CharactersWithSpaces>659878</CharactersWithSpaces>
  <Paragraphs>3986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2026-08-25T12:41:33Z</dcterms:created>
  <dc:creator>ghaemiyeh.com</dc:creator>
  <dc:description/>
  <dc:language>en-US</dc:language>
  <cp:lastModifiedBy/>
  <dcterms:modified xsi:type="dcterms:W3CDTF">2026-08-25T16:11:54Z</dcterms:modified>
  <cp:revision>1</cp:revision>
  <dc:subject/>
  <dc:title>التقیة فی فقه أهل البیت علیهم السلام جلد 1</dc:title>
</cp:coreProperties>
</file>

<file path=docProps/custom.xml><?xml version="1.0" encoding="utf-8"?>
<Properties xmlns="http://schemas.openxmlformats.org/officeDocument/2006/custom-properties" xmlns:vt="http://schemas.openxmlformats.org/officeDocument/2006/docPropsVTypes"/>
</file>