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8070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28072_73709187">
            <w:r>
              <w:rPr>
                <w:webHidden/>
                <w:rStyle w:val="IndexLink"/>
                <w:rtl w:val="true"/>
              </w:rPr>
              <w:t>الأذان تشريعاً و فصولاً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1428074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428076_73709187">
            <w:r>
              <w:rPr>
                <w:webHidden/>
                <w:rStyle w:val="IndexLink"/>
                <w:rtl w:val="true"/>
              </w:rPr>
              <w:t>الأذان لغة و شرعاً و مكانة المؤذّن عند اللّه</w:t>
            </w:r>
            <w:r>
              <w:rPr>
                <w:rStyle w:val="IndexLink"/>
                <w:rtl w:val="true"/>
              </w:rPr>
              <w:tab/>
            </w:r>
            <w:r>
              <w:rPr>
                <w:rStyle w:val="IndexLink"/>
              </w:rPr>
              <w:t>8</w:t>
            </w:r>
          </w:hyperlink>
        </w:p>
        <w:p>
          <w:pPr>
            <w:pStyle w:val="Contents3"/>
            <w:tabs>
              <w:tab w:val="clear" w:pos="8459"/>
              <w:tab w:val="right" w:pos="9026" w:leader="dot"/>
            </w:tabs>
            <w:rPr/>
          </w:pPr>
          <w:hyperlink w:anchor="__RefHeading___Toc1428078_7370918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428080_73709187">
            <w:r>
              <w:rPr>
                <w:webHidden/>
                <w:rStyle w:val="IndexLink"/>
                <w:rtl w:val="true"/>
              </w:rPr>
              <w:t>المقام الأوّل</w:t>
            </w:r>
            <w:r>
              <w:rPr>
                <w:rStyle w:val="IndexLink"/>
                <w:rtl w:val="true"/>
              </w:rPr>
              <w:tab/>
            </w:r>
            <w:r>
              <w:rPr>
                <w:rStyle w:val="IndexLink"/>
              </w:rPr>
              <w:t>11</w:t>
            </w:r>
          </w:hyperlink>
        </w:p>
        <w:p>
          <w:pPr>
            <w:pStyle w:val="Contents4"/>
            <w:tabs>
              <w:tab w:val="clear" w:pos="8176"/>
              <w:tab w:val="right" w:pos="9026" w:leader="dot"/>
            </w:tabs>
            <w:rPr/>
          </w:pPr>
          <w:hyperlink w:anchor="__RefHeading___Toc1428082_73709187">
            <w:r>
              <w:rPr>
                <w:webHidden/>
                <w:rStyle w:val="IndexLink"/>
              </w:rPr>
              <w:t>1</w:t>
            </w:r>
            <w:r>
              <w:rPr>
                <w:rStyle w:val="IndexLink"/>
                <w:rtl w:val="true"/>
              </w:rPr>
              <w:t xml:space="preserve"> </w:t>
            </w:r>
            <w:r>
              <w:rPr>
                <w:rStyle w:val="IndexLink"/>
                <w:rtl w:val="true"/>
              </w:rPr>
              <w:t>مكانة الأذان في التشريع الإسلامي لم يشارك في تشريعه أىّ إنسان</w:t>
            </w:r>
            <w:r>
              <w:rPr>
                <w:rStyle w:val="IndexLink"/>
                <w:rtl w:val="true"/>
              </w:rPr>
              <w:tab/>
            </w:r>
            <w:r>
              <w:rPr>
                <w:rStyle w:val="IndexLink"/>
              </w:rPr>
              <w:t>11</w:t>
            </w:r>
          </w:hyperlink>
        </w:p>
        <w:p>
          <w:pPr>
            <w:pStyle w:val="Contents4"/>
            <w:tabs>
              <w:tab w:val="clear" w:pos="8176"/>
              <w:tab w:val="right" w:pos="9026" w:leader="dot"/>
            </w:tabs>
            <w:rPr/>
          </w:pPr>
          <w:hyperlink w:anchor="__RefHeading___Toc1428084_73709187">
            <w:r>
              <w:rPr>
                <w:webHidden/>
                <w:rStyle w:val="IndexLink"/>
              </w:rPr>
              <w:t>2</w:t>
            </w:r>
            <w:r>
              <w:rPr>
                <w:rStyle w:val="IndexLink"/>
                <w:rtl w:val="true"/>
              </w:rPr>
              <w:t xml:space="preserve"> </w:t>
            </w:r>
            <w:r>
              <w:rPr>
                <w:rStyle w:val="IndexLink"/>
                <w:rtl w:val="true"/>
              </w:rPr>
              <w:t xml:space="preserve">تاريخ تشريع الأذان في أحاديث أهل البيت </w:t>
            </w:r>
            <w:r>
              <w:rPr>
                <w:rStyle w:val="IndexLink"/>
                <w:rtl w:val="true"/>
              </w:rPr>
              <w:t>(</w:t>
            </w:r>
            <w:r>
              <w:rPr>
                <w:rStyle w:val="IndexLink"/>
                <w:rtl w:val="true"/>
              </w:rPr>
              <w:t>عليهم السلام</w:t>
            </w:r>
            <w:r>
              <w:rPr>
                <w:rStyle w:val="IndexLink"/>
                <w:rtl w:val="true"/>
              </w:rPr>
              <w:t>)</w:t>
              <w:tab/>
            </w:r>
            <w:r>
              <w:rPr>
                <w:rStyle w:val="IndexLink"/>
              </w:rPr>
              <w:t>13</w:t>
            </w:r>
          </w:hyperlink>
        </w:p>
        <w:p>
          <w:pPr>
            <w:pStyle w:val="Contents4"/>
            <w:tabs>
              <w:tab w:val="clear" w:pos="8176"/>
              <w:tab w:val="right" w:pos="9026" w:leader="dot"/>
            </w:tabs>
            <w:rPr/>
          </w:pPr>
          <w:hyperlink w:anchor="__RefHeading___Toc1428086_73709187">
            <w:r>
              <w:rPr>
                <w:webHidden/>
                <w:rStyle w:val="IndexLink"/>
              </w:rPr>
              <w:t>3</w:t>
            </w:r>
            <w:r>
              <w:rPr>
                <w:rStyle w:val="IndexLink"/>
                <w:rtl w:val="true"/>
              </w:rPr>
              <w:t xml:space="preserve"> </w:t>
            </w:r>
            <w:r>
              <w:rPr>
                <w:rStyle w:val="IndexLink"/>
                <w:rtl w:val="true"/>
              </w:rPr>
              <w:t>كيفيّة تشريع الأذان في روايات أهل السنّة</w:t>
            </w:r>
            <w:r>
              <w:rPr>
                <w:rStyle w:val="IndexLink"/>
                <w:rtl w:val="true"/>
              </w:rPr>
              <w:tab/>
            </w:r>
            <w:r>
              <w:rPr>
                <w:rStyle w:val="IndexLink"/>
              </w:rPr>
              <w:t>19</w:t>
            </w:r>
          </w:hyperlink>
        </w:p>
        <w:p>
          <w:pPr>
            <w:pStyle w:val="Contents4"/>
            <w:tabs>
              <w:tab w:val="clear" w:pos="8176"/>
              <w:tab w:val="right" w:pos="9026" w:leader="dot"/>
            </w:tabs>
            <w:rPr/>
          </w:pPr>
          <w:hyperlink w:anchor="__RefHeading___Toc1428088_73709187">
            <w:r>
              <w:rPr>
                <w:webHidden/>
                <w:rStyle w:val="IndexLink"/>
              </w:rPr>
              <w:t>4</w:t>
            </w:r>
            <w:r>
              <w:rPr>
                <w:rStyle w:val="IndexLink"/>
                <w:rtl w:val="true"/>
              </w:rPr>
              <w:t xml:space="preserve"> </w:t>
            </w:r>
            <w:r>
              <w:rPr>
                <w:rStyle w:val="IndexLink"/>
                <w:rtl w:val="true"/>
              </w:rPr>
              <w:t>روايات في كيفية تشريع الأذان في السنن</w:t>
            </w:r>
            <w:r>
              <w:rPr>
                <w:rStyle w:val="IndexLink"/>
                <w:rtl w:val="true"/>
              </w:rPr>
              <w:tab/>
            </w:r>
            <w:r>
              <w:rPr>
                <w:rStyle w:val="IndexLink"/>
              </w:rPr>
              <w:t>21</w:t>
            </w:r>
          </w:hyperlink>
        </w:p>
        <w:p>
          <w:pPr>
            <w:pStyle w:val="Contents4"/>
            <w:tabs>
              <w:tab w:val="clear" w:pos="8176"/>
              <w:tab w:val="right" w:pos="9026" w:leader="dot"/>
            </w:tabs>
            <w:rPr/>
          </w:pPr>
          <w:hyperlink w:anchor="__RefHeading___Toc1428090_73709187">
            <w:r>
              <w:rPr>
                <w:webHidden/>
                <w:rStyle w:val="IndexLink"/>
              </w:rPr>
              <w:t>5</w:t>
            </w:r>
            <w:r>
              <w:rPr>
                <w:rStyle w:val="IndexLink"/>
                <w:rtl w:val="true"/>
              </w:rPr>
              <w:t xml:space="preserve"> </w:t>
            </w:r>
            <w:r>
              <w:rPr>
                <w:rStyle w:val="IndexLink"/>
                <w:rtl w:val="true"/>
              </w:rPr>
              <w:t>تحليل مضمون الروايات</w:t>
            </w:r>
            <w:r>
              <w:rPr>
                <w:rStyle w:val="IndexLink"/>
                <w:rtl w:val="true"/>
              </w:rPr>
              <w:tab/>
            </w:r>
            <w:r>
              <w:rPr>
                <w:rStyle w:val="IndexLink"/>
              </w:rPr>
              <w:t>27</w:t>
            </w:r>
          </w:hyperlink>
        </w:p>
        <w:p>
          <w:pPr>
            <w:pStyle w:val="Contents5"/>
            <w:tabs>
              <w:tab w:val="clear" w:pos="7892"/>
              <w:tab w:val="right" w:pos="9026" w:leader="dot"/>
            </w:tabs>
            <w:rPr/>
          </w:pPr>
          <w:hyperlink w:anchor="__RefHeading___Toc1428092_7370918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428094_73709187">
            <w:r>
              <w:rPr>
                <w:webHidden/>
                <w:rStyle w:val="IndexLink"/>
                <w:rtl w:val="true"/>
              </w:rPr>
              <w:t>الأُولى</w:t>
            </w:r>
            <w:r>
              <w:rPr>
                <w:rStyle w:val="IndexLink"/>
                <w:rtl w:val="true"/>
              </w:rPr>
              <w:t xml:space="preserve">: </w:t>
            </w:r>
            <w:r>
              <w:rPr>
                <w:rStyle w:val="IndexLink"/>
                <w:rtl w:val="true"/>
              </w:rPr>
              <w:t>لا تتّفق مع مقام النبوّة</w:t>
            </w:r>
            <w:r>
              <w:rPr>
                <w:rStyle w:val="IndexLink"/>
                <w:rtl w:val="true"/>
              </w:rPr>
              <w:tab/>
            </w:r>
            <w:r>
              <w:rPr>
                <w:rStyle w:val="IndexLink"/>
              </w:rPr>
              <w:t>27</w:t>
            </w:r>
          </w:hyperlink>
        </w:p>
        <w:p>
          <w:pPr>
            <w:pStyle w:val="Contents5"/>
            <w:tabs>
              <w:tab w:val="clear" w:pos="7892"/>
              <w:tab w:val="right" w:pos="9026" w:leader="dot"/>
            </w:tabs>
            <w:rPr/>
          </w:pPr>
          <w:hyperlink w:anchor="__RefHeading___Toc1428096_73709187">
            <w:r>
              <w:rPr>
                <w:webHidden/>
                <w:rStyle w:val="IndexLink"/>
                <w:rtl w:val="true"/>
              </w:rPr>
              <w:t>الثانية</w:t>
            </w:r>
            <w:r>
              <w:rPr>
                <w:rStyle w:val="IndexLink"/>
                <w:rtl w:val="true"/>
              </w:rPr>
              <w:t xml:space="preserve">: </w:t>
            </w:r>
            <w:r>
              <w:rPr>
                <w:rStyle w:val="IndexLink"/>
                <w:rtl w:val="true"/>
              </w:rPr>
              <w:t>انّها متعارضة جوهراً</w:t>
            </w:r>
            <w:r>
              <w:rPr>
                <w:rStyle w:val="IndexLink"/>
                <w:rtl w:val="true"/>
              </w:rPr>
              <w:tab/>
            </w:r>
            <w:r>
              <w:rPr>
                <w:rStyle w:val="IndexLink"/>
              </w:rPr>
              <w:t>29</w:t>
            </w:r>
          </w:hyperlink>
        </w:p>
        <w:p>
          <w:pPr>
            <w:pStyle w:val="Contents5"/>
            <w:tabs>
              <w:tab w:val="clear" w:pos="7892"/>
              <w:tab w:val="right" w:pos="9026" w:leader="dot"/>
            </w:tabs>
            <w:rPr/>
          </w:pPr>
          <w:hyperlink w:anchor="__RefHeading___Toc1428098_73709187">
            <w:r>
              <w:rPr>
                <w:webHidden/>
                <w:rStyle w:val="IndexLink"/>
                <w:rtl w:val="true"/>
              </w:rPr>
              <w:t>الثالثة</w:t>
            </w:r>
            <w:r>
              <w:rPr>
                <w:rStyle w:val="IndexLink"/>
                <w:rtl w:val="true"/>
              </w:rPr>
              <w:t xml:space="preserve">: </w:t>
            </w:r>
            <w:r>
              <w:rPr>
                <w:rStyle w:val="IndexLink"/>
                <w:rtl w:val="true"/>
              </w:rPr>
              <w:t>انّ الرائي كان أربعة عشر شخصاً لا واحداً</w:t>
            </w:r>
            <w:r>
              <w:rPr>
                <w:rStyle w:val="IndexLink"/>
                <w:rtl w:val="true"/>
              </w:rPr>
              <w:tab/>
            </w:r>
            <w:r>
              <w:rPr>
                <w:rStyle w:val="IndexLink"/>
              </w:rPr>
              <w:t>31</w:t>
            </w:r>
          </w:hyperlink>
        </w:p>
        <w:p>
          <w:pPr>
            <w:pStyle w:val="Contents5"/>
            <w:tabs>
              <w:tab w:val="clear" w:pos="7892"/>
              <w:tab w:val="right" w:pos="9026" w:leader="dot"/>
            </w:tabs>
            <w:rPr/>
          </w:pPr>
          <w:hyperlink w:anchor="__RefHeading___Toc1428100_73709187">
            <w:r>
              <w:rPr>
                <w:webHidden/>
                <w:rStyle w:val="IndexLink"/>
                <w:rtl w:val="true"/>
              </w:rPr>
              <w:t>الرابعة</w:t>
            </w:r>
            <w:r>
              <w:rPr>
                <w:rStyle w:val="IndexLink"/>
                <w:rtl w:val="true"/>
              </w:rPr>
              <w:t xml:space="preserve">: </w:t>
            </w:r>
            <w:r>
              <w:rPr>
                <w:rStyle w:val="IndexLink"/>
                <w:rtl w:val="true"/>
              </w:rPr>
              <w:t>التعارض بين نقل البخاري و غيره</w:t>
            </w:r>
            <w:r>
              <w:rPr>
                <w:rStyle w:val="IndexLink"/>
                <w:rtl w:val="true"/>
              </w:rPr>
              <w:tab/>
            </w:r>
            <w:r>
              <w:rPr>
                <w:rStyle w:val="IndexLink"/>
              </w:rPr>
              <w:t>32</w:t>
            </w:r>
          </w:hyperlink>
        </w:p>
        <w:p>
          <w:pPr>
            <w:pStyle w:val="Contents4"/>
            <w:tabs>
              <w:tab w:val="clear" w:pos="8176"/>
              <w:tab w:val="right" w:pos="9026" w:leader="dot"/>
            </w:tabs>
            <w:rPr/>
          </w:pPr>
          <w:hyperlink w:anchor="__RefHeading___Toc1428102_73709187">
            <w:r>
              <w:rPr>
                <w:webHidden/>
                <w:rStyle w:val="IndexLink"/>
              </w:rPr>
              <w:t>6</w:t>
            </w:r>
            <w:r>
              <w:rPr>
                <w:rStyle w:val="IndexLink"/>
                <w:rtl w:val="true"/>
              </w:rPr>
              <w:t xml:space="preserve"> </w:t>
            </w:r>
            <w:r>
              <w:rPr>
                <w:rStyle w:val="IndexLink"/>
                <w:rtl w:val="true"/>
              </w:rPr>
              <w:t>مناقشة الأسانيد</w:t>
            </w:r>
            <w:r>
              <w:rPr>
                <w:rStyle w:val="IndexLink"/>
                <w:rtl w:val="true"/>
              </w:rPr>
              <w:tab/>
            </w:r>
            <w:r>
              <w:rPr>
                <w:rStyle w:val="IndexLink"/>
              </w:rPr>
              <w:t>34</w:t>
            </w:r>
          </w:hyperlink>
        </w:p>
        <w:p>
          <w:pPr>
            <w:pStyle w:val="Contents4"/>
            <w:tabs>
              <w:tab w:val="clear" w:pos="8176"/>
              <w:tab w:val="right" w:pos="9026" w:leader="dot"/>
            </w:tabs>
            <w:rPr/>
          </w:pPr>
          <w:hyperlink w:anchor="__RefHeading___Toc1428104_73709187">
            <w:r>
              <w:rPr>
                <w:webHidden/>
                <w:rStyle w:val="IndexLink"/>
              </w:rPr>
              <w:t>7</w:t>
            </w:r>
            <w:r>
              <w:rPr>
                <w:rStyle w:val="IndexLink"/>
                <w:rtl w:val="true"/>
              </w:rPr>
              <w:t xml:space="preserve"> </w:t>
            </w:r>
            <w:r>
              <w:rPr>
                <w:rStyle w:val="IndexLink"/>
                <w:rtl w:val="true"/>
              </w:rPr>
              <w:t>روايات الأذان في غير الكتب الستّة</w:t>
            </w:r>
            <w:r>
              <w:rPr>
                <w:rStyle w:val="IndexLink"/>
                <w:rtl w:val="true"/>
              </w:rPr>
              <w:tab/>
            </w:r>
            <w:r>
              <w:rPr>
                <w:rStyle w:val="IndexLink"/>
              </w:rPr>
              <w:t>41</w:t>
            </w:r>
          </w:hyperlink>
        </w:p>
        <w:p>
          <w:pPr>
            <w:pStyle w:val="Contents5"/>
            <w:tabs>
              <w:tab w:val="clear" w:pos="7892"/>
              <w:tab w:val="right" w:pos="9026" w:leader="dot"/>
            </w:tabs>
            <w:rPr/>
          </w:pPr>
          <w:hyperlink w:anchor="__RefHeading___Toc1428106_7370918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428108_73709187">
            <w:r>
              <w:rPr>
                <w:webHidden/>
                <w:rStyle w:val="IndexLink"/>
                <w:rtl w:val="true"/>
              </w:rPr>
              <w:t>ألف</w:t>
            </w:r>
            <w:r>
              <w:rPr>
                <w:rStyle w:val="IndexLink"/>
                <w:rtl w:val="true"/>
              </w:rPr>
              <w:t xml:space="preserve">: </w:t>
            </w:r>
            <w:r>
              <w:rPr>
                <w:rStyle w:val="IndexLink"/>
                <w:rtl w:val="true"/>
              </w:rPr>
              <w:t>ما رواه الإمام أحمد في مسنده</w:t>
            </w:r>
            <w:r>
              <w:rPr>
                <w:rStyle w:val="IndexLink"/>
                <w:rtl w:val="true"/>
              </w:rPr>
              <w:tab/>
            </w:r>
            <w:r>
              <w:rPr>
                <w:rStyle w:val="IndexLink"/>
              </w:rPr>
              <w:t>41</w:t>
            </w:r>
          </w:hyperlink>
        </w:p>
        <w:p>
          <w:pPr>
            <w:pStyle w:val="Contents5"/>
            <w:tabs>
              <w:tab w:val="clear" w:pos="7892"/>
              <w:tab w:val="right" w:pos="9026" w:leader="dot"/>
            </w:tabs>
            <w:rPr/>
          </w:pPr>
          <w:hyperlink w:anchor="__RefHeading___Toc1428110_73709187">
            <w:r>
              <w:rPr>
                <w:webHidden/>
                <w:rStyle w:val="IndexLink"/>
                <w:rtl w:val="true"/>
              </w:rPr>
              <w:t>ب</w:t>
            </w:r>
            <w:r>
              <w:rPr>
                <w:rStyle w:val="IndexLink"/>
                <w:rtl w:val="true"/>
              </w:rPr>
              <w:t xml:space="preserve">: </w:t>
            </w:r>
            <w:r>
              <w:rPr>
                <w:rStyle w:val="IndexLink"/>
                <w:rtl w:val="true"/>
              </w:rPr>
              <w:t>ما رواه الدارمي في مسنده</w:t>
            </w:r>
            <w:r>
              <w:rPr>
                <w:rStyle w:val="IndexLink"/>
                <w:rtl w:val="true"/>
              </w:rPr>
              <w:tab/>
            </w:r>
            <w:r>
              <w:rPr>
                <w:rStyle w:val="IndexLink"/>
              </w:rPr>
              <w:t>43</w:t>
            </w:r>
          </w:hyperlink>
        </w:p>
        <w:p>
          <w:pPr>
            <w:pStyle w:val="Contents5"/>
            <w:tabs>
              <w:tab w:val="clear" w:pos="7892"/>
              <w:tab w:val="right" w:pos="9026" w:leader="dot"/>
            </w:tabs>
            <w:rPr/>
          </w:pPr>
          <w:hyperlink w:anchor="__RefHeading___Toc1428112_73709187">
            <w:r>
              <w:rPr>
                <w:webHidden/>
                <w:rStyle w:val="IndexLink"/>
                <w:rtl w:val="true"/>
              </w:rPr>
              <w:t>ج</w:t>
            </w:r>
            <w:r>
              <w:rPr>
                <w:rStyle w:val="IndexLink"/>
                <w:rtl w:val="true"/>
              </w:rPr>
              <w:t xml:space="preserve">: </w:t>
            </w:r>
            <w:r>
              <w:rPr>
                <w:rStyle w:val="IndexLink"/>
                <w:rtl w:val="true"/>
              </w:rPr>
              <w:t>ما رواه الإمام مالك في الموطأ</w:t>
            </w:r>
            <w:r>
              <w:rPr>
                <w:rStyle w:val="IndexLink"/>
                <w:rtl w:val="true"/>
              </w:rPr>
              <w:tab/>
            </w:r>
            <w:r>
              <w:rPr>
                <w:rStyle w:val="IndexLink"/>
              </w:rPr>
              <w:t>44</w:t>
            </w:r>
          </w:hyperlink>
        </w:p>
        <w:p>
          <w:pPr>
            <w:pStyle w:val="Contents5"/>
            <w:tabs>
              <w:tab w:val="clear" w:pos="7892"/>
              <w:tab w:val="right" w:pos="9026" w:leader="dot"/>
            </w:tabs>
            <w:rPr/>
          </w:pPr>
          <w:hyperlink w:anchor="__RefHeading___Toc1428114_73709187">
            <w:r>
              <w:rPr>
                <w:webHidden/>
                <w:rStyle w:val="IndexLink"/>
                <w:rtl w:val="true"/>
              </w:rPr>
              <w:t>د</w:t>
            </w:r>
            <w:r>
              <w:rPr>
                <w:rStyle w:val="IndexLink"/>
                <w:rtl w:val="true"/>
              </w:rPr>
              <w:t xml:space="preserve">. </w:t>
            </w:r>
            <w:r>
              <w:rPr>
                <w:rStyle w:val="IndexLink"/>
                <w:rtl w:val="true"/>
              </w:rPr>
              <w:t>ما رواه ابن سعد في طبقاته</w:t>
            </w:r>
            <w:r>
              <w:rPr>
                <w:rStyle w:val="IndexLink"/>
                <w:rtl w:val="true"/>
              </w:rPr>
              <w:tab/>
            </w:r>
            <w:r>
              <w:rPr>
                <w:rStyle w:val="IndexLink"/>
              </w:rPr>
              <w:t>45</w:t>
            </w:r>
          </w:hyperlink>
        </w:p>
        <w:p>
          <w:pPr>
            <w:pStyle w:val="Contents5"/>
            <w:tabs>
              <w:tab w:val="clear" w:pos="7892"/>
              <w:tab w:val="right" w:pos="9026" w:leader="dot"/>
            </w:tabs>
            <w:rPr/>
          </w:pPr>
          <w:hyperlink w:anchor="__RefHeading___Toc1428116_73709187">
            <w:r>
              <w:rPr>
                <w:webHidden/>
                <w:rStyle w:val="IndexLink"/>
                <w:rtl w:val="true"/>
              </w:rPr>
              <w:t>ه</w:t>
            </w:r>
            <w:r>
              <w:rPr>
                <w:rStyle w:val="IndexLink"/>
                <w:rtl w:val="true"/>
              </w:rPr>
              <w:t xml:space="preserve">: </w:t>
            </w:r>
            <w:r>
              <w:rPr>
                <w:rStyle w:val="IndexLink"/>
                <w:rtl w:val="true"/>
              </w:rPr>
              <w:t>ما رواه البيهقي في سننه</w:t>
            </w:r>
            <w:r>
              <w:rPr>
                <w:rStyle w:val="IndexLink"/>
                <w:rtl w:val="true"/>
              </w:rPr>
              <w:tab/>
            </w:r>
            <w:r>
              <w:rPr>
                <w:rStyle w:val="IndexLink"/>
              </w:rPr>
              <w:t>48</w:t>
            </w:r>
          </w:hyperlink>
        </w:p>
        <w:p>
          <w:pPr>
            <w:pStyle w:val="Contents5"/>
            <w:tabs>
              <w:tab w:val="clear" w:pos="7892"/>
              <w:tab w:val="right" w:pos="9026" w:leader="dot"/>
            </w:tabs>
            <w:rPr/>
          </w:pPr>
          <w:hyperlink w:anchor="__RefHeading___Toc1428118_73709187">
            <w:r>
              <w:rPr>
                <w:webHidden/>
                <w:rStyle w:val="IndexLink"/>
                <w:rtl w:val="true"/>
              </w:rPr>
              <w:t>و</w:t>
            </w:r>
            <w:r>
              <w:rPr>
                <w:rStyle w:val="IndexLink"/>
                <w:rtl w:val="true"/>
              </w:rPr>
              <w:t xml:space="preserve">: </w:t>
            </w:r>
            <w:r>
              <w:rPr>
                <w:rStyle w:val="IndexLink"/>
                <w:rtl w:val="true"/>
              </w:rPr>
              <w:t>ما رواه الدارقطني في سننه</w:t>
            </w:r>
            <w:r>
              <w:rPr>
                <w:rStyle w:val="IndexLink"/>
                <w:rtl w:val="true"/>
              </w:rPr>
              <w:t>:</w:t>
              <w:tab/>
            </w:r>
            <w:r>
              <w:rPr>
                <w:rStyle w:val="IndexLink"/>
              </w:rPr>
              <w:t>49</w:t>
            </w:r>
          </w:hyperlink>
        </w:p>
        <w:p>
          <w:pPr>
            <w:pStyle w:val="Contents3"/>
            <w:tabs>
              <w:tab w:val="clear" w:pos="8459"/>
              <w:tab w:val="right" w:pos="9026" w:leader="dot"/>
            </w:tabs>
            <w:rPr/>
          </w:pPr>
          <w:hyperlink w:anchor="__RefHeading___Toc1428120_73709187">
            <w:r>
              <w:rPr>
                <w:webHidden/>
                <w:rStyle w:val="IndexLink"/>
                <w:rtl w:val="true"/>
              </w:rPr>
              <w:t>المقام الثاني</w:t>
            </w:r>
            <w:r>
              <w:rPr>
                <w:rStyle w:val="IndexLink"/>
                <w:rtl w:val="true"/>
              </w:rPr>
              <w:t>:</w:t>
              <w:tab/>
            </w:r>
            <w:r>
              <w:rPr>
                <w:rStyle w:val="IndexLink"/>
              </w:rPr>
              <w:t>53</w:t>
            </w:r>
          </w:hyperlink>
        </w:p>
        <w:p>
          <w:pPr>
            <w:pStyle w:val="Contents4"/>
            <w:tabs>
              <w:tab w:val="clear" w:pos="8176"/>
              <w:tab w:val="right" w:pos="9026" w:leader="dot"/>
            </w:tabs>
            <w:rPr/>
          </w:pPr>
          <w:hyperlink w:anchor="__RefHeading___Toc1428122_73709187">
            <w:r>
              <w:rPr>
                <w:webHidden/>
                <w:rStyle w:val="IndexLink"/>
              </w:rPr>
              <w:t>1</w:t>
            </w:r>
            <w:r>
              <w:rPr>
                <w:rStyle w:val="IndexLink"/>
                <w:rtl w:val="true"/>
              </w:rPr>
              <w:t xml:space="preserve"> </w:t>
            </w:r>
            <w:r>
              <w:rPr>
                <w:rStyle w:val="IndexLink"/>
                <w:rtl w:val="true"/>
              </w:rPr>
              <w:t>دراسة تاريخ دخول التثويب في أذان صلاة الفجر</w:t>
            </w:r>
            <w:r>
              <w:rPr>
                <w:rStyle w:val="IndexLink"/>
                <w:rtl w:val="true"/>
              </w:rPr>
              <w:tab/>
            </w:r>
            <w:r>
              <w:rPr>
                <w:rStyle w:val="IndexLink"/>
              </w:rPr>
              <w:t>53</w:t>
            </w:r>
          </w:hyperlink>
        </w:p>
        <w:p>
          <w:pPr>
            <w:pStyle w:val="Contents5"/>
            <w:tabs>
              <w:tab w:val="clear" w:pos="7892"/>
              <w:tab w:val="right" w:pos="9026" w:leader="dot"/>
            </w:tabs>
            <w:rPr/>
          </w:pPr>
          <w:hyperlink w:anchor="__RefHeading___Toc1428124_7370918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428126_73709187">
            <w:r>
              <w:rPr>
                <w:webHidden/>
                <w:rStyle w:val="IndexLink"/>
                <w:rtl w:val="true"/>
              </w:rPr>
              <w:t>حصيلة الروايات</w:t>
            </w:r>
            <w:r>
              <w:rPr>
                <w:rStyle w:val="IndexLink"/>
                <w:rtl w:val="true"/>
              </w:rPr>
              <w:t>:</w:t>
              <w:tab/>
            </w:r>
            <w:r>
              <w:rPr>
                <w:rStyle w:val="IndexLink"/>
              </w:rPr>
              <w:t>64</w:t>
            </w:r>
          </w:hyperlink>
        </w:p>
        <w:p>
          <w:pPr>
            <w:pStyle w:val="Contents4"/>
            <w:tabs>
              <w:tab w:val="clear" w:pos="8176"/>
              <w:tab w:val="right" w:pos="9026" w:leader="dot"/>
            </w:tabs>
            <w:rPr/>
          </w:pPr>
          <w:hyperlink w:anchor="__RefHeading___Toc1428128_73709187">
            <w:r>
              <w:rPr>
                <w:webHidden/>
                <w:rStyle w:val="IndexLink"/>
              </w:rPr>
              <w:t>2</w:t>
            </w:r>
            <w:r>
              <w:rPr>
                <w:rStyle w:val="IndexLink"/>
                <w:rtl w:val="true"/>
              </w:rPr>
              <w:t xml:space="preserve"> </w:t>
            </w:r>
            <w:r>
              <w:rPr>
                <w:rStyle w:val="IndexLink"/>
                <w:rtl w:val="true"/>
              </w:rPr>
              <w:t>كلمات الأعلام في التثويب</w:t>
            </w:r>
            <w:r>
              <w:rPr>
                <w:rStyle w:val="IndexLink"/>
                <w:rtl w:val="true"/>
              </w:rPr>
              <w:tab/>
            </w:r>
            <w:r>
              <w:rPr>
                <w:rStyle w:val="IndexLink"/>
              </w:rPr>
              <w:t>66</w:t>
            </w:r>
          </w:hyperlink>
        </w:p>
        <w:p>
          <w:pPr>
            <w:pStyle w:val="Contents2"/>
            <w:tabs>
              <w:tab w:val="clear" w:pos="8743"/>
              <w:tab w:val="right" w:pos="9026" w:leader="dot"/>
            </w:tabs>
            <w:rPr/>
          </w:pPr>
          <w:hyperlink w:anchor="__RefHeading___Toc1428130_73709187">
            <w:r>
              <w:rPr>
                <w:webHidden/>
                <w:rStyle w:val="IndexLink"/>
                <w:rtl w:val="true"/>
              </w:rPr>
              <w:t>خاتمة المطاف بدعة تلو بدعة</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23_149106"/>
      <w:bookmarkStart w:id="1" w:name="pg11423_149106"/>
      <w:bookmarkEnd w:id="1"/>
    </w:p>
    <w:p>
      <w:pPr>
        <w:pStyle w:val="Heading2"/>
        <w:numPr>
          <w:ilvl w:val="1"/>
          <w:numId w:val="1"/>
        </w:numPr>
        <w:rPr/>
      </w:pPr>
      <w:bookmarkStart w:id="2" w:name="pg11423_149106"/>
      <w:bookmarkStart w:id="3" w:name="__RefHeading___Toc142807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8072_73709187"/>
      <w:bookmarkStart w:id="6" w:name="_Toc2"/>
      <w:bookmarkEnd w:id="5"/>
      <w:r>
        <w:rPr>
          <w:rtl w:val="true"/>
        </w:rPr>
        <w:t>الأذان تشريعاً و فصولاً على ضوء الكتاب و السنّة</w:t>
      </w:r>
      <w:bookmarkStart w:id="7" w:name="pg11423_149108"/>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تشريعاً و فصولاً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428074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رجلاً من الأنصار رأى الأذان في النوم،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فانّ دين اللّه أعزّ من أن يُرى في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عمدتم إلى ما هو الأصل في شرائع الإسلام و معالم دينكم فزعمتم أنّه انّما كان من رؤيا رآها رجل من الأنصار في منامه تحتمل الصدق و الكذب و قد تكون أضغاث أحلام</w:t>
      </w:r>
      <w:r>
        <w:rPr>
          <w:rFonts w:eastAsia="Amiri" w:cs="Amiri" w:ascii="Amiri" w:hAnsi="Amiri"/>
          <w:color w:val="111111"/>
          <w:sz w:val="28"/>
          <w:szCs w:val="28"/>
          <w:rtl w:val="true"/>
          <w:lang w:bidi="ar-SA"/>
        </w:rPr>
        <w:t>.</w:t>
      </w:r>
      <w:bookmarkStart w:id="10" w:name="pg11423_149112"/>
    </w:p>
    <w:p>
      <w:pPr>
        <w:pStyle w:val="Heading2"/>
        <w:numPr>
          <w:ilvl w:val="1"/>
          <w:numId w:val="1"/>
        </w:numPr>
        <w:rPr/>
      </w:pPr>
      <w:bookmarkStart w:id="11" w:name="__RefHeading___Toc1428076_73709187"/>
      <w:bookmarkStart w:id="12" w:name="_Toc4"/>
      <w:bookmarkEnd w:id="10"/>
      <w:bookmarkEnd w:id="11"/>
      <w:r>
        <w:rPr>
          <w:rtl w:val="true"/>
        </w:rPr>
        <w:t>الأذان لغة و شرعاً و مكانة المؤذّن عند اللّه</w:t>
      </w:r>
      <w:bookmarkEnd w:id="12"/>
    </w:p>
    <w:p>
      <w:pPr>
        <w:pStyle w:val="Heading3"/>
        <w:numPr>
          <w:ilvl w:val="2"/>
          <w:numId w:val="1"/>
        </w:numPr>
        <w:rPr/>
      </w:pPr>
      <w:bookmarkStart w:id="13" w:name="__RefHeading___Toc1428078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الأذان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أي إعلام منهما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بدخول وقت الصلاة المفروضة بألفاظ معلومة مأثورة على صفة مخصوصة، و هو من خير الأعمال التي يتقرّب بها إلى اللّه تعالى، و فيه فضل كثير و أجر عظيم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ابن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في مصر من أمصار المسلمين سنة،</w:t>
      </w:r>
    </w:p>
    <w:p>
      <w:pPr>
        <w:pStyle w:val="BookText"/>
        <w:rPr/>
      </w:pP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أخرج أيضاً عن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سبع سنين احتساباً جاء يوم القيامة و لا ذنب له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أخرج الصدوق عن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 الناس أعناقاً يوم القيامة، المؤذّنون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أخرج أحمد بن محمد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المحتسب، كالشاهر بسيفه في سبيل اللّه، القاتل بين الصفّين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الحاثّة على نشر الأذان و قيام قاطبة الطبقات به، و كراهة حصر الأذان بضعفائهم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عقدنا هذا البحث لبيان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الأذان تشريع إلهي لا مدخلية للإنسان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 التثويب في الفجر و انّه ليس جزءاً من الأذان و إنّما دخل فيه بتصويب البعض</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bookmarkStart w:id="15" w:name="pg11423_149116"/>
    </w:p>
    <w:p>
      <w:pPr>
        <w:pStyle w:val="Heading3"/>
        <w:numPr>
          <w:ilvl w:val="2"/>
          <w:numId w:val="1"/>
        </w:numPr>
        <w:rPr/>
      </w:pPr>
      <w:bookmarkStart w:id="16" w:name="__RefHeading___Toc1428080_73709187"/>
      <w:bookmarkStart w:id="17" w:name="_Toc6"/>
      <w:bookmarkEnd w:id="15"/>
      <w:bookmarkEnd w:id="16"/>
      <w:r>
        <w:rPr>
          <w:rtl w:val="true"/>
        </w:rPr>
        <w:t>المقام الأوّل</w:t>
      </w:r>
      <w:bookmarkEnd w:id="17"/>
    </w:p>
    <w:p>
      <w:pPr>
        <w:pStyle w:val="Heading4"/>
        <w:numPr>
          <w:ilvl w:val="3"/>
          <w:numId w:val="1"/>
        </w:numPr>
        <w:rPr/>
      </w:pPr>
      <w:bookmarkStart w:id="18" w:name="__RefHeading___Toc1428082_73709187"/>
      <w:bookmarkStart w:id="19" w:name="_Toc7"/>
      <w:bookmarkEnd w:id="18"/>
      <w:r>
        <w:rPr/>
        <w:t>1</w:t>
      </w:r>
      <w:r>
        <w:rPr>
          <w:rtl w:val="true"/>
        </w:rPr>
        <w:t xml:space="preserve"> </w:t>
      </w:r>
      <w:r>
        <w:rPr>
          <w:rtl w:val="true"/>
        </w:rPr>
        <w:t>مكانة الأذان في التشريع الإسلامي لم يشارك في تشريعه أىّ إنسان</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الأذان و الإقامة من صميم الدين و شعائره، أنزله اللّه سبحانه على قلب سيّد المرسلين، و إنّ اللّه الذي فرض الصلاة، هو الذي فرض الأذان، و إنّ منشأ الجميع واحد و لم يُشارك في تشريعه أىّ إنسان لا في اليقظة و لا في المنام، و هذا شأن كلّ عبادة يعبد بها الإنسان خالقَه و بارئه، و لم نجد في التشريع الإسلامي عبادة مشروعة قام الإنسان بوضعها، ثمّ نالت إمضاء الشارع و تصويبه إلاّ في مواضع</w:t>
      </w:r>
    </w:p>
    <w:p>
      <w:pPr>
        <w:pStyle w:val="BookText"/>
        <w:rPr/>
      </w:pPr>
      <w:r>
        <w:rPr>
          <w:rFonts w:ascii="Amiri" w:hAnsi="Amiri" w:eastAsia="Amiri" w:cs="Amiri"/>
          <w:color w:val="111111"/>
          <w:sz w:val="28"/>
          <w:sz w:val="28"/>
          <w:szCs w:val="28"/>
          <w:rtl w:val="true"/>
          <w:lang w:bidi="ar-SA"/>
        </w:rPr>
        <w:t>خاصة ثبتت من النبيّ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يعرب عن ذلك انّ لجميع فصوله من التكبير إلى التهليل، مسحة إلهية و عذوبة، و سموّ المعنى و فخامته، تثير شعور الإنسان إلى مفاهيم أرقى و أعلى و أنبل ممّا في عقول الناس، فلو كان للأذان و الإقامة مصدر غير الوحي ربّما لا تتمتع بهذه العذوبة و لا المسحة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فليس لمسلم إلاّ قبول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الأذان و الإقامة يرجع إلى اللّه سبحانه و انّه أوحى إلى عبده الأذان و الإقامة و لم يكن لبشر دور في تشريعهما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أصل الأذان وحي إلهي أنزله اللّه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كلّ فصل منه إيحاء إلى النبي فليس لأىّ إنسان أن ينقص منه فصلاً أو يضيف إليه جزءاً</w:t>
      </w:r>
      <w:r>
        <w:rPr>
          <w:rFonts w:eastAsia="Amiri" w:cs="Amiri" w:ascii="Amiri" w:hAnsi="Amiri"/>
          <w:color w:val="111111"/>
          <w:sz w:val="28"/>
          <w:szCs w:val="28"/>
          <w:rtl w:val="true"/>
          <w:lang w:bidi="ar-SA"/>
        </w:rPr>
        <w:t>.</w:t>
      </w:r>
      <w:bookmarkStart w:id="20" w:name="pg11423_149118"/>
    </w:p>
    <w:p>
      <w:pPr>
        <w:pStyle w:val="Heading4"/>
        <w:numPr>
          <w:ilvl w:val="3"/>
          <w:numId w:val="1"/>
        </w:numPr>
        <w:rPr/>
      </w:pPr>
      <w:bookmarkStart w:id="21" w:name="__RefHeading___Toc1428084_73709187"/>
      <w:bookmarkStart w:id="22" w:name="_Toc8"/>
      <w:bookmarkEnd w:id="20"/>
      <w:bookmarkEnd w:id="21"/>
      <w:r>
        <w:rPr/>
        <w:t>2</w:t>
      </w:r>
      <w:r>
        <w:rPr>
          <w:rtl w:val="true"/>
        </w:rPr>
        <w:t xml:space="preserve"> </w:t>
      </w:r>
      <w:r>
        <w:rPr>
          <w:rtl w:val="true"/>
        </w:rPr>
        <w:t xml:space="preserve">تاريخ تشريع الأذان في أحاديث أهل البيت </w:t>
      </w:r>
      <w:r>
        <w:rPr>
          <w:rtl w:val="true"/>
        </w:rPr>
        <w:t>(</w:t>
      </w:r>
      <w:r>
        <w:rPr>
          <w:rtl w:val="true"/>
        </w:rPr>
        <w:t>عليهم السلام</w:t>
      </w:r>
      <w:r>
        <w:rPr>
          <w:rtl w:val="true"/>
        </w:rPr>
        <w:t>)</w:t>
      </w:r>
      <w:bookmarkEnd w:id="22"/>
    </w:p>
    <w:p>
      <w:pPr>
        <w:pStyle w:val="BookText"/>
        <w:rPr/>
      </w:pPr>
      <w:r>
        <w:rPr>
          <w:rFonts w:ascii="Amiri" w:hAnsi="Amiri" w:eastAsia="Amiri" w:cs="Amiri"/>
          <w:color w:val="111111"/>
          <w:sz w:val="28"/>
          <w:sz w:val="28"/>
          <w:szCs w:val="28"/>
          <w:rtl w:val="true"/>
          <w:lang w:bidi="ar-SA"/>
        </w:rPr>
        <w:t xml:space="preserve">اتّفقت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الأذان من الأُمور العبادية، له من الشأن ما لغيره من العبادات و أنّ المشرّع له هو اللّه سبحانه و قد هبط جبرئيل بأمر منه و علّمه رسول اللّه، كما علّمه رسول اللّه بلالاً، و لم يشارك في تشريعه بل و لا في تشريع الإقامة أحد، فهذا من الأُمور المسلّمة عند أئمّة أهل البيت، و قد تضافرت عليه رواياتهم و كلماتهم نذكر في المقام نزراً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يكفيك من القلادة موضع عنقها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ثقة الإسلام الكليني بسند صحيح عن</w:t>
      </w:r>
    </w:p>
    <w:p>
      <w:pPr>
        <w:pStyle w:val="BookText"/>
        <w:rPr/>
      </w:pPr>
      <w:r>
        <w:rPr>
          <w:rFonts w:ascii="Amiri" w:hAnsi="Amiri" w:eastAsia="Amiri" w:cs="Amiri"/>
          <w:color w:val="111111"/>
          <w:sz w:val="28"/>
          <w:sz w:val="28"/>
          <w:szCs w:val="28"/>
          <w:rtl w:val="true"/>
          <w:lang w:bidi="ar-SA"/>
        </w:rPr>
        <w:t xml:space="preserve">زرارة و الفضيل،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فبلغ البيت المعمور، و حضرت الصلاة، فأذّن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فتقدم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 الملائكة و النبيّون خلف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أيضاً بسند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هبط جبرئيل بالأذان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جبرئيل و أقام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فلمّا انتبه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بلالاً،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فعلّمه</w:t>
      </w:r>
      <w:r>
        <w:rPr>
          <w:rFonts w:eastAsia="Amiri" w:cs="Amiri" w:ascii="Amiri" w:hAnsi="Amiri"/>
          <w:color w:val="111111"/>
          <w:sz w:val="28"/>
          <w:szCs w:val="28"/>
          <w:rtl w:val="true"/>
          <w:lang w:bidi="ar-SA"/>
        </w:rPr>
        <w:t>».</w:t>
      </w:r>
      <w:r>
        <w:rPr>
          <w:rStyle w:val="FootnoteAnchor"/>
        </w:rPr>
        <w:footnoteReference w:id="1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أيضاً بسند صحيح عن عمر بن أذينة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أُبىّ بن كعب رآه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فانّ دين اللّه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عرج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سماواته السبع إلى آخر الحديث الأوّل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مكي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فقيه الشيعة في أوائل القرن الرابع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عقيل العماني أنّه 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لعن قوماً زعموا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الأذان من عبد اللّه بن زيد</w:t>
      </w:r>
      <w:r>
        <w:rPr>
          <w:rStyle w:val="FootnoteAnchor"/>
          <w:rtl w:val="true"/>
        </w:rPr>
        <w:footnoteReference w:id="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الوحي على نبيّكم فتزعمون أنّه أخذ الأذانن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بن زيد؟</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الشيعة متفرّدة في هذا النقل عن أئمة أهل البيت، فقد روى الحاكم و غيره نفس النقل عنهم، و إليك بعض ما أُثر في ذلك المجال عن طريق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الحسن بن علي و معاوية ما كان، قدمت عليه المدينة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عنده الأذان،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بدء الأذان رؤيا عبد اللّه بن زيد، فقال له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الأذان أعظم من ذاك، أذَّن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مثنى مثنى، و علّمه رسول اللّه و أقام مرة مرة</w:t>
      </w:r>
      <w:r>
        <w:rPr>
          <w:rStyle w:val="FootnoteAnchor"/>
          <w:rtl w:val="true"/>
        </w:rPr>
        <w:footnoteReference w:id="14"/>
      </w:r>
      <w:r>
        <w:rPr>
          <w:rFonts w:ascii="Amiri" w:hAnsi="Amiri" w:eastAsia="Amiri" w:cs="Amiri"/>
          <w:color w:val="111111"/>
          <w:sz w:val="28"/>
          <w:sz w:val="28"/>
          <w:szCs w:val="28"/>
          <w:rtl w:val="true"/>
          <w:lang w:bidi="ar-SA"/>
        </w:rPr>
        <w:t xml:space="preserve">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المتقي الهندي عن الشهيد زيد بن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الأذان ليلة أُسري به و فرضت عليه الصلاة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الحلبي عن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لنتحدّث أنّ بدء هذا الأذان كان من رؤيا رآها رجل من الأنصار في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لذلك محمد ابن الحنفية فزعاً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ما هو الأصل في شرائع الإسلام، و معالم دينكم، فزعمتم أنّه إنّما كان من رؤيا رآها رجل من الأنصار في منامه، تحتمل الصدق و الكذب و قد تكون أضغاث أحلام،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استفاض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الباطل</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المتقي الهندي عن مسند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أُوحي إليه بالأذان فنزل به فعلّمه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الطبراني في الأوسط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رواه عبد الرزاق عن ابن جريج عن عطاء، انّ الأذان كان بوحي من اللّه سبحانه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أحاديث تدلّ على أنّ الأذان شُرّع بمكة قبل الهجرة، فمن تلك الأحاديث ما في الطبراني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الرواية الثامنة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تاريخ الأذان و طريق تشريعه أخذته الشيعة من عين صافية، من أُناس هم بطانة سنّة الرسول، يروي صادق عن صادق حتى ينتهي إلى الرسول، و أيّدته آثار أُخرى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3" w:name="pg11423_149124"/>
    </w:p>
    <w:p>
      <w:pPr>
        <w:pStyle w:val="Heading4"/>
        <w:numPr>
          <w:ilvl w:val="3"/>
          <w:numId w:val="1"/>
        </w:numPr>
        <w:rPr/>
      </w:pPr>
      <w:bookmarkStart w:id="24" w:name="__RefHeading___Toc1428086_73709187"/>
      <w:bookmarkStart w:id="25" w:name="_Toc9"/>
      <w:bookmarkEnd w:id="23"/>
      <w:bookmarkEnd w:id="24"/>
      <w:r>
        <w:rPr/>
        <w:t>3</w:t>
      </w:r>
      <w:r>
        <w:rPr>
          <w:rtl w:val="true"/>
        </w:rPr>
        <w:t xml:space="preserve"> </w:t>
      </w:r>
      <w:r>
        <w:rPr>
          <w:rtl w:val="true"/>
        </w:rPr>
        <w:t>كيفيّة تشريع الأذان في روايات أهل السنّة</w:t>
      </w:r>
      <w:bookmarkEnd w:id="25"/>
    </w:p>
    <w:p>
      <w:pPr>
        <w:pStyle w:val="BookText"/>
        <w:rPr/>
      </w:pPr>
      <w:r>
        <w:rPr>
          <w:rFonts w:ascii="Amiri" w:hAnsi="Amiri" w:eastAsia="Amiri" w:cs="Amiri"/>
          <w:color w:val="111111"/>
          <w:sz w:val="28"/>
          <w:sz w:val="28"/>
          <w:szCs w:val="28"/>
          <w:rtl w:val="true"/>
          <w:lang w:bidi="ar-SA"/>
        </w:rPr>
        <w:t>قد ورد في روايات أهل السنّة حول كيفية تشريع الأذان أُمور لا تصحّ نسبتها إلى الرسول الأعظم، و حصيلة هذه الروايات كما ستمر عليك تفاصيلها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بأمر الصلاة جماعة، و لكن كان متحيّراً في أنّه كيف يجمع الناس إلى الصلاة مع بعد الدار و تفرّق المهاجرين و الأنصار في أزقّة المدينة، فاستشار في ذلك في حل العقدة، فأشاروا عليه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يستعين بنصب الراية، فإذا رأوها آذن</w:t>
      </w:r>
    </w:p>
    <w:p>
      <w:pPr>
        <w:pStyle w:val="BookText"/>
        <w:rPr/>
      </w:pPr>
      <w:r>
        <w:rPr>
          <w:rFonts w:ascii="Amiri" w:hAnsi="Amiri" w:eastAsia="Amiri" w:cs="Amiri"/>
          <w:color w:val="111111"/>
          <w:sz w:val="28"/>
          <w:sz w:val="28"/>
          <w:szCs w:val="28"/>
          <w:rtl w:val="true"/>
          <w:lang w:bidi="ar-SA"/>
        </w:rPr>
        <w:t>بعضهم بعضاً، فلم يُعجبه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أشاروا إليه باستعمال القُبع، أىّ بوق اليهود، فكرهه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يستعين بالناقوس كما يستعين به النصارى، كرهه أوّلاً ثمّ أمر به فعمل من خشب ليضرب به للناس حتى يجتمعوا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النبي الأكرم على هذه الحالة، إذ جاء عبد اللّه بن زيد و أخبر رسول اللّه بأنّه كان بين النوم و اليقظة إذ أتاه آت فأراه الأذان، و كان عمر بن الخطاب قد رآه قبل ذلك بعشرين يوماً فكتمه ثمّ أخبر به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عبد اللّه بن زيد فاستحييت،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فانظر ما يأمرك به عبد اللّه بن زيد فعلّمه، فتعلّم بلال الأذان و أذّن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ما يرويه المحدّثون حول كيفيّة تشريع الأذان، فتجب علينا دراسة متونه و أسناده و إليك البيان</w:t>
      </w:r>
      <w:r>
        <w:rPr>
          <w:rFonts w:eastAsia="Amiri" w:cs="Amiri" w:ascii="Amiri" w:hAnsi="Amiri"/>
          <w:color w:val="111111"/>
          <w:sz w:val="28"/>
          <w:szCs w:val="28"/>
          <w:rtl w:val="true"/>
          <w:lang w:bidi="ar-SA"/>
        </w:rPr>
        <w:t>.</w:t>
      </w:r>
      <w:bookmarkStart w:id="26" w:name="pg11423_149126"/>
    </w:p>
    <w:p>
      <w:pPr>
        <w:pStyle w:val="Heading4"/>
        <w:numPr>
          <w:ilvl w:val="3"/>
          <w:numId w:val="1"/>
        </w:numPr>
        <w:rPr/>
      </w:pPr>
      <w:bookmarkStart w:id="27" w:name="__RefHeading___Toc1428088_73709187"/>
      <w:bookmarkStart w:id="28" w:name="_Toc10"/>
      <w:bookmarkEnd w:id="26"/>
      <w:bookmarkEnd w:id="27"/>
      <w:r>
        <w:rPr/>
        <w:t>4</w:t>
      </w:r>
      <w:r>
        <w:rPr>
          <w:rtl w:val="true"/>
        </w:rPr>
        <w:t xml:space="preserve"> </w:t>
      </w:r>
      <w:r>
        <w:rPr>
          <w:rtl w:val="true"/>
        </w:rPr>
        <w:t>روايات في كيفية تشريع الأذان في السنن</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موسى الختلي، و زياد بن أيوب، و حديث عباد أتمّ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أبي بشر،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بشر، عن أبي عمير بن أنس، عن عمومة له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كيف يجمع الناس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انصب راية عند حضور الصلاة، فإذا رأوها آذن بعضهم بعضاً، فلم يعجبه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القُنْع يعني الشبُّور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شبور اليهود، فلم يُعجبه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الناقوس،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أمر النصارى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مهتم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فأُري الأذان في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لبين نائم و يقظان، إذ أتاني آت فأراني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قبل ذلك فكتمه عشرين يوماً</w:t>
      </w:r>
      <w:r>
        <w:rPr>
          <w:rStyle w:val="FootnoteAnchor"/>
          <w:rtl w:val="true"/>
        </w:rPr>
        <w:footnoteReference w:id="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سبقني عبد اللّه بن زيد فاستحييت،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فانظر ما يأمرك به عبد اللّه بن زيد فافعله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بلال، 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أبو عمير أنّ الأنصار تزعم أنّ عبد اللّه بن زيد لو لا أنّه كان يومئذ مريضاً، لجعله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منصور الطوسي، حدثنا يعقوب، حدثنا أبي، عن محمد بن إسحاق، حدّثني محمد بن إبراهيم ابن الحارث التيمي، عن محمد بن عبد اللّه بن 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بالناقوس يعمل ليضرب به للناس لجمع الصلاة طاف بي، و أنا نائم، رجل يحمل ناقوساً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تبيع الناقوس؟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به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أدلّك على ما هو خير من ذلك؟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استأخر عنّي غير بعيد،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إذا أقمت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أشهد أن لا إله إلاّ اللّه، أشهد أنّ محمداً رسول اللّه، حيّ على الصلاة، حيّ على الفلاح، قد قامت الصلاة، قد قامت الصلاة، اللّه أكبر، اللّه أكبر،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لرؤيا حق إن شاء اللّه، فقم مع بلال فالق عليه ما رأيت فليؤذّن به، فانّه أندى صوتاً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 بلال، فجعلت أُلقيه عليه و يؤذِّن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عمر بن الخطاب و هو في بيته فخرج يجرُّ رداءه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يا رسول اللّه لقد رأيت مثل ما رأى،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رواه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المدني، حدثناق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سلمة الحرّاني، حدثنا محمد بن إسحاق، حدثنا محمد بن إبراهيم التيمي، عن محمد بن عبد اللّه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قد همَّ بالبوق، و أمر بالناقوس فنُحِتَ، فأُري عبد اللّه بن زيد في 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عبد اللّه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عبد الرحمن بن إسحاق،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استشار الناس لما يهمّهم إلى الصلاة، فذكروا البوق فكرهه من أجل اليهود، ثمّ ذكروا الناقوس فكرهه من أجل النصارى، فأُري النداء تلك الليلة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بلال في نداء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فأقرّها رسول اللّه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الترمذي بالسند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سعيد بن يحيى بن سعيد الأموي، حدّثنا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حدّثنا محمد بن إسحاق، عن محمد بن إبراهيم بن الحارث التيمي، عن محمد بن عبد اللّه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أتينا رسول اللّه فأخبرته بالرؤيا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هذا الحديث إبراهيم ابن سعد عن محمد بن إسحاق أتمَّ من هذا الحديث و أطول، ثمّ أضاف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زيد هو ابن عبد ربّه، و لا نعرف 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يصحّ إلاّ هذا الحديث الواحد في الأذان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ما رواه أصحاب السنن المعدودة من الصحاح أو الكتب الستة، و لها من الأهمية ما ليس لغيرها من السنن كسنن الدارمي أو الدارقطني أو ما يرويه ابن سعد في طبقاته، و البيهقي في سننه، و لأجل تلك المكانة الخاصّة فصلنا ما روي في السنن المعروفة، عمّا روي في غيرها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فلندرس هذه الروايات متناً و سنداً حتّى تتّضح الحقيقة ثمّ نذكر بقية النصوص الواردة في غيرها 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9" w:name="pg11423_149132"/>
    </w:p>
    <w:p>
      <w:pPr>
        <w:pStyle w:val="Heading4"/>
        <w:numPr>
          <w:ilvl w:val="3"/>
          <w:numId w:val="1"/>
        </w:numPr>
        <w:rPr/>
      </w:pPr>
      <w:bookmarkStart w:id="30" w:name="__RefHeading___Toc1428090_73709187"/>
      <w:bookmarkStart w:id="31" w:name="_Toc11"/>
      <w:bookmarkEnd w:id="29"/>
      <w:bookmarkEnd w:id="30"/>
      <w:r>
        <w:rPr/>
        <w:t>5</w:t>
      </w:r>
      <w:r>
        <w:rPr>
          <w:rtl w:val="true"/>
        </w:rPr>
        <w:t xml:space="preserve"> </w:t>
      </w:r>
      <w:r>
        <w:rPr>
          <w:rtl w:val="true"/>
        </w:rPr>
        <w:t>تحليل مضمون الروايات</w:t>
      </w:r>
      <w:bookmarkEnd w:id="31"/>
    </w:p>
    <w:p>
      <w:pPr>
        <w:pStyle w:val="Heading5"/>
        <w:numPr>
          <w:ilvl w:val="4"/>
          <w:numId w:val="1"/>
        </w:numPr>
        <w:rPr/>
      </w:pPr>
      <w:bookmarkStart w:id="32" w:name="__RefHeading___Toc1428092_7370918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إنّ هذه الروايات غير صالحة للاحتجاج لجهات شتى</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428094_73709187"/>
      <w:bookmarkStart w:id="35" w:name="_Toc13"/>
      <w:bookmarkEnd w:id="34"/>
      <w:r>
        <w:rPr>
          <w:rtl w:val="true"/>
        </w:rPr>
        <w:t>الأُولى</w:t>
      </w:r>
      <w:r>
        <w:rPr>
          <w:rtl w:val="true"/>
        </w:rPr>
        <w:t xml:space="preserve">: </w:t>
      </w:r>
      <w:r>
        <w:rPr>
          <w:rtl w:val="true"/>
        </w:rPr>
        <w:t>لا تتّفق مع مقام النبوّة</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بعث رسوله لإقامة الصلاة مع المؤمنين في أوقات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القضية يقتضي أن يعلّمه سبحانه كيفية تحقيق هذه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لتحيّر النبيّ أياماً طويلة أو عشرين يوماً على ما في الرواية الأُولى التي رواها أبو داود، و هو لا يدري كيف يحقّق المسئولية الملقاة على عاتقه، فتارة يتوسّل بهذا، و أُخرى بذاك حتى يُرشد إلى الأسباب و الوسائل التي تؤمِّن مقصوده، مع أنّه سبحانه</w:t>
      </w:r>
    </w:p>
    <w:p>
      <w:pPr>
        <w:pStyle w:val="BookText"/>
        <w:rPr/>
      </w:pPr>
      <w:r>
        <w:rPr>
          <w:rFonts w:ascii="Amiri" w:hAnsi="Amiri" w:eastAsia="Amiri" w:cs="Amiri"/>
          <w:color w:val="111111"/>
          <w:sz w:val="28"/>
          <w:sz w:val="28"/>
          <w:szCs w:val="28"/>
          <w:rtl w:val="true"/>
          <w:lang w:bidi="ar-SA"/>
        </w:rPr>
        <w:t>يقول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المقصود من الفضل هو العلم بقرينة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عَلَّمَكَ ما لَمْ تَكُنْ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و الصيام من الأُمور العبادية و ليسا كالحرب و القتال الذي ربّما كان النبي يتشاور فيه مع أصحابه و لم يكن تشاوره في كيفية القتال عن جهله بالأصلح، و إنّما كان لأجل جلب قلوبهم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كُنْتَ فَظًّا غَلِيظَ الْقَلْبِ لاَنْفَضُّوا مِنْ حَوْلِكَ فَاعْفُ عَنْهُمْ وَ اسْتَغْفِرْ لَهُمْ وَ شاوِرْهُمْ فِي الْأَمْرِ فَإِذا عَزَمْتَ فَتَوَكَّلْ عَلَى اللّهِ </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من الوهن في أمر الدين أن تكون الرؤيا و الأحلام و المنامات من أفراد عاديين، مصدراً لأمر عبادي في غاية الأهمية كالأذان و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6" w:name="pg11423_149134"/>
    </w:p>
    <w:p>
      <w:pPr>
        <w:pStyle w:val="BookText"/>
        <w:rPr/>
      </w:pPr>
      <w:bookmarkEnd w:id="36"/>
      <w:r>
        <w:rPr>
          <w:rFonts w:ascii="Amiri" w:hAnsi="Amiri" w:eastAsia="Amiri" w:cs="Amiri"/>
          <w:color w:val="111111"/>
          <w:sz w:val="28"/>
          <w:sz w:val="28"/>
          <w:szCs w:val="28"/>
          <w:rtl w:val="true"/>
          <w:lang w:bidi="ar-SA"/>
        </w:rPr>
        <w:t>إنّ هذا يدفعنا إلى القول بأنّ كون الرؤيا مصدراً للأذان أمر مكذوب على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القريب جداً أنّ عمومة عبد اللّه بن زيد هم الذين أشاعوا تلك الرؤيا و روّجوها، لتكون فضيلة لبيوتاتهم و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نرى في بعض المسانيد أنّ بني عمومته هم رواة هذا الحديث، و أنّ من اعتمد عليهم انّما كان لحسن ظنّه بهم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428096_73709187"/>
      <w:bookmarkStart w:id="38" w:name="_Toc14"/>
      <w:bookmarkEnd w:id="37"/>
      <w:r>
        <w:rPr>
          <w:rtl w:val="true"/>
        </w:rPr>
        <w:t>الثانية</w:t>
      </w:r>
      <w:r>
        <w:rPr>
          <w:rtl w:val="true"/>
        </w:rPr>
        <w:t xml:space="preserve">: </w:t>
      </w:r>
      <w:r>
        <w:rPr>
          <w:rtl w:val="true"/>
        </w:rPr>
        <w:t>انّها متعارضة جوهراً</w:t>
      </w:r>
      <w:bookmarkEnd w:id="38"/>
    </w:p>
    <w:p>
      <w:pPr>
        <w:pStyle w:val="BookText"/>
        <w:rPr/>
      </w:pPr>
      <w:r>
        <w:rPr>
          <w:rFonts w:ascii="Amiri" w:hAnsi="Amiri" w:eastAsia="Amiri" w:cs="Amiri"/>
          <w:color w:val="111111"/>
          <w:sz w:val="28"/>
          <w:sz w:val="28"/>
          <w:szCs w:val="28"/>
          <w:rtl w:val="true"/>
          <w:lang w:bidi="ar-SA"/>
        </w:rPr>
        <w:t>إنّ ما مضى من الروايات حول بدء الأذان و تشريعه متعارضة جوهراً من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مقتضى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رأى الأذان قبل عبد اللّه بن زيد بعشرين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مقتضى الرواية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نفس الليلة التي رأى فيها عبد اللّه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رؤيا عبد اللّه بن زيد هو المبدأ للتشريع، و أنّ عمر بن الخطاب لمّا سمع الأذان جاء إلى رسول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أيضاً رأى نفس تلك الرؤيا و لم ينقلها إليه استحياءً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المبدأ لتشريع الأذان، هو نفس عمر بن الخطاب، لا رؤياه، لأنّه هو الذي اقترح النداء بالصلاة الذي هو عبارة أُخرى عن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في سننه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حين قدموا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قرناً مثل قرن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تبعثون رجلاً ينادي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فناد بالصلاة، أي الأذان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رواه النسائي</w:t>
      </w:r>
      <w:r>
        <w:rPr>
          <w:rStyle w:val="FootnoteAnchor"/>
          <w:rtl w:val="true"/>
        </w:rPr>
        <w:footnoteReference w:id="27"/>
      </w:r>
      <w:r>
        <w:rPr>
          <w:rFonts w:ascii="Amiri" w:hAnsi="Amiri" w:eastAsia="Amiri" w:cs="Amiri"/>
          <w:color w:val="111111"/>
          <w:sz w:val="28"/>
          <w:sz w:val="28"/>
          <w:szCs w:val="28"/>
          <w:rtl w:val="true"/>
          <w:lang w:bidi="ar-SA"/>
        </w:rPr>
        <w:t>و البيهقي</w:t>
      </w:r>
      <w:r>
        <w:rPr>
          <w:rStyle w:val="FootnoteAnchor"/>
          <w:rtl w:val="true"/>
        </w:rPr>
        <w:footnoteReference w:id="28"/>
      </w:r>
      <w:r>
        <w:rPr>
          <w:rFonts w:ascii="Amiri" w:hAnsi="Amiri" w:eastAsia="Amiri" w:cs="Amiri"/>
          <w:color w:val="111111"/>
          <w:sz w:val="28"/>
          <w:sz w:val="28"/>
          <w:szCs w:val="28"/>
          <w:rtl w:val="true"/>
          <w:lang w:bidi="ar-SA"/>
        </w:rPr>
        <w:t>في سننهما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فسّر ابن حجر النداء بالصلاة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لا دليل على هذا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9" w:name="pg11423_149136"/>
    </w:p>
    <w:p>
      <w:pPr>
        <w:pStyle w:val="BookText"/>
        <w:rPr/>
      </w:pPr>
      <w:bookmarkEnd w:id="3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مبدأ التشريع هو نفس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أن يضربوا ناقوساً أو ينوّروا ناراً فأُمر بلال أن يشفع الأذان و يوتر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البخاري عن محمد عن عبد الوهاب الثقفي، و رواه مسلم عن إسحاق بن إبراهيم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مع هذا التناقض في النقل كيف يمكن الاعتماد على هذه النقول؟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كان حاضراً عند نقل عبد اللّه بن زيد رؤياه للنبي حسب الحديث الأوّل و لكنّه كان غائباً حسب الحديث الثاني، حيث خرج من بيته لمّا سمع أذان بلال بعد نقل عبد اللّه رؤياه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428098_73709187"/>
      <w:bookmarkStart w:id="41" w:name="_Toc15"/>
      <w:bookmarkEnd w:id="40"/>
      <w:r>
        <w:rPr>
          <w:rtl w:val="true"/>
        </w:rPr>
        <w:t>الثالثة</w:t>
      </w:r>
      <w:r>
        <w:rPr>
          <w:rtl w:val="true"/>
        </w:rPr>
        <w:t xml:space="preserve">: </w:t>
      </w:r>
      <w:r>
        <w:rPr>
          <w:rtl w:val="true"/>
        </w:rPr>
        <w:t>انّ الرائي كان أربعة عشر شخصاً لا واحداً</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رواه الحلبي أنّ الرائي للأذان لم يكن منحصراً بابني زيد و الخطاب، بل ادّعى أبو بكر أنّه أيضاً</w:t>
      </w:r>
      <w:bookmarkStart w:id="42" w:name="pg11423_149137"/>
    </w:p>
    <w:p>
      <w:pPr>
        <w:pStyle w:val="BookText"/>
        <w:rPr/>
      </w:pPr>
      <w:bookmarkEnd w:id="42"/>
      <w:r>
        <w:rPr>
          <w:rFonts w:ascii="Amiri" w:hAnsi="Amiri" w:eastAsia="Amiri" w:cs="Amiri"/>
          <w:color w:val="111111"/>
          <w:sz w:val="28"/>
          <w:sz w:val="28"/>
          <w:szCs w:val="28"/>
          <w:rtl w:val="true"/>
          <w:lang w:bidi="ar-SA"/>
        </w:rPr>
        <w:t>رأى نفس ما رأياه،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الأنصار،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Style w:val="FootnoteAnchor"/>
          <w:rtl w:val="true"/>
        </w:rPr>
        <w:footnoteReference w:id="31"/>
      </w:r>
      <w:r>
        <w:rPr>
          <w:rFonts w:ascii="Amiri" w:hAnsi="Amiri" w:eastAsia="Amiri" w:cs="Amiri"/>
          <w:color w:val="111111"/>
          <w:sz w:val="28"/>
          <w:sz w:val="28"/>
          <w:szCs w:val="28"/>
          <w:rtl w:val="true"/>
          <w:lang w:bidi="ar-SA"/>
        </w:rPr>
        <w:t>كلّهم ادّعوا أنّهم رأوا في الرؤيا الأذان، و ليست الشريعة شرعة لكل وارد، فإذا كانت الشريعة و الأحكام خاضعة لرؤيا كل وارد فعلى الإسلام السلام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428100_73709187"/>
      <w:bookmarkStart w:id="44" w:name="_Toc16"/>
      <w:bookmarkEnd w:id="43"/>
      <w:r>
        <w:rPr>
          <w:rtl w:val="true"/>
        </w:rPr>
        <w:t>الرابعة</w:t>
      </w:r>
      <w:r>
        <w:rPr>
          <w:rtl w:val="true"/>
        </w:rPr>
        <w:t xml:space="preserve">: </w:t>
      </w:r>
      <w:r>
        <w:rPr>
          <w:rtl w:val="true"/>
        </w:rPr>
        <w:t>التعارض بين نقل البخاري و غيره</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صريح صحيح البخاري أنّ النبي أمر بلالاً في مجلس التشاور بالنداء للصلاة و عمر حاضر حين صدور الأمر، فقد روى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حين قدموا المدينة يجتمعون فيتحيّنون الصلاة، ليس ينادى لها، فتكلّموا يوماً في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ناقوساً مثل ناقوس النصارى،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بوقاً مثل قرن اليهود،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تبعثون رجلاً ينادي بالصلاة؟</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فناد بالصلاة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صريح أحاديث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إنّما أمر بلالاً بالنداء إذ قصّ عليه ابن زيد رؤياه و لم يكن عمر حاضراً و إنّما سمع الأذان و هو في بيته، خرج و هو يجرّ ثوبه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يا رسول اللّه لقد رأيت مثل ما رأى</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لنا حمل ما رواه البخاري على النداء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أحاديث الرؤيا على التأذين بالأذان، فانّه جمع بلا شاهد أوّلاً، و لو أمر النبي بلالاً برفع صوته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لحلّت العقدة ثانياً، و رفعت الحيرة خصوصاً إذا كررت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موضوع للحيرة، و هذا دليل على أنّ أمره بالنداء، كان بالتأذين بالأذان المشروع</w:t>
      </w:r>
      <w:r>
        <w:rPr>
          <w:rFonts w:eastAsia="Amiri" w:cs="Amiri" w:ascii="Amiri" w:hAnsi="Amiri"/>
          <w:color w:val="111111"/>
          <w:sz w:val="28"/>
          <w:szCs w:val="28"/>
          <w:rtl w:val="true"/>
          <w:lang w:bidi="ar-SA"/>
        </w:rPr>
        <w:t>.</w:t>
      </w:r>
      <w:r>
        <w:rPr>
          <w:rStyle w:val="FootnoteAnchor"/>
        </w:rPr>
        <w:footnoteReference w:id="3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5" w:name="pg11423_149139"/>
    </w:p>
    <w:p>
      <w:pPr>
        <w:pStyle w:val="Heading4"/>
        <w:numPr>
          <w:ilvl w:val="3"/>
          <w:numId w:val="1"/>
        </w:numPr>
        <w:rPr/>
      </w:pPr>
      <w:bookmarkStart w:id="46" w:name="__RefHeading___Toc1428102_73709187"/>
      <w:bookmarkStart w:id="47" w:name="_Toc17"/>
      <w:bookmarkEnd w:id="45"/>
      <w:bookmarkEnd w:id="46"/>
      <w:r>
        <w:rPr/>
        <w:t>6</w:t>
      </w:r>
      <w:r>
        <w:rPr>
          <w:rtl w:val="true"/>
        </w:rPr>
        <w:t xml:space="preserve"> </w:t>
      </w:r>
      <w:r>
        <w:rPr>
          <w:rtl w:val="true"/>
        </w:rPr>
        <w:t>مناقشة الأسانيد</w:t>
      </w:r>
      <w:bookmarkEnd w:id="47"/>
    </w:p>
    <w:p>
      <w:pPr>
        <w:pStyle w:val="BookText"/>
        <w:rPr/>
      </w:pPr>
      <w:r>
        <w:rPr>
          <w:rFonts w:ascii="Amiri" w:hAnsi="Amiri" w:eastAsia="Amiri" w:cs="Amiri"/>
          <w:color w:val="111111"/>
          <w:sz w:val="28"/>
          <w:sz w:val="28"/>
          <w:szCs w:val="28"/>
          <w:rtl w:val="true"/>
          <w:lang w:bidi="ar-SA"/>
        </w:rPr>
        <w:t>ما ذكرنا من الوجوه الخمسة ترجع إلى دراسة مضمون الأحاديث و هي كافية في سلب 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أسنادها واحداً 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بين موقوف لا يتّصل سندها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مسند مشتمل على مجهول أو مجروح أو ضعيف متروك، و إليك البيان حسب الترتيب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التي رواها أبو داود فهي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تنتهي الرواية إلى مجهول أو مجاهيل،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عمومة له من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العمومة، أبو عمير بن أنس، فيذكره ابن حجر و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عمومة له من الأنصار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الهلال و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لا يحتج به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حدّث به في الموضوعين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و الأذان جميع ما له عندهم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سندها من لا يصح الاحتجاج به، نظراء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الحارث بن خالد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المتوفّى حدود عام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العقيلي عن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ذكر محمد بن إبراهيم التيمي المدني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 يروي أحاديث مناكير، أو منكرة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بن يسار بن خيار، فانّ أهل السنّة لا يحتجون برواياته، و إن كان هو الأساس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عندي سقيم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زيد، راوية الحديث و كفى في حقّه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قليل الحديث،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يصح إلاّ هذا الحديث الواحد في الأذان،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بأُحد، و الروايات عنه كلّها منقطعة،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شيئاً يصح عن النبيّ إلاّ حديث الأذان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روى الترمذي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إلاّ حديث الأذان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هو الذي أُرِيَ الأذان، الذي تداوله فقهاء الإسلام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 في الصحيحين لاختلاف الناقلين في أسانيده</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السند على محمد ابن إسحاق بن يسار، و محمد بن إبراهيم التيمي، و قد تعرّفت على حالهما كما تعرفت على أنّ عبد اللّه بن زيد كان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الرواية، و الروايات كلّها عنه منقطعة، لأنّه قتل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سندها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إسحاق بن عبد اللّه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بالمدينة، فلم أرهم يحمدونه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و سئل عن عبد الرحمن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 فنفاه أهل المدينة، فجاءنا هاهنا مقتل الوليد، فلم نجالسه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الزناد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يعتمد على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بالمدينة تلميذ إلاّ موسى الزمعىّ، روى عنه أشياء</w:t>
      </w:r>
    </w:p>
    <w:p>
      <w:pPr>
        <w:pStyle w:val="BookText"/>
        <w:rPr/>
      </w:pPr>
      <w:r>
        <w:rPr>
          <w:rFonts w:ascii="Amiri" w:hAnsi="Amiri" w:eastAsia="Amiri" w:cs="Amiri"/>
          <w:color w:val="111111"/>
          <w:sz w:val="28"/>
          <w:sz w:val="28"/>
          <w:szCs w:val="28"/>
          <w:rtl w:val="true"/>
          <w:lang w:bidi="ar-SA"/>
        </w:rPr>
        <w:t>في عدّة منها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يرمى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ما ينكر و لا يتابع</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خالد بن عبد اللّه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 جمال الدين المزّي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أنكر روايته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سوء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 أشياء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عثمان سعيد بن عمرو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أبا زرعة عن محمد بن خالد،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حبان في كتاب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و يخالف</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الشوكاني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اسناده ضعف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سندها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الحارث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تعرّفت على جرح الأوّلين، و انقطاع السند في كل ما يرويان عن الثالث، و بذلك يتّضح حال السند السادس فلاحظ</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ورد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في غيرها فنذكر منه ما رواه الإمام أحمد، و الدارمي، و الدارقطني في مسانيدهم، و الإمام مالك في موطّئه، و ابن سعد في طبقاته، و البيهقي في سننه، و إليك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8" w:name="pg11423_149146"/>
    </w:p>
    <w:p>
      <w:pPr>
        <w:pStyle w:val="Heading4"/>
        <w:numPr>
          <w:ilvl w:val="3"/>
          <w:numId w:val="1"/>
        </w:numPr>
        <w:rPr/>
      </w:pPr>
      <w:bookmarkStart w:id="49" w:name="__RefHeading___Toc1428104_73709187"/>
      <w:bookmarkStart w:id="50" w:name="_Toc18"/>
      <w:bookmarkEnd w:id="48"/>
      <w:bookmarkEnd w:id="49"/>
      <w:r>
        <w:rPr/>
        <w:t>7</w:t>
      </w:r>
      <w:r>
        <w:rPr>
          <w:rtl w:val="true"/>
        </w:rPr>
        <w:t xml:space="preserve"> </w:t>
      </w:r>
      <w:r>
        <w:rPr>
          <w:rtl w:val="true"/>
        </w:rPr>
        <w:t>روايات الأذان في غير الكتب الستّة</w:t>
      </w:r>
      <w:bookmarkEnd w:id="50"/>
    </w:p>
    <w:p>
      <w:pPr>
        <w:pStyle w:val="Heading5"/>
        <w:numPr>
          <w:ilvl w:val="4"/>
          <w:numId w:val="1"/>
        </w:numPr>
        <w:rPr/>
      </w:pPr>
      <w:bookmarkStart w:id="51" w:name="__RefHeading___Toc1428106_73709187"/>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قد عرفت من الحاكم انّ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مسلماً لم يخرّجا حديث عبد اللّه بن زيد لاختلاف الناقلين في أسانيدهما و إنّما أخرجه من أصحاب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 الترمذي و ابن ماجة أصحاب السنن، و قد عرفت وجود التناقض في مضامينها و الضعف في أسانيدها، فهلم معي ندرس ما رواه أصحاب المسانيد و غيرهم ممّن تعدّ كتبهم دون الكتب الستة في الإتقان و الصحّة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428108_73709187"/>
      <w:bookmarkStart w:id="54" w:name="_Toc20"/>
      <w:bookmarkEnd w:id="53"/>
      <w:r>
        <w:rPr>
          <w:rtl w:val="true"/>
        </w:rPr>
        <w:t>ألف</w:t>
      </w:r>
      <w:r>
        <w:rPr>
          <w:rtl w:val="true"/>
        </w:rPr>
        <w:t xml:space="preserve">: </w:t>
      </w:r>
      <w:r>
        <w:rPr>
          <w:rtl w:val="true"/>
        </w:rPr>
        <w:t>ما رواه الإمام أحمد في مسنده</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أحمد رؤيا الأذان في مسنده عن عبد اللّه</w:t>
      </w:r>
    </w:p>
    <w:p>
      <w:pPr>
        <w:pStyle w:val="BookText"/>
        <w:rPr/>
      </w:pPr>
      <w:r>
        <w:rPr>
          <w:rFonts w:ascii="Amiri" w:hAnsi="Amiri" w:eastAsia="Amiri" w:cs="Amiri"/>
          <w:color w:val="111111"/>
          <w:sz w:val="28"/>
          <w:sz w:val="28"/>
          <w:szCs w:val="28"/>
          <w:rtl w:val="true"/>
          <w:lang w:bidi="ar-SA"/>
        </w:rPr>
        <w:t>ابن زيد بأسانيد ثلاثة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 في السند الأوّل زيد بن الحباب بن الريان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وصفوه بكثرة الخطأ و له أحاديث تستغرب عن سفيان الثوري من جهة اسنادها، و 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أحاديثه عن الثوري مقلوبة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كما اشتمل على عبد اللّه بن محمد بن عبد اللّه بن زيد ابن عبد ربّه، و ليس له في الصحاح و المسانيد إلاّ رواية واحدة و هي هذه، و فيها فضيلة لعائلته، و لأجل ذلك يقلُّ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اشتمل الثاني على محمد بن إسحاق بن يسار الذي تعرَّفت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اشتمل الثالث على محمد بن إبراهيم الحارث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5" w:name="pg11423_149148"/>
    </w:p>
    <w:p>
      <w:pPr>
        <w:pStyle w:val="BookText"/>
        <w:rPr/>
      </w:pPr>
      <w:bookmarkEnd w:id="55"/>
      <w:r>
        <w:rPr>
          <w:rFonts w:ascii="Amiri" w:hAnsi="Amiri" w:eastAsia="Amiri" w:cs="Amiri"/>
          <w:color w:val="111111"/>
          <w:sz w:val="28"/>
          <w:sz w:val="28"/>
          <w:szCs w:val="28"/>
          <w:rtl w:val="true"/>
          <w:lang w:bidi="ar-SA"/>
        </w:rPr>
        <w:t>التيمي، مضافاً إلى محمد بن إسحاق، و ينتهي إلى عبد اللّه ابن زيد، و هو قليل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الرواية الثانية بعد ذكر الرؤيا و تعليم الأذان لبلال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بلالاً أتى رسول اللّه فوجده نائماً، فصرخ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فأُدخلت هذه الكلمة في التأذين إلى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ضعف الرواية ما في ذيلها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428110_73709187"/>
      <w:bookmarkStart w:id="57" w:name="_Toc21"/>
      <w:bookmarkEnd w:id="56"/>
      <w:r>
        <w:rPr>
          <w:rtl w:val="true"/>
        </w:rPr>
        <w:t>ب</w:t>
      </w:r>
      <w:r>
        <w:rPr>
          <w:rtl w:val="true"/>
        </w:rPr>
        <w:t xml:space="preserve">: </w:t>
      </w:r>
      <w:r>
        <w:rPr>
          <w:rtl w:val="true"/>
        </w:rPr>
        <w:t>ما رواه الدارمي في مسنده</w:t>
      </w:r>
      <w:bookmarkEnd w:id="57"/>
    </w:p>
    <w:p>
      <w:pPr>
        <w:pStyle w:val="BookText"/>
        <w:rPr/>
      </w:pPr>
      <w:r>
        <w:rPr>
          <w:rFonts w:ascii="Amiri" w:hAnsi="Amiri" w:eastAsia="Amiri" w:cs="Amiri"/>
          <w:color w:val="111111"/>
          <w:sz w:val="28"/>
          <w:sz w:val="28"/>
          <w:szCs w:val="28"/>
          <w:rtl w:val="true"/>
          <w:lang w:bidi="ar-SA"/>
        </w:rPr>
        <w:t>روى رؤيا الأذان الدارمي في مسنده بأسانيد، و كلها ضعاف، و إليك الأسانيد وحدها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حميد، حدثنا سلمة، حدّثني محمد ابن إسحاق و قد كان رسول اللّه حين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هذا السند و جاء بعد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محمد بن إبراهيم بن الحارث</w:t>
      </w:r>
      <w:bookmarkStart w:id="58" w:name="pg11423_149149"/>
    </w:p>
    <w:p>
      <w:pPr>
        <w:pStyle w:val="BookText"/>
        <w:rPr/>
      </w:pPr>
      <w:bookmarkEnd w:id="58"/>
      <w:r>
        <w:rPr>
          <w:rFonts w:ascii="Amiri" w:hAnsi="Amiri" w:eastAsia="Amiri" w:cs="Amiri"/>
          <w:color w:val="111111"/>
          <w:sz w:val="28"/>
          <w:sz w:val="28"/>
          <w:szCs w:val="28"/>
          <w:rtl w:val="true"/>
          <w:lang w:bidi="ar-SA"/>
        </w:rPr>
        <w:t>التيمي، عن محمد بن عبد اللّه بن زيد بن عبد ربّه، عن أبيه بهذا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يحيى، حدثنا يعقوب بن إبراهيم بن سعد، حدّثنا أبي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نفس ما جاء في السند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الأوّل منقطع، و الثاني مشتمل على محمد بن إبراهيم بن الحارث التيمي و قد عرفت حاله، و الثالث مشتمل على ابن إسحاق و قد عرفت حاله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428112_73709187"/>
      <w:bookmarkStart w:id="60" w:name="_Toc22"/>
      <w:bookmarkEnd w:id="59"/>
      <w:r>
        <w:rPr>
          <w:rtl w:val="true"/>
        </w:rPr>
        <w:t>ج</w:t>
      </w:r>
      <w:r>
        <w:rPr>
          <w:rtl w:val="true"/>
        </w:rPr>
        <w:t xml:space="preserve">: </w:t>
      </w:r>
      <w:r>
        <w:rPr>
          <w:rtl w:val="true"/>
        </w:rPr>
        <w:t>ما رواه الإمام مالك في الموطأ</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مالك رؤيا الأذان في 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عن مالك، عن يحيى 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قد أراد أن يتّخذ خشبتين يضرب بهما</w:t>
      </w:r>
      <w:r>
        <w:rPr>
          <w:rFonts w:eastAsia="Amiri" w:cs="Amiri" w:ascii="Amiri" w:hAnsi="Amiri"/>
          <w:color w:val="111111"/>
          <w:sz w:val="28"/>
          <w:szCs w:val="28"/>
          <w:rtl w:val="true"/>
          <w:lang w:bidi="ar-SA"/>
        </w:rPr>
        <w:t>....</w:t>
      </w:r>
      <w:r>
        <w:rPr>
          <w:rStyle w:val="FootnoteAnchor"/>
          <w:rtl w:val="true"/>
        </w:rPr>
        <w:footnoteReference w:id="47"/>
      </w:r>
      <w:bookmarkStart w:id="61" w:name="pg11423_149150"/>
    </w:p>
    <w:p>
      <w:pPr>
        <w:pStyle w:val="BookText"/>
        <w:rPr/>
      </w:pPr>
      <w:bookmarkEnd w:id="61"/>
      <w:r>
        <w:rPr>
          <w:rFonts w:ascii="Amiri" w:hAnsi="Amiri" w:eastAsia="Amiri" w:cs="Amiri"/>
          <w:color w:val="111111"/>
          <w:sz w:val="28"/>
          <w:sz w:val="28"/>
          <w:szCs w:val="28"/>
          <w:rtl w:val="true"/>
          <w:lang w:bidi="ar-SA"/>
        </w:rPr>
        <w:t xml:space="preserve">و السند منقطع، و المراد يحيى بن سعيد بن قيس المولود قبل عام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بالهاشمية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
      </w:r>
    </w:p>
    <w:p>
      <w:pPr>
        <w:pStyle w:val="Heading5"/>
        <w:numPr>
          <w:ilvl w:val="4"/>
          <w:numId w:val="1"/>
        </w:numPr>
        <w:rPr/>
      </w:pPr>
      <w:bookmarkStart w:id="62" w:name="__RefHeading___Toc1428114_73709187"/>
      <w:bookmarkStart w:id="63" w:name="_Toc23"/>
      <w:bookmarkEnd w:id="62"/>
      <w:r>
        <w:rPr>
          <w:rtl w:val="true"/>
        </w:rPr>
        <w:t>د</w:t>
      </w:r>
      <w:r>
        <w:rPr>
          <w:rtl w:val="true"/>
        </w:rPr>
        <w:t xml:space="preserve">. </w:t>
      </w:r>
      <w:r>
        <w:rPr>
          <w:rtl w:val="true"/>
        </w:rPr>
        <w:t>ما رواه ابن سعد في طبقاته</w:t>
      </w:r>
      <w:bookmarkEnd w:id="63"/>
    </w:p>
    <w:p>
      <w:pPr>
        <w:pStyle w:val="BookText"/>
        <w:rPr/>
      </w:pPr>
      <w:r>
        <w:rPr>
          <w:rFonts w:ascii="Amiri" w:hAnsi="Amiri" w:eastAsia="Amiri" w:cs="Amiri"/>
          <w:color w:val="111111"/>
          <w:sz w:val="28"/>
          <w:sz w:val="28"/>
          <w:szCs w:val="28"/>
          <w:rtl w:val="true"/>
          <w:lang w:bidi="ar-SA"/>
        </w:rPr>
        <w:t>رواه محمد بن سعد في طبقاته بأسانيد</w:t>
      </w:r>
      <w:r>
        <w:rPr>
          <w:rStyle w:val="FootnoteAnchor"/>
          <w:rtl w:val="true"/>
        </w:rPr>
        <w:footnoteReference w:id="49"/>
      </w:r>
      <w:r>
        <w:rPr>
          <w:rFonts w:ascii="Amiri" w:hAnsi="Amiri" w:eastAsia="Amiri" w:cs="Amiri"/>
          <w:color w:val="111111"/>
          <w:sz w:val="28"/>
          <w:sz w:val="28"/>
          <w:szCs w:val="28"/>
          <w:rtl w:val="true"/>
          <w:lang w:bidi="ar-SA"/>
        </w:rPr>
        <w:t>موقوفة 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نافع بن جبير الذي توفّي في عشر التسعين و قيل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عروة بن الزبير الذي تولّد عام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زيد بن أسلم الذي توفّي عام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سعيد بن المسيب الذي توفّي</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 إلى عبد الرحمن ابن أبي ليلى الذي توفّي عام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في ترجمة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سعيد بن المسيب و عبد الرحمن بن أبي ليلى و لم يلقه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روى أيضاً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الوليد الأزرقي، أخبرنا مسلم بن خالد، حدّثني عبد الرحيم بن عمر، عن ابن شهاب، عن سالم بن عبد اللّه بن عمر،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يجعل شيئاً يجمع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أُريَ رجل من الأنصار يقال له عبد اللّه بن زيد، و أُريه عمر بن الخطاب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بلال في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فأقرّها رسول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اشتمل السند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خالد بن 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القوي، منكر الحديث يكتب حديثه و لا يحتج به، تعرف و تنكر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بن عبيد اللّه بن عبد اللّه بن شهاب الزهري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عياض، عن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الزهري يعطي الكتاب فلا يقرؤه و لا يقرأ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هذا عنك،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إبراهيم بن أبي سفيان القيسراني عن الفريابي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4" w:name="pg11423_149153"/>
    </w:p>
    <w:p>
      <w:pPr>
        <w:pStyle w:val="BookText"/>
        <w:rPr/>
      </w:pPr>
      <w:bookmarkEnd w:id="64"/>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الزهري فتثاقل علىّ،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أتيت أشياخنا، فصنعوا بك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و دخل فأخرج إلىَّ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فاروه عنّي، فما رويت عنه حرفا</w:t>
      </w:r>
      <w:r>
        <w:rPr>
          <w:rFonts w:eastAsia="Amiri" w:cs="Amiri" w:ascii="Amiri" w:hAnsi="Amiri"/>
          <w:color w:val="111111"/>
          <w:sz w:val="28"/>
          <w:szCs w:val="28"/>
          <w:rtl w:val="true"/>
          <w:lang w:bidi="ar-SA"/>
        </w:rPr>
        <w:t>.</w:t>
      </w:r>
      <w:r>
        <w:rPr>
          <w:rStyle w:val="FootnoteAnchor"/>
          <w:rtl w:val="true"/>
        </w:rPr>
        <w:footnoteReference w:id="52"/>
      </w:r>
    </w:p>
    <w:p>
      <w:pPr>
        <w:pStyle w:val="Heading5"/>
        <w:numPr>
          <w:ilvl w:val="4"/>
          <w:numId w:val="1"/>
        </w:numPr>
        <w:rPr/>
      </w:pPr>
      <w:bookmarkStart w:id="65" w:name="__RefHeading___Toc1428116_73709187"/>
      <w:bookmarkStart w:id="66" w:name="_Toc24"/>
      <w:bookmarkEnd w:id="65"/>
      <w:r>
        <w:rPr>
          <w:rtl w:val="true"/>
        </w:rPr>
        <w:t>ه</w:t>
      </w:r>
      <w:r>
        <w:rPr>
          <w:rtl w:val="true"/>
        </w:rPr>
        <w:t xml:space="preserve">: </w:t>
      </w:r>
      <w:r>
        <w:rPr>
          <w:rtl w:val="true"/>
        </w:rPr>
        <w:t>ما رواه البيهقي في سننه</w:t>
      </w:r>
      <w:bookmarkEnd w:id="66"/>
    </w:p>
    <w:p>
      <w:pPr>
        <w:pStyle w:val="BookText"/>
        <w:rPr/>
      </w:pPr>
      <w:r>
        <w:rPr>
          <w:rFonts w:ascii="Amiri" w:hAnsi="Amiri" w:eastAsia="Amiri" w:cs="Amiri"/>
          <w:color w:val="111111"/>
          <w:sz w:val="28"/>
          <w:sz w:val="28"/>
          <w:szCs w:val="28"/>
          <w:rtl w:val="true"/>
          <w:lang w:bidi="ar-SA"/>
        </w:rPr>
        <w:t>روى البيهقي رؤيا الأذان بأسانيد لا يخلو الكل عن علّة أو علاّت، و إليك الإشارة إلى الضعاف الواردين في أسانيدها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أبي عمير بن أنس عن عمومة له من الأنصار، و قد تعرفت على أبي عمير بن أنس، و أنّه قال فيه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مجهول لا يحتجّ به</w:t>
      </w:r>
      <w:r>
        <w:rPr>
          <w:rStyle w:val="FootnoteAnchor"/>
          <w:rtl w:val="true"/>
        </w:rPr>
        <w:footnoteReference w:id="53"/>
      </w:r>
      <w:r>
        <w:rPr>
          <w:rFonts w:ascii="Amiri" w:hAnsi="Amiri" w:eastAsia="Amiri" w:cs="Amiri"/>
          <w:color w:val="111111"/>
          <w:sz w:val="28"/>
          <w:sz w:val="28"/>
          <w:szCs w:val="28"/>
          <w:rtl w:val="true"/>
          <w:lang w:bidi="ar-SA"/>
        </w:rPr>
        <w:t>يروي عن مجاهيل</w:t>
      </w:r>
      <w:r>
        <w:rPr>
          <w:rStyle w:val="FootnoteAnchor"/>
          <w:rtl w:val="true"/>
        </w:rPr>
        <w:footnoteReference w:id="54"/>
      </w:r>
      <w:r>
        <w:rPr>
          <w:rFonts w:ascii="Amiri" w:hAnsi="Amiri" w:eastAsia="Amiri" w:cs="Amiri"/>
          <w:color w:val="111111"/>
          <w:sz w:val="28"/>
          <w:sz w:val="28"/>
          <w:szCs w:val="28"/>
          <w:rtl w:val="true"/>
          <w:lang w:bidi="ar-SA"/>
        </w:rPr>
        <w:t>باسم العمومة، و لا دليل على كون هؤلاء من</w:t>
      </w:r>
      <w:bookmarkStart w:id="67" w:name="pg11423_149154"/>
    </w:p>
    <w:p>
      <w:pPr>
        <w:pStyle w:val="BookText"/>
        <w:rPr/>
      </w:pPr>
      <w:bookmarkEnd w:id="67"/>
      <w:r>
        <w:rPr>
          <w:rFonts w:ascii="Amiri" w:hAnsi="Amiri" w:eastAsia="Amiri" w:cs="Amiri"/>
          <w:color w:val="111111"/>
          <w:sz w:val="28"/>
          <w:sz w:val="28"/>
          <w:szCs w:val="28"/>
          <w:rtl w:val="true"/>
          <w:lang w:bidi="ar-SA"/>
        </w:rPr>
        <w:t>الصحابة، و إن افترضنا عدالة كل صحابي، و على فرض التسليم أنّ العمومة كانوا منهم، لكن موقوفات الصحابي ليست بحجّة، إذ لا علم بأنّه روى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أُناس لا يحتج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الحارث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تعرّفت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ابن شهاب الزهري، يروي عن سعيد بن المسيب المتوفّى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عبد اللّه بن زيد</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قد عرفت أنّهما لم يدركا عبد اللّه بن زيد</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428118_73709187"/>
      <w:bookmarkStart w:id="69" w:name="_Toc25"/>
      <w:bookmarkEnd w:id="68"/>
      <w:r>
        <w:rPr>
          <w:rtl w:val="true"/>
        </w:rPr>
        <w:t>و</w:t>
      </w:r>
      <w:r>
        <w:rPr>
          <w:rtl w:val="true"/>
        </w:rPr>
        <w:t xml:space="preserve">: </w:t>
      </w:r>
      <w:r>
        <w:rPr>
          <w:rtl w:val="true"/>
        </w:rPr>
        <w:t>ما رواه الدارقطني في سننه</w:t>
      </w:r>
      <w:r>
        <w:rPr>
          <w:rtl w:val="true"/>
        </w:rPr>
        <w:t>:</w:t>
      </w:r>
      <w:bookmarkEnd w:id="69"/>
    </w:p>
    <w:p>
      <w:pPr>
        <w:pStyle w:val="BookText"/>
        <w:rPr/>
      </w:pPr>
      <w:r>
        <w:rPr>
          <w:rFonts w:ascii="Amiri" w:hAnsi="Amiri" w:eastAsia="Amiri" w:cs="Amiri"/>
          <w:color w:val="111111"/>
          <w:sz w:val="28"/>
          <w:sz w:val="28"/>
          <w:szCs w:val="28"/>
          <w:rtl w:val="true"/>
          <w:lang w:bidi="ar-SA"/>
        </w:rPr>
        <w:t>روى الدارقطني رؤيا الأذان بأسانيد، 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بن مرداس، حدّثنا أبو</w:t>
      </w:r>
    </w:p>
    <w:p>
      <w:pPr>
        <w:pStyle w:val="BookText"/>
        <w:rPr/>
      </w:pPr>
      <w:r>
        <w:rPr>
          <w:rFonts w:ascii="Amiri" w:hAnsi="Amiri" w:eastAsia="Amiri" w:cs="Amiri"/>
          <w:color w:val="111111"/>
          <w:sz w:val="28"/>
          <w:sz w:val="28"/>
          <w:szCs w:val="28"/>
          <w:rtl w:val="true"/>
          <w:lang w:bidi="ar-SA"/>
        </w:rPr>
        <w:t>داود، حدّثنا عثمان بن أبي شيبة، حدثنا حماد بن خالد، حدثنا محمد بن عمرو، عن محمد بن عبد اللّه، عن عمِّه عبد اللّه ابن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حدثنا عبيد اللّه ابن عمر، حدثنا عبد الرحمن بن مهدي، 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عبد اللّه ابن زيد بهذا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اشتمل السندان على محمد بن عمرو، و هو مردّد بين الأنصاري، الذي ليس له في الصحاح و المسانيد إلاّ هذه الرواية،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محمد ابن عمرو أبو سهل الأنصاري الذي ضعّفه يحيى القطان، و ابن معين و ابن عدي</w:t>
      </w:r>
      <w:r>
        <w:rPr>
          <w:rFonts w:eastAsia="Amiri" w:cs="Amiri" w:ascii="Amiri" w:hAnsi="Amiri"/>
          <w:color w:val="111111"/>
          <w:sz w:val="28"/>
          <w:szCs w:val="28"/>
          <w:rtl w:val="true"/>
          <w:lang w:bidi="ar-SA"/>
        </w:rPr>
        <w:t>.</w:t>
      </w:r>
      <w:r>
        <w:rPr>
          <w:rStyle w:val="FootnoteAnchor"/>
        </w:rPr>
        <w:footnoteReference w:id="5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محمد بن صاعد، حدثنا الحسن بن يونس، حدثنا الأسود بن عامر، حدثنا أبو بكر بن عياش، عن الأعمش عن عمرو بن مرة، عن عبد الرحمن بن أبي ليلى،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الأنصار، عبد اللّه بن زيد، يعني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في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السند منقطع، لأنّ معاذ بن جبل توفّي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تولّد عبد الرحمن بن أبي ليلى،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الدارقطني ضعّف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سيّئ الحفظ، و ابن أبي ليلى لا يثبت سماعه من عبد اللّه بن زيد</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المقام الأوّل، و اتّضح أنّ الأذان انّما شرع بوحي إلهي، لا برؤيا عبد اللّه بن زيد و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برؤيا عمر بن الخطاب و لا غيرهما كائناً من كان، و انّ هذه الأحاديث، متعارضة جوهراً، غير تامّة سنداً، لا يثبت بها شيء، مضافاً إلى ما ذكرنا في صدر البحث من الاستنكار العقلي، فلاحظ</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حان البحث عن كيفية دخول التثويب في أذان الفجر، و هذا هو المقام الثاني الذي نتلوه عليك فنقول</w:t>
      </w:r>
      <w:r>
        <w:rPr>
          <w:rFonts w:eastAsia="Amiri" w:cs="Amiri" w:ascii="Amiri" w:hAnsi="Amiri"/>
          <w:color w:val="111111"/>
          <w:sz w:val="28"/>
          <w:szCs w:val="28"/>
          <w:rtl w:val="true"/>
          <w:lang w:bidi="ar-SA"/>
        </w:rPr>
        <w:t>:</w:t>
      </w:r>
      <w:bookmarkStart w:id="70" w:name="pg11423_149158"/>
    </w:p>
    <w:p>
      <w:pPr>
        <w:pStyle w:val="Heading3"/>
        <w:numPr>
          <w:ilvl w:val="2"/>
          <w:numId w:val="1"/>
        </w:numPr>
        <w:rPr/>
      </w:pPr>
      <w:bookmarkStart w:id="71" w:name="__RefHeading___Toc1428120_73709187"/>
      <w:bookmarkStart w:id="72" w:name="_Toc26"/>
      <w:bookmarkEnd w:id="70"/>
      <w:bookmarkEnd w:id="71"/>
      <w:r>
        <w:rPr>
          <w:rtl w:val="true"/>
        </w:rPr>
        <w:t>المقام الثاني</w:t>
      </w:r>
      <w:r>
        <w:rPr>
          <w:rtl w:val="true"/>
        </w:rPr>
        <w:t>:</w:t>
      </w:r>
      <w:bookmarkEnd w:id="72"/>
    </w:p>
    <w:p>
      <w:pPr>
        <w:pStyle w:val="Heading4"/>
        <w:numPr>
          <w:ilvl w:val="3"/>
          <w:numId w:val="1"/>
        </w:numPr>
        <w:rPr/>
      </w:pPr>
      <w:bookmarkStart w:id="73" w:name="__RefHeading___Toc1428122_73709187"/>
      <w:bookmarkStart w:id="74" w:name="_Toc27"/>
      <w:bookmarkEnd w:id="73"/>
      <w:r>
        <w:rPr/>
        <w:t>1</w:t>
      </w:r>
      <w:r>
        <w:rPr>
          <w:rtl w:val="true"/>
        </w:rPr>
        <w:t xml:space="preserve"> </w:t>
      </w:r>
      <w:r>
        <w:rPr>
          <w:rtl w:val="true"/>
        </w:rPr>
        <w:t>دراسة تاريخ دخول التثويب في أذان صلاة الفجر</w:t>
      </w:r>
      <w:bookmarkEnd w:id="74"/>
    </w:p>
    <w:p>
      <w:pPr>
        <w:pStyle w:val="Heading5"/>
        <w:numPr>
          <w:ilvl w:val="4"/>
          <w:numId w:val="1"/>
        </w:numPr>
        <w:rPr/>
      </w:pPr>
      <w:bookmarkStart w:id="75" w:name="__RefHeading___Toc1428124_73709187"/>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التثويب من ثاب يثوب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فهو بمعنى الرجوع إلى الأمر بالمبادرة إلى الصلاة، فانّ المؤذّن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دعاهم إليها،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 إلى كلام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الصلاة، و تثنية الدعاء، و أن يقول في أذان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مرتين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هو قول المؤذن</w:t>
      </w:r>
    </w:p>
    <w:p>
      <w:pPr>
        <w:pStyle w:val="BookText"/>
        <w:rPr/>
      </w:pPr>
      <w:r>
        <w:rPr>
          <w:rFonts w:ascii="Amiri" w:hAnsi="Amiri" w:eastAsia="Amiri" w:cs="Amiri"/>
          <w:color w:val="111111"/>
          <w:sz w:val="28"/>
          <w:sz w:val="28"/>
          <w:szCs w:val="28"/>
          <w:rtl w:val="true"/>
          <w:lang w:bidi="ar-SA"/>
        </w:rPr>
        <w:t>في أذان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قامت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الظاهر أنّه غلب استعماله بين أئمّة الحديث في القول المذكور أثناء الأذان، ربّما يطلق على مطلق الدعوة بعد الدعوة، فيعمّ ما إذا نادى المؤذِّن بعد تمام الأذان بالقول المذكور أيضاً أو بغيره ممّا يفيد الدعوة إليها بأىّ لفظ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السندي في حاشيته على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هو العود إلى الإعلام بعد الإعلام، و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تثويباً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في المقام تبيين حكم قول المؤذِّن أثناء الأذان لصلاة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 أو بدعة حدثت بعد النبي لما استحسنه بعض الناس من إقراره في الأذان، سواء أ كان هو التثويب فقط أو عمَّ مطلق الدعوة إلى الصلاة و لو بعد تمام الأذان، بهذا اللفظ أو بغيره؟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بهذا المعنى ورد تارة في خلال أحاديث رؤية الأذان، و أُخرى في غيرها، أمّا الأوّل فقد ورد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نصَّ الشوكاني على ضعفها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 سنده من الضعف حيث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 عبد اللّه بن زيد بن عبد ربّه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خالد بن قرقرة و قد عرفت ضعفه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أمّا الثاني أي نقل التثويب في غير رؤية الأذان فقد نقله أصحاب السنن، و إليك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أبي شيبة، حدثنا محمد بن عبد اللّه الأسدي، عن أبي إسرائيل، عن الحكم، عن عبد الرحمن بن أبي ليلى،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أثوب في الفجر و نهاني أن أثوب في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الرواية دلالة على أنّ التثويب يستعمل في مطلق الدعوة إلى الصلاة، و إن لم يكن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النهي عن التثويب في العشاء، لأنّ التثويب فيه لا يتحقّق إلاّ بلفظ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عمر بن رافع، حدثنا عبد اللّه بن المبارك،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عن الزهري، عن سعيد بن المسيب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النبيّ يؤذِنه بصلاة الفجر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 فأُقرّت في تأذين الفجر، فثبت الأمر على ذلك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السندان منقطعان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أبي ليلى ولد 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بلال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و كان مرابطاً بها قبل ذلك من أوائل فتوحها، فهو شامي و ابن أبي ليلى كوفي، فكيف يسمع منه مع حداثة السن و تباعد الديار؟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 رواه الترمذي مع اختلاف في أوّل السند،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بلال لا نعرفه إلاّ من حديث أبي إسرائيل الملاّئي، و أبو إسرائيل لم يسمع هذا الحديث من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رواه عن الحسن بن عمارة عن الحكم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إسرائيل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إسحاق،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بذاك القوي عند أهل الحديث</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أمّا الثاني فقد قال فيه ابن ماجة نقلاً عن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اسناده ثقات إلاّ أنّ فيه انقطاعاً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لم يسمع من بلال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سويد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عن سفيان، عن أبي جعفر، عن أبي سلمان، عن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أُؤذّن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أقول في أذان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الصلاة خير من النوم، الصلاة خير من النوم، اللّه أكبر، اللّه أكبر، لا 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البيهقي</w:t>
      </w:r>
      <w:r>
        <w:rPr>
          <w:rStyle w:val="FootnoteAnchor"/>
          <w:rtl w:val="true"/>
        </w:rPr>
        <w:footnoteReference w:id="67"/>
      </w:r>
      <w:r>
        <w:rPr>
          <w:rFonts w:ascii="IRNazanin" w:hAnsi="IRNazanin" w:eastAsia="IRNazanin"/>
          <w:color w:val="111111"/>
          <w:sz w:val="28"/>
          <w:sz w:val="28"/>
          <w:szCs w:val="28"/>
          <w:rtl w:val="true"/>
          <w:lang w:bidi="fa-IR"/>
        </w:rPr>
        <w:t>و سبل السلام</w:t>
      </w:r>
      <w:r>
        <w:rPr>
          <w:rStyle w:val="FootnoteAnchor"/>
          <w:rtl w:val="true"/>
        </w:rPr>
        <w:footnoteReference w:id="68"/>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سليمان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ترجمة لهمام المؤذّن فيما بأيدينا من كتب الرجال فلم يذكره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الرجل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محذورة فهو من الصحابة لكنّه قليل الرواية، لا يتجاوز ما رواه عن عشر روايات و قد أذّن لرسول اللّه في العام الثامن، في غزوة حنين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البيهقي في سننه بسند ينتهي إلى أبي قدامة، عن محمد بن عبد الملك بن أبي محذورة،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سنّة الأذان، و 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حيّ على الفلاح، فإن كان صلاة الصبح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أيضاً بسند ينتهي إلى عثمان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و أُم عبد الملك بن أبي محذورة، عن أبي محذورة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محمد بن عبد الملك قد تعرّفت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ابن السائب ولداً و والداً، غير معروفين ليس لهما إلاّ رواية واحدة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داود بسند ينتهي إلى الحرث بن عبيد، عن محمد بن عبد الملك بن أبي محذورة،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سنّة الأذان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صلاة الصبح قلت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مشتمل على محمد بن عبد الملك،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بهذا الاسناد، و 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لا نعلم روى عنه إلاّ الحارث</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الشوكاني في حقّ محمد بن عبد الملك بن أبي محذورة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الحال، و الحرث بن عبيد و فيه مقال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بسند ينتهي إلى عثمان بن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أُم عبد الملك بن أبي محذورة، عن أبي محذورة،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عرفت ضعف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أيضاً بسند ينتهي إلى إبراهيم بن إسماعيل بن عبد الملك بن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عبد الملك بن أبي محذورة يذكر أنّه سمع أبا محذورة</w:t>
      </w:r>
      <w:r>
        <w:rPr>
          <w:rFonts w:eastAsia="Amiri" w:cs="Amiri" w:ascii="Amiri" w:hAnsi="Amiri"/>
          <w:color w:val="111111"/>
          <w:sz w:val="28"/>
          <w:szCs w:val="28"/>
          <w:lang w:bidi="ar-SA"/>
        </w:rPr>
        <w:t>01</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علىّ رسول اللّه الأذان حرفاً حرفاً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إبراهيم بن إسماعيل له رواية واحدة، و هو بعد لم يوثّق</w:t>
      </w:r>
      <w:r>
        <w:rPr>
          <w:rStyle w:val="FootnoteAnchor"/>
          <w:rtl w:val="true"/>
        </w:rPr>
        <w:footnoteReference w:id="75"/>
      </w:r>
      <w:r>
        <w:rPr>
          <w:rFonts w:ascii="Amiri" w:hAnsi="Amiri" w:eastAsia="Amiri" w:cs="Amiri"/>
          <w:color w:val="111111"/>
          <w:sz w:val="28"/>
          <w:sz w:val="28"/>
          <w:szCs w:val="28"/>
          <w:rtl w:val="true"/>
          <w:lang w:bidi="ar-SA"/>
        </w:rPr>
        <w:t>مضافاً إلى احتمال الانقطاع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الدارقطني فعلى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أنّه سنّة في الأذان، رواه عن أنس و عمر من دون أن ينسباه إلى النبي و هي ثلاثة أحاديث</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أنّ النبي أمر بلالاً بذلك لكن السند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الرحمن بن أبي ليلى عن بلال </w:t>
      </w:r>
      <w:r>
        <w:rPr>
          <w:rStyle w:val="FootnoteAnchor"/>
          <w:rtl w:val="true"/>
        </w:rPr>
        <w:footnoteReference w:id="77"/>
      </w:r>
      <w:r>
        <w:rPr>
          <w:rFonts w:ascii="Amiri" w:hAnsi="Amiri" w:eastAsia="Amiri" w:cs="Amiri"/>
          <w:color w:val="111111"/>
          <w:sz w:val="28"/>
          <w:sz w:val="28"/>
          <w:szCs w:val="28"/>
          <w:rtl w:val="true"/>
          <w:lang w:bidi="ar-SA"/>
        </w:rPr>
        <w:t>مع ضعف في سنده لمكان عبد الرحمن بن الحسن فيه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مسعود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يحتج به، و إن ليّنه الآخرون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الإعلام قبل الأذان، بأي شكل اتّفق، و هو خارج عن المقصود، و قد ضعّف بعض من جاء في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رواه الدارمي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الدارمي بسند ينتهي إلى الزهري، عن حفص بن عمر بن سعد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أهلي، أنّ بلالاً أتى رسول اللّه يؤذنه لصلاة الفجر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 فنادى بلال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 في أذان صلاة الفجر</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لا يحتج بها لمكان الزهري أوّلاً، و حفص بنر</w:t>
      </w:r>
      <w:r>
        <w:rPr>
          <w:rFonts w:eastAsia="Amiri" w:cs="Amiri" w:ascii="Amiri" w:hAnsi="Amiri"/>
          <w:color w:val="111111"/>
          <w:sz w:val="28"/>
          <w:szCs w:val="28"/>
          <w:rtl w:val="true"/>
          <w:lang w:bidi="ar-SA"/>
        </w:rPr>
        <w:t>.</w:t>
      </w:r>
      <w:bookmarkStart w:id="77" w:name="pg11423_149169"/>
    </w:p>
    <w:p>
      <w:pPr>
        <w:pStyle w:val="BookText"/>
        <w:rPr/>
      </w:pPr>
      <w:bookmarkEnd w:id="77"/>
      <w:r>
        <w:rPr>
          <w:rFonts w:ascii="Amiri" w:hAnsi="Amiri" w:eastAsia="Amiri" w:cs="Amiri"/>
          <w:color w:val="111111"/>
          <w:sz w:val="28"/>
          <w:sz w:val="28"/>
          <w:szCs w:val="28"/>
          <w:rtl w:val="true"/>
          <w:lang w:bidi="ar-SA"/>
        </w:rPr>
        <w:t>عمر الذي ليس له إلاّ رواية واحدة و هي هذه</w:t>
      </w:r>
      <w:r>
        <w:rPr>
          <w:rStyle w:val="FootnoteAnchor"/>
          <w:rtl w:val="true"/>
        </w:rPr>
        <w:footnoteReference w:id="80"/>
      </w:r>
      <w:r>
        <w:rPr>
          <w:rFonts w:ascii="Amiri" w:hAnsi="Amiri" w:eastAsia="Amiri" w:cs="Amiri"/>
          <w:color w:val="111111"/>
          <w:sz w:val="28"/>
          <w:sz w:val="28"/>
          <w:szCs w:val="28"/>
          <w:rtl w:val="true"/>
          <w:lang w:bidi="ar-SA"/>
        </w:rPr>
        <w:t>مضافاً إلى كون الأصل الناقل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المؤذّن جاء إلى عمر ابن الخطاب يؤذنه لصلاة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أن يجعلها في نداء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8" w:name="__RefHeading___Toc1428126_73709187"/>
      <w:bookmarkStart w:id="79" w:name="_Toc29"/>
      <w:bookmarkEnd w:id="78"/>
      <w:r>
        <w:rPr>
          <w:rtl w:val="true"/>
        </w:rPr>
        <w:t>حصيلة الروايات</w:t>
      </w:r>
      <w:r>
        <w:rPr>
          <w:rtl w:val="true"/>
        </w:rPr>
        <w:t>:</w:t>
      </w:r>
      <w:bookmarkEnd w:id="79"/>
    </w:p>
    <w:p>
      <w:pPr>
        <w:pStyle w:val="BookText"/>
        <w:rPr/>
      </w:pPr>
      <w:r>
        <w:rPr>
          <w:rFonts w:ascii="Amiri" w:hAnsi="Amiri" w:eastAsia="Amiri" w:cs="Amiri"/>
          <w:color w:val="111111"/>
          <w:sz w:val="28"/>
          <w:sz w:val="28"/>
          <w:szCs w:val="28"/>
          <w:rtl w:val="true"/>
          <w:lang w:bidi="ar-SA"/>
        </w:rPr>
        <w:t>إنّ روايات التثويب متعارضة جداً لا يمكن إرجاعها إلى معنى واحد، و إليك أقسامها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عبد اللّه بن زيد رآه في رؤياه و أنّه كان جزءاً من الأذان من أوّل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يدلّ على أنّ بلالاً زاده فيه و قرّره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يجعله بلال جزءاً من الأذان كما في رواية الدارمي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عمر بن الخطاب أمر المؤذّن أن يجعلها في نداء الصبح كما رواه الإمام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أبا محذورة، كما رواه البيهقي في 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يظهر أنّ بلالاً ينادي بالصبح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المتقي الهندي في كنزه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23188</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التعارض الواضح، لا يمكن الركون إليها، و بما أنّ أمرها دائر بين السنّة و البدعة، فتركها متعيّن لعدم العقاب على تركها، بخلاف ما لو كانت بدعة</w:t>
      </w:r>
      <w:r>
        <w:rPr>
          <w:rFonts w:eastAsia="Amiri" w:cs="Amiri" w:ascii="Amiri" w:hAnsi="Amiri"/>
          <w:color w:val="111111"/>
          <w:sz w:val="28"/>
          <w:szCs w:val="28"/>
          <w:rtl w:val="true"/>
          <w:lang w:bidi="ar-SA"/>
        </w:rPr>
        <w:t>.</w:t>
      </w:r>
      <w:bookmarkStart w:id="80" w:name="pg11423_149171"/>
    </w:p>
    <w:p>
      <w:pPr>
        <w:pStyle w:val="Heading4"/>
        <w:numPr>
          <w:ilvl w:val="3"/>
          <w:numId w:val="1"/>
        </w:numPr>
        <w:rPr/>
      </w:pPr>
      <w:bookmarkStart w:id="81" w:name="__RefHeading___Toc1428128_73709187"/>
      <w:bookmarkStart w:id="82" w:name="_Toc30"/>
      <w:bookmarkEnd w:id="80"/>
      <w:bookmarkEnd w:id="81"/>
      <w:r>
        <w:rPr/>
        <w:t>2</w:t>
      </w:r>
      <w:r>
        <w:rPr>
          <w:rtl w:val="true"/>
        </w:rPr>
        <w:t xml:space="preserve"> </w:t>
      </w:r>
      <w:r>
        <w:rPr>
          <w:rtl w:val="true"/>
        </w:rPr>
        <w:t>كلمات الأعلام في التثويب</w:t>
      </w:r>
      <w:bookmarkEnd w:id="82"/>
    </w:p>
    <w:p>
      <w:pPr>
        <w:pStyle w:val="BookText"/>
        <w:rPr/>
      </w:pPr>
      <w:r>
        <w:rPr>
          <w:rFonts w:ascii="Amiri" w:hAnsi="Amiri" w:eastAsia="Amiri" w:cs="Amiri"/>
          <w:color w:val="111111"/>
          <w:sz w:val="28"/>
          <w:sz w:val="28"/>
          <w:szCs w:val="28"/>
          <w:rtl w:val="true"/>
          <w:lang w:bidi="ar-SA"/>
        </w:rPr>
        <w:t xml:space="preserve">إنّ بين الصحابة و التابعين من يراه بدعة و أنّه لم يأمر به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حدث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نصوصهم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حفص أنّ سعداً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في خلافة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ثمّ تركه، و انّ بلالاً لم يؤذّن 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حسن بن مسلم أنّ رجلاً سأل طاوساً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قيل الصلاة خير من النوم؟ فقال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إنّها لم تقل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بلالاً سمعها في زمان أبي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رجل غير</w:t>
      </w:r>
    </w:p>
    <w:p>
      <w:pPr>
        <w:pStyle w:val="BookText"/>
        <w:rPr/>
      </w:pPr>
      <w:r>
        <w:rPr>
          <w:rFonts w:ascii="Amiri" w:hAnsi="Amiri" w:eastAsia="Amiri" w:cs="Amiri"/>
          <w:color w:val="111111"/>
          <w:sz w:val="28"/>
          <w:sz w:val="28"/>
          <w:szCs w:val="28"/>
          <w:rtl w:val="true"/>
          <w:lang w:bidi="ar-SA"/>
        </w:rPr>
        <w:t>مؤذن،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بها فلم يمكث أبو بكر إلاّ قليلاً حتى إذا كان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نهينا بلالاً عن هذا الذي أحدث، و كأنّه نسيه و أذّن بها الناس حتى اليوم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الرزاق عن ابن عيينة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عمر فسمع رجلاً يثوب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المبتدع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يظهر ممّا رواه أبو داود في سننه أنّ الرجل ثوب في الظهر و العصر لا في صلاة الفجر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أبي حنيفة كما في جامع المسانيد عنه عن حماد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التثويب؟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أحدثه الناس، و هو حسن، ممّا أحدثوه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تثويبهم كان حين يفرغ المؤذّن من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خير من النوم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فرواه عن أبي حنيفة 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أبي حنيفة رضي اللّه عنه و به نأخذ</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هذه الرواية تدلّ على أنّ التثويب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عصر الخلفاء كان بعد الفراغ عن الأذان و لم يكن جزءاً منه و انّما كان يذكره المؤذّن من عند نفسه إيقاظاً للناس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أُدرج في نفس الأذان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 نقلاً عن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عمر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في الأذان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أن ذكر حديث أبي محذورة 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لو كان لما أنكره علي و ابن عمر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طاووس سلمنا فأُمرنا به إشعاراً في حال، لا شرعاً جمعاً بين الآثار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الأمير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الأذان المشروع للدعاء إلى الصلاة و الإخبار بدخول وقتها، بل هو من الألفاظ التي شرعت لإيقاظ النائم، فهو كألفاظ التسبيح الأخير الذي اعتاده الناس في هذه الأعصار المتأخرة عوضاً عن الأذان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عرفت هذا، هان عليك ما اعتاده الفقهاء من الجدال في التثويب هل هو من ألفاظ الأذان أو لا، و هل هو بدعة أو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قدامة عن إسحاق أنّه بعد ما نقل رواية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أحدثه الناس،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التثويب الذي كرهه أهل العلم و هو الذي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منه ابن عمر من المسجد لما سمعه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استفاض من أئمّة أهل البيت من كونها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بسند 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التثويب الذي يكون بين الأذان و الإقامة؟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تبيّن لي من دراسة ما ورد حول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عائلتين استغلّتا ما روي عن جدّهم عبد اللّه بن زيد و أبي محذورة فعَمِدتا بنشر ما نُسِبَ إلى جدهما لما فيه من فضيلة للعائلة، و لو لا ذلك لم يكن لهذين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 الأذان بالرؤيا و التثويب في أذان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بهذا النحو الواسع، و لأجل ذلك ربّما يرتاب الإنسان فيما نقل عن جدهما، و قد عرفت وجود رواة في أسانيد الروايات يُنسَبون إلى هاتين العائلتين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الفصل الأوّل و الفصل الثاني يشهد على أنّه سبحانه هو الإله في صفحة الوجود و أنّ ما سواه سراب ما أنزل اللّه به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 الفصول، يشهد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الذي بعثه لإبلاغ رسالاته و إنجاز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نهاية ذلك الفصل يتبدّل نداؤه و إعلانه من الشهادة، إلى الدعوة إلى الصلاة التي فرضها و التي بها يتّصل الانسان بعالم الغيب، و فيها يمتزج خشوعه، بعظمة الخالق، ثمّ الدعوة إلى الفلاح و النجاح، و خير العمل التي تنطوي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الدعوة إلى الفلاح و خير العمل، يعود و يذكر الحقيقة الأبدية التي صرّح بها في أوليات فصوله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لا إله إلاّ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حقيقة الأذان و صورته و الجميع سبيكة واحدة أفرغتها يد التشريع السماوي في قالب جمل، تحكي</w:t>
      </w:r>
    </w:p>
    <w:p>
      <w:pPr>
        <w:pStyle w:val="BookText"/>
        <w:rPr/>
      </w:pPr>
      <w:r>
        <w:rPr>
          <w:rFonts w:ascii="Amiri" w:hAnsi="Amiri" w:eastAsia="Amiri" w:cs="Amiri"/>
          <w:color w:val="111111"/>
          <w:sz w:val="28"/>
          <w:sz w:val="28"/>
          <w:szCs w:val="28"/>
          <w:rtl w:val="true"/>
          <w:lang w:bidi="ar-SA"/>
        </w:rPr>
        <w:t>عن حقائق أبدية، تصدّ الإنسان عن الانكباب في شواغل الدنيا و ملاذّها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يحسّه كل إنسان واع منصت للأذان، و متدبّر في فصوله و معانيه، و لكن هنا حقيقة مرّة لا يمكن لي و لا لغيري إخفاؤها بشرط التجرّد عن كل رأي مسبق، أو تعصّب لمذهب و هو أنّ المؤذِّن إذا انحدر من الدعوة إلى الصلاة، و الفلاح و خير العمل في أذان صلاة الفجر إلى الإعلان بأنّ الصلاة خير من النوم، فكأنّما ينحدر من قمة البلاغة إلى كلام عار عن الرفعة و البداعة، يُعلِن شيئاً يعرفه الصبيان و من دونهم، يصيح بجد و حماس على شيء لا يجهله إلاّ من يجهل البديهيات، لأنّ إعلانه بأنّها خير من النوم، أشبه بمن يُعلن في محتشد كبير بأنّ الاثنين نصف الأربعة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الذي أحسسته عند ما تشرفت بزيارة بيت اللّه الحرام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أنا أستمع للأذان في الحرمين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الشريفين، و لم تزل تجول في ذهني و مخيّلتي أنّ هذا الفصل ليس من كلام الوحي و انّما أُقحم لسبب من الأسباب، بين فصول الأذان، فهذا ما دعاني إلى البحث و التنقيب في هذا الموضوع و تأليف هذه الرسالة</w:t>
      </w:r>
      <w:r>
        <w:rPr>
          <w:rFonts w:eastAsia="Amiri" w:cs="Amiri" w:ascii="Amiri" w:hAnsi="Amiri"/>
          <w:color w:val="111111"/>
          <w:sz w:val="28"/>
          <w:szCs w:val="28"/>
          <w:rtl w:val="true"/>
          <w:lang w:bidi="ar-SA"/>
        </w:rPr>
        <w:t>.</w:t>
      </w:r>
      <w:bookmarkStart w:id="83" w:name="pg11423_149179"/>
    </w:p>
    <w:p>
      <w:pPr>
        <w:pStyle w:val="Heading2"/>
        <w:numPr>
          <w:ilvl w:val="1"/>
          <w:numId w:val="1"/>
        </w:numPr>
        <w:rPr/>
      </w:pPr>
      <w:bookmarkStart w:id="84" w:name="__RefHeading___Toc1428130_73709187"/>
      <w:bookmarkStart w:id="85" w:name="_Toc31"/>
      <w:bookmarkEnd w:id="83"/>
      <w:bookmarkEnd w:id="84"/>
      <w:r>
        <w:rPr>
          <w:rtl w:val="true"/>
        </w:rPr>
        <w:t>خاتمة المطاف بدعة تلو بدعة</w:t>
      </w:r>
      <w:bookmarkEnd w:id="85"/>
    </w:p>
    <w:p>
      <w:pPr>
        <w:pStyle w:val="BookText"/>
        <w:rPr/>
      </w:pPr>
      <w:r>
        <w:rPr>
          <w:rFonts w:ascii="Amiri" w:hAnsi="Amiri" w:eastAsia="Amiri" w:cs="Amiri"/>
          <w:color w:val="111111"/>
          <w:sz w:val="28"/>
          <w:sz w:val="28"/>
          <w:szCs w:val="28"/>
          <w:rtl w:val="true"/>
          <w:lang w:bidi="ar-SA"/>
        </w:rPr>
        <w:t>إنّ تاريخ الأذان و الإقامة حافل بالبدع، و قد تصرفت فيه يد المبدعين لغايات استحسانية لا يعرَّج إليها في التشريع، و إليك بعض ما أحدث فيه بعد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الثاني يوم الجمعة جرت السيرة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الشيخين على إقامة الأذان حينما يصعد الإمام على المنبر لإلقاء الخطابة، و لما كثر الناس في عهد الخليفة الثالث أمر بأذان ثان و هو الأذان عند دخول الوقت على المأذنة، و هذا هو المعروف بالأذان الثاني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الشافعي من أنّه</w:t>
      </w:r>
    </w:p>
    <w:p>
      <w:pPr>
        <w:pStyle w:val="BookText"/>
        <w:rPr/>
      </w:pPr>
      <w:r>
        <w:rPr>
          <w:rFonts w:ascii="Amiri" w:hAnsi="Amiri" w:eastAsia="Amiri" w:cs="Amiri"/>
          <w:color w:val="111111"/>
          <w:sz w:val="28"/>
          <w:sz w:val="28"/>
          <w:szCs w:val="28"/>
          <w:rtl w:val="true"/>
          <w:lang w:bidi="ar-SA"/>
        </w:rPr>
        <w:t>استحب أن يكون للجمعة أذان واحد عند المنبر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إذا كان الأذان من الأُمور التوقيفية فليس ليد التشريع البشري التصرف فيه بزيادة أو نقيصة و كان في وسع الخليفة أن يقوم بعلاج الموقف من وجه آخر، و هو إعلام الناس بالوسائل التي لا تمتّ إلى التشريع الإسلامي بصلة مكان أن يأمر المؤذن بأذان آخر لم يكن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الفقهاء أنفسهم اختلفوا فيما يتعلّق بأذاني الجمعة من أحكام و أيّهما المعتبر في تحريم البيع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استحدث علماء الكوفة من الحنفية بعد عهد الصحابة تثويباً آخر، و هو زيادة الحيعلتين أي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بين الأذان و الإقامة في الفجر، و استحسنه متقدّمو الحنفية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 فقط، و كره عندهم في غيره، و المتأخّرون منهم استحسنوه في الصلوات كلّها إلاّ في المغرب لضيق الوقت و ذلك لظهور التواني في الأُمور الدينية،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التثويب بين الأذان و الإقامة في الصلوات يكون بحسب ما يتعارفه أهل كلّ بلد بالتنحنح أو الصلاة الصلاة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استحدث أبو يوسف جواز التثويب لتنبيه كل من يشتغل بأُمور المسلمين و مصالحهم كالإمام و القاضي و نحوهما، فيقول المؤذن بعد الأذان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الأمير، حي على الصلاة، حي على الفلاح، الصلاة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 أبا يوسف في هذا الشافعية و بعض المالكية، و كذلك الحنابلة إن لم يكن الإمام و نحوه قد سمع الأذان، و استبعده محمد بن الحسن، لأنّ الناس سواسية في أمر الجماعة و شاركه في ذلك بعض المالكية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الحيعلة من الأذان قد تقدّم منّا أنّ البدعة في الأذان بإدخال التثويب ليس فريداً في بابه، بل له نظير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فصول الأذان و الإقامة، و ذلك لغاية أن لا يكون الإعلان به في الأذان سبباً في تثبيط العامة عن الجهاد، لأنّ الناس إذا عرفوا أنّ الصلاة خير العمل، لاقتصروا عليها و أعرضوا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 اللّه إطاحة بالتشريع و تصرّفٌ فيه، بتفلسف 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المشرّع كان واقفاً على هذا المحذور، و مع ذلك أدخله في الأذان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القوشجي و هو من متكلّمي الأشاعرة ناقلاً عن الخليفة الثاني أنّه قال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عنهنّ و أُحرّمهنّ و أُعاقب عليهنّ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و حىّ على خير العمل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قد أطبقت الشيعة على كونه جزءاً من الأذان، و على ذلك جروا، من العهد النبوي إلى يومنا هذا، و صار ذلك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المؤرّخين يكنّون عن الشيعة بمن يحيعلون أي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بن علي بن الحسن بن الحسن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استولى على المدينة، و صعد عبد اللّه بن الحسن الأفطس المنارة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موضع الجنائز،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ابن عمر و عن الإمام زين العابدين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يقولان في أذانيهما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Style w:val="FootnoteAnchor"/>
        </w:rPr>
        <w:footnoteReference w:id="9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لبيان كفاية القليل عن الكثير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أنّه ادّعى رؤيةَ الأذان في النوم ما يقرب من أربعة عشر رجلاً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نقله عن السنن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الأذان و الاقامة،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الإقامة مثنى مثنى إلاّ الفصل الأخير و هو مرة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كتاب معرفة الصحابة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الدين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3012/300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23138</w:t>
      </w:r>
      <w:r>
        <w:rPr>
          <w:rFonts w:ascii="IRNazanin" w:hAnsi="IRNazanin" w:eastAsia="IRNazanin"/>
          <w:b w:val="false"/>
          <w:b w:val="false"/>
          <w:bCs w:val="false"/>
          <w:i w:val="false"/>
          <w:i w:val="false"/>
          <w:iCs w:val="false"/>
          <w:color w:val="333333"/>
          <w:sz w:val="20"/>
          <w:sz w:val="20"/>
          <w:szCs w:val="20"/>
          <w:rtl w:val="true"/>
        </w:rPr>
        <w:t>، فصل في الأذان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الصنعاني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باب بدء الأذان و مشروعيته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فيصح في منطق العقل أن يكتم الإنسان تلك الرؤيا التي فيها إراحة للنبىّ و أصحابه عشرين يوماً، ثمّ يعلّل ذلك بعد سماعها من ابن زيد بأنّه استحيا و أنا أجلّ الخليفة عن هذا المنطق، مضافاً إلى التنافي بينه و بين الحديث الثاني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حاك عن اطّلاع عمر بعد أذان بلال، خلافاً للحديث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2331/232</w:t>
      </w:r>
      <w:r>
        <w:rPr>
          <w:rFonts w:ascii="IRNazanin" w:hAnsi="IRNazanin" w:eastAsia="IRNazanin"/>
          <w:b w:val="false"/>
          <w:b w:val="false"/>
          <w:bCs w:val="false"/>
          <w:i w:val="false"/>
          <w:i w:val="false"/>
          <w:iCs w:val="false"/>
          <w:color w:val="333333"/>
          <w:sz w:val="20"/>
          <w:sz w:val="20"/>
          <w:szCs w:val="20"/>
          <w:rtl w:val="true"/>
        </w:rPr>
        <w:t xml:space="preserve">، باب بدء الأذان، 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بدء الأذان الحديث 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بدء الأذان الحديث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بدء الأذان الحديث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الأذان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42424/423</w:t>
      </w:r>
      <w:r>
        <w:rPr>
          <w:rFonts w:ascii="IRNazanin" w:hAnsi="IRNazanin" w:eastAsia="IRNazanin"/>
          <w:b w:val="false"/>
          <w:b w:val="false"/>
          <w:bCs w:val="false"/>
          <w:i w:val="false"/>
          <w:i w:val="false"/>
          <w:iCs w:val="false"/>
          <w:color w:val="333333"/>
          <w:sz w:val="20"/>
          <w:sz w:val="20"/>
          <w:szCs w:val="20"/>
          <w:rtl w:val="true"/>
        </w:rPr>
        <w:t>، و لاحظ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النداء للصلاة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سيوافيك تفصيله في المقام الثاني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44026/439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الرابعة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الشوكاني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نقلناه عن الإمام أحمد، بعد أحاديث السنن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سعيد بن المسيب عام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عام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السائب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1371/136</w:t>
      </w:r>
      <w:r>
        <w:rPr>
          <w:rFonts w:ascii="IRNazanin" w:hAnsi="IRNazanin" w:eastAsia="IRNazanin"/>
          <w:b w:val="false"/>
          <w:b w:val="false"/>
          <w:bCs w:val="false"/>
          <w:i w:val="false"/>
          <w:i w:val="false"/>
          <w:iCs w:val="false"/>
          <w:color w:val="333333"/>
          <w:sz w:val="20"/>
          <w:sz w:val="20"/>
          <w:szCs w:val="20"/>
          <w:rtl w:val="true"/>
        </w:rPr>
        <w:t xml:space="preserve">، باب كيفية الأذان 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403938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باب التثويب في أذان الفجر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و قال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عن حفص، الزهري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عبد الرزاق 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لاحظ أحاديث الباب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مادة أذان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الدين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9415</Words>
  <Characters>37494</Characters>
  <CharactersWithSpaces>46378</CharactersWithSpaces>
  <Paragraphs>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2026-08-21T21:48:22Z</dcterms:created>
  <dc:creator>ghaemiyeh.com</dc:creator>
  <dc:description/>
  <dc:language>en-US</dc:language>
  <cp:lastModifiedBy/>
  <dcterms:modified xsi:type="dcterms:W3CDTF">2026-08-22T01:18:25Z</dcterms:modified>
  <cp:revision>1</cp:revision>
  <dc:subject/>
  <dc:title>سلسله المسائل الفقهیه جلد 3</dc:title>
</cp:coreProperties>
</file>

<file path=docProps/custom.xml><?xml version="1.0" encoding="utf-8"?>
<Properties xmlns="http://schemas.openxmlformats.org/officeDocument/2006/custom-properties" xmlns:vt="http://schemas.openxmlformats.org/officeDocument/2006/docPropsVTypes"/>
</file>