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تسلیک النفس إلی حظیرة القدس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2101_2870459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3242103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42105_2870459653">
            <w:r>
              <w:rPr>
                <w:webHidden/>
                <w:rStyle w:val="IndexLink"/>
                <w:rtl w:val="true"/>
              </w:rPr>
              <w:t>المقدّمة</w:t>
            </w:r>
            <w:r>
              <w:rPr>
                <w:rStyle w:val="IndexLink"/>
                <w:rtl w:val="true"/>
              </w:rPr>
              <w:t xml:space="preserve">: </w:t>
            </w:r>
            <w:r>
              <w:rPr>
                <w:rStyle w:val="IndexLink"/>
                <w:rtl w:val="true"/>
              </w:rPr>
              <w:t>بقلم آية اللّه جعفر السبحاني</w:t>
            </w:r>
            <w:r>
              <w:rPr>
                <w:rStyle w:val="IndexLink"/>
                <w:rtl w:val="true"/>
              </w:rPr>
              <w:tab/>
            </w:r>
            <w:r>
              <w:rPr>
                <w:rStyle w:val="IndexLink"/>
              </w:rPr>
              <w:t>12</w:t>
            </w:r>
          </w:hyperlink>
        </w:p>
        <w:p>
          <w:pPr>
            <w:pStyle w:val="Contents3"/>
            <w:tabs>
              <w:tab w:val="clear" w:pos="8459"/>
              <w:tab w:val="right" w:pos="9026" w:leader="dot"/>
            </w:tabs>
            <w:rPr/>
          </w:pPr>
          <w:hyperlink w:anchor="__RefHeading___Toc3242107_2870459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242109_2870459653">
            <w:r>
              <w:rPr>
                <w:webHidden/>
                <w:rStyle w:val="IndexLink"/>
                <w:rtl w:val="true"/>
              </w:rPr>
              <w:t>العباقرة في مرآة التاريخ</w:t>
            </w:r>
            <w:r>
              <w:rPr>
                <w:rStyle w:val="IndexLink"/>
                <w:rtl w:val="true"/>
              </w:rPr>
              <w:tab/>
            </w:r>
            <w:r>
              <w:rPr>
                <w:rStyle w:val="IndexLink"/>
              </w:rPr>
              <w:t>12</w:t>
            </w:r>
          </w:hyperlink>
        </w:p>
        <w:p>
          <w:pPr>
            <w:pStyle w:val="Contents3"/>
            <w:tabs>
              <w:tab w:val="clear" w:pos="8459"/>
              <w:tab w:val="right" w:pos="9026" w:leader="dot"/>
            </w:tabs>
            <w:rPr/>
          </w:pPr>
          <w:hyperlink w:anchor="__RefHeading___Toc3242111_2870459653">
            <w:r>
              <w:rPr>
                <w:webHidden/>
                <w:rStyle w:val="IndexLink"/>
                <w:rtl w:val="true"/>
              </w:rPr>
              <w:t>كلمات في حقّ المؤلّف</w:t>
            </w:r>
            <w:r>
              <w:rPr>
                <w:rStyle w:val="IndexLink"/>
                <w:rtl w:val="true"/>
              </w:rPr>
              <w:tab/>
            </w:r>
            <w:r>
              <w:rPr>
                <w:rStyle w:val="IndexLink"/>
              </w:rPr>
              <w:t>13</w:t>
            </w:r>
          </w:hyperlink>
        </w:p>
        <w:p>
          <w:pPr>
            <w:pStyle w:val="Contents3"/>
            <w:tabs>
              <w:tab w:val="clear" w:pos="8459"/>
              <w:tab w:val="right" w:pos="9026" w:leader="dot"/>
            </w:tabs>
            <w:rPr/>
          </w:pPr>
          <w:hyperlink w:anchor="__RefHeading___Toc3242113_2870459653">
            <w:r>
              <w:rPr>
                <w:webHidden/>
                <w:rStyle w:val="IndexLink"/>
                <w:rtl w:val="true"/>
              </w:rPr>
              <w:t>النسخ المعتمدة</w:t>
            </w:r>
            <w:r>
              <w:rPr>
                <w:rStyle w:val="IndexLink"/>
                <w:rtl w:val="true"/>
              </w:rPr>
              <w:tab/>
            </w:r>
            <w:r>
              <w:rPr>
                <w:rStyle w:val="IndexLink"/>
              </w:rPr>
              <w:t>20</w:t>
            </w:r>
          </w:hyperlink>
        </w:p>
        <w:p>
          <w:pPr>
            <w:pStyle w:val="Contents3"/>
            <w:tabs>
              <w:tab w:val="clear" w:pos="8459"/>
              <w:tab w:val="right" w:pos="9026" w:leader="dot"/>
            </w:tabs>
            <w:rPr/>
          </w:pPr>
          <w:hyperlink w:anchor="__RefHeading___Toc3242115_2870459653">
            <w:r>
              <w:rPr>
                <w:webHidden/>
                <w:rStyle w:val="IndexLink"/>
                <w:rtl w:val="true"/>
              </w:rPr>
              <w:t>منهج التحقيق</w:t>
            </w:r>
            <w:r>
              <w:rPr>
                <w:rStyle w:val="IndexLink"/>
                <w:rtl w:val="true"/>
              </w:rPr>
              <w:tab/>
            </w:r>
            <w:r>
              <w:rPr>
                <w:rStyle w:val="IndexLink"/>
              </w:rPr>
              <w:t>22</w:t>
            </w:r>
          </w:hyperlink>
        </w:p>
        <w:p>
          <w:pPr>
            <w:pStyle w:val="Contents3"/>
            <w:tabs>
              <w:tab w:val="clear" w:pos="8459"/>
              <w:tab w:val="right" w:pos="9026" w:leader="dot"/>
            </w:tabs>
            <w:rPr/>
          </w:pPr>
          <w:hyperlink w:anchor="__RefHeading___Toc3242117_2870459653">
            <w:r>
              <w:rPr>
                <w:webHidden/>
                <w:rStyle w:val="IndexLink"/>
                <w:rtl w:val="true"/>
              </w:rPr>
              <w:t>ختامه مسك</w:t>
            </w:r>
            <w:r>
              <w:rPr>
                <w:rStyle w:val="IndexLink"/>
                <w:rtl w:val="true"/>
              </w:rPr>
              <w:tab/>
            </w:r>
            <w:r>
              <w:rPr>
                <w:rStyle w:val="IndexLink"/>
              </w:rPr>
              <w:t>23</w:t>
            </w:r>
          </w:hyperlink>
        </w:p>
        <w:p>
          <w:pPr>
            <w:pStyle w:val="Contents2"/>
            <w:tabs>
              <w:tab w:val="clear" w:pos="8743"/>
              <w:tab w:val="right" w:pos="9026" w:leader="dot"/>
            </w:tabs>
            <w:rPr/>
          </w:pPr>
          <w:hyperlink w:anchor="__RefHeading___Toc3242119_2870459653">
            <w:r>
              <w:rPr>
                <w:webHidden/>
                <w:rStyle w:val="IndexLink"/>
                <w:rtl w:val="true"/>
              </w:rPr>
              <w:t>[</w:t>
            </w:r>
            <w:r>
              <w:rPr>
                <w:rStyle w:val="IndexLink"/>
                <w:rtl w:val="true"/>
              </w:rPr>
              <w:t>مقدمة المؤلف</w:t>
            </w:r>
            <w:r>
              <w:rPr>
                <w:rStyle w:val="IndexLink"/>
                <w:rtl w:val="true"/>
              </w:rPr>
              <w:t>]</w:t>
              <w:tab/>
            </w:r>
            <w:r>
              <w:rPr>
                <w:rStyle w:val="IndexLink"/>
              </w:rPr>
              <w:t>26</w:t>
            </w:r>
          </w:hyperlink>
        </w:p>
        <w:p>
          <w:pPr>
            <w:pStyle w:val="Contents2"/>
            <w:tabs>
              <w:tab w:val="clear" w:pos="8743"/>
              <w:tab w:val="right" w:pos="9026" w:leader="dot"/>
            </w:tabs>
            <w:rPr/>
          </w:pPr>
          <w:hyperlink w:anchor="__RefHeading___Toc3242121_2870459653">
            <w:r>
              <w:rPr>
                <w:webHidden/>
                <w:rStyle w:val="IndexLink"/>
                <w:rtl w:val="true"/>
              </w:rPr>
              <w:t>المرصد الأوّل في الأمور العامّة و فيه فصول</w:t>
            </w:r>
            <w:r>
              <w:rPr>
                <w:rStyle w:val="IndexLink"/>
                <w:rtl w:val="true"/>
              </w:rPr>
              <w:tab/>
            </w:r>
            <w:r>
              <w:rPr>
                <w:rStyle w:val="IndexLink"/>
              </w:rPr>
              <w:t>28</w:t>
            </w:r>
          </w:hyperlink>
        </w:p>
        <w:p>
          <w:pPr>
            <w:pStyle w:val="Contents3"/>
            <w:tabs>
              <w:tab w:val="clear" w:pos="8459"/>
              <w:tab w:val="right" w:pos="9026" w:leader="dot"/>
            </w:tabs>
            <w:rPr/>
          </w:pPr>
          <w:hyperlink w:anchor="__RefHeading___Toc3242123_2870459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242125_2870459653">
            <w:r>
              <w:rPr>
                <w:webHidden/>
                <w:rStyle w:val="IndexLink"/>
                <w:rtl w:val="true"/>
              </w:rPr>
              <w:t>الفصل الأوّل في المقدمات</w:t>
            </w:r>
            <w:r>
              <w:rPr>
                <w:rStyle w:val="IndexLink"/>
                <w:rtl w:val="true"/>
              </w:rPr>
              <w:tab/>
            </w:r>
            <w:r>
              <w:rPr>
                <w:rStyle w:val="IndexLink"/>
              </w:rPr>
              <w:t>30</w:t>
            </w:r>
          </w:hyperlink>
        </w:p>
        <w:p>
          <w:pPr>
            <w:pStyle w:val="Contents4"/>
            <w:tabs>
              <w:tab w:val="clear" w:pos="8176"/>
              <w:tab w:val="right" w:pos="9026" w:leader="dot"/>
            </w:tabs>
            <w:rPr/>
          </w:pPr>
          <w:hyperlink w:anchor="__RefHeading___Toc3242127_2870459653">
            <w:r>
              <w:rPr>
                <w:webHidden/>
                <w:rStyle w:val="IndexLink"/>
                <w:rtl w:val="true"/>
              </w:rPr>
              <w:t>المقدّمة الأولى</w:t>
            </w:r>
            <w:r>
              <w:rPr>
                <w:rStyle w:val="IndexLink"/>
                <w:rtl w:val="true"/>
              </w:rPr>
              <w:t>: [</w:t>
            </w:r>
            <w:r>
              <w:rPr>
                <w:rStyle w:val="IndexLink"/>
                <w:rtl w:val="true"/>
              </w:rPr>
              <w:t>في التّصور و التّصديق</w:t>
            </w:r>
            <w:r>
              <w:rPr>
                <w:rStyle w:val="IndexLink"/>
                <w:rtl w:val="true"/>
              </w:rPr>
              <w:t>]</w:t>
              <w:tab/>
            </w:r>
            <w:r>
              <w:rPr>
                <w:rStyle w:val="IndexLink"/>
              </w:rPr>
              <w:t>30</w:t>
            </w:r>
          </w:hyperlink>
        </w:p>
        <w:p>
          <w:pPr>
            <w:pStyle w:val="Contents4"/>
            <w:tabs>
              <w:tab w:val="clear" w:pos="8176"/>
              <w:tab w:val="right" w:pos="9026" w:leader="dot"/>
            </w:tabs>
            <w:rPr/>
          </w:pPr>
          <w:hyperlink w:anchor="__RefHeading___Toc3242129_2870459653">
            <w:r>
              <w:rPr>
                <w:webHidden/>
                <w:rStyle w:val="IndexLink"/>
                <w:rtl w:val="true"/>
              </w:rPr>
              <w:t>المقدّمة الثّانية</w:t>
            </w:r>
            <w:r>
              <w:rPr>
                <w:rStyle w:val="IndexLink"/>
                <w:rtl w:val="true"/>
              </w:rPr>
              <w:t>: [</w:t>
            </w:r>
            <w:r>
              <w:rPr>
                <w:rStyle w:val="IndexLink"/>
                <w:rtl w:val="true"/>
              </w:rPr>
              <w:t>في التعريف</w:t>
            </w:r>
            <w:r>
              <w:rPr>
                <w:rStyle w:val="IndexLink"/>
                <w:rtl w:val="true"/>
              </w:rPr>
              <w:t>]</w:t>
              <w:tab/>
            </w:r>
            <w:r>
              <w:rPr>
                <w:rStyle w:val="IndexLink"/>
              </w:rPr>
              <w:t>31</w:t>
            </w:r>
          </w:hyperlink>
        </w:p>
        <w:p>
          <w:pPr>
            <w:pStyle w:val="Contents4"/>
            <w:tabs>
              <w:tab w:val="clear" w:pos="8176"/>
              <w:tab w:val="right" w:pos="9026" w:leader="dot"/>
            </w:tabs>
            <w:rPr/>
          </w:pPr>
          <w:hyperlink w:anchor="__RefHeading___Toc3242131_2870459653">
            <w:r>
              <w:rPr>
                <w:webHidden/>
                <w:rStyle w:val="IndexLink"/>
                <w:rtl w:val="true"/>
              </w:rPr>
              <w:t>المقدّمة الثّالثة</w:t>
            </w:r>
            <w:r>
              <w:rPr>
                <w:rStyle w:val="IndexLink"/>
                <w:rtl w:val="true"/>
              </w:rPr>
              <w:t>: [</w:t>
            </w:r>
            <w:r>
              <w:rPr>
                <w:rStyle w:val="IndexLink"/>
                <w:rtl w:val="true"/>
              </w:rPr>
              <w:t>في القياس</w:t>
            </w:r>
            <w:r>
              <w:rPr>
                <w:rStyle w:val="IndexLink"/>
                <w:rtl w:val="true"/>
              </w:rPr>
              <w:t>]</w:t>
              <w:tab/>
            </w:r>
            <w:r>
              <w:rPr>
                <w:rStyle w:val="IndexLink"/>
              </w:rPr>
              <w:t>32</w:t>
            </w:r>
          </w:hyperlink>
        </w:p>
        <w:p>
          <w:pPr>
            <w:pStyle w:val="Contents4"/>
            <w:tabs>
              <w:tab w:val="clear" w:pos="8176"/>
              <w:tab w:val="right" w:pos="9026" w:leader="dot"/>
            </w:tabs>
            <w:rPr/>
          </w:pPr>
          <w:hyperlink w:anchor="__RefHeading___Toc3242133_2870459653">
            <w:r>
              <w:rPr>
                <w:webHidden/>
                <w:rStyle w:val="IndexLink"/>
                <w:rtl w:val="true"/>
              </w:rPr>
              <w:t>المقدّمة الرّابعة</w:t>
            </w:r>
            <w:r>
              <w:rPr>
                <w:rStyle w:val="IndexLink"/>
                <w:rtl w:val="true"/>
              </w:rPr>
              <w:t>: [</w:t>
            </w:r>
            <w:r>
              <w:rPr>
                <w:rStyle w:val="IndexLink"/>
                <w:rtl w:val="true"/>
              </w:rPr>
              <w:t>في مواد الأقيسة و صورها</w:t>
            </w:r>
            <w:r>
              <w:rPr>
                <w:rStyle w:val="IndexLink"/>
                <w:rtl w:val="true"/>
              </w:rPr>
              <w:t>]</w:t>
              <w:tab/>
            </w:r>
            <w:r>
              <w:rPr>
                <w:rStyle w:val="IndexLink"/>
              </w:rPr>
              <w:t>33</w:t>
            </w:r>
          </w:hyperlink>
        </w:p>
        <w:p>
          <w:pPr>
            <w:pStyle w:val="Contents3"/>
            <w:tabs>
              <w:tab w:val="clear" w:pos="8459"/>
              <w:tab w:val="right" w:pos="9026" w:leader="dot"/>
            </w:tabs>
            <w:rPr/>
          </w:pPr>
          <w:hyperlink w:anchor="__RefHeading___Toc3242135_2870459653">
            <w:r>
              <w:rPr>
                <w:webHidden/>
                <w:rStyle w:val="IndexLink"/>
                <w:rtl w:val="true"/>
              </w:rPr>
              <w:t>الفصل الثّاني في مباحث الوجود و العدم</w:t>
            </w:r>
            <w:r>
              <w:rPr>
                <w:rStyle w:val="IndexLink"/>
                <w:rtl w:val="true"/>
              </w:rPr>
              <w:tab/>
            </w:r>
            <w:r>
              <w:rPr>
                <w:rStyle w:val="IndexLink"/>
              </w:rPr>
              <w:t>35</w:t>
            </w:r>
          </w:hyperlink>
        </w:p>
        <w:p>
          <w:pPr>
            <w:pStyle w:val="Contents4"/>
            <w:tabs>
              <w:tab w:val="clear" w:pos="8176"/>
              <w:tab w:val="right" w:pos="9026" w:leader="dot"/>
            </w:tabs>
            <w:rPr/>
          </w:pPr>
          <w:hyperlink w:anchor="__RefHeading___Toc3242137_287045965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242139_287045965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w:t>
            </w:r>
            <w:r>
              <w:rPr>
                <w:rStyle w:val="IndexLink"/>
                <w:rtl w:val="true"/>
              </w:rPr>
              <w:t>تصوّر الوجود و العدم</w:t>
            </w:r>
            <w:r>
              <w:rPr>
                <w:rStyle w:val="IndexLink"/>
                <w:rtl w:val="true"/>
              </w:rPr>
              <w:t>]</w:t>
              <w:tab/>
            </w:r>
            <w:r>
              <w:rPr>
                <w:rStyle w:val="IndexLink"/>
              </w:rPr>
              <w:t>35</w:t>
            </w:r>
          </w:hyperlink>
        </w:p>
        <w:p>
          <w:pPr>
            <w:pStyle w:val="Contents4"/>
            <w:tabs>
              <w:tab w:val="clear" w:pos="8176"/>
              <w:tab w:val="right" w:pos="9026" w:leader="dot"/>
            </w:tabs>
            <w:rPr/>
          </w:pPr>
          <w:hyperlink w:anchor="__RefHeading___Toc3242141_2870459653">
            <w:r>
              <w:rPr>
                <w:webHidden/>
                <w:rStyle w:val="IndexLink"/>
                <w:rtl w:val="true"/>
              </w:rPr>
              <w:t>البحث الثاني</w:t>
            </w:r>
            <w:r>
              <w:rPr>
                <w:rStyle w:val="IndexLink"/>
                <w:rtl w:val="true"/>
              </w:rPr>
              <w:t xml:space="preserve">: </w:t>
            </w:r>
            <w:r>
              <w:rPr>
                <w:rStyle w:val="IndexLink"/>
                <w:rtl w:val="true"/>
              </w:rPr>
              <w:t xml:space="preserve">في أنّ الوجود معنى مشترك </w:t>
            </w:r>
            <w:r>
              <w:rPr>
                <w:rStyle w:val="IndexLink"/>
                <w:rtl w:val="true"/>
              </w:rPr>
              <w:t>(</w:t>
            </w:r>
            <w:r>
              <w:rPr>
                <w:rStyle w:val="IndexLink"/>
                <w:rtl w:val="true"/>
              </w:rPr>
              <w:t>بين الموجودات</w:t>
            </w:r>
            <w:r>
              <w:rPr>
                <w:rStyle w:val="IndexLink"/>
                <w:rtl w:val="true"/>
              </w:rPr>
              <w:t>)</w:t>
              <w:tab/>
            </w:r>
            <w:r>
              <w:rPr>
                <w:rStyle w:val="IndexLink"/>
              </w:rPr>
              <w:t>36</w:t>
            </w:r>
          </w:hyperlink>
        </w:p>
        <w:p>
          <w:pPr>
            <w:pStyle w:val="Contents5"/>
            <w:tabs>
              <w:tab w:val="clear" w:pos="7892"/>
              <w:tab w:val="right" w:pos="9026" w:leader="dot"/>
            </w:tabs>
            <w:rPr/>
          </w:pPr>
          <w:hyperlink w:anchor="__RefHeading___Toc3242143_2870459653">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242145_2870459653">
            <w:r>
              <w:rPr>
                <w:webHidden/>
                <w:rStyle w:val="IndexLink"/>
                <w:rtl w:val="true"/>
              </w:rPr>
              <w:t>تذنيب</w:t>
            </w:r>
            <w:r>
              <w:rPr>
                <w:rStyle w:val="IndexLink"/>
                <w:rtl w:val="true"/>
              </w:rPr>
              <w:tab/>
            </w:r>
            <w:r>
              <w:rPr>
                <w:rStyle w:val="IndexLink"/>
              </w:rPr>
              <w:t>37</w:t>
            </w:r>
          </w:hyperlink>
        </w:p>
        <w:p>
          <w:pPr>
            <w:pStyle w:val="Contents4"/>
            <w:tabs>
              <w:tab w:val="clear" w:pos="8176"/>
              <w:tab w:val="right" w:pos="9026" w:leader="dot"/>
            </w:tabs>
            <w:rPr/>
          </w:pPr>
          <w:hyperlink w:anchor="__RefHeading___Toc3242147_2870459653">
            <w:r>
              <w:rPr>
                <w:webHidden/>
                <w:rStyle w:val="IndexLink"/>
                <w:rtl w:val="true"/>
              </w:rPr>
              <w:t>البحث الثالث</w:t>
            </w:r>
            <w:r>
              <w:rPr>
                <w:rStyle w:val="IndexLink"/>
                <w:rtl w:val="true"/>
              </w:rPr>
              <w:t>: [</w:t>
            </w:r>
            <w:r>
              <w:rPr>
                <w:rStyle w:val="IndexLink"/>
                <w:rtl w:val="true"/>
              </w:rPr>
              <w:t>ما هو المعدوم؟</w:t>
            </w:r>
            <w:r>
              <w:rPr>
                <w:rStyle w:val="IndexLink"/>
                <w:rtl w:val="true"/>
              </w:rPr>
              <w:t>]</w:t>
              <w:tab/>
            </w:r>
            <w:r>
              <w:rPr>
                <w:rStyle w:val="IndexLink"/>
              </w:rPr>
              <w:t>37</w:t>
            </w:r>
          </w:hyperlink>
        </w:p>
        <w:p>
          <w:pPr>
            <w:pStyle w:val="Contents5"/>
            <w:tabs>
              <w:tab w:val="clear" w:pos="7892"/>
              <w:tab w:val="right" w:pos="9026" w:leader="dot"/>
            </w:tabs>
            <w:rPr/>
          </w:pPr>
          <w:hyperlink w:anchor="__RefHeading___Toc3242149_2870459653">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242151_2870459653">
            <w:r>
              <w:rPr>
                <w:webHidden/>
                <w:rStyle w:val="IndexLink"/>
                <w:rtl w:val="true"/>
              </w:rPr>
              <w:t>و الجواب</w:t>
            </w:r>
            <w:r>
              <w:rPr>
                <w:rStyle w:val="IndexLink"/>
                <w:rtl w:val="true"/>
              </w:rPr>
              <w:t>:</w:t>
              <w:tab/>
            </w:r>
            <w:r>
              <w:rPr>
                <w:rStyle w:val="IndexLink"/>
              </w:rPr>
              <w:t>38</w:t>
            </w:r>
          </w:hyperlink>
        </w:p>
        <w:p>
          <w:pPr>
            <w:pStyle w:val="Contents4"/>
            <w:tabs>
              <w:tab w:val="clear" w:pos="8176"/>
              <w:tab w:val="right" w:pos="9026" w:leader="dot"/>
            </w:tabs>
            <w:rPr/>
          </w:pPr>
          <w:hyperlink w:anchor="__RefHeading___Toc3242153_2870459653">
            <w:r>
              <w:rPr>
                <w:webHidden/>
                <w:rStyle w:val="IndexLink"/>
                <w:rtl w:val="true"/>
              </w:rPr>
              <w:t>البحث الرّابع</w:t>
            </w:r>
            <w:r>
              <w:rPr>
                <w:rStyle w:val="IndexLink"/>
                <w:rtl w:val="true"/>
              </w:rPr>
              <w:t>: [</w:t>
            </w:r>
            <w:r>
              <w:rPr>
                <w:rStyle w:val="IndexLink"/>
                <w:rtl w:val="true"/>
              </w:rPr>
              <w:t>لا واسطة بين الموجود و المعدوم</w:t>
            </w:r>
            <w:r>
              <w:rPr>
                <w:rStyle w:val="IndexLink"/>
                <w:rtl w:val="true"/>
              </w:rPr>
              <w:t>]</w:t>
              <w:tab/>
            </w:r>
            <w:r>
              <w:rPr>
                <w:rStyle w:val="IndexLink"/>
              </w:rPr>
              <w:t>39</w:t>
            </w:r>
          </w:hyperlink>
        </w:p>
        <w:p>
          <w:pPr>
            <w:pStyle w:val="Contents5"/>
            <w:tabs>
              <w:tab w:val="clear" w:pos="7892"/>
              <w:tab w:val="right" w:pos="9026" w:leader="dot"/>
            </w:tabs>
            <w:rPr/>
          </w:pPr>
          <w:hyperlink w:anchor="__RefHeading___Toc3242155_2870459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242157_2870459653">
            <w:r>
              <w:rPr>
                <w:webHidden/>
                <w:rStyle w:val="IndexLink"/>
                <w:rtl w:val="true"/>
              </w:rPr>
              <w:t>و الجواب</w:t>
            </w:r>
            <w:r>
              <w:rPr>
                <w:rStyle w:val="IndexLink"/>
                <w:rtl w:val="true"/>
              </w:rPr>
              <w:t>:</w:t>
              <w:tab/>
            </w:r>
            <w:r>
              <w:rPr>
                <w:rStyle w:val="IndexLink"/>
              </w:rPr>
              <w:t>39</w:t>
            </w:r>
          </w:hyperlink>
        </w:p>
        <w:p>
          <w:pPr>
            <w:pStyle w:val="Contents3"/>
            <w:tabs>
              <w:tab w:val="clear" w:pos="8459"/>
              <w:tab w:val="right" w:pos="9026" w:leader="dot"/>
            </w:tabs>
            <w:rPr/>
          </w:pPr>
          <w:hyperlink w:anchor="__RefHeading___Toc3242159_2870459653">
            <w:r>
              <w:rPr>
                <w:webHidden/>
                <w:rStyle w:val="IndexLink"/>
                <w:rtl w:val="true"/>
              </w:rPr>
              <w:t>الفصل الثالث في مباحث الوجوب و قسيميه</w:t>
            </w:r>
            <w:r>
              <w:rPr>
                <w:rStyle w:val="IndexLink"/>
                <w:rtl w:val="true"/>
              </w:rPr>
              <w:tab/>
            </w:r>
            <w:r>
              <w:rPr>
                <w:rStyle w:val="IndexLink"/>
              </w:rPr>
              <w:t>40</w:t>
            </w:r>
          </w:hyperlink>
        </w:p>
        <w:p>
          <w:pPr>
            <w:pStyle w:val="Contents4"/>
            <w:tabs>
              <w:tab w:val="clear" w:pos="8176"/>
              <w:tab w:val="right" w:pos="9026" w:leader="dot"/>
            </w:tabs>
            <w:rPr/>
          </w:pPr>
          <w:hyperlink w:anchor="__RefHeading___Toc3242161_2870459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242163_287045965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w:t>
            </w:r>
            <w:r>
              <w:rPr>
                <w:rStyle w:val="IndexLink"/>
                <w:rtl w:val="true"/>
              </w:rPr>
              <w:t>الوجوب و الامكان و الامتناع</w:t>
            </w:r>
            <w:r>
              <w:rPr>
                <w:rStyle w:val="IndexLink"/>
                <w:rtl w:val="true"/>
              </w:rPr>
              <w:t>]</w:t>
              <w:tab/>
            </w:r>
            <w:r>
              <w:rPr>
                <w:rStyle w:val="IndexLink"/>
              </w:rPr>
              <w:t>40</w:t>
            </w:r>
          </w:hyperlink>
        </w:p>
        <w:p>
          <w:pPr>
            <w:pStyle w:val="Contents4"/>
            <w:tabs>
              <w:tab w:val="clear" w:pos="8176"/>
              <w:tab w:val="right" w:pos="9026" w:leader="dot"/>
            </w:tabs>
            <w:rPr/>
          </w:pPr>
          <w:hyperlink w:anchor="__RefHeading___Toc3242165_2870459653">
            <w:r>
              <w:rPr>
                <w:webHidden/>
                <w:rStyle w:val="IndexLink"/>
                <w:rtl w:val="true"/>
              </w:rPr>
              <w:t>[</w:t>
            </w:r>
            <w:r>
              <w:rPr>
                <w:rStyle w:val="IndexLink"/>
                <w:rtl w:val="true"/>
              </w:rPr>
              <w:t>البحث</w:t>
            </w:r>
            <w:r>
              <w:rPr>
                <w:rStyle w:val="IndexLink"/>
                <w:rtl w:val="true"/>
              </w:rPr>
              <w:t xml:space="preserve">] </w:t>
            </w:r>
            <w:r>
              <w:rPr>
                <w:rStyle w:val="IndexLink"/>
                <w:rtl w:val="true"/>
              </w:rPr>
              <w:t>الثاني</w:t>
            </w:r>
            <w:r>
              <w:rPr>
                <w:rStyle w:val="IndexLink"/>
                <w:rtl w:val="true"/>
              </w:rPr>
              <w:t>: [</w:t>
            </w:r>
            <w:r>
              <w:rPr>
                <w:rStyle w:val="IndexLink"/>
                <w:rtl w:val="true"/>
              </w:rPr>
              <w:t>في خواص الواجب</w:t>
            </w:r>
            <w:r>
              <w:rPr>
                <w:rStyle w:val="IndexLink"/>
                <w:rtl w:val="true"/>
              </w:rPr>
              <w:t>]</w:t>
              <w:tab/>
            </w:r>
            <w:r>
              <w:rPr>
                <w:rStyle w:val="IndexLink"/>
              </w:rPr>
              <w:t>41</w:t>
            </w:r>
          </w:hyperlink>
        </w:p>
        <w:p>
          <w:pPr>
            <w:pStyle w:val="Contents4"/>
            <w:tabs>
              <w:tab w:val="clear" w:pos="8176"/>
              <w:tab w:val="right" w:pos="9026" w:leader="dot"/>
            </w:tabs>
            <w:rPr/>
          </w:pPr>
          <w:hyperlink w:anchor="__RefHeading___Toc3242167_2870459653">
            <w:r>
              <w:rPr>
                <w:webHidden/>
                <w:rStyle w:val="IndexLink"/>
                <w:rtl w:val="true"/>
              </w:rPr>
              <w:t>البحث الثالث</w:t>
            </w:r>
            <w:r>
              <w:rPr>
                <w:rStyle w:val="IndexLink"/>
                <w:rtl w:val="true"/>
              </w:rPr>
              <w:t>: [</w:t>
            </w:r>
            <w:r>
              <w:rPr>
                <w:rStyle w:val="IndexLink"/>
                <w:rtl w:val="true"/>
              </w:rPr>
              <w:t>في عروض الامكان للماهيّة</w:t>
            </w:r>
            <w:r>
              <w:rPr>
                <w:rStyle w:val="IndexLink"/>
                <w:rtl w:val="true"/>
              </w:rPr>
              <w:t>]</w:t>
              <w:tab/>
            </w:r>
            <w:r>
              <w:rPr>
                <w:rStyle w:val="IndexLink"/>
              </w:rPr>
              <w:t>41</w:t>
            </w:r>
          </w:hyperlink>
        </w:p>
        <w:p>
          <w:pPr>
            <w:pStyle w:val="Contents5"/>
            <w:tabs>
              <w:tab w:val="clear" w:pos="7892"/>
              <w:tab w:val="right" w:pos="9026" w:leader="dot"/>
            </w:tabs>
            <w:rPr/>
          </w:pPr>
          <w:hyperlink w:anchor="__RefHeading___Toc3242169_2870459653">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242171_2870459653">
            <w:r>
              <w:rPr>
                <w:webHidden/>
                <w:rStyle w:val="IndexLink"/>
                <w:rtl w:val="true"/>
              </w:rPr>
              <w:t>تذنيب</w:t>
            </w:r>
            <w:r>
              <w:rPr>
                <w:rStyle w:val="IndexLink"/>
                <w:rtl w:val="true"/>
              </w:rPr>
              <w:tab/>
            </w:r>
            <w:r>
              <w:rPr>
                <w:rStyle w:val="IndexLink"/>
              </w:rPr>
              <w:t>42</w:t>
            </w:r>
          </w:hyperlink>
        </w:p>
        <w:p>
          <w:pPr>
            <w:pStyle w:val="Contents2"/>
            <w:tabs>
              <w:tab w:val="clear" w:pos="8743"/>
              <w:tab w:val="right" w:pos="9026" w:leader="dot"/>
            </w:tabs>
            <w:rPr/>
          </w:pPr>
          <w:hyperlink w:anchor="__RefHeading___Toc3242173_2870459653">
            <w:r>
              <w:rPr>
                <w:webHidden/>
                <w:rStyle w:val="IndexLink"/>
                <w:rtl w:val="true"/>
              </w:rPr>
              <w:t>المرصد الثّاني في تقسيم الموجودات و فيه مقصدان</w:t>
            </w:r>
            <w:r>
              <w:rPr>
                <w:rStyle w:val="IndexLink"/>
                <w:rtl w:val="true"/>
              </w:rPr>
              <w:tab/>
            </w:r>
            <w:r>
              <w:rPr>
                <w:rStyle w:val="IndexLink"/>
              </w:rPr>
              <w:t>44</w:t>
            </w:r>
          </w:hyperlink>
        </w:p>
        <w:p>
          <w:pPr>
            <w:pStyle w:val="Contents3"/>
            <w:tabs>
              <w:tab w:val="clear" w:pos="8459"/>
              <w:tab w:val="right" w:pos="9026" w:leader="dot"/>
            </w:tabs>
            <w:rPr/>
          </w:pPr>
          <w:hyperlink w:anchor="__RefHeading___Toc3242175_2870459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3242177_2870459653">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التّقسيم على رأي المتكلّمين</w:t>
            </w:r>
            <w:r>
              <w:rPr>
                <w:rStyle w:val="IndexLink"/>
                <w:rtl w:val="true"/>
              </w:rPr>
              <w:tab/>
            </w:r>
            <w:r>
              <w:rPr>
                <w:rStyle w:val="IndexLink"/>
              </w:rPr>
              <w:t>46</w:t>
            </w:r>
          </w:hyperlink>
        </w:p>
        <w:p>
          <w:pPr>
            <w:pStyle w:val="Contents4"/>
            <w:tabs>
              <w:tab w:val="clear" w:pos="8176"/>
              <w:tab w:val="right" w:pos="9026" w:leader="dot"/>
            </w:tabs>
            <w:rPr/>
          </w:pPr>
          <w:hyperlink w:anchor="__RefHeading___Toc3242179_2870459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3242181_287045965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في مباحث القديم</w:t>
            </w:r>
            <w:r>
              <w:rPr>
                <w:rStyle w:val="IndexLink"/>
                <w:rtl w:val="true"/>
              </w:rPr>
              <w:tab/>
            </w:r>
            <w:r>
              <w:rPr>
                <w:rStyle w:val="IndexLink"/>
              </w:rPr>
              <w:t>46</w:t>
            </w:r>
          </w:hyperlink>
        </w:p>
        <w:p>
          <w:pPr>
            <w:pStyle w:val="Contents4"/>
            <w:tabs>
              <w:tab w:val="clear" w:pos="8176"/>
              <w:tab w:val="right" w:pos="9026" w:leader="dot"/>
            </w:tabs>
            <w:rPr/>
          </w:pPr>
          <w:hyperlink w:anchor="__RefHeading___Toc3242183_2870459653">
            <w:r>
              <w:rPr>
                <w:webHidden/>
                <w:rStyle w:val="IndexLink"/>
                <w:rtl w:val="true"/>
              </w:rPr>
              <w:t>البحث الثاني</w:t>
            </w:r>
            <w:r>
              <w:rPr>
                <w:rStyle w:val="IndexLink"/>
                <w:rtl w:val="true"/>
              </w:rPr>
              <w:t xml:space="preserve">: </w:t>
            </w:r>
            <w:r>
              <w:rPr>
                <w:rStyle w:val="IndexLink"/>
                <w:rtl w:val="true"/>
              </w:rPr>
              <w:t>في خواصّ القديم</w:t>
            </w:r>
            <w:r>
              <w:rPr>
                <w:rStyle w:val="IndexLink"/>
                <w:rtl w:val="true"/>
              </w:rPr>
              <w:tab/>
            </w:r>
            <w:r>
              <w:rPr>
                <w:rStyle w:val="IndexLink"/>
              </w:rPr>
              <w:t>47</w:t>
            </w:r>
          </w:hyperlink>
        </w:p>
        <w:p>
          <w:pPr>
            <w:pStyle w:val="Contents4"/>
            <w:tabs>
              <w:tab w:val="clear" w:pos="8176"/>
              <w:tab w:val="right" w:pos="9026" w:leader="dot"/>
            </w:tabs>
            <w:rPr/>
          </w:pPr>
          <w:hyperlink w:anchor="__RefHeading___Toc3242185_2870459653">
            <w:r>
              <w:rPr>
                <w:webHidden/>
                <w:rStyle w:val="IndexLink"/>
                <w:rtl w:val="true"/>
              </w:rPr>
              <w:t>البحث الثالث</w:t>
            </w:r>
            <w:r>
              <w:rPr>
                <w:rStyle w:val="IndexLink"/>
                <w:rtl w:val="true"/>
              </w:rPr>
              <w:t xml:space="preserve">: </w:t>
            </w:r>
            <w:r>
              <w:rPr>
                <w:rStyle w:val="IndexLink"/>
                <w:rtl w:val="true"/>
              </w:rPr>
              <w:t>في خواصّ المحدث</w:t>
            </w:r>
            <w:r>
              <w:rPr>
                <w:rStyle w:val="IndexLink"/>
                <w:rtl w:val="true"/>
              </w:rPr>
              <w:tab/>
            </w:r>
            <w:r>
              <w:rPr>
                <w:rStyle w:val="IndexLink"/>
              </w:rPr>
              <w:t>48</w:t>
            </w:r>
          </w:hyperlink>
        </w:p>
        <w:p>
          <w:pPr>
            <w:pStyle w:val="Contents3"/>
            <w:tabs>
              <w:tab w:val="clear" w:pos="8459"/>
              <w:tab w:val="right" w:pos="9026" w:leader="dot"/>
            </w:tabs>
            <w:rPr/>
          </w:pPr>
          <w:hyperlink w:anchor="__RefHeading___Toc3242187_2870459653">
            <w:r>
              <w:rPr>
                <w:webHidden/>
                <w:rStyle w:val="IndexLink"/>
                <w:rtl w:val="true"/>
              </w:rPr>
              <w:t>المقصد الثّاني في التّقسيم على رأي الأوائل</w:t>
            </w:r>
            <w:r>
              <w:rPr>
                <w:rStyle w:val="IndexLink"/>
                <w:rtl w:val="true"/>
              </w:rPr>
              <w:tab/>
            </w:r>
            <w:r>
              <w:rPr>
                <w:rStyle w:val="IndexLink"/>
              </w:rPr>
              <w:t>49</w:t>
            </w:r>
          </w:hyperlink>
        </w:p>
        <w:p>
          <w:pPr>
            <w:pStyle w:val="Contents2"/>
            <w:tabs>
              <w:tab w:val="clear" w:pos="8743"/>
              <w:tab w:val="right" w:pos="9026" w:leader="dot"/>
            </w:tabs>
            <w:rPr/>
          </w:pPr>
          <w:hyperlink w:anchor="__RefHeading___Toc3242189_2870459653">
            <w:r>
              <w:rPr>
                <w:webHidden/>
                <w:rStyle w:val="IndexLink"/>
                <w:rtl w:val="true"/>
              </w:rPr>
              <w:t>المرصد الثالث في البحث عن أقسام الموجودات و فيه مباحث</w:t>
            </w:r>
            <w:r>
              <w:rPr>
                <w:rStyle w:val="IndexLink"/>
                <w:rtl w:val="true"/>
              </w:rPr>
              <w:tab/>
            </w:r>
            <w:r>
              <w:rPr>
                <w:rStyle w:val="IndexLink"/>
              </w:rPr>
              <w:t>52</w:t>
            </w:r>
          </w:hyperlink>
        </w:p>
        <w:p>
          <w:pPr>
            <w:pStyle w:val="Contents3"/>
            <w:tabs>
              <w:tab w:val="clear" w:pos="8459"/>
              <w:tab w:val="right" w:pos="9026" w:leader="dot"/>
            </w:tabs>
            <w:rPr/>
          </w:pPr>
          <w:hyperlink w:anchor="__RefHeading___Toc3242191_2870459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242193_2870459653">
            <w:r>
              <w:rPr>
                <w:webHidden/>
                <w:rStyle w:val="IndexLink"/>
                <w:rtl w:val="true"/>
              </w:rPr>
              <w:t>[</w:t>
            </w:r>
            <w:r>
              <w:rPr>
                <w:rStyle w:val="IndexLink"/>
                <w:rtl w:val="true"/>
              </w:rPr>
              <w:t>البحث</w:t>
            </w:r>
            <w:r>
              <w:rPr>
                <w:rStyle w:val="IndexLink"/>
                <w:rtl w:val="true"/>
              </w:rPr>
              <w:t xml:space="preserve">] </w:t>
            </w:r>
            <w:r>
              <w:rPr>
                <w:rStyle w:val="IndexLink"/>
                <w:rtl w:val="true"/>
              </w:rPr>
              <w:t>الأوّل في ماهيّة الجسم</w:t>
            </w:r>
            <w:r>
              <w:rPr>
                <w:rStyle w:val="IndexLink"/>
                <w:rtl w:val="true"/>
              </w:rPr>
              <w:tab/>
            </w:r>
            <w:r>
              <w:rPr>
                <w:rStyle w:val="IndexLink"/>
              </w:rPr>
              <w:t>54</w:t>
            </w:r>
          </w:hyperlink>
        </w:p>
        <w:p>
          <w:pPr>
            <w:pStyle w:val="Contents4"/>
            <w:tabs>
              <w:tab w:val="clear" w:pos="8176"/>
              <w:tab w:val="right" w:pos="9026" w:leader="dot"/>
            </w:tabs>
            <w:rPr/>
          </w:pPr>
          <w:hyperlink w:anchor="__RefHeading___Toc3242195_2870459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3242197_2870459653">
            <w:r>
              <w:rPr>
                <w:webHidden/>
                <w:rStyle w:val="IndexLink"/>
                <w:rtl w:val="true"/>
              </w:rPr>
              <w:t>و قد استدلّ مثبتوه بوجوه</w:t>
            </w:r>
            <w:r>
              <w:rPr>
                <w:rStyle w:val="IndexLink"/>
                <w:rtl w:val="true"/>
              </w:rPr>
              <w:t>:</w:t>
              <w:tab/>
            </w:r>
            <w:r>
              <w:rPr>
                <w:rStyle w:val="IndexLink"/>
              </w:rPr>
              <w:t>54</w:t>
            </w:r>
          </w:hyperlink>
        </w:p>
        <w:p>
          <w:pPr>
            <w:pStyle w:val="Contents4"/>
            <w:tabs>
              <w:tab w:val="clear" w:pos="8176"/>
              <w:tab w:val="right" w:pos="9026" w:leader="dot"/>
            </w:tabs>
            <w:rPr/>
          </w:pPr>
          <w:hyperlink w:anchor="__RefHeading___Toc3242199_2870459653">
            <w:r>
              <w:rPr>
                <w:webHidden/>
                <w:rStyle w:val="IndexLink"/>
                <w:rtl w:val="true"/>
              </w:rPr>
              <w:t>و احتجّ النّافون بوجوه</w:t>
            </w:r>
            <w:r>
              <w:rPr>
                <w:rStyle w:val="IndexLink"/>
                <w:rtl w:val="true"/>
              </w:rPr>
              <w:t>:</w:t>
              <w:tab/>
            </w:r>
            <w:r>
              <w:rPr>
                <w:rStyle w:val="IndexLink"/>
              </w:rPr>
              <w:t>55</w:t>
            </w:r>
          </w:hyperlink>
        </w:p>
        <w:p>
          <w:pPr>
            <w:pStyle w:val="Contents3"/>
            <w:tabs>
              <w:tab w:val="clear" w:pos="8459"/>
              <w:tab w:val="right" w:pos="9026" w:leader="dot"/>
            </w:tabs>
            <w:rPr/>
          </w:pPr>
          <w:hyperlink w:anchor="__RefHeading___Toc3242201_2870459653">
            <w:r>
              <w:rPr>
                <w:webHidden/>
                <w:rStyle w:val="IndexLink"/>
                <w:rtl w:val="true"/>
              </w:rPr>
              <w:t>البحث الثّاني في إبطال حجّة الحكماء في المادّة</w:t>
            </w:r>
            <w:r>
              <w:rPr>
                <w:rStyle w:val="IndexLink"/>
                <w:rtl w:val="true"/>
              </w:rPr>
              <w:tab/>
            </w:r>
            <w:r>
              <w:rPr>
                <w:rStyle w:val="IndexLink"/>
              </w:rPr>
              <w:t>57</w:t>
            </w:r>
          </w:hyperlink>
        </w:p>
        <w:p>
          <w:pPr>
            <w:pStyle w:val="Contents3"/>
            <w:tabs>
              <w:tab w:val="clear" w:pos="8459"/>
              <w:tab w:val="right" w:pos="9026" w:leader="dot"/>
            </w:tabs>
            <w:rPr/>
          </w:pPr>
          <w:hyperlink w:anchor="__RefHeading___Toc3242203_2870459653">
            <w:r>
              <w:rPr>
                <w:webHidden/>
                <w:rStyle w:val="IndexLink"/>
                <w:rtl w:val="true"/>
              </w:rPr>
              <w:t>البحث الثالث في الاعراض</w:t>
            </w:r>
            <w:r>
              <w:rPr>
                <w:rStyle w:val="IndexLink"/>
                <w:rtl w:val="true"/>
              </w:rPr>
              <w:tab/>
            </w:r>
            <w:r>
              <w:rPr>
                <w:rStyle w:val="IndexLink"/>
              </w:rPr>
              <w:t>58</w:t>
            </w:r>
          </w:hyperlink>
        </w:p>
        <w:p>
          <w:pPr>
            <w:pStyle w:val="Contents4"/>
            <w:tabs>
              <w:tab w:val="clear" w:pos="8176"/>
              <w:tab w:val="right" w:pos="9026" w:leader="dot"/>
            </w:tabs>
            <w:rPr/>
          </w:pPr>
          <w:hyperlink w:anchor="__RefHeading___Toc3242205_2870459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242207_2870459653">
            <w:r>
              <w:rPr>
                <w:webHidden/>
                <w:rStyle w:val="IndexLink"/>
                <w:rtl w:val="true"/>
              </w:rPr>
              <w:t>المطلب الأوّل</w:t>
            </w:r>
            <w:r>
              <w:rPr>
                <w:rStyle w:val="IndexLink"/>
                <w:rtl w:val="true"/>
              </w:rPr>
              <w:t xml:space="preserve">: </w:t>
            </w:r>
            <w:r>
              <w:rPr>
                <w:rStyle w:val="IndexLink"/>
                <w:rtl w:val="true"/>
              </w:rPr>
              <w:t>في المبصرات</w:t>
            </w:r>
            <w:r>
              <w:rPr>
                <w:rStyle w:val="IndexLink"/>
                <w:rtl w:val="true"/>
              </w:rPr>
              <w:tab/>
            </w:r>
            <w:r>
              <w:rPr>
                <w:rStyle w:val="IndexLink"/>
              </w:rPr>
              <w:t>59</w:t>
            </w:r>
          </w:hyperlink>
        </w:p>
        <w:p>
          <w:pPr>
            <w:pStyle w:val="Contents4"/>
            <w:tabs>
              <w:tab w:val="clear" w:pos="8176"/>
              <w:tab w:val="right" w:pos="9026" w:leader="dot"/>
            </w:tabs>
            <w:rPr/>
          </w:pPr>
          <w:hyperlink w:anchor="__RefHeading___Toc3242209_2870459653">
            <w:r>
              <w:rPr>
                <w:webHidden/>
                <w:rStyle w:val="IndexLink"/>
                <w:rtl w:val="true"/>
              </w:rPr>
              <w:t>المطلب الثّاني</w:t>
            </w:r>
            <w:r>
              <w:rPr>
                <w:rStyle w:val="IndexLink"/>
                <w:rtl w:val="true"/>
              </w:rPr>
              <w:t xml:space="preserve">: </w:t>
            </w:r>
            <w:r>
              <w:rPr>
                <w:rStyle w:val="IndexLink"/>
                <w:rtl w:val="true"/>
              </w:rPr>
              <w:t>في الأصوات و الحروف</w:t>
            </w:r>
            <w:r>
              <w:rPr>
                <w:rStyle w:val="IndexLink"/>
                <w:rtl w:val="true"/>
              </w:rPr>
              <w:tab/>
            </w:r>
            <w:r>
              <w:rPr>
                <w:rStyle w:val="IndexLink"/>
              </w:rPr>
              <w:t>61</w:t>
            </w:r>
          </w:hyperlink>
        </w:p>
        <w:p>
          <w:pPr>
            <w:pStyle w:val="Contents5"/>
            <w:tabs>
              <w:tab w:val="clear" w:pos="7892"/>
              <w:tab w:val="right" w:pos="9026" w:leader="dot"/>
            </w:tabs>
            <w:rPr/>
          </w:pPr>
          <w:hyperlink w:anchor="__RefHeading___Toc3242211_2870459653">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242213_2870459653">
            <w:r>
              <w:rPr>
                <w:webHidden/>
                <w:rStyle w:val="IndexLink"/>
                <w:rtl w:val="true"/>
              </w:rPr>
              <w:t>تذنيب</w:t>
            </w:r>
            <w:r>
              <w:rPr>
                <w:rStyle w:val="IndexLink"/>
                <w:rtl w:val="true"/>
              </w:rPr>
              <w:tab/>
            </w:r>
            <w:r>
              <w:rPr>
                <w:rStyle w:val="IndexLink"/>
              </w:rPr>
              <w:t>64</w:t>
            </w:r>
          </w:hyperlink>
        </w:p>
        <w:p>
          <w:pPr>
            <w:pStyle w:val="Contents4"/>
            <w:tabs>
              <w:tab w:val="clear" w:pos="8176"/>
              <w:tab w:val="right" w:pos="9026" w:leader="dot"/>
            </w:tabs>
            <w:rPr/>
          </w:pPr>
          <w:hyperlink w:anchor="__RefHeading___Toc3242215_2870459653">
            <w:r>
              <w:rPr>
                <w:webHidden/>
                <w:rStyle w:val="IndexLink"/>
                <w:rtl w:val="true"/>
              </w:rPr>
              <w:t>المطلب الثالث</w:t>
            </w:r>
            <w:r>
              <w:rPr>
                <w:rStyle w:val="IndexLink"/>
                <w:rtl w:val="true"/>
              </w:rPr>
              <w:t xml:space="preserve">: </w:t>
            </w:r>
            <w:r>
              <w:rPr>
                <w:rStyle w:val="IndexLink"/>
                <w:rtl w:val="true"/>
              </w:rPr>
              <w:t>في الطعوم و الرّوائح</w:t>
            </w:r>
            <w:r>
              <w:rPr>
                <w:rStyle w:val="IndexLink"/>
                <w:rtl w:val="true"/>
              </w:rPr>
              <w:tab/>
            </w:r>
            <w:r>
              <w:rPr>
                <w:rStyle w:val="IndexLink"/>
              </w:rPr>
              <w:t>65</w:t>
            </w:r>
          </w:hyperlink>
        </w:p>
        <w:p>
          <w:pPr>
            <w:pStyle w:val="Contents4"/>
            <w:tabs>
              <w:tab w:val="clear" w:pos="8176"/>
              <w:tab w:val="right" w:pos="9026" w:leader="dot"/>
            </w:tabs>
            <w:rPr/>
          </w:pPr>
          <w:hyperlink w:anchor="__RefHeading___Toc3242217_2870459653">
            <w:r>
              <w:rPr>
                <w:webHidden/>
                <w:rStyle w:val="IndexLink"/>
                <w:rtl w:val="true"/>
              </w:rPr>
              <w:t>المطلب الرّابع</w:t>
            </w:r>
            <w:r>
              <w:rPr>
                <w:rStyle w:val="IndexLink"/>
                <w:rtl w:val="true"/>
              </w:rPr>
              <w:t xml:space="preserve">: </w:t>
            </w:r>
            <w:r>
              <w:rPr>
                <w:rStyle w:val="IndexLink"/>
                <w:rtl w:val="true"/>
              </w:rPr>
              <w:t>في الحرارة و البرودة</w:t>
            </w:r>
            <w:r>
              <w:rPr>
                <w:rStyle w:val="IndexLink"/>
                <w:rtl w:val="true"/>
              </w:rPr>
              <w:tab/>
            </w:r>
            <w:r>
              <w:rPr>
                <w:rStyle w:val="IndexLink"/>
              </w:rPr>
              <w:t>66</w:t>
            </w:r>
          </w:hyperlink>
        </w:p>
        <w:p>
          <w:pPr>
            <w:pStyle w:val="Contents4"/>
            <w:tabs>
              <w:tab w:val="clear" w:pos="8176"/>
              <w:tab w:val="right" w:pos="9026" w:leader="dot"/>
            </w:tabs>
            <w:rPr/>
          </w:pPr>
          <w:hyperlink w:anchor="__RefHeading___Toc3242219_2870459653">
            <w:r>
              <w:rPr>
                <w:webHidden/>
                <w:rStyle w:val="IndexLink"/>
                <w:rtl w:val="true"/>
              </w:rPr>
              <w:t>المطلب الخامس</w:t>
            </w:r>
            <w:r>
              <w:rPr>
                <w:rStyle w:val="IndexLink"/>
                <w:rtl w:val="true"/>
              </w:rPr>
              <w:t xml:space="preserve">: </w:t>
            </w:r>
            <w:r>
              <w:rPr>
                <w:rStyle w:val="IndexLink"/>
                <w:rtl w:val="true"/>
              </w:rPr>
              <w:t>في الرّطوبة و اليبوسة</w:t>
            </w:r>
            <w:r>
              <w:rPr>
                <w:rStyle w:val="IndexLink"/>
                <w:rtl w:val="true"/>
              </w:rPr>
              <w:tab/>
            </w:r>
            <w:r>
              <w:rPr>
                <w:rStyle w:val="IndexLink"/>
              </w:rPr>
              <w:t>67</w:t>
            </w:r>
          </w:hyperlink>
        </w:p>
        <w:p>
          <w:pPr>
            <w:pStyle w:val="Contents5"/>
            <w:tabs>
              <w:tab w:val="clear" w:pos="7892"/>
              <w:tab w:val="right" w:pos="9026" w:leader="dot"/>
            </w:tabs>
            <w:rPr/>
          </w:pPr>
          <w:hyperlink w:anchor="__RefHeading___Toc3242221_287045965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242223_2870459653">
            <w:r>
              <w:rPr>
                <w:webHidden/>
                <w:rStyle w:val="IndexLink"/>
                <w:rtl w:val="true"/>
              </w:rPr>
              <w:t>تنبيه</w:t>
            </w:r>
            <w:r>
              <w:rPr>
                <w:rStyle w:val="IndexLink"/>
                <w:rtl w:val="true"/>
              </w:rPr>
              <w:tab/>
            </w:r>
            <w:r>
              <w:rPr>
                <w:rStyle w:val="IndexLink"/>
              </w:rPr>
              <w:t>69</w:t>
            </w:r>
          </w:hyperlink>
        </w:p>
        <w:p>
          <w:pPr>
            <w:pStyle w:val="Contents4"/>
            <w:tabs>
              <w:tab w:val="clear" w:pos="8176"/>
              <w:tab w:val="right" w:pos="9026" w:leader="dot"/>
            </w:tabs>
            <w:rPr/>
          </w:pPr>
          <w:hyperlink w:anchor="__RefHeading___Toc3242225_2870459653">
            <w:r>
              <w:rPr>
                <w:webHidden/>
                <w:rStyle w:val="IndexLink"/>
                <w:rtl w:val="true"/>
              </w:rPr>
              <w:t>المطلب السّادس</w:t>
            </w:r>
            <w:r>
              <w:rPr>
                <w:rStyle w:val="IndexLink"/>
                <w:rtl w:val="true"/>
              </w:rPr>
              <w:t xml:space="preserve">: </w:t>
            </w:r>
            <w:r>
              <w:rPr>
                <w:rStyle w:val="IndexLink"/>
                <w:rtl w:val="true"/>
              </w:rPr>
              <w:t>في الاعتماد</w:t>
            </w:r>
            <w:r>
              <w:rPr>
                <w:rStyle w:val="IndexLink"/>
                <w:rtl w:val="true"/>
              </w:rPr>
              <w:tab/>
            </w:r>
            <w:r>
              <w:rPr>
                <w:rStyle w:val="IndexLink"/>
              </w:rPr>
              <w:t>69</w:t>
            </w:r>
          </w:hyperlink>
        </w:p>
        <w:p>
          <w:pPr>
            <w:pStyle w:val="Contents4"/>
            <w:tabs>
              <w:tab w:val="clear" w:pos="8176"/>
              <w:tab w:val="right" w:pos="9026" w:leader="dot"/>
            </w:tabs>
            <w:rPr/>
          </w:pPr>
          <w:hyperlink w:anchor="__RefHeading___Toc3242227_2870459653">
            <w:r>
              <w:rPr>
                <w:webHidden/>
                <w:rStyle w:val="IndexLink"/>
                <w:rtl w:val="true"/>
              </w:rPr>
              <w:t>المطلب السّابع</w:t>
            </w:r>
            <w:r>
              <w:rPr>
                <w:rStyle w:val="IndexLink"/>
                <w:rtl w:val="true"/>
              </w:rPr>
              <w:t xml:space="preserve">: </w:t>
            </w:r>
            <w:r>
              <w:rPr>
                <w:rStyle w:val="IndexLink"/>
                <w:rtl w:val="true"/>
              </w:rPr>
              <w:t>في الأكوان</w:t>
            </w:r>
            <w:r>
              <w:rPr>
                <w:rStyle w:val="IndexLink"/>
                <w:rtl w:val="true"/>
              </w:rPr>
              <w:tab/>
            </w:r>
            <w:r>
              <w:rPr>
                <w:rStyle w:val="IndexLink"/>
              </w:rPr>
              <w:t>73</w:t>
            </w:r>
          </w:hyperlink>
        </w:p>
        <w:p>
          <w:pPr>
            <w:pStyle w:val="Contents5"/>
            <w:tabs>
              <w:tab w:val="clear" w:pos="7892"/>
              <w:tab w:val="right" w:pos="9026" w:leader="dot"/>
            </w:tabs>
            <w:rPr/>
          </w:pPr>
          <w:hyperlink w:anchor="__RefHeading___Toc3242229_287045965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242231_2870459653">
            <w:r>
              <w:rPr>
                <w:webHidden/>
                <w:rStyle w:val="IndexLink"/>
                <w:rtl w:val="true"/>
              </w:rPr>
              <w:t>النّظر الأوّل</w:t>
            </w:r>
            <w:r>
              <w:rPr>
                <w:rStyle w:val="IndexLink"/>
                <w:rtl w:val="true"/>
              </w:rPr>
              <w:t xml:space="preserve">: </w:t>
            </w:r>
            <w:r>
              <w:rPr>
                <w:rStyle w:val="IndexLink"/>
                <w:rtl w:val="true"/>
              </w:rPr>
              <w:t>في المعنى المشترك بين الأربعة</w:t>
            </w:r>
            <w:r>
              <w:rPr>
                <w:rStyle w:val="IndexLink"/>
                <w:rtl w:val="true"/>
              </w:rPr>
              <w:tab/>
            </w:r>
            <w:r>
              <w:rPr>
                <w:rStyle w:val="IndexLink"/>
              </w:rPr>
              <w:t>73</w:t>
            </w:r>
          </w:hyperlink>
        </w:p>
        <w:p>
          <w:pPr>
            <w:pStyle w:val="Contents5"/>
            <w:tabs>
              <w:tab w:val="clear" w:pos="7892"/>
              <w:tab w:val="right" w:pos="9026" w:leader="dot"/>
            </w:tabs>
            <w:rPr/>
          </w:pPr>
          <w:hyperlink w:anchor="__RefHeading___Toc3242233_2870459653">
            <w:r>
              <w:rPr>
                <w:webHidden/>
                <w:rStyle w:val="IndexLink"/>
                <w:rtl w:val="true"/>
              </w:rPr>
              <w:t>النّظر الثّاني</w:t>
            </w:r>
            <w:r>
              <w:rPr>
                <w:rStyle w:val="IndexLink"/>
                <w:rtl w:val="true"/>
              </w:rPr>
              <w:t xml:space="preserve">: </w:t>
            </w:r>
            <w:r>
              <w:rPr>
                <w:rStyle w:val="IndexLink"/>
                <w:rtl w:val="true"/>
              </w:rPr>
              <w:t>في التّفريع على قول البهشميّة</w:t>
            </w:r>
            <w:r>
              <w:rPr>
                <w:rStyle w:val="IndexLink"/>
                <w:rtl w:val="true"/>
              </w:rPr>
              <w:tab/>
            </w:r>
            <w:r>
              <w:rPr>
                <w:rStyle w:val="IndexLink"/>
              </w:rPr>
              <w:t>75</w:t>
            </w:r>
          </w:hyperlink>
        </w:p>
        <w:p>
          <w:pPr>
            <w:pStyle w:val="Contents5"/>
            <w:tabs>
              <w:tab w:val="clear" w:pos="7892"/>
              <w:tab w:val="right" w:pos="9026" w:leader="dot"/>
            </w:tabs>
            <w:rPr/>
          </w:pPr>
          <w:hyperlink w:anchor="__RefHeading___Toc3242235_2870459653">
            <w:r>
              <w:rPr>
                <w:webHidden/>
                <w:rStyle w:val="IndexLink"/>
                <w:rtl w:val="true"/>
              </w:rPr>
              <w:t>النّظر الثّالث</w:t>
            </w:r>
            <w:r>
              <w:rPr>
                <w:rStyle w:val="IndexLink"/>
                <w:rtl w:val="true"/>
              </w:rPr>
              <w:t xml:space="preserve">: </w:t>
            </w:r>
            <w:r>
              <w:rPr>
                <w:rStyle w:val="IndexLink"/>
                <w:rtl w:val="true"/>
              </w:rPr>
              <w:t>في الحركة</w:t>
            </w:r>
            <w:r>
              <w:rPr>
                <w:rStyle w:val="IndexLink"/>
                <w:rtl w:val="true"/>
              </w:rPr>
              <w:tab/>
            </w:r>
            <w:r>
              <w:rPr>
                <w:rStyle w:val="IndexLink"/>
              </w:rPr>
              <w:t>75</w:t>
            </w:r>
          </w:hyperlink>
        </w:p>
        <w:p>
          <w:pPr>
            <w:pStyle w:val="Contents5"/>
            <w:tabs>
              <w:tab w:val="clear" w:pos="7892"/>
              <w:tab w:val="right" w:pos="9026" w:leader="dot"/>
            </w:tabs>
            <w:rPr/>
          </w:pPr>
          <w:hyperlink w:anchor="__RefHeading___Toc3242237_2870459653">
            <w:r>
              <w:rPr>
                <w:webHidden/>
                <w:rStyle w:val="IndexLink"/>
                <w:rtl w:val="true"/>
              </w:rPr>
              <w:t>النّظر الرّابع</w:t>
            </w:r>
            <w:r>
              <w:rPr>
                <w:rStyle w:val="IndexLink"/>
                <w:rtl w:val="true"/>
              </w:rPr>
              <w:t xml:space="preserve">: </w:t>
            </w:r>
            <w:r>
              <w:rPr>
                <w:rStyle w:val="IndexLink"/>
                <w:rtl w:val="true"/>
              </w:rPr>
              <w:t>في باقي الأكوان</w:t>
            </w:r>
            <w:r>
              <w:rPr>
                <w:rStyle w:val="IndexLink"/>
                <w:rtl w:val="true"/>
              </w:rPr>
              <w:tab/>
            </w:r>
            <w:r>
              <w:rPr>
                <w:rStyle w:val="IndexLink"/>
              </w:rPr>
              <w:t>79</w:t>
            </w:r>
          </w:hyperlink>
        </w:p>
        <w:p>
          <w:pPr>
            <w:pStyle w:val="Contents4"/>
            <w:tabs>
              <w:tab w:val="clear" w:pos="8176"/>
              <w:tab w:val="right" w:pos="9026" w:leader="dot"/>
            </w:tabs>
            <w:rPr/>
          </w:pPr>
          <w:hyperlink w:anchor="__RefHeading___Toc3242239_2870459653">
            <w:r>
              <w:rPr>
                <w:webHidden/>
                <w:rStyle w:val="IndexLink"/>
                <w:rtl w:val="true"/>
              </w:rPr>
              <w:t>المطلب الثّامن</w:t>
            </w:r>
            <w:r>
              <w:rPr>
                <w:rStyle w:val="IndexLink"/>
                <w:rtl w:val="true"/>
              </w:rPr>
              <w:t xml:space="preserve">: </w:t>
            </w:r>
            <w:r>
              <w:rPr>
                <w:rStyle w:val="IndexLink"/>
                <w:rtl w:val="true"/>
              </w:rPr>
              <w:t>في الحياة</w:t>
            </w:r>
            <w:r>
              <w:rPr>
                <w:rStyle w:val="IndexLink"/>
                <w:rtl w:val="true"/>
              </w:rPr>
              <w:tab/>
            </w:r>
            <w:r>
              <w:rPr>
                <w:rStyle w:val="IndexLink"/>
              </w:rPr>
              <w:t>80</w:t>
            </w:r>
          </w:hyperlink>
        </w:p>
        <w:p>
          <w:pPr>
            <w:pStyle w:val="Contents4"/>
            <w:tabs>
              <w:tab w:val="clear" w:pos="8176"/>
              <w:tab w:val="right" w:pos="9026" w:leader="dot"/>
            </w:tabs>
            <w:rPr/>
          </w:pPr>
          <w:hyperlink w:anchor="__RefHeading___Toc3242241_2870459653">
            <w:r>
              <w:rPr>
                <w:webHidden/>
                <w:rStyle w:val="IndexLink"/>
                <w:rtl w:val="true"/>
              </w:rPr>
              <w:t>المطلب التّاسع</w:t>
            </w:r>
            <w:r>
              <w:rPr>
                <w:rStyle w:val="IndexLink"/>
                <w:rtl w:val="true"/>
              </w:rPr>
              <w:t xml:space="preserve">: </w:t>
            </w:r>
            <w:r>
              <w:rPr>
                <w:rStyle w:val="IndexLink"/>
                <w:rtl w:val="true"/>
              </w:rPr>
              <w:t>في القدرة</w:t>
            </w:r>
            <w:r>
              <w:rPr>
                <w:rStyle w:val="IndexLink"/>
                <w:rtl w:val="true"/>
              </w:rPr>
              <w:tab/>
            </w:r>
            <w:r>
              <w:rPr>
                <w:rStyle w:val="IndexLink"/>
              </w:rPr>
              <w:t>81</w:t>
            </w:r>
          </w:hyperlink>
        </w:p>
        <w:p>
          <w:pPr>
            <w:pStyle w:val="Contents4"/>
            <w:tabs>
              <w:tab w:val="clear" w:pos="8176"/>
              <w:tab w:val="right" w:pos="9026" w:leader="dot"/>
            </w:tabs>
            <w:rPr/>
          </w:pPr>
          <w:hyperlink w:anchor="__RefHeading___Toc3242243_2870459653">
            <w:r>
              <w:rPr>
                <w:webHidden/>
                <w:rStyle w:val="IndexLink"/>
                <w:rtl w:val="true"/>
              </w:rPr>
              <w:t>المطلب العاشر</w:t>
            </w:r>
            <w:r>
              <w:rPr>
                <w:rStyle w:val="IndexLink"/>
                <w:rtl w:val="true"/>
              </w:rPr>
              <w:t xml:space="preserve">: </w:t>
            </w:r>
            <w:r>
              <w:rPr>
                <w:rStyle w:val="IndexLink"/>
                <w:rtl w:val="true"/>
              </w:rPr>
              <w:t>في الاعتقاد</w:t>
            </w:r>
            <w:r>
              <w:rPr>
                <w:rStyle w:val="IndexLink"/>
                <w:rtl w:val="true"/>
              </w:rPr>
              <w:tab/>
            </w:r>
            <w:r>
              <w:rPr>
                <w:rStyle w:val="IndexLink"/>
              </w:rPr>
              <w:t>84</w:t>
            </w:r>
          </w:hyperlink>
        </w:p>
        <w:p>
          <w:pPr>
            <w:pStyle w:val="Contents4"/>
            <w:tabs>
              <w:tab w:val="clear" w:pos="8176"/>
              <w:tab w:val="right" w:pos="9026" w:leader="dot"/>
            </w:tabs>
            <w:rPr/>
          </w:pPr>
          <w:hyperlink w:anchor="__RefHeading___Toc3242245_2870459653">
            <w:r>
              <w:rPr>
                <w:webHidden/>
                <w:rStyle w:val="IndexLink"/>
                <w:rtl w:val="true"/>
              </w:rPr>
              <w:t>المطلب الحادي عشر</w:t>
            </w:r>
            <w:r>
              <w:rPr>
                <w:rStyle w:val="IndexLink"/>
                <w:rtl w:val="true"/>
              </w:rPr>
              <w:t xml:space="preserve">: </w:t>
            </w:r>
            <w:r>
              <w:rPr>
                <w:rStyle w:val="IndexLink"/>
                <w:rtl w:val="true"/>
              </w:rPr>
              <w:t>في الظنّ‌</w:t>
            </w:r>
            <w:r>
              <w:rPr>
                <w:rStyle w:val="IndexLink"/>
                <w:rtl w:val="true"/>
              </w:rPr>
              <w:tab/>
            </w:r>
            <w:r>
              <w:rPr>
                <w:rStyle w:val="IndexLink"/>
              </w:rPr>
              <w:t>88</w:t>
            </w:r>
          </w:hyperlink>
        </w:p>
        <w:p>
          <w:pPr>
            <w:pStyle w:val="Contents4"/>
            <w:tabs>
              <w:tab w:val="clear" w:pos="8176"/>
              <w:tab w:val="right" w:pos="9026" w:leader="dot"/>
            </w:tabs>
            <w:rPr/>
          </w:pPr>
          <w:hyperlink w:anchor="__RefHeading___Toc3242247_2870459653">
            <w:r>
              <w:rPr>
                <w:webHidden/>
                <w:rStyle w:val="IndexLink"/>
                <w:rtl w:val="true"/>
              </w:rPr>
              <w:t>المطلب الثّاني عشر</w:t>
            </w:r>
            <w:r>
              <w:rPr>
                <w:rStyle w:val="IndexLink"/>
                <w:rtl w:val="true"/>
              </w:rPr>
              <w:t xml:space="preserve">: </w:t>
            </w:r>
            <w:r>
              <w:rPr>
                <w:rStyle w:val="IndexLink"/>
                <w:rtl w:val="true"/>
              </w:rPr>
              <w:t>في النّظر</w:t>
            </w:r>
            <w:r>
              <w:rPr>
                <w:rStyle w:val="IndexLink"/>
                <w:rtl w:val="true"/>
              </w:rPr>
              <w:tab/>
            </w:r>
            <w:r>
              <w:rPr>
                <w:rStyle w:val="IndexLink"/>
              </w:rPr>
              <w:t>89</w:t>
            </w:r>
          </w:hyperlink>
        </w:p>
        <w:p>
          <w:pPr>
            <w:pStyle w:val="Contents4"/>
            <w:tabs>
              <w:tab w:val="clear" w:pos="8176"/>
              <w:tab w:val="right" w:pos="9026" w:leader="dot"/>
            </w:tabs>
            <w:rPr/>
          </w:pPr>
          <w:hyperlink w:anchor="__RefHeading___Toc3242249_2870459653">
            <w:r>
              <w:rPr>
                <w:webHidden/>
                <w:rStyle w:val="IndexLink"/>
                <w:rtl w:val="true"/>
              </w:rPr>
              <w:t>المطلب الثالث عشر</w:t>
            </w:r>
            <w:r>
              <w:rPr>
                <w:rStyle w:val="IndexLink"/>
                <w:rtl w:val="true"/>
              </w:rPr>
              <w:t xml:space="preserve">: </w:t>
            </w:r>
            <w:r>
              <w:rPr>
                <w:rStyle w:val="IndexLink"/>
                <w:rtl w:val="true"/>
              </w:rPr>
              <w:t>في الإرادة و الكراهة</w:t>
            </w:r>
            <w:r>
              <w:rPr>
                <w:rStyle w:val="IndexLink"/>
                <w:rtl w:val="true"/>
              </w:rPr>
              <w:tab/>
            </w:r>
            <w:r>
              <w:rPr>
                <w:rStyle w:val="IndexLink"/>
              </w:rPr>
              <w:t>94</w:t>
            </w:r>
          </w:hyperlink>
        </w:p>
        <w:p>
          <w:pPr>
            <w:pStyle w:val="Contents4"/>
            <w:tabs>
              <w:tab w:val="clear" w:pos="8176"/>
              <w:tab w:val="right" w:pos="9026" w:leader="dot"/>
            </w:tabs>
            <w:rPr/>
          </w:pPr>
          <w:hyperlink w:anchor="__RefHeading___Toc3242251_2870459653">
            <w:r>
              <w:rPr>
                <w:webHidden/>
                <w:rStyle w:val="IndexLink"/>
                <w:rtl w:val="true"/>
              </w:rPr>
              <w:t>المطلب الرّابع عشر</w:t>
            </w:r>
            <w:r>
              <w:rPr>
                <w:rStyle w:val="IndexLink"/>
                <w:rtl w:val="true"/>
              </w:rPr>
              <w:t xml:space="preserve">: </w:t>
            </w:r>
            <w:r>
              <w:rPr>
                <w:rStyle w:val="IndexLink"/>
                <w:rtl w:val="true"/>
              </w:rPr>
              <w:t>في الشّهوة و النّفار</w:t>
            </w:r>
            <w:r>
              <w:rPr>
                <w:rStyle w:val="IndexLink"/>
                <w:rtl w:val="true"/>
              </w:rPr>
              <w:tab/>
            </w:r>
            <w:r>
              <w:rPr>
                <w:rStyle w:val="IndexLink"/>
              </w:rPr>
              <w:t>97</w:t>
            </w:r>
          </w:hyperlink>
        </w:p>
        <w:p>
          <w:pPr>
            <w:pStyle w:val="Contents4"/>
            <w:tabs>
              <w:tab w:val="clear" w:pos="8176"/>
              <w:tab w:val="right" w:pos="9026" w:leader="dot"/>
            </w:tabs>
            <w:rPr/>
          </w:pPr>
          <w:hyperlink w:anchor="__RefHeading___Toc3242253_2870459653">
            <w:r>
              <w:rPr>
                <w:webHidden/>
                <w:rStyle w:val="IndexLink"/>
                <w:rtl w:val="true"/>
              </w:rPr>
              <w:t>المطلب الخامس عشر</w:t>
            </w:r>
            <w:r>
              <w:rPr>
                <w:rStyle w:val="IndexLink"/>
                <w:rtl w:val="true"/>
              </w:rPr>
              <w:t xml:space="preserve">: </w:t>
            </w:r>
            <w:r>
              <w:rPr>
                <w:rStyle w:val="IndexLink"/>
                <w:rtl w:val="true"/>
              </w:rPr>
              <w:t>في اللّذّة و الألم</w:t>
            </w:r>
            <w:r>
              <w:rPr>
                <w:rStyle w:val="IndexLink"/>
                <w:rtl w:val="true"/>
              </w:rPr>
              <w:tab/>
            </w:r>
            <w:r>
              <w:rPr>
                <w:rStyle w:val="IndexLink"/>
              </w:rPr>
              <w:t>99</w:t>
            </w:r>
          </w:hyperlink>
        </w:p>
        <w:p>
          <w:pPr>
            <w:pStyle w:val="Contents4"/>
            <w:tabs>
              <w:tab w:val="clear" w:pos="8176"/>
              <w:tab w:val="right" w:pos="9026" w:leader="dot"/>
            </w:tabs>
            <w:rPr/>
          </w:pPr>
          <w:hyperlink w:anchor="__RefHeading___Toc3242255_2870459653">
            <w:r>
              <w:rPr>
                <w:webHidden/>
                <w:rStyle w:val="IndexLink"/>
                <w:rtl w:val="true"/>
              </w:rPr>
              <w:t>المطلب السّادس عشر</w:t>
            </w:r>
            <w:r>
              <w:rPr>
                <w:rStyle w:val="IndexLink"/>
                <w:rtl w:val="true"/>
              </w:rPr>
              <w:t xml:space="preserve">: </w:t>
            </w:r>
            <w:r>
              <w:rPr>
                <w:rStyle w:val="IndexLink"/>
                <w:rtl w:val="true"/>
              </w:rPr>
              <w:t>في الإدراك</w:t>
            </w:r>
            <w:r>
              <w:rPr>
                <w:rStyle w:val="IndexLink"/>
                <w:rtl w:val="true"/>
              </w:rPr>
              <w:tab/>
            </w:r>
            <w:r>
              <w:rPr>
                <w:rStyle w:val="IndexLink"/>
              </w:rPr>
              <w:t>100</w:t>
            </w:r>
          </w:hyperlink>
        </w:p>
        <w:p>
          <w:pPr>
            <w:pStyle w:val="Contents4"/>
            <w:tabs>
              <w:tab w:val="clear" w:pos="8176"/>
              <w:tab w:val="right" w:pos="9026" w:leader="dot"/>
            </w:tabs>
            <w:rPr/>
          </w:pPr>
          <w:hyperlink w:anchor="__RefHeading___Toc3242257_2870459653">
            <w:r>
              <w:rPr>
                <w:webHidden/>
                <w:rStyle w:val="IndexLink"/>
                <w:rtl w:val="true"/>
              </w:rPr>
              <w:t>المطلب السّابع عشر</w:t>
            </w:r>
            <w:r>
              <w:rPr>
                <w:rStyle w:val="IndexLink"/>
                <w:rtl w:val="true"/>
              </w:rPr>
              <w:t xml:space="preserve">: </w:t>
            </w:r>
            <w:r>
              <w:rPr>
                <w:rStyle w:val="IndexLink"/>
                <w:rtl w:val="true"/>
              </w:rPr>
              <w:t>في بقيّة أعراض وقع فيها الخلاف بين المتكلّمين</w:t>
            </w:r>
            <w:r>
              <w:rPr>
                <w:rStyle w:val="IndexLink"/>
                <w:rtl w:val="true"/>
              </w:rPr>
              <w:tab/>
            </w:r>
            <w:r>
              <w:rPr>
                <w:rStyle w:val="IndexLink"/>
              </w:rPr>
              <w:t>105</w:t>
            </w:r>
          </w:hyperlink>
        </w:p>
        <w:p>
          <w:pPr>
            <w:pStyle w:val="Contents5"/>
            <w:tabs>
              <w:tab w:val="clear" w:pos="7892"/>
              <w:tab w:val="right" w:pos="9026" w:leader="dot"/>
            </w:tabs>
            <w:rPr/>
          </w:pPr>
          <w:hyperlink w:anchor="__RefHeading___Toc3242259_2870459653">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242261_2870459653">
            <w:r>
              <w:rPr>
                <w:webHidden/>
                <w:rStyle w:val="IndexLink"/>
                <w:rtl w:val="true"/>
              </w:rPr>
              <w:t>الأوّل</w:t>
            </w:r>
            <w:r>
              <w:rPr>
                <w:rStyle w:val="IndexLink"/>
                <w:rtl w:val="true"/>
              </w:rPr>
              <w:t xml:space="preserve">: </w:t>
            </w:r>
            <w:r>
              <w:rPr>
                <w:rStyle w:val="IndexLink"/>
                <w:rtl w:val="true"/>
              </w:rPr>
              <w:t>البقاء،</w:t>
            </w:r>
            <w:r>
              <w:rPr>
                <w:rStyle w:val="IndexLink"/>
                <w:rtl w:val="true"/>
              </w:rPr>
              <w:tab/>
            </w:r>
            <w:r>
              <w:rPr>
                <w:rStyle w:val="IndexLink"/>
              </w:rPr>
              <w:t>105</w:t>
            </w:r>
          </w:hyperlink>
        </w:p>
        <w:p>
          <w:pPr>
            <w:pStyle w:val="Contents5"/>
            <w:tabs>
              <w:tab w:val="clear" w:pos="7892"/>
              <w:tab w:val="right" w:pos="9026" w:leader="dot"/>
            </w:tabs>
            <w:rPr/>
          </w:pPr>
          <w:hyperlink w:anchor="__RefHeading___Toc3242263_2870459653">
            <w:r>
              <w:rPr>
                <w:webHidden/>
                <w:rStyle w:val="IndexLink"/>
                <w:rtl w:val="true"/>
              </w:rPr>
              <w:t>الثّاني</w:t>
            </w:r>
            <w:r>
              <w:rPr>
                <w:rStyle w:val="IndexLink"/>
                <w:rtl w:val="true"/>
              </w:rPr>
              <w:t xml:space="preserve">: </w:t>
            </w:r>
            <w:r>
              <w:rPr>
                <w:rStyle w:val="IndexLink"/>
                <w:rtl w:val="true"/>
              </w:rPr>
              <w:t>الفناء،</w:t>
            </w:r>
            <w:r>
              <w:rPr>
                <w:rStyle w:val="IndexLink"/>
                <w:rtl w:val="true"/>
              </w:rPr>
              <w:tab/>
            </w:r>
            <w:r>
              <w:rPr>
                <w:rStyle w:val="IndexLink"/>
              </w:rPr>
              <w:t>105</w:t>
            </w:r>
          </w:hyperlink>
        </w:p>
        <w:p>
          <w:pPr>
            <w:pStyle w:val="Contents5"/>
            <w:tabs>
              <w:tab w:val="clear" w:pos="7892"/>
              <w:tab w:val="right" w:pos="9026" w:leader="dot"/>
            </w:tabs>
            <w:rPr/>
          </w:pPr>
          <w:hyperlink w:anchor="__RefHeading___Toc3242265_2870459653">
            <w:r>
              <w:rPr>
                <w:webHidden/>
                <w:rStyle w:val="IndexLink"/>
                <w:rtl w:val="true"/>
              </w:rPr>
              <w:t>الثالث</w:t>
            </w:r>
            <w:r>
              <w:rPr>
                <w:rStyle w:val="IndexLink"/>
                <w:rtl w:val="true"/>
              </w:rPr>
              <w:t xml:space="preserve">: </w:t>
            </w:r>
            <w:r>
              <w:rPr>
                <w:rStyle w:val="IndexLink"/>
                <w:rtl w:val="true"/>
              </w:rPr>
              <w:t>التأليف،</w:t>
            </w:r>
            <w:r>
              <w:rPr>
                <w:rStyle w:val="IndexLink"/>
                <w:rtl w:val="true"/>
              </w:rPr>
              <w:tab/>
            </w:r>
            <w:r>
              <w:rPr>
                <w:rStyle w:val="IndexLink"/>
              </w:rPr>
              <w:t>106</w:t>
            </w:r>
          </w:hyperlink>
        </w:p>
        <w:p>
          <w:pPr>
            <w:pStyle w:val="Contents2"/>
            <w:tabs>
              <w:tab w:val="clear" w:pos="8743"/>
              <w:tab w:val="right" w:pos="9026" w:leader="dot"/>
            </w:tabs>
            <w:rPr/>
          </w:pPr>
          <w:hyperlink w:anchor="__RefHeading___Toc3242267_2870459653">
            <w:r>
              <w:rPr>
                <w:webHidden/>
                <w:rStyle w:val="IndexLink"/>
                <w:rtl w:val="true"/>
              </w:rPr>
              <w:t>المرصد الرّابع في أحكام الموجودات و فيه مقصدان</w:t>
            </w:r>
            <w:r>
              <w:rPr>
                <w:rStyle w:val="IndexLink"/>
                <w:rtl w:val="true"/>
              </w:rPr>
              <w:tab/>
            </w:r>
            <w:r>
              <w:rPr>
                <w:rStyle w:val="IndexLink"/>
              </w:rPr>
              <w:t>110</w:t>
            </w:r>
          </w:hyperlink>
        </w:p>
        <w:p>
          <w:pPr>
            <w:pStyle w:val="Contents3"/>
            <w:tabs>
              <w:tab w:val="clear" w:pos="8459"/>
              <w:tab w:val="right" w:pos="9026" w:leader="dot"/>
            </w:tabs>
            <w:rPr/>
          </w:pPr>
          <w:hyperlink w:anchor="__RefHeading___Toc3242269_2870459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3242271_2870459653">
            <w:r>
              <w:rPr>
                <w:webHidden/>
                <w:rStyle w:val="IndexLink"/>
                <w:rtl w:val="true"/>
              </w:rPr>
              <w:t>المقصد الأوّل في الأحكام العامّة</w:t>
            </w:r>
            <w:r>
              <w:rPr>
                <w:rStyle w:val="IndexLink"/>
                <w:rtl w:val="true"/>
              </w:rPr>
              <w:tab/>
            </w:r>
            <w:r>
              <w:rPr>
                <w:rStyle w:val="IndexLink"/>
              </w:rPr>
              <w:t>112</w:t>
            </w:r>
          </w:hyperlink>
        </w:p>
        <w:p>
          <w:pPr>
            <w:pStyle w:val="Contents4"/>
            <w:tabs>
              <w:tab w:val="clear" w:pos="8176"/>
              <w:tab w:val="right" w:pos="9026" w:leader="dot"/>
            </w:tabs>
            <w:rPr/>
          </w:pPr>
          <w:hyperlink w:anchor="__RefHeading___Toc3242273_2870459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242275_2870459653">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الواحد و مقابله</w:t>
            </w:r>
            <w:r>
              <w:rPr>
                <w:rStyle w:val="IndexLink"/>
                <w:rtl w:val="true"/>
              </w:rPr>
              <w:tab/>
            </w:r>
            <w:r>
              <w:rPr>
                <w:rStyle w:val="IndexLink"/>
              </w:rPr>
              <w:t>112</w:t>
            </w:r>
          </w:hyperlink>
        </w:p>
        <w:p>
          <w:pPr>
            <w:pStyle w:val="Contents4"/>
            <w:tabs>
              <w:tab w:val="clear" w:pos="8176"/>
              <w:tab w:val="right" w:pos="9026" w:leader="dot"/>
            </w:tabs>
            <w:rPr/>
          </w:pPr>
          <w:hyperlink w:anchor="__RefHeading___Toc3242277_2870459653">
            <w:r>
              <w:rPr>
                <w:webHidden/>
                <w:rStyle w:val="IndexLink"/>
                <w:rtl w:val="true"/>
              </w:rPr>
              <w:t>المطلب الثّاني</w:t>
            </w:r>
            <w:r>
              <w:rPr>
                <w:rStyle w:val="IndexLink"/>
                <w:rtl w:val="true"/>
              </w:rPr>
              <w:t xml:space="preserve">: </w:t>
            </w:r>
            <w:r>
              <w:rPr>
                <w:rStyle w:val="IndexLink"/>
                <w:rtl w:val="true"/>
              </w:rPr>
              <w:t>في التّماثل و مقابله</w:t>
            </w:r>
            <w:r>
              <w:rPr>
                <w:rStyle w:val="IndexLink"/>
                <w:rtl w:val="true"/>
              </w:rPr>
              <w:tab/>
            </w:r>
            <w:r>
              <w:rPr>
                <w:rStyle w:val="IndexLink"/>
              </w:rPr>
              <w:t>114</w:t>
            </w:r>
          </w:hyperlink>
        </w:p>
        <w:p>
          <w:pPr>
            <w:pStyle w:val="Contents4"/>
            <w:tabs>
              <w:tab w:val="clear" w:pos="8176"/>
              <w:tab w:val="right" w:pos="9026" w:leader="dot"/>
            </w:tabs>
            <w:rPr/>
          </w:pPr>
          <w:hyperlink w:anchor="__RefHeading___Toc3242279_2870459653">
            <w:r>
              <w:rPr>
                <w:webHidden/>
                <w:rStyle w:val="IndexLink"/>
                <w:rtl w:val="true"/>
              </w:rPr>
              <w:t>المطلب الثّالث</w:t>
            </w:r>
            <w:r>
              <w:rPr>
                <w:rStyle w:val="IndexLink"/>
                <w:rtl w:val="true"/>
              </w:rPr>
              <w:t xml:space="preserve">: </w:t>
            </w:r>
            <w:r>
              <w:rPr>
                <w:rStyle w:val="IndexLink"/>
                <w:rtl w:val="true"/>
              </w:rPr>
              <w:t>في العلّة و المعلول</w:t>
            </w:r>
            <w:r>
              <w:rPr>
                <w:rStyle w:val="IndexLink"/>
                <w:rtl w:val="true"/>
              </w:rPr>
              <w:tab/>
            </w:r>
            <w:r>
              <w:rPr>
                <w:rStyle w:val="IndexLink"/>
              </w:rPr>
              <w:t>115</w:t>
            </w:r>
          </w:hyperlink>
        </w:p>
        <w:p>
          <w:pPr>
            <w:pStyle w:val="Contents3"/>
            <w:tabs>
              <w:tab w:val="clear" w:pos="8459"/>
              <w:tab w:val="right" w:pos="9026" w:leader="dot"/>
            </w:tabs>
            <w:rPr/>
          </w:pPr>
          <w:hyperlink w:anchor="__RefHeading___Toc3242281_2870459653">
            <w:r>
              <w:rPr>
                <w:webHidden/>
                <w:rStyle w:val="IndexLink"/>
                <w:rtl w:val="true"/>
              </w:rPr>
              <w:t>المقصد الثّاني في الأحكام الخاصّة</w:t>
            </w:r>
            <w:r>
              <w:rPr>
                <w:rStyle w:val="IndexLink"/>
                <w:rtl w:val="true"/>
              </w:rPr>
              <w:tab/>
            </w:r>
            <w:r>
              <w:rPr>
                <w:rStyle w:val="IndexLink"/>
              </w:rPr>
              <w:t>118</w:t>
            </w:r>
          </w:hyperlink>
        </w:p>
        <w:p>
          <w:pPr>
            <w:pStyle w:val="Contents4"/>
            <w:tabs>
              <w:tab w:val="clear" w:pos="8176"/>
              <w:tab w:val="right" w:pos="9026" w:leader="dot"/>
            </w:tabs>
            <w:rPr/>
          </w:pPr>
          <w:hyperlink w:anchor="__RefHeading___Toc3242283_2870459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242285_2870459653">
            <w:r>
              <w:rPr>
                <w:webHidden/>
                <w:rStyle w:val="IndexLink"/>
                <w:rtl w:val="true"/>
              </w:rPr>
              <w:t>[</w:t>
            </w:r>
            <w:r>
              <w:rPr>
                <w:rStyle w:val="IndexLink"/>
                <w:rtl w:val="true"/>
              </w:rPr>
              <w:t>الفصل</w:t>
            </w:r>
            <w:r>
              <w:rPr>
                <w:rStyle w:val="IndexLink"/>
                <w:rtl w:val="true"/>
              </w:rPr>
              <w:t xml:space="preserve">] </w:t>
            </w:r>
            <w:r>
              <w:rPr>
                <w:rStyle w:val="IndexLink"/>
                <w:rtl w:val="true"/>
              </w:rPr>
              <w:t>الأوّل في أحكام الجواهر</w:t>
            </w:r>
            <w:r>
              <w:rPr>
                <w:rStyle w:val="IndexLink"/>
                <w:rtl w:val="true"/>
              </w:rPr>
              <w:tab/>
            </w:r>
            <w:r>
              <w:rPr>
                <w:rStyle w:val="IndexLink"/>
              </w:rPr>
              <w:t>118</w:t>
            </w:r>
          </w:hyperlink>
        </w:p>
        <w:p>
          <w:pPr>
            <w:pStyle w:val="Contents4"/>
            <w:tabs>
              <w:tab w:val="clear" w:pos="8176"/>
              <w:tab w:val="right" w:pos="9026" w:leader="dot"/>
            </w:tabs>
            <w:rPr/>
          </w:pPr>
          <w:hyperlink w:anchor="__RefHeading___Toc3242287_2870459653">
            <w:r>
              <w:rPr>
                <w:webHidden/>
                <w:rStyle w:val="IndexLink"/>
                <w:rtl w:val="true"/>
              </w:rPr>
              <w:t>الفصل الثّاني في أحكام الأجسام</w:t>
            </w:r>
            <w:r>
              <w:rPr>
                <w:rStyle w:val="IndexLink"/>
                <w:rtl w:val="true"/>
              </w:rPr>
              <w:tab/>
            </w:r>
            <w:r>
              <w:rPr>
                <w:rStyle w:val="IndexLink"/>
              </w:rPr>
              <w:t>125</w:t>
            </w:r>
          </w:hyperlink>
        </w:p>
        <w:p>
          <w:pPr>
            <w:pStyle w:val="Contents4"/>
            <w:tabs>
              <w:tab w:val="clear" w:pos="8176"/>
              <w:tab w:val="right" w:pos="9026" w:leader="dot"/>
            </w:tabs>
            <w:rPr/>
          </w:pPr>
          <w:hyperlink w:anchor="__RefHeading___Toc3242289_2870459653">
            <w:r>
              <w:rPr>
                <w:webHidden/>
                <w:rStyle w:val="IndexLink"/>
                <w:rtl w:val="true"/>
              </w:rPr>
              <w:t>الفصل الثالث في أحكام الجواهر المجرّدة</w:t>
            </w:r>
            <w:r>
              <w:rPr>
                <w:rStyle w:val="IndexLink"/>
                <w:rtl w:val="true"/>
              </w:rPr>
              <w:tab/>
            </w:r>
            <w:r>
              <w:rPr>
                <w:rStyle w:val="IndexLink"/>
              </w:rPr>
              <w:t>130</w:t>
            </w:r>
          </w:hyperlink>
        </w:p>
        <w:p>
          <w:pPr>
            <w:pStyle w:val="Contents4"/>
            <w:tabs>
              <w:tab w:val="clear" w:pos="8176"/>
              <w:tab w:val="right" w:pos="9026" w:leader="dot"/>
            </w:tabs>
            <w:rPr/>
          </w:pPr>
          <w:hyperlink w:anchor="__RefHeading___Toc3242291_2870459653">
            <w:r>
              <w:rPr>
                <w:webHidden/>
                <w:rStyle w:val="IndexLink"/>
                <w:rtl w:val="true"/>
              </w:rPr>
              <w:t>الفصل الرّابع في أحكام الأعراض</w:t>
            </w:r>
            <w:r>
              <w:rPr>
                <w:rStyle w:val="IndexLink"/>
                <w:rtl w:val="true"/>
              </w:rPr>
              <w:tab/>
            </w:r>
            <w:r>
              <w:rPr>
                <w:rStyle w:val="IndexLink"/>
              </w:rPr>
              <w:t>136</w:t>
            </w:r>
          </w:hyperlink>
        </w:p>
        <w:p>
          <w:pPr>
            <w:pStyle w:val="Contents2"/>
            <w:tabs>
              <w:tab w:val="clear" w:pos="8743"/>
              <w:tab w:val="right" w:pos="9026" w:leader="dot"/>
            </w:tabs>
            <w:rPr/>
          </w:pPr>
          <w:hyperlink w:anchor="__RefHeading___Toc3242293_2870459653">
            <w:r>
              <w:rPr>
                <w:webHidden/>
                <w:rStyle w:val="IndexLink"/>
                <w:rtl w:val="true"/>
              </w:rPr>
              <w:t>المرصد الخامس في إثبات واجب الوجود تعالى و صفاته و فيه مقاصد</w:t>
            </w:r>
            <w:r>
              <w:rPr>
                <w:rStyle w:val="IndexLink"/>
                <w:rtl w:val="true"/>
              </w:rPr>
              <w:tab/>
            </w:r>
            <w:r>
              <w:rPr>
                <w:rStyle w:val="IndexLink"/>
              </w:rPr>
              <w:t>140</w:t>
            </w:r>
          </w:hyperlink>
        </w:p>
        <w:p>
          <w:pPr>
            <w:pStyle w:val="Contents3"/>
            <w:tabs>
              <w:tab w:val="clear" w:pos="8459"/>
              <w:tab w:val="right" w:pos="9026" w:leader="dot"/>
            </w:tabs>
            <w:rPr/>
          </w:pPr>
          <w:hyperlink w:anchor="__RefHeading___Toc3242295_2870459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3242297_2870459653">
            <w:r>
              <w:rPr>
                <w:webHidden/>
                <w:rStyle w:val="IndexLink"/>
                <w:rtl w:val="true"/>
              </w:rPr>
              <w:t>[</w:t>
            </w:r>
            <w:r>
              <w:rPr>
                <w:rStyle w:val="IndexLink"/>
                <w:rtl w:val="true"/>
              </w:rPr>
              <w:t>المقصد</w:t>
            </w:r>
            <w:r>
              <w:rPr>
                <w:rStyle w:val="IndexLink"/>
                <w:rtl w:val="true"/>
              </w:rPr>
              <w:t xml:space="preserve">] </w:t>
            </w:r>
            <w:r>
              <w:rPr>
                <w:rStyle w:val="IndexLink"/>
                <w:rtl w:val="true"/>
              </w:rPr>
              <w:t>الأوّل في اثبات واجب الوجود تعالى</w:t>
            </w:r>
            <w:r>
              <w:rPr>
                <w:rStyle w:val="IndexLink"/>
                <w:rtl w:val="true"/>
              </w:rPr>
              <w:tab/>
            </w:r>
            <w:r>
              <w:rPr>
                <w:rStyle w:val="IndexLink"/>
              </w:rPr>
              <w:t>142</w:t>
            </w:r>
          </w:hyperlink>
        </w:p>
        <w:p>
          <w:pPr>
            <w:pStyle w:val="Contents3"/>
            <w:tabs>
              <w:tab w:val="clear" w:pos="8459"/>
              <w:tab w:val="right" w:pos="9026" w:leader="dot"/>
            </w:tabs>
            <w:rPr/>
          </w:pPr>
          <w:hyperlink w:anchor="__RefHeading___Toc3242299_2870459653">
            <w:r>
              <w:rPr>
                <w:webHidden/>
                <w:rStyle w:val="IndexLink"/>
                <w:rtl w:val="true"/>
              </w:rPr>
              <w:t>المقصد الثّاني في صفاته تعالى</w:t>
            </w:r>
            <w:r>
              <w:rPr>
                <w:rStyle w:val="IndexLink"/>
                <w:rtl w:val="true"/>
              </w:rPr>
              <w:tab/>
            </w:r>
            <w:r>
              <w:rPr>
                <w:rStyle w:val="IndexLink"/>
              </w:rPr>
              <w:t>144</w:t>
            </w:r>
          </w:hyperlink>
        </w:p>
        <w:p>
          <w:pPr>
            <w:pStyle w:val="Contents4"/>
            <w:tabs>
              <w:tab w:val="clear" w:pos="8176"/>
              <w:tab w:val="right" w:pos="9026" w:leader="dot"/>
            </w:tabs>
            <w:rPr/>
          </w:pPr>
          <w:hyperlink w:anchor="__RefHeading___Toc3242301_287045965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3242303_2870459653">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الصّفات الثّبوتيّة</w:t>
            </w:r>
            <w:r>
              <w:rPr>
                <w:rStyle w:val="IndexLink"/>
                <w:rtl w:val="true"/>
              </w:rPr>
              <w:tab/>
            </w:r>
            <w:r>
              <w:rPr>
                <w:rStyle w:val="IndexLink"/>
              </w:rPr>
              <w:t>144</w:t>
            </w:r>
          </w:hyperlink>
        </w:p>
        <w:p>
          <w:pPr>
            <w:pStyle w:val="Contents5"/>
            <w:tabs>
              <w:tab w:val="clear" w:pos="7892"/>
              <w:tab w:val="right" w:pos="9026" w:leader="dot"/>
            </w:tabs>
            <w:rPr/>
          </w:pPr>
          <w:hyperlink w:anchor="__RefHeading___Toc3242305_2870459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242307_2870459653">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موجود</w:t>
            </w:r>
            <w:r>
              <w:rPr>
                <w:rStyle w:val="IndexLink"/>
                <w:rtl w:val="true"/>
              </w:rPr>
              <w:tab/>
            </w:r>
            <w:r>
              <w:rPr>
                <w:rStyle w:val="IndexLink"/>
              </w:rPr>
              <w:t>144</w:t>
            </w:r>
          </w:hyperlink>
        </w:p>
        <w:p>
          <w:pPr>
            <w:pStyle w:val="Contents5"/>
            <w:tabs>
              <w:tab w:val="clear" w:pos="7892"/>
              <w:tab w:val="right" w:pos="9026" w:leader="dot"/>
            </w:tabs>
            <w:rPr/>
          </w:pPr>
          <w:hyperlink w:anchor="__RefHeading___Toc3242309_2870459653">
            <w:r>
              <w:rPr>
                <w:webHidden/>
                <w:rStyle w:val="IndexLink"/>
                <w:rtl w:val="true"/>
              </w:rPr>
              <w:t>المطلب الثاني</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قادر</w:t>
            </w:r>
            <w:r>
              <w:rPr>
                <w:rStyle w:val="IndexLink"/>
                <w:rtl w:val="true"/>
              </w:rPr>
              <w:tab/>
            </w:r>
            <w:r>
              <w:rPr>
                <w:rStyle w:val="IndexLink"/>
              </w:rPr>
              <w:t>145</w:t>
            </w:r>
          </w:hyperlink>
        </w:p>
        <w:p>
          <w:pPr>
            <w:pStyle w:val="Contents5"/>
            <w:tabs>
              <w:tab w:val="clear" w:pos="7892"/>
              <w:tab w:val="right" w:pos="9026" w:leader="dot"/>
            </w:tabs>
            <w:rPr/>
          </w:pPr>
          <w:hyperlink w:anchor="__RefHeading___Toc3242311_2870459653">
            <w:r>
              <w:rPr>
                <w:webHidden/>
                <w:rStyle w:val="IndexLink"/>
                <w:rtl w:val="true"/>
              </w:rPr>
              <w:t>المطلب الثالث</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عالم</w:t>
            </w:r>
            <w:r>
              <w:rPr>
                <w:rStyle w:val="IndexLink"/>
                <w:rtl w:val="true"/>
              </w:rPr>
              <w:tab/>
            </w:r>
            <w:r>
              <w:rPr>
                <w:rStyle w:val="IndexLink"/>
              </w:rPr>
              <w:t>146</w:t>
            </w:r>
          </w:hyperlink>
        </w:p>
        <w:p>
          <w:pPr>
            <w:pStyle w:val="Contents5"/>
            <w:tabs>
              <w:tab w:val="clear" w:pos="7892"/>
              <w:tab w:val="right" w:pos="9026" w:leader="dot"/>
            </w:tabs>
            <w:rPr/>
          </w:pPr>
          <w:hyperlink w:anchor="__RefHeading___Toc3242313_2870459653">
            <w:r>
              <w:rPr>
                <w:webHidden/>
                <w:rStyle w:val="IndexLink"/>
                <w:rtl w:val="true"/>
              </w:rPr>
              <w:t>المطلب الرابع</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حيّ‌</w:t>
            </w:r>
            <w:r>
              <w:rPr>
                <w:rStyle w:val="IndexLink"/>
                <w:rtl w:val="true"/>
              </w:rPr>
              <w:tab/>
            </w:r>
            <w:r>
              <w:rPr>
                <w:rStyle w:val="IndexLink"/>
              </w:rPr>
              <w:t>147</w:t>
            </w:r>
          </w:hyperlink>
        </w:p>
        <w:p>
          <w:pPr>
            <w:pStyle w:val="Contents5"/>
            <w:tabs>
              <w:tab w:val="clear" w:pos="7892"/>
              <w:tab w:val="right" w:pos="9026" w:leader="dot"/>
            </w:tabs>
            <w:rPr/>
          </w:pPr>
          <w:hyperlink w:anchor="__RefHeading___Toc3242315_2870459653">
            <w:r>
              <w:rPr>
                <w:webHidden/>
                <w:rStyle w:val="IndexLink"/>
                <w:rtl w:val="true"/>
              </w:rPr>
              <w:t>المطلب الخامس</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مريد</w:t>
            </w:r>
            <w:r>
              <w:rPr>
                <w:rStyle w:val="IndexLink"/>
                <w:rtl w:val="true"/>
              </w:rPr>
              <w:tab/>
            </w:r>
            <w:r>
              <w:rPr>
                <w:rStyle w:val="IndexLink"/>
              </w:rPr>
              <w:t>147</w:t>
            </w:r>
          </w:hyperlink>
        </w:p>
        <w:p>
          <w:pPr>
            <w:pStyle w:val="Contents5"/>
            <w:tabs>
              <w:tab w:val="clear" w:pos="7892"/>
              <w:tab w:val="right" w:pos="9026" w:leader="dot"/>
            </w:tabs>
            <w:rPr/>
          </w:pPr>
          <w:hyperlink w:anchor="__RefHeading___Toc3242317_2870459653">
            <w:r>
              <w:rPr>
                <w:webHidden/>
                <w:rStyle w:val="IndexLink"/>
                <w:rtl w:val="true"/>
              </w:rPr>
              <w:t>المطلب السّادس</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مدرك</w:t>
            </w:r>
            <w:r>
              <w:rPr>
                <w:rStyle w:val="IndexLink"/>
                <w:rtl w:val="true"/>
              </w:rPr>
              <w:tab/>
            </w:r>
            <w:r>
              <w:rPr>
                <w:rStyle w:val="IndexLink"/>
              </w:rPr>
              <w:t>148</w:t>
            </w:r>
          </w:hyperlink>
        </w:p>
        <w:p>
          <w:pPr>
            <w:pStyle w:val="Contents5"/>
            <w:tabs>
              <w:tab w:val="clear" w:pos="7892"/>
              <w:tab w:val="right" w:pos="9026" w:leader="dot"/>
            </w:tabs>
            <w:rPr/>
          </w:pPr>
          <w:hyperlink w:anchor="__RefHeading___Toc3242319_2870459653">
            <w:r>
              <w:rPr>
                <w:webHidden/>
                <w:rStyle w:val="IndexLink"/>
                <w:rtl w:val="true"/>
              </w:rPr>
              <w:t>المطلب السّابع</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متكلّم</w:t>
            </w:r>
            <w:r>
              <w:rPr>
                <w:rStyle w:val="IndexLink"/>
                <w:rtl w:val="true"/>
              </w:rPr>
              <w:tab/>
            </w:r>
            <w:r>
              <w:rPr>
                <w:rStyle w:val="IndexLink"/>
              </w:rPr>
              <w:t>150</w:t>
            </w:r>
          </w:hyperlink>
        </w:p>
        <w:p>
          <w:pPr>
            <w:pStyle w:val="Contents5"/>
            <w:tabs>
              <w:tab w:val="clear" w:pos="7892"/>
              <w:tab w:val="right" w:pos="9026" w:leader="dot"/>
            </w:tabs>
            <w:rPr/>
          </w:pPr>
          <w:hyperlink w:anchor="__RefHeading___Toc3242321_2870459653">
            <w:r>
              <w:rPr>
                <w:webHidden/>
                <w:rStyle w:val="IndexLink"/>
                <w:rtl w:val="true"/>
              </w:rPr>
              <w:t>المطلب الثّامن</w:t>
            </w:r>
            <w:r>
              <w:rPr>
                <w:rStyle w:val="IndexLink"/>
                <w:rtl w:val="true"/>
              </w:rPr>
              <w:t xml:space="preserve">: </w:t>
            </w:r>
            <w:r>
              <w:rPr>
                <w:rStyle w:val="IndexLink"/>
                <w:rtl w:val="true"/>
              </w:rPr>
              <w:t>في أحكام هذه الصّفات و هي إحدى عشر بحثا</w:t>
            </w:r>
            <w:r>
              <w:rPr>
                <w:rStyle w:val="IndexLink"/>
                <w:rtl w:val="true"/>
              </w:rPr>
              <w:tab/>
            </w:r>
            <w:r>
              <w:rPr>
                <w:rStyle w:val="IndexLink"/>
              </w:rPr>
              <w:t>151</w:t>
            </w:r>
          </w:hyperlink>
        </w:p>
        <w:p>
          <w:pPr>
            <w:pStyle w:val="Contents4"/>
            <w:tabs>
              <w:tab w:val="clear" w:pos="8176"/>
              <w:tab w:val="right" w:pos="9026" w:leader="dot"/>
            </w:tabs>
            <w:rPr/>
          </w:pPr>
          <w:hyperlink w:anchor="__RefHeading___Toc3242323_2870459653">
            <w:r>
              <w:rPr>
                <w:webHidden/>
                <w:rStyle w:val="IndexLink"/>
                <w:rtl w:val="true"/>
              </w:rPr>
              <w:t>الفصل الثّاني في الصّفات السّلبيّة</w:t>
            </w:r>
            <w:r>
              <w:rPr>
                <w:rStyle w:val="IndexLink"/>
                <w:rtl w:val="true"/>
              </w:rPr>
              <w:tab/>
            </w:r>
            <w:r>
              <w:rPr>
                <w:rStyle w:val="IndexLink"/>
              </w:rPr>
              <w:t>158</w:t>
            </w:r>
          </w:hyperlink>
        </w:p>
        <w:p>
          <w:pPr>
            <w:pStyle w:val="Contents5"/>
            <w:tabs>
              <w:tab w:val="clear" w:pos="7892"/>
              <w:tab w:val="right" w:pos="9026" w:leader="dot"/>
            </w:tabs>
            <w:rPr/>
          </w:pPr>
          <w:hyperlink w:anchor="__RefHeading___Toc3242325_2870459653">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242327_2870459653">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ليس بمتحيّز</w:t>
            </w:r>
            <w:r>
              <w:rPr>
                <w:rStyle w:val="IndexLink"/>
                <w:rtl w:val="true"/>
              </w:rPr>
              <w:tab/>
            </w:r>
            <w:r>
              <w:rPr>
                <w:rStyle w:val="IndexLink"/>
              </w:rPr>
              <w:t>158</w:t>
            </w:r>
          </w:hyperlink>
        </w:p>
        <w:p>
          <w:pPr>
            <w:pStyle w:val="Contents5"/>
            <w:tabs>
              <w:tab w:val="clear" w:pos="7892"/>
              <w:tab w:val="right" w:pos="9026" w:leader="dot"/>
            </w:tabs>
            <w:rPr/>
          </w:pPr>
          <w:hyperlink w:anchor="__RefHeading___Toc3242329_2870459653">
            <w:r>
              <w:rPr>
                <w:webHidden/>
                <w:rStyle w:val="IndexLink"/>
                <w:rtl w:val="true"/>
              </w:rPr>
              <w:t>المطلب الثّاني</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لا يحلّ في غيره</w:t>
            </w:r>
            <w:r>
              <w:rPr>
                <w:rStyle w:val="IndexLink"/>
                <w:rtl w:val="true"/>
              </w:rPr>
              <w:tab/>
            </w:r>
            <w:r>
              <w:rPr>
                <w:rStyle w:val="IndexLink"/>
              </w:rPr>
              <w:t>158</w:t>
            </w:r>
          </w:hyperlink>
        </w:p>
        <w:p>
          <w:pPr>
            <w:pStyle w:val="Contents5"/>
            <w:tabs>
              <w:tab w:val="clear" w:pos="7892"/>
              <w:tab w:val="right" w:pos="9026" w:leader="dot"/>
            </w:tabs>
            <w:rPr/>
          </w:pPr>
          <w:hyperlink w:anchor="__RefHeading___Toc3242331_2870459653">
            <w:r>
              <w:rPr>
                <w:webHidden/>
                <w:rStyle w:val="IndexLink"/>
                <w:rtl w:val="true"/>
              </w:rPr>
              <w:t>المطلب الثّالث</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مخالف لغيره لذاته</w:t>
            </w:r>
            <w:r>
              <w:rPr>
                <w:rStyle w:val="IndexLink"/>
                <w:rtl w:val="true"/>
              </w:rPr>
              <w:tab/>
            </w:r>
            <w:r>
              <w:rPr>
                <w:rStyle w:val="IndexLink"/>
              </w:rPr>
              <w:t>159</w:t>
            </w:r>
          </w:hyperlink>
        </w:p>
        <w:p>
          <w:pPr>
            <w:pStyle w:val="Contents5"/>
            <w:tabs>
              <w:tab w:val="clear" w:pos="7892"/>
              <w:tab w:val="right" w:pos="9026" w:leader="dot"/>
            </w:tabs>
            <w:rPr/>
          </w:pPr>
          <w:hyperlink w:anchor="__RefHeading___Toc3242333_2870459653">
            <w:r>
              <w:rPr>
                <w:webHidden/>
                <w:rStyle w:val="IndexLink"/>
                <w:rtl w:val="true"/>
              </w:rPr>
              <w:t>المطلب الرّابع</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غير مركّب</w:t>
            </w:r>
            <w:r>
              <w:rPr>
                <w:rStyle w:val="IndexLink"/>
                <w:rtl w:val="true"/>
              </w:rPr>
              <w:tab/>
            </w:r>
            <w:r>
              <w:rPr>
                <w:rStyle w:val="IndexLink"/>
              </w:rPr>
              <w:t>160</w:t>
            </w:r>
          </w:hyperlink>
        </w:p>
        <w:p>
          <w:pPr>
            <w:pStyle w:val="Contents5"/>
            <w:tabs>
              <w:tab w:val="clear" w:pos="7892"/>
              <w:tab w:val="right" w:pos="9026" w:leader="dot"/>
            </w:tabs>
            <w:rPr/>
          </w:pPr>
          <w:hyperlink w:anchor="__RefHeading___Toc3242335_2870459653">
            <w:r>
              <w:rPr>
                <w:webHidden/>
                <w:rStyle w:val="IndexLink"/>
                <w:rtl w:val="true"/>
              </w:rPr>
              <w:t>المطلب الخامس</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لا يتحد بغيره</w:t>
            </w:r>
            <w:r>
              <w:rPr>
                <w:rStyle w:val="IndexLink"/>
                <w:rtl w:val="true"/>
              </w:rPr>
              <w:tab/>
            </w:r>
            <w:r>
              <w:rPr>
                <w:rStyle w:val="IndexLink"/>
              </w:rPr>
              <w:t>160</w:t>
            </w:r>
          </w:hyperlink>
        </w:p>
        <w:p>
          <w:pPr>
            <w:pStyle w:val="Contents5"/>
            <w:tabs>
              <w:tab w:val="clear" w:pos="7892"/>
              <w:tab w:val="right" w:pos="9026" w:leader="dot"/>
            </w:tabs>
            <w:rPr/>
          </w:pPr>
          <w:hyperlink w:anchor="__RefHeading___Toc3242337_2870459653">
            <w:r>
              <w:rPr>
                <w:webHidden/>
                <w:rStyle w:val="IndexLink"/>
                <w:rtl w:val="true"/>
              </w:rPr>
              <w:t>المطلب السادس</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ليس في جهة</w:t>
            </w:r>
            <w:r>
              <w:rPr>
                <w:rStyle w:val="IndexLink"/>
                <w:rtl w:val="true"/>
              </w:rPr>
              <w:tab/>
            </w:r>
            <w:r>
              <w:rPr>
                <w:rStyle w:val="IndexLink"/>
              </w:rPr>
              <w:t>161</w:t>
            </w:r>
          </w:hyperlink>
        </w:p>
        <w:p>
          <w:pPr>
            <w:pStyle w:val="Contents5"/>
            <w:tabs>
              <w:tab w:val="clear" w:pos="7892"/>
              <w:tab w:val="right" w:pos="9026" w:leader="dot"/>
            </w:tabs>
            <w:rPr/>
          </w:pPr>
          <w:hyperlink w:anchor="__RefHeading___Toc3242339_2870459653">
            <w:r>
              <w:rPr>
                <w:webHidden/>
                <w:rStyle w:val="IndexLink"/>
                <w:rtl w:val="true"/>
              </w:rPr>
              <w:t>المطلب السابع</w:t>
            </w:r>
            <w:r>
              <w:rPr>
                <w:rStyle w:val="IndexLink"/>
                <w:rtl w:val="true"/>
              </w:rPr>
              <w:t xml:space="preserve">: </w:t>
            </w:r>
            <w:r>
              <w:rPr>
                <w:rStyle w:val="IndexLink"/>
                <w:rtl w:val="true"/>
              </w:rPr>
              <w:t>في استحالة الألم و اللذّة عليه تعالى</w:t>
            </w:r>
            <w:r>
              <w:rPr>
                <w:rStyle w:val="IndexLink"/>
                <w:rtl w:val="true"/>
              </w:rPr>
              <w:tab/>
            </w:r>
            <w:r>
              <w:rPr>
                <w:rStyle w:val="IndexLink"/>
              </w:rPr>
              <w:t>161</w:t>
            </w:r>
          </w:hyperlink>
        </w:p>
        <w:p>
          <w:pPr>
            <w:pStyle w:val="Contents6"/>
            <w:tabs>
              <w:tab w:val="clear" w:pos="7609"/>
              <w:tab w:val="right" w:pos="9026" w:leader="dot"/>
            </w:tabs>
            <w:rPr/>
          </w:pPr>
          <w:hyperlink w:anchor="__RefHeading___Toc3242341_2870459653">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242343_2870459653">
            <w:r>
              <w:rPr>
                <w:webHidden/>
                <w:rStyle w:val="IndexLink"/>
                <w:rtl w:val="true"/>
              </w:rPr>
              <w:t>تذنيب</w:t>
            </w:r>
            <w:r>
              <w:rPr>
                <w:rStyle w:val="IndexLink"/>
                <w:rtl w:val="true"/>
              </w:rPr>
              <w:tab/>
            </w:r>
            <w:r>
              <w:rPr>
                <w:rStyle w:val="IndexLink"/>
              </w:rPr>
              <w:t>162</w:t>
            </w:r>
          </w:hyperlink>
        </w:p>
        <w:p>
          <w:pPr>
            <w:pStyle w:val="Contents5"/>
            <w:tabs>
              <w:tab w:val="clear" w:pos="7892"/>
              <w:tab w:val="right" w:pos="9026" w:leader="dot"/>
            </w:tabs>
            <w:rPr/>
          </w:pPr>
          <w:hyperlink w:anchor="__RefHeading___Toc3242345_2870459653">
            <w:r>
              <w:rPr>
                <w:webHidden/>
                <w:rStyle w:val="IndexLink"/>
                <w:rtl w:val="true"/>
              </w:rPr>
              <w:t>المطلب الثّامن</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ليس محلاّ للحوادث</w:t>
            </w:r>
            <w:r>
              <w:rPr>
                <w:rStyle w:val="IndexLink"/>
                <w:rtl w:val="true"/>
              </w:rPr>
              <w:tab/>
            </w:r>
            <w:r>
              <w:rPr>
                <w:rStyle w:val="IndexLink"/>
              </w:rPr>
              <w:t>162</w:t>
            </w:r>
          </w:hyperlink>
        </w:p>
        <w:p>
          <w:pPr>
            <w:pStyle w:val="Contents5"/>
            <w:tabs>
              <w:tab w:val="clear" w:pos="7892"/>
              <w:tab w:val="right" w:pos="9026" w:leader="dot"/>
            </w:tabs>
            <w:rPr/>
          </w:pPr>
          <w:hyperlink w:anchor="__RefHeading___Toc3242347_2870459653">
            <w:r>
              <w:rPr>
                <w:webHidden/>
                <w:rStyle w:val="IndexLink"/>
                <w:rtl w:val="true"/>
              </w:rPr>
              <w:t>المطلب التاسع</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غنيّ‌</w:t>
            </w:r>
            <w:r>
              <w:rPr>
                <w:rStyle w:val="IndexLink"/>
                <w:rtl w:val="true"/>
              </w:rPr>
              <w:tab/>
            </w:r>
            <w:r>
              <w:rPr>
                <w:rStyle w:val="IndexLink"/>
              </w:rPr>
              <w:t>163</w:t>
            </w:r>
          </w:hyperlink>
        </w:p>
        <w:p>
          <w:pPr>
            <w:pStyle w:val="Contents5"/>
            <w:tabs>
              <w:tab w:val="clear" w:pos="7892"/>
              <w:tab w:val="right" w:pos="9026" w:leader="dot"/>
            </w:tabs>
            <w:rPr/>
          </w:pPr>
          <w:hyperlink w:anchor="__RefHeading___Toc3242349_2870459653">
            <w:r>
              <w:rPr>
                <w:webHidden/>
                <w:rStyle w:val="IndexLink"/>
                <w:rtl w:val="true"/>
              </w:rPr>
              <w:t>المطلب العاشر</w:t>
            </w:r>
            <w:r>
              <w:rPr>
                <w:rStyle w:val="IndexLink"/>
                <w:rtl w:val="true"/>
              </w:rPr>
              <w:t xml:space="preserve">: </w:t>
            </w:r>
            <w:r>
              <w:rPr>
                <w:rStyle w:val="IndexLink"/>
                <w:rtl w:val="true"/>
              </w:rPr>
              <w:t>في أنّه غير معلوم للبشر</w:t>
            </w:r>
            <w:r>
              <w:rPr>
                <w:rStyle w:val="IndexLink"/>
                <w:rtl w:val="true"/>
              </w:rPr>
              <w:tab/>
            </w:r>
            <w:r>
              <w:rPr>
                <w:rStyle w:val="IndexLink"/>
              </w:rPr>
              <w:t>163</w:t>
            </w:r>
          </w:hyperlink>
        </w:p>
        <w:p>
          <w:pPr>
            <w:pStyle w:val="Contents5"/>
            <w:tabs>
              <w:tab w:val="clear" w:pos="7892"/>
              <w:tab w:val="right" w:pos="9026" w:leader="dot"/>
            </w:tabs>
            <w:rPr/>
          </w:pPr>
          <w:hyperlink w:anchor="__RefHeading___Toc3242351_2870459653">
            <w:r>
              <w:rPr>
                <w:webHidden/>
                <w:rStyle w:val="IndexLink"/>
                <w:rtl w:val="true"/>
              </w:rPr>
              <w:t>المطلب الحادي عشر</w:t>
            </w:r>
            <w:r>
              <w:rPr>
                <w:rStyle w:val="IndexLink"/>
                <w:rtl w:val="true"/>
              </w:rPr>
              <w:t xml:space="preserve">: </w:t>
            </w:r>
            <w:r>
              <w:rPr>
                <w:rStyle w:val="IndexLink"/>
                <w:rtl w:val="true"/>
              </w:rPr>
              <w:t>في استحالة الرّؤية عليه تعالى</w:t>
            </w:r>
            <w:r>
              <w:rPr>
                <w:rStyle w:val="IndexLink"/>
                <w:rtl w:val="true"/>
              </w:rPr>
              <w:tab/>
            </w:r>
            <w:r>
              <w:rPr>
                <w:rStyle w:val="IndexLink"/>
              </w:rPr>
              <w:t>164</w:t>
            </w:r>
          </w:hyperlink>
        </w:p>
        <w:p>
          <w:pPr>
            <w:pStyle w:val="Contents5"/>
            <w:tabs>
              <w:tab w:val="clear" w:pos="7892"/>
              <w:tab w:val="right" w:pos="9026" w:leader="dot"/>
            </w:tabs>
            <w:rPr/>
          </w:pPr>
          <w:hyperlink w:anchor="__RefHeading___Toc3242353_2870459653">
            <w:r>
              <w:rPr>
                <w:webHidden/>
                <w:rStyle w:val="IndexLink"/>
                <w:rtl w:val="true"/>
              </w:rPr>
              <w:t>المطلب الثاني عشر</w:t>
            </w:r>
            <w:r>
              <w:rPr>
                <w:rStyle w:val="IndexLink"/>
                <w:rtl w:val="true"/>
              </w:rPr>
              <w:t xml:space="preserve">: </w:t>
            </w:r>
            <w:r>
              <w:rPr>
                <w:rStyle w:val="IndexLink"/>
                <w:rtl w:val="true"/>
              </w:rPr>
              <w:t xml:space="preserve">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واحد</w:t>
            </w:r>
            <w:r>
              <w:rPr>
                <w:rStyle w:val="IndexLink"/>
                <w:rtl w:val="true"/>
              </w:rPr>
              <w:tab/>
            </w:r>
            <w:r>
              <w:rPr>
                <w:rStyle w:val="IndexLink"/>
              </w:rPr>
              <w:t>166</w:t>
            </w:r>
          </w:hyperlink>
        </w:p>
        <w:p>
          <w:pPr>
            <w:pStyle w:val="Contents2"/>
            <w:tabs>
              <w:tab w:val="clear" w:pos="8743"/>
              <w:tab w:val="right" w:pos="9026" w:leader="dot"/>
            </w:tabs>
            <w:rPr/>
          </w:pPr>
          <w:hyperlink w:anchor="__RefHeading___Toc3242355_2870459653">
            <w:r>
              <w:rPr>
                <w:webHidden/>
                <w:rStyle w:val="IndexLink"/>
                <w:rtl w:val="true"/>
              </w:rPr>
              <w:t>المرصد السّادس في العدل و فيه مطالب</w:t>
            </w:r>
            <w:r>
              <w:rPr>
                <w:rStyle w:val="IndexLink"/>
                <w:rtl w:val="true"/>
              </w:rPr>
              <w:tab/>
            </w:r>
            <w:r>
              <w:rPr>
                <w:rStyle w:val="IndexLink"/>
              </w:rPr>
              <w:t>168</w:t>
            </w:r>
          </w:hyperlink>
        </w:p>
        <w:p>
          <w:pPr>
            <w:pStyle w:val="Contents3"/>
            <w:tabs>
              <w:tab w:val="clear" w:pos="8459"/>
              <w:tab w:val="right" w:pos="9026" w:leader="dot"/>
            </w:tabs>
            <w:rPr/>
          </w:pPr>
          <w:hyperlink w:anchor="__RefHeading___Toc3242357_2870459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3242359_2870459653">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الحسن و القبح العقليّين</w:t>
            </w:r>
            <w:r>
              <w:rPr>
                <w:rStyle w:val="IndexLink"/>
                <w:rtl w:val="true"/>
              </w:rPr>
              <w:tab/>
            </w:r>
            <w:r>
              <w:rPr>
                <w:rStyle w:val="IndexLink"/>
              </w:rPr>
              <w:t>170</w:t>
            </w:r>
          </w:hyperlink>
        </w:p>
        <w:p>
          <w:pPr>
            <w:pStyle w:val="Contents4"/>
            <w:tabs>
              <w:tab w:val="clear" w:pos="8176"/>
              <w:tab w:val="right" w:pos="9026" w:leader="dot"/>
            </w:tabs>
            <w:rPr/>
          </w:pPr>
          <w:hyperlink w:anchor="__RefHeading___Toc3242361_2870459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242363_2870459653">
            <w:r>
              <w:rPr>
                <w:webHidden/>
                <w:rStyle w:val="IndexLink"/>
                <w:rtl w:val="true"/>
              </w:rPr>
              <w:t>و الجواب</w:t>
            </w:r>
            <w:r>
              <w:rPr>
                <w:rStyle w:val="IndexLink"/>
                <w:rtl w:val="true"/>
              </w:rPr>
              <w:t>:</w:t>
              <w:tab/>
            </w:r>
            <w:r>
              <w:rPr>
                <w:rStyle w:val="IndexLink"/>
              </w:rPr>
              <w:t>171</w:t>
            </w:r>
          </w:hyperlink>
        </w:p>
        <w:p>
          <w:pPr>
            <w:pStyle w:val="Contents4"/>
            <w:tabs>
              <w:tab w:val="clear" w:pos="8176"/>
              <w:tab w:val="right" w:pos="9026" w:leader="dot"/>
            </w:tabs>
            <w:rPr/>
          </w:pPr>
          <w:hyperlink w:anchor="__RefHeading___Toc3242365_2870459653">
            <w:r>
              <w:rPr>
                <w:webHidden/>
                <w:rStyle w:val="IndexLink"/>
                <w:rtl w:val="true"/>
              </w:rPr>
              <w:t>تذنيب</w:t>
            </w:r>
            <w:r>
              <w:rPr>
                <w:rStyle w:val="IndexLink"/>
                <w:rtl w:val="true"/>
              </w:rPr>
              <w:tab/>
            </w:r>
            <w:r>
              <w:rPr>
                <w:rStyle w:val="IndexLink"/>
              </w:rPr>
              <w:t>172</w:t>
            </w:r>
          </w:hyperlink>
        </w:p>
        <w:p>
          <w:pPr>
            <w:pStyle w:val="Contents3"/>
            <w:tabs>
              <w:tab w:val="clear" w:pos="8459"/>
              <w:tab w:val="right" w:pos="9026" w:leader="dot"/>
            </w:tabs>
            <w:rPr/>
          </w:pPr>
          <w:hyperlink w:anchor="__RefHeading___Toc3242367_2870459653">
            <w:r>
              <w:rPr>
                <w:webHidden/>
                <w:rStyle w:val="IndexLink"/>
                <w:rtl w:val="true"/>
              </w:rPr>
              <w:t xml:space="preserve">المطلب الثاني 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لا يفعل القبيح و لا يخلّ بالواجب</w:t>
            </w:r>
            <w:r>
              <w:rPr>
                <w:rStyle w:val="IndexLink"/>
                <w:rtl w:val="true"/>
              </w:rPr>
              <w:tab/>
            </w:r>
            <w:r>
              <w:rPr>
                <w:rStyle w:val="IndexLink"/>
              </w:rPr>
              <w:t>173</w:t>
            </w:r>
          </w:hyperlink>
        </w:p>
        <w:p>
          <w:pPr>
            <w:pStyle w:val="Contents3"/>
            <w:tabs>
              <w:tab w:val="clear" w:pos="8459"/>
              <w:tab w:val="right" w:pos="9026" w:leader="dot"/>
            </w:tabs>
            <w:rPr/>
          </w:pPr>
          <w:hyperlink w:anchor="__RefHeading___Toc3242369_2870459653">
            <w:r>
              <w:rPr>
                <w:webHidden/>
                <w:rStyle w:val="IndexLink"/>
                <w:rtl w:val="true"/>
              </w:rPr>
              <w:t>المطلب الثّالث في خلق الأعمال</w:t>
            </w:r>
            <w:r>
              <w:rPr>
                <w:rStyle w:val="IndexLink"/>
                <w:rtl w:val="true"/>
              </w:rPr>
              <w:tab/>
            </w:r>
            <w:r>
              <w:rPr>
                <w:rStyle w:val="IndexLink"/>
              </w:rPr>
              <w:t>174</w:t>
            </w:r>
          </w:hyperlink>
        </w:p>
        <w:p>
          <w:pPr>
            <w:pStyle w:val="Contents3"/>
            <w:tabs>
              <w:tab w:val="clear" w:pos="8459"/>
              <w:tab w:val="right" w:pos="9026" w:leader="dot"/>
            </w:tabs>
            <w:rPr/>
          </w:pPr>
          <w:hyperlink w:anchor="__RefHeading___Toc3242371_2870459653">
            <w:r>
              <w:rPr>
                <w:webHidden/>
                <w:rStyle w:val="IndexLink"/>
                <w:rtl w:val="true"/>
              </w:rPr>
              <w:t xml:space="preserve">المطلب الرّابع في أنّه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يريد الطاعات و يكره المعاصي</w:t>
            </w:r>
            <w:r>
              <w:rPr>
                <w:rStyle w:val="IndexLink"/>
                <w:rtl w:val="true"/>
              </w:rPr>
              <w:tab/>
            </w:r>
            <w:r>
              <w:rPr>
                <w:rStyle w:val="IndexLink"/>
              </w:rPr>
              <w:t>177</w:t>
            </w:r>
          </w:hyperlink>
        </w:p>
        <w:p>
          <w:pPr>
            <w:pStyle w:val="Contents3"/>
            <w:tabs>
              <w:tab w:val="clear" w:pos="8459"/>
              <w:tab w:val="right" w:pos="9026" w:leader="dot"/>
            </w:tabs>
            <w:rPr/>
          </w:pPr>
          <w:hyperlink w:anchor="__RefHeading___Toc3242373_2870459653">
            <w:r>
              <w:rPr>
                <w:webHidden/>
                <w:rStyle w:val="IndexLink"/>
                <w:rtl w:val="true"/>
              </w:rPr>
              <w:t>المطلب الخامس في التكليف</w:t>
            </w:r>
            <w:r>
              <w:rPr>
                <w:rStyle w:val="IndexLink"/>
                <w:rtl w:val="true"/>
              </w:rPr>
              <w:tab/>
            </w:r>
            <w:r>
              <w:rPr>
                <w:rStyle w:val="IndexLink"/>
              </w:rPr>
              <w:t>179</w:t>
            </w:r>
          </w:hyperlink>
        </w:p>
        <w:p>
          <w:pPr>
            <w:pStyle w:val="Contents3"/>
            <w:tabs>
              <w:tab w:val="clear" w:pos="8459"/>
              <w:tab w:val="right" w:pos="9026" w:leader="dot"/>
            </w:tabs>
            <w:rPr/>
          </w:pPr>
          <w:hyperlink w:anchor="__RefHeading___Toc3242375_2870459653">
            <w:r>
              <w:rPr>
                <w:webHidden/>
                <w:rStyle w:val="IndexLink"/>
                <w:rtl w:val="true"/>
              </w:rPr>
              <w:t>المطلب السّادس في اللّطف</w:t>
            </w:r>
            <w:r>
              <w:rPr>
                <w:rStyle w:val="IndexLink"/>
                <w:rtl w:val="true"/>
              </w:rPr>
              <w:tab/>
            </w:r>
            <w:r>
              <w:rPr>
                <w:rStyle w:val="IndexLink"/>
              </w:rPr>
              <w:t>181</w:t>
            </w:r>
          </w:hyperlink>
        </w:p>
        <w:p>
          <w:pPr>
            <w:pStyle w:val="Contents3"/>
            <w:tabs>
              <w:tab w:val="clear" w:pos="8459"/>
              <w:tab w:val="right" w:pos="9026" w:leader="dot"/>
            </w:tabs>
            <w:rPr/>
          </w:pPr>
          <w:hyperlink w:anchor="__RefHeading___Toc3242377_2870459653">
            <w:r>
              <w:rPr>
                <w:webHidden/>
                <w:rStyle w:val="IndexLink"/>
                <w:rtl w:val="true"/>
              </w:rPr>
              <w:t>المطلب السّابع في الآلام و الأعواض</w:t>
            </w:r>
            <w:r>
              <w:rPr>
                <w:rStyle w:val="IndexLink"/>
                <w:rtl w:val="true"/>
              </w:rPr>
              <w:tab/>
            </w:r>
            <w:r>
              <w:rPr>
                <w:rStyle w:val="IndexLink"/>
              </w:rPr>
              <w:t>183</w:t>
            </w:r>
          </w:hyperlink>
        </w:p>
        <w:p>
          <w:pPr>
            <w:pStyle w:val="Contents3"/>
            <w:tabs>
              <w:tab w:val="clear" w:pos="8459"/>
              <w:tab w:val="right" w:pos="9026" w:leader="dot"/>
            </w:tabs>
            <w:rPr/>
          </w:pPr>
          <w:hyperlink w:anchor="__RefHeading___Toc3242379_2870459653">
            <w:r>
              <w:rPr>
                <w:webHidden/>
                <w:rStyle w:val="IndexLink"/>
                <w:rtl w:val="true"/>
              </w:rPr>
              <w:t>المطلب الثّامن في الآجال و الأرزاق و الأسعار</w:t>
            </w:r>
            <w:r>
              <w:rPr>
                <w:rStyle w:val="IndexLink"/>
                <w:rtl w:val="true"/>
              </w:rPr>
              <w:tab/>
            </w:r>
            <w:r>
              <w:rPr>
                <w:rStyle w:val="IndexLink"/>
              </w:rPr>
              <w:t>185</w:t>
            </w:r>
          </w:hyperlink>
        </w:p>
        <w:p>
          <w:pPr>
            <w:pStyle w:val="Contents2"/>
            <w:tabs>
              <w:tab w:val="clear" w:pos="8743"/>
              <w:tab w:val="right" w:pos="9026" w:leader="dot"/>
            </w:tabs>
            <w:rPr/>
          </w:pPr>
          <w:hyperlink w:anchor="__RefHeading___Toc3242381_2870459653">
            <w:r>
              <w:rPr>
                <w:webHidden/>
                <w:rStyle w:val="IndexLink"/>
                <w:rtl w:val="true"/>
              </w:rPr>
              <w:t>المرصد السابع في النبوة و فيه مطالب</w:t>
            </w:r>
            <w:r>
              <w:rPr>
                <w:rStyle w:val="IndexLink"/>
                <w:rtl w:val="true"/>
              </w:rPr>
              <w:tab/>
            </w:r>
            <w:r>
              <w:rPr>
                <w:rStyle w:val="IndexLink"/>
              </w:rPr>
              <w:t>188</w:t>
            </w:r>
          </w:hyperlink>
        </w:p>
        <w:p>
          <w:pPr>
            <w:pStyle w:val="Contents3"/>
            <w:tabs>
              <w:tab w:val="clear" w:pos="8459"/>
              <w:tab w:val="right" w:pos="9026" w:leader="dot"/>
            </w:tabs>
            <w:rPr/>
          </w:pPr>
          <w:hyperlink w:anchor="__RefHeading___Toc3242383_2870459653">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3242385_2870459653">
            <w:r>
              <w:rPr>
                <w:webHidden/>
                <w:rStyle w:val="IndexLink"/>
                <w:rtl w:val="true"/>
              </w:rPr>
              <w:t xml:space="preserve">مقدمة </w:t>
            </w:r>
            <w:r>
              <w:rPr>
                <w:rStyle w:val="IndexLink"/>
                <w:rtl w:val="true"/>
              </w:rPr>
              <w:t>[</w:t>
            </w:r>
            <w:r>
              <w:rPr>
                <w:rStyle w:val="IndexLink"/>
                <w:rtl w:val="true"/>
              </w:rPr>
              <w:t>من هو النّبيّ</w:t>
            </w:r>
            <w:r>
              <w:rPr>
                <w:rStyle w:val="IndexLink"/>
                <w:rtl w:val="true"/>
              </w:rPr>
              <w:t>]</w:t>
              <w:tab/>
            </w:r>
            <w:r>
              <w:rPr>
                <w:rStyle w:val="IndexLink"/>
              </w:rPr>
              <w:t>190</w:t>
            </w:r>
          </w:hyperlink>
        </w:p>
        <w:p>
          <w:pPr>
            <w:pStyle w:val="Contents3"/>
            <w:tabs>
              <w:tab w:val="clear" w:pos="8459"/>
              <w:tab w:val="right" w:pos="9026" w:leader="dot"/>
            </w:tabs>
            <w:rPr/>
          </w:pPr>
          <w:hyperlink w:anchor="__RefHeading___Toc3242387_2870459653">
            <w:r>
              <w:rPr>
                <w:webHidden/>
                <w:rStyle w:val="IndexLink"/>
                <w:rtl w:val="true"/>
              </w:rPr>
              <w:t>المطلب الأوّل في إمكان البعثة</w:t>
            </w:r>
            <w:r>
              <w:rPr>
                <w:rStyle w:val="IndexLink"/>
                <w:rtl w:val="true"/>
              </w:rPr>
              <w:tab/>
            </w:r>
            <w:r>
              <w:rPr>
                <w:rStyle w:val="IndexLink"/>
              </w:rPr>
              <w:t>191</w:t>
            </w:r>
          </w:hyperlink>
        </w:p>
        <w:p>
          <w:pPr>
            <w:pStyle w:val="Contents3"/>
            <w:tabs>
              <w:tab w:val="clear" w:pos="8459"/>
              <w:tab w:val="right" w:pos="9026" w:leader="dot"/>
            </w:tabs>
            <w:rPr/>
          </w:pPr>
          <w:hyperlink w:anchor="__RefHeading___Toc3242389_2870459653">
            <w:r>
              <w:rPr>
                <w:webHidden/>
                <w:rStyle w:val="IndexLink"/>
                <w:rtl w:val="true"/>
              </w:rPr>
              <w:t>المطلب الثّاني في وجوب البعثة</w:t>
            </w:r>
            <w:r>
              <w:rPr>
                <w:rStyle w:val="IndexLink"/>
                <w:rtl w:val="true"/>
              </w:rPr>
              <w:tab/>
            </w:r>
            <w:r>
              <w:rPr>
                <w:rStyle w:val="IndexLink"/>
              </w:rPr>
              <w:t>192</w:t>
            </w:r>
          </w:hyperlink>
        </w:p>
        <w:p>
          <w:pPr>
            <w:pStyle w:val="Contents3"/>
            <w:tabs>
              <w:tab w:val="clear" w:pos="8459"/>
              <w:tab w:val="right" w:pos="9026" w:leader="dot"/>
            </w:tabs>
            <w:rPr/>
          </w:pPr>
          <w:hyperlink w:anchor="__RefHeading___Toc3242391_2870459653">
            <w:r>
              <w:rPr>
                <w:webHidden/>
                <w:rStyle w:val="IndexLink"/>
                <w:rtl w:val="true"/>
              </w:rPr>
              <w:t>المطلب الثّالث في وجوب العصمة</w:t>
            </w:r>
            <w:r>
              <w:rPr>
                <w:rStyle w:val="IndexLink"/>
                <w:rtl w:val="true"/>
              </w:rPr>
              <w:tab/>
            </w:r>
            <w:r>
              <w:rPr>
                <w:rStyle w:val="IndexLink"/>
              </w:rPr>
              <w:t>194</w:t>
            </w:r>
          </w:hyperlink>
        </w:p>
        <w:p>
          <w:pPr>
            <w:pStyle w:val="Contents3"/>
            <w:tabs>
              <w:tab w:val="clear" w:pos="8459"/>
              <w:tab w:val="right" w:pos="9026" w:leader="dot"/>
            </w:tabs>
            <w:rPr/>
          </w:pPr>
          <w:hyperlink w:anchor="__RefHeading___Toc3242393_2870459653">
            <w:r>
              <w:rPr>
                <w:webHidden/>
                <w:rStyle w:val="IndexLink"/>
                <w:rtl w:val="true"/>
              </w:rPr>
              <w:t>المطلب الرّابع في نبوّة محمّد صلّى اللّه عليه و آله و سلم</w:t>
            </w:r>
            <w:r>
              <w:rPr>
                <w:rStyle w:val="IndexLink"/>
                <w:rtl w:val="true"/>
              </w:rPr>
              <w:tab/>
            </w:r>
            <w:r>
              <w:rPr>
                <w:rStyle w:val="IndexLink"/>
              </w:rPr>
              <w:t>195</w:t>
            </w:r>
          </w:hyperlink>
        </w:p>
        <w:p>
          <w:pPr>
            <w:pStyle w:val="Contents3"/>
            <w:tabs>
              <w:tab w:val="clear" w:pos="8459"/>
              <w:tab w:val="right" w:pos="9026" w:leader="dot"/>
            </w:tabs>
            <w:rPr/>
          </w:pPr>
          <w:hyperlink w:anchor="__RefHeading___Toc3242395_2870459653">
            <w:r>
              <w:rPr>
                <w:webHidden/>
                <w:rStyle w:val="IndexLink"/>
                <w:rtl w:val="true"/>
              </w:rPr>
              <w:t>المطلب الخامس في وجه إعجاز القرآن</w:t>
            </w:r>
            <w:r>
              <w:rPr>
                <w:rStyle w:val="IndexLink"/>
                <w:rtl w:val="true"/>
              </w:rPr>
              <w:tab/>
            </w:r>
            <w:r>
              <w:rPr>
                <w:rStyle w:val="IndexLink"/>
              </w:rPr>
              <w:t>197</w:t>
            </w:r>
          </w:hyperlink>
        </w:p>
        <w:p>
          <w:pPr>
            <w:pStyle w:val="Contents3"/>
            <w:tabs>
              <w:tab w:val="clear" w:pos="8459"/>
              <w:tab w:val="right" w:pos="9026" w:leader="dot"/>
            </w:tabs>
            <w:rPr/>
          </w:pPr>
          <w:hyperlink w:anchor="__RefHeading___Toc3242397_2870459653">
            <w:r>
              <w:rPr>
                <w:webHidden/>
                <w:rStyle w:val="IndexLink"/>
                <w:rtl w:val="true"/>
              </w:rPr>
              <w:t>المطلب السّادس في تحقيق العصمة</w:t>
            </w:r>
            <w:r>
              <w:rPr>
                <w:rStyle w:val="IndexLink"/>
                <w:rtl w:val="true"/>
              </w:rPr>
              <w:tab/>
            </w:r>
            <w:r>
              <w:rPr>
                <w:rStyle w:val="IndexLink"/>
              </w:rPr>
              <w:t>198</w:t>
            </w:r>
          </w:hyperlink>
        </w:p>
        <w:p>
          <w:pPr>
            <w:pStyle w:val="Contents3"/>
            <w:tabs>
              <w:tab w:val="clear" w:pos="8459"/>
              <w:tab w:val="right" w:pos="9026" w:leader="dot"/>
            </w:tabs>
            <w:rPr/>
          </w:pPr>
          <w:hyperlink w:anchor="__RefHeading___Toc3242399_2870459653">
            <w:r>
              <w:rPr>
                <w:webHidden/>
                <w:rStyle w:val="IndexLink"/>
                <w:rtl w:val="true"/>
              </w:rPr>
              <w:t>المطلب السّابع في وقت العصمة</w:t>
            </w:r>
            <w:r>
              <w:rPr>
                <w:rStyle w:val="IndexLink"/>
                <w:rtl w:val="true"/>
              </w:rPr>
              <w:tab/>
            </w:r>
            <w:r>
              <w:rPr>
                <w:rStyle w:val="IndexLink"/>
              </w:rPr>
              <w:t>199</w:t>
            </w:r>
          </w:hyperlink>
        </w:p>
        <w:p>
          <w:pPr>
            <w:pStyle w:val="Contents3"/>
            <w:tabs>
              <w:tab w:val="clear" w:pos="8459"/>
              <w:tab w:val="right" w:pos="9026" w:leader="dot"/>
            </w:tabs>
            <w:rPr/>
          </w:pPr>
          <w:hyperlink w:anchor="__RefHeading___Toc3242401_2870459653">
            <w:r>
              <w:rPr>
                <w:webHidden/>
                <w:rStyle w:val="IndexLink"/>
                <w:rtl w:val="true"/>
              </w:rPr>
              <w:t>المطلب الثّامن في الكرامات</w:t>
            </w:r>
            <w:r>
              <w:rPr>
                <w:rStyle w:val="IndexLink"/>
                <w:rtl w:val="true"/>
              </w:rPr>
              <w:tab/>
            </w:r>
            <w:r>
              <w:rPr>
                <w:rStyle w:val="IndexLink"/>
              </w:rPr>
              <w:t>200</w:t>
            </w:r>
          </w:hyperlink>
        </w:p>
        <w:p>
          <w:pPr>
            <w:pStyle w:val="Contents3"/>
            <w:tabs>
              <w:tab w:val="clear" w:pos="8459"/>
              <w:tab w:val="right" w:pos="9026" w:leader="dot"/>
            </w:tabs>
            <w:rPr/>
          </w:pPr>
          <w:hyperlink w:anchor="__RefHeading___Toc3242403_2870459653">
            <w:r>
              <w:rPr>
                <w:webHidden/>
                <w:rStyle w:val="IndexLink"/>
                <w:rtl w:val="true"/>
              </w:rPr>
              <w:t>المطلب التّاسع في أنّ الأنبياء أفضل من الملائكة</w:t>
            </w:r>
            <w:r>
              <w:rPr>
                <w:rStyle w:val="IndexLink"/>
                <w:rtl w:val="true"/>
              </w:rPr>
              <w:tab/>
            </w:r>
            <w:r>
              <w:rPr>
                <w:rStyle w:val="IndexLink"/>
              </w:rPr>
              <w:t>201</w:t>
            </w:r>
          </w:hyperlink>
        </w:p>
        <w:p>
          <w:pPr>
            <w:pStyle w:val="Contents2"/>
            <w:tabs>
              <w:tab w:val="clear" w:pos="8743"/>
              <w:tab w:val="right" w:pos="9026" w:leader="dot"/>
            </w:tabs>
            <w:rPr/>
          </w:pPr>
          <w:hyperlink w:anchor="__RefHeading___Toc3242405_2870459653">
            <w:r>
              <w:rPr>
                <w:webHidden/>
                <w:rStyle w:val="IndexLink"/>
                <w:rtl w:val="true"/>
              </w:rPr>
              <w:t>المرصد الثّامن في الإمامة و فيه مطالب</w:t>
            </w:r>
            <w:r>
              <w:rPr>
                <w:rStyle w:val="IndexLink"/>
                <w:rtl w:val="true"/>
              </w:rPr>
              <w:tab/>
            </w:r>
            <w:r>
              <w:rPr>
                <w:rStyle w:val="IndexLink"/>
              </w:rPr>
              <w:t>204</w:t>
            </w:r>
          </w:hyperlink>
        </w:p>
        <w:p>
          <w:pPr>
            <w:pStyle w:val="Contents3"/>
            <w:tabs>
              <w:tab w:val="clear" w:pos="8459"/>
              <w:tab w:val="right" w:pos="9026" w:leader="dot"/>
            </w:tabs>
            <w:rPr/>
          </w:pPr>
          <w:hyperlink w:anchor="__RefHeading___Toc3242407_2870459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3242409_2870459653">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وجوبها</w:t>
            </w:r>
            <w:r>
              <w:rPr>
                <w:rStyle w:val="IndexLink"/>
                <w:rtl w:val="true"/>
              </w:rPr>
              <w:tab/>
            </w:r>
            <w:r>
              <w:rPr>
                <w:rStyle w:val="IndexLink"/>
              </w:rPr>
              <w:t>206</w:t>
            </w:r>
          </w:hyperlink>
        </w:p>
        <w:p>
          <w:pPr>
            <w:pStyle w:val="Contents3"/>
            <w:tabs>
              <w:tab w:val="clear" w:pos="8459"/>
              <w:tab w:val="right" w:pos="9026" w:leader="dot"/>
            </w:tabs>
            <w:rPr/>
          </w:pPr>
          <w:hyperlink w:anchor="__RefHeading___Toc3242411_2870459653">
            <w:r>
              <w:rPr>
                <w:webHidden/>
                <w:rStyle w:val="IndexLink"/>
                <w:rtl w:val="true"/>
              </w:rPr>
              <w:t>المطلب الثّاني في وجوب عصمة الإمام</w:t>
            </w:r>
            <w:r>
              <w:rPr>
                <w:rStyle w:val="IndexLink"/>
                <w:rtl w:val="true"/>
              </w:rPr>
              <w:tab/>
            </w:r>
            <w:r>
              <w:rPr>
                <w:rStyle w:val="IndexLink"/>
              </w:rPr>
              <w:t>208</w:t>
            </w:r>
          </w:hyperlink>
        </w:p>
        <w:p>
          <w:pPr>
            <w:pStyle w:val="Contents3"/>
            <w:tabs>
              <w:tab w:val="clear" w:pos="8459"/>
              <w:tab w:val="right" w:pos="9026" w:leader="dot"/>
            </w:tabs>
            <w:rPr/>
          </w:pPr>
          <w:hyperlink w:anchor="__RefHeading___Toc3242413_2870459653">
            <w:r>
              <w:rPr>
                <w:webHidden/>
                <w:rStyle w:val="IndexLink"/>
                <w:rtl w:val="true"/>
              </w:rPr>
              <w:t xml:space="preserve">المطلب الثالث في أنّه يجب أن يكون أفضل </w:t>
            </w:r>
            <w:r>
              <w:rPr>
                <w:rStyle w:val="IndexLink"/>
                <w:rtl w:val="true"/>
              </w:rPr>
              <w:t>[</w:t>
            </w:r>
            <w:r>
              <w:rPr>
                <w:rStyle w:val="IndexLink"/>
                <w:rtl w:val="true"/>
              </w:rPr>
              <w:t>و منصوصا</w:t>
            </w:r>
            <w:r>
              <w:rPr>
                <w:rStyle w:val="IndexLink"/>
                <w:rtl w:val="true"/>
              </w:rPr>
              <w:t>]</w:t>
              <w:tab/>
            </w:r>
            <w:r>
              <w:rPr>
                <w:rStyle w:val="IndexLink"/>
              </w:rPr>
              <w:t>209</w:t>
            </w:r>
          </w:hyperlink>
        </w:p>
        <w:p>
          <w:pPr>
            <w:pStyle w:val="Contents3"/>
            <w:tabs>
              <w:tab w:val="clear" w:pos="8459"/>
              <w:tab w:val="right" w:pos="9026" w:leader="dot"/>
            </w:tabs>
            <w:rPr/>
          </w:pPr>
          <w:hyperlink w:anchor="__RefHeading___Toc3242415_2870459653">
            <w:r>
              <w:rPr>
                <w:webHidden/>
                <w:rStyle w:val="IndexLink"/>
                <w:rtl w:val="true"/>
              </w:rPr>
              <w:t>المطلب الرّابع في أنّ الإمام بعد النبيّ صلّى اللّه عليه و آله و سلّم هو عليّ عليه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242417_2870459653">
            <w:r>
              <w:rPr>
                <w:webHidden/>
                <w:rStyle w:val="IndexLink"/>
                <w:rtl w:val="true"/>
              </w:rPr>
              <w:t>المطلب الخامس في إمامة باقي الأئمّة الاثني عشر عليهم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3242419_2870459653">
            <w:r>
              <w:rPr>
                <w:webHidden/>
                <w:rStyle w:val="IndexLink"/>
                <w:rtl w:val="true"/>
              </w:rPr>
              <w:t>خاتمة</w:t>
            </w:r>
            <w:r>
              <w:rPr>
                <w:rStyle w:val="IndexLink"/>
                <w:rtl w:val="true"/>
              </w:rPr>
              <w:tab/>
            </w:r>
            <w:r>
              <w:rPr>
                <w:rStyle w:val="IndexLink"/>
              </w:rPr>
              <w:t>214</w:t>
            </w:r>
          </w:hyperlink>
        </w:p>
        <w:p>
          <w:pPr>
            <w:pStyle w:val="Contents2"/>
            <w:tabs>
              <w:tab w:val="clear" w:pos="8743"/>
              <w:tab w:val="right" w:pos="9026" w:leader="dot"/>
            </w:tabs>
            <w:rPr/>
          </w:pPr>
          <w:hyperlink w:anchor="__RefHeading___Toc3242421_2870459653">
            <w:r>
              <w:rPr>
                <w:webHidden/>
                <w:rStyle w:val="IndexLink"/>
                <w:rtl w:val="true"/>
              </w:rPr>
              <w:t>المرصد التّاسع في المعاد و فيه مطالب</w:t>
            </w:r>
            <w:r>
              <w:rPr>
                <w:rStyle w:val="IndexLink"/>
                <w:rtl w:val="true"/>
              </w:rPr>
              <w:tab/>
            </w:r>
            <w:r>
              <w:rPr>
                <w:rStyle w:val="IndexLink"/>
              </w:rPr>
              <w:t>216</w:t>
            </w:r>
          </w:hyperlink>
        </w:p>
        <w:p>
          <w:pPr>
            <w:pStyle w:val="Contents3"/>
            <w:tabs>
              <w:tab w:val="clear" w:pos="8459"/>
              <w:tab w:val="right" w:pos="9026" w:leader="dot"/>
            </w:tabs>
            <w:rPr/>
          </w:pPr>
          <w:hyperlink w:anchor="__RefHeading___Toc3242423_2870459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3242425_2870459653">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إمكان خلق عالم آخر</w:t>
            </w:r>
            <w:r>
              <w:rPr>
                <w:rStyle w:val="IndexLink"/>
                <w:rtl w:val="true"/>
              </w:rPr>
              <w:tab/>
            </w:r>
            <w:r>
              <w:rPr>
                <w:rStyle w:val="IndexLink"/>
              </w:rPr>
              <w:t>218</w:t>
            </w:r>
          </w:hyperlink>
        </w:p>
        <w:p>
          <w:pPr>
            <w:pStyle w:val="Contents3"/>
            <w:tabs>
              <w:tab w:val="clear" w:pos="8459"/>
              <w:tab w:val="right" w:pos="9026" w:leader="dot"/>
            </w:tabs>
            <w:rPr/>
          </w:pPr>
          <w:hyperlink w:anchor="__RefHeading___Toc3242427_2870459653">
            <w:r>
              <w:rPr>
                <w:webHidden/>
                <w:rStyle w:val="IndexLink"/>
                <w:rtl w:val="true"/>
              </w:rPr>
              <w:t>المطلب الثّاني في إمكان عدم العالم</w:t>
            </w:r>
            <w:r>
              <w:rPr>
                <w:rStyle w:val="IndexLink"/>
                <w:rtl w:val="true"/>
              </w:rPr>
              <w:tab/>
            </w:r>
            <w:r>
              <w:rPr>
                <w:rStyle w:val="IndexLink"/>
              </w:rPr>
              <w:t>219</w:t>
            </w:r>
          </w:hyperlink>
        </w:p>
        <w:p>
          <w:pPr>
            <w:pStyle w:val="Contents4"/>
            <w:tabs>
              <w:tab w:val="clear" w:pos="8176"/>
              <w:tab w:val="right" w:pos="9026" w:leader="dot"/>
            </w:tabs>
            <w:rPr/>
          </w:pPr>
          <w:hyperlink w:anchor="__RefHeading___Toc3242429_2870459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3242431_2870459653">
            <w:r>
              <w:rPr>
                <w:webHidden/>
                <w:rStyle w:val="IndexLink"/>
                <w:rtl w:val="true"/>
              </w:rPr>
              <w:t>تذنيب</w:t>
            </w:r>
            <w:r>
              <w:rPr>
                <w:rStyle w:val="IndexLink"/>
                <w:rtl w:val="true"/>
              </w:rPr>
              <w:tab/>
            </w:r>
            <w:r>
              <w:rPr>
                <w:rStyle w:val="IndexLink"/>
              </w:rPr>
              <w:t>220</w:t>
            </w:r>
          </w:hyperlink>
        </w:p>
        <w:p>
          <w:pPr>
            <w:pStyle w:val="Contents3"/>
            <w:tabs>
              <w:tab w:val="clear" w:pos="8459"/>
              <w:tab w:val="right" w:pos="9026" w:leader="dot"/>
            </w:tabs>
            <w:rPr/>
          </w:pPr>
          <w:hyperlink w:anchor="__RefHeading___Toc3242433_2870459653">
            <w:r>
              <w:rPr>
                <w:webHidden/>
                <w:rStyle w:val="IndexLink"/>
                <w:rtl w:val="true"/>
              </w:rPr>
              <w:t>المطلب الثّالث في إمكان إعادة المعدوم</w:t>
            </w:r>
            <w:r>
              <w:rPr>
                <w:rStyle w:val="IndexLink"/>
                <w:rtl w:val="true"/>
              </w:rPr>
              <w:tab/>
            </w:r>
            <w:r>
              <w:rPr>
                <w:rStyle w:val="IndexLink"/>
              </w:rPr>
              <w:t>222</w:t>
            </w:r>
          </w:hyperlink>
        </w:p>
        <w:p>
          <w:pPr>
            <w:pStyle w:val="Contents4"/>
            <w:tabs>
              <w:tab w:val="clear" w:pos="8176"/>
              <w:tab w:val="right" w:pos="9026" w:leader="dot"/>
            </w:tabs>
            <w:rPr/>
          </w:pPr>
          <w:hyperlink w:anchor="__RefHeading___Toc3242435_2870459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242437_2870459653">
            <w:r>
              <w:rPr>
                <w:webHidden/>
                <w:rStyle w:val="IndexLink"/>
                <w:rtl w:val="true"/>
              </w:rPr>
              <w:t>و الجواب</w:t>
            </w:r>
            <w:r>
              <w:rPr>
                <w:rStyle w:val="IndexLink"/>
                <w:rtl w:val="true"/>
              </w:rPr>
              <w:t>:</w:t>
              <w:tab/>
            </w:r>
            <w:r>
              <w:rPr>
                <w:rStyle w:val="IndexLink"/>
              </w:rPr>
              <w:t>222</w:t>
            </w:r>
          </w:hyperlink>
        </w:p>
        <w:p>
          <w:pPr>
            <w:pStyle w:val="Contents3"/>
            <w:tabs>
              <w:tab w:val="clear" w:pos="8459"/>
              <w:tab w:val="right" w:pos="9026" w:leader="dot"/>
            </w:tabs>
            <w:rPr/>
          </w:pPr>
          <w:hyperlink w:anchor="__RefHeading___Toc3242439_2870459653">
            <w:r>
              <w:rPr>
                <w:webHidden/>
                <w:rStyle w:val="IndexLink"/>
                <w:rtl w:val="true"/>
              </w:rPr>
              <w:t>المطلب الرّابع في ثبوت المعاد</w:t>
            </w:r>
            <w:r>
              <w:rPr>
                <w:rStyle w:val="IndexLink"/>
                <w:rtl w:val="true"/>
              </w:rPr>
              <w:tab/>
            </w:r>
            <w:r>
              <w:rPr>
                <w:rStyle w:val="IndexLink"/>
              </w:rPr>
              <w:t>223</w:t>
            </w:r>
          </w:hyperlink>
        </w:p>
        <w:p>
          <w:pPr>
            <w:pStyle w:val="Contents4"/>
            <w:tabs>
              <w:tab w:val="clear" w:pos="8176"/>
              <w:tab w:val="right" w:pos="9026" w:leader="dot"/>
            </w:tabs>
            <w:rPr/>
          </w:pPr>
          <w:hyperlink w:anchor="__RefHeading___Toc3242441_2870459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242443_2870459653">
            <w:r>
              <w:rPr>
                <w:webHidden/>
                <w:rStyle w:val="IndexLink"/>
                <w:rtl w:val="true"/>
              </w:rPr>
              <w:t>تنبيه</w:t>
            </w:r>
            <w:r>
              <w:rPr>
                <w:rStyle w:val="IndexLink"/>
                <w:rtl w:val="true"/>
              </w:rPr>
              <w:tab/>
            </w:r>
            <w:r>
              <w:rPr>
                <w:rStyle w:val="IndexLink"/>
              </w:rPr>
              <w:t>224</w:t>
            </w:r>
          </w:hyperlink>
        </w:p>
        <w:p>
          <w:pPr>
            <w:pStyle w:val="Contents4"/>
            <w:tabs>
              <w:tab w:val="clear" w:pos="8176"/>
              <w:tab w:val="right" w:pos="9026" w:leader="dot"/>
            </w:tabs>
            <w:rPr/>
          </w:pPr>
          <w:hyperlink w:anchor="__RefHeading___Toc3242445_2870459653">
            <w:r>
              <w:rPr>
                <w:webHidden/>
                <w:rStyle w:val="IndexLink"/>
                <w:rtl w:val="true"/>
              </w:rPr>
              <w:t>تذنيب</w:t>
            </w:r>
            <w:r>
              <w:rPr>
                <w:rStyle w:val="IndexLink"/>
                <w:rtl w:val="true"/>
              </w:rPr>
              <w:tab/>
            </w:r>
            <w:r>
              <w:rPr>
                <w:rStyle w:val="IndexLink"/>
              </w:rPr>
              <w:t>224</w:t>
            </w:r>
          </w:hyperlink>
        </w:p>
        <w:p>
          <w:pPr>
            <w:pStyle w:val="Contents3"/>
            <w:tabs>
              <w:tab w:val="clear" w:pos="8459"/>
              <w:tab w:val="right" w:pos="9026" w:leader="dot"/>
            </w:tabs>
            <w:rPr/>
          </w:pPr>
          <w:hyperlink w:anchor="__RefHeading___Toc3242447_2870459653">
            <w:r>
              <w:rPr>
                <w:webHidden/>
                <w:rStyle w:val="IndexLink"/>
                <w:rtl w:val="true"/>
              </w:rPr>
              <w:t>المطلب الخامس في الوعد و الوعيد</w:t>
            </w:r>
            <w:r>
              <w:rPr>
                <w:rStyle w:val="IndexLink"/>
                <w:rtl w:val="true"/>
              </w:rPr>
              <w:tab/>
            </w:r>
            <w:r>
              <w:rPr>
                <w:rStyle w:val="IndexLink"/>
              </w:rPr>
              <w:t>225</w:t>
            </w:r>
          </w:hyperlink>
        </w:p>
        <w:p>
          <w:pPr>
            <w:pStyle w:val="Contents4"/>
            <w:tabs>
              <w:tab w:val="clear" w:pos="8176"/>
              <w:tab w:val="right" w:pos="9026" w:leader="dot"/>
            </w:tabs>
            <w:rPr/>
          </w:pPr>
          <w:hyperlink w:anchor="__RefHeading___Toc3242449_2870459653">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3242451_2870459653">
            <w:r>
              <w:rPr>
                <w:webHidden/>
                <w:rStyle w:val="IndexLink"/>
                <w:rtl w:val="true"/>
              </w:rPr>
              <w:t>و الجواب</w:t>
            </w:r>
            <w:r>
              <w:rPr>
                <w:rStyle w:val="IndexLink"/>
                <w:rtl w:val="true"/>
              </w:rPr>
              <w:t>:</w:t>
              <w:tab/>
            </w:r>
            <w:r>
              <w:rPr>
                <w:rStyle w:val="IndexLink"/>
              </w:rPr>
              <w:t>225</w:t>
            </w:r>
          </w:hyperlink>
        </w:p>
        <w:p>
          <w:pPr>
            <w:pStyle w:val="Contents4"/>
            <w:tabs>
              <w:tab w:val="clear" w:pos="8176"/>
              <w:tab w:val="right" w:pos="9026" w:leader="dot"/>
            </w:tabs>
            <w:rPr/>
          </w:pPr>
          <w:hyperlink w:anchor="__RefHeading___Toc3242453_2870459653">
            <w:r>
              <w:rPr>
                <w:webHidden/>
                <w:rStyle w:val="IndexLink"/>
                <w:rtl w:val="true"/>
              </w:rPr>
              <w:t>فائدة</w:t>
            </w:r>
            <w:r>
              <w:rPr>
                <w:rStyle w:val="IndexLink"/>
                <w:rtl w:val="true"/>
              </w:rPr>
              <w:tab/>
            </w:r>
            <w:r>
              <w:rPr>
                <w:rStyle w:val="IndexLink"/>
              </w:rPr>
              <w:t>226</w:t>
            </w:r>
          </w:hyperlink>
        </w:p>
        <w:p>
          <w:pPr>
            <w:pStyle w:val="Contents4"/>
            <w:tabs>
              <w:tab w:val="clear" w:pos="8176"/>
              <w:tab w:val="right" w:pos="9026" w:leader="dot"/>
            </w:tabs>
            <w:rPr/>
          </w:pPr>
          <w:hyperlink w:anchor="__RefHeading___Toc3242455_2870459653">
            <w:r>
              <w:rPr>
                <w:webHidden/>
                <w:rStyle w:val="IndexLink"/>
                <w:rtl w:val="true"/>
              </w:rPr>
              <w:t>تنبيه</w:t>
            </w:r>
            <w:r>
              <w:rPr>
                <w:rStyle w:val="IndexLink"/>
                <w:rtl w:val="true"/>
              </w:rPr>
              <w:tab/>
            </w:r>
            <w:r>
              <w:rPr>
                <w:rStyle w:val="IndexLink"/>
              </w:rPr>
              <w:t>226</w:t>
            </w:r>
          </w:hyperlink>
        </w:p>
        <w:p>
          <w:pPr>
            <w:pStyle w:val="Contents4"/>
            <w:tabs>
              <w:tab w:val="clear" w:pos="8176"/>
              <w:tab w:val="right" w:pos="9026" w:leader="dot"/>
            </w:tabs>
            <w:rPr/>
          </w:pPr>
          <w:hyperlink w:anchor="__RefHeading___Toc3242457_2870459653">
            <w:r>
              <w:rPr>
                <w:webHidden/>
                <w:rStyle w:val="IndexLink"/>
                <w:rtl w:val="true"/>
              </w:rPr>
              <w:t>تذنيب</w:t>
            </w:r>
            <w:r>
              <w:rPr>
                <w:rStyle w:val="IndexLink"/>
                <w:rtl w:val="true"/>
              </w:rPr>
              <w:tab/>
            </w:r>
            <w:r>
              <w:rPr>
                <w:rStyle w:val="IndexLink"/>
              </w:rPr>
              <w:t>227</w:t>
            </w:r>
          </w:hyperlink>
        </w:p>
        <w:p>
          <w:pPr>
            <w:pStyle w:val="Contents3"/>
            <w:tabs>
              <w:tab w:val="clear" w:pos="8459"/>
              <w:tab w:val="right" w:pos="9026" w:leader="dot"/>
            </w:tabs>
            <w:rPr/>
          </w:pPr>
          <w:hyperlink w:anchor="__RefHeading___Toc3242459_2870459653">
            <w:r>
              <w:rPr>
                <w:webHidden/>
                <w:rStyle w:val="IndexLink"/>
                <w:rtl w:val="true"/>
              </w:rPr>
              <w:t>المطلب السّادس في الإحباط و التكفير</w:t>
            </w:r>
            <w:r>
              <w:rPr>
                <w:rStyle w:val="IndexLink"/>
                <w:rtl w:val="true"/>
              </w:rPr>
              <w:tab/>
            </w:r>
            <w:r>
              <w:rPr>
                <w:rStyle w:val="IndexLink"/>
              </w:rPr>
              <w:t>228</w:t>
            </w:r>
          </w:hyperlink>
        </w:p>
        <w:p>
          <w:pPr>
            <w:pStyle w:val="Contents3"/>
            <w:tabs>
              <w:tab w:val="clear" w:pos="8459"/>
              <w:tab w:val="right" w:pos="9026" w:leader="dot"/>
            </w:tabs>
            <w:rPr/>
          </w:pPr>
          <w:hyperlink w:anchor="__RefHeading___Toc3242461_2870459653">
            <w:r>
              <w:rPr>
                <w:webHidden/>
                <w:rStyle w:val="IndexLink"/>
                <w:rtl w:val="true"/>
              </w:rPr>
              <w:t>المطلب السّابع في التّوبة</w:t>
            </w:r>
            <w:r>
              <w:rPr>
                <w:rStyle w:val="IndexLink"/>
                <w:rtl w:val="true"/>
              </w:rPr>
              <w:tab/>
            </w:r>
            <w:r>
              <w:rPr>
                <w:rStyle w:val="IndexLink"/>
              </w:rPr>
              <w:t>230</w:t>
            </w:r>
          </w:hyperlink>
        </w:p>
        <w:p>
          <w:pPr>
            <w:pStyle w:val="Contents4"/>
            <w:tabs>
              <w:tab w:val="clear" w:pos="8176"/>
              <w:tab w:val="right" w:pos="9026" w:leader="dot"/>
            </w:tabs>
            <w:rPr/>
          </w:pPr>
          <w:hyperlink w:anchor="__RefHeading___Toc3242463_2870459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3242465_2870459653">
            <w:r>
              <w:rPr>
                <w:webHidden/>
                <w:rStyle w:val="IndexLink"/>
                <w:rtl w:val="true"/>
              </w:rPr>
              <w:t>تنبيه</w:t>
            </w:r>
            <w:r>
              <w:rPr>
                <w:rStyle w:val="IndexLink"/>
                <w:rtl w:val="true"/>
              </w:rPr>
              <w:tab/>
            </w:r>
            <w:r>
              <w:rPr>
                <w:rStyle w:val="IndexLink"/>
              </w:rPr>
              <w:t>231</w:t>
            </w:r>
          </w:hyperlink>
        </w:p>
        <w:p>
          <w:pPr>
            <w:pStyle w:val="Contents4"/>
            <w:tabs>
              <w:tab w:val="clear" w:pos="8176"/>
              <w:tab w:val="right" w:pos="9026" w:leader="dot"/>
            </w:tabs>
            <w:rPr/>
          </w:pPr>
          <w:hyperlink w:anchor="__RefHeading___Toc3242467_2870459653">
            <w:r>
              <w:rPr>
                <w:webHidden/>
                <w:rStyle w:val="IndexLink"/>
                <w:rtl w:val="true"/>
              </w:rPr>
              <w:t>تذنيب</w:t>
            </w:r>
            <w:r>
              <w:rPr>
                <w:rStyle w:val="IndexLink"/>
                <w:rtl w:val="true"/>
              </w:rPr>
              <w:tab/>
            </w:r>
            <w:r>
              <w:rPr>
                <w:rStyle w:val="IndexLink"/>
              </w:rPr>
              <w:t>231</w:t>
            </w:r>
          </w:hyperlink>
        </w:p>
        <w:p>
          <w:pPr>
            <w:pStyle w:val="Contents3"/>
            <w:tabs>
              <w:tab w:val="clear" w:pos="8459"/>
              <w:tab w:val="right" w:pos="9026" w:leader="dot"/>
            </w:tabs>
            <w:rPr/>
          </w:pPr>
          <w:hyperlink w:anchor="__RefHeading___Toc3242469_2870459653">
            <w:r>
              <w:rPr>
                <w:webHidden/>
                <w:rStyle w:val="IndexLink"/>
                <w:rtl w:val="true"/>
              </w:rPr>
              <w:t>المطلب الثّامن في جواز العفو</w:t>
            </w:r>
            <w:r>
              <w:rPr>
                <w:rStyle w:val="IndexLink"/>
                <w:rtl w:val="true"/>
              </w:rPr>
              <w:tab/>
            </w:r>
            <w:r>
              <w:rPr>
                <w:rStyle w:val="IndexLink"/>
              </w:rPr>
              <w:t>232</w:t>
            </w:r>
          </w:hyperlink>
        </w:p>
        <w:p>
          <w:pPr>
            <w:pStyle w:val="Contents3"/>
            <w:tabs>
              <w:tab w:val="clear" w:pos="8459"/>
              <w:tab w:val="right" w:pos="9026" w:leader="dot"/>
            </w:tabs>
            <w:rPr/>
          </w:pPr>
          <w:hyperlink w:anchor="__RefHeading___Toc3242471_2870459653">
            <w:r>
              <w:rPr>
                <w:webHidden/>
                <w:rStyle w:val="IndexLink"/>
                <w:rtl w:val="true"/>
              </w:rPr>
              <w:t>المطلب التّاسع في أنّ عذاب الفاسق منقطع</w:t>
            </w:r>
            <w:r>
              <w:rPr>
                <w:rStyle w:val="IndexLink"/>
                <w:rtl w:val="true"/>
              </w:rPr>
              <w:tab/>
            </w:r>
            <w:r>
              <w:rPr>
                <w:rStyle w:val="IndexLink"/>
              </w:rPr>
              <w:t>233</w:t>
            </w:r>
          </w:hyperlink>
        </w:p>
        <w:p>
          <w:pPr>
            <w:pStyle w:val="Contents3"/>
            <w:tabs>
              <w:tab w:val="clear" w:pos="8459"/>
              <w:tab w:val="right" w:pos="9026" w:leader="dot"/>
            </w:tabs>
            <w:rPr/>
          </w:pPr>
          <w:hyperlink w:anchor="__RefHeading___Toc3242473_2870459653">
            <w:r>
              <w:rPr>
                <w:webHidden/>
                <w:rStyle w:val="IndexLink"/>
                <w:rtl w:val="true"/>
              </w:rPr>
              <w:t>المطلب العاشر في الأسماء و الأحكام</w:t>
            </w:r>
            <w:r>
              <w:rPr>
                <w:rStyle w:val="IndexLink"/>
                <w:rtl w:val="true"/>
              </w:rPr>
              <w:tab/>
            </w:r>
            <w:r>
              <w:rPr>
                <w:rStyle w:val="IndexLink"/>
              </w:rPr>
              <w:t>234</w:t>
            </w:r>
          </w:hyperlink>
        </w:p>
        <w:p>
          <w:pPr>
            <w:pStyle w:val="Contents2"/>
            <w:tabs>
              <w:tab w:val="clear" w:pos="8743"/>
              <w:tab w:val="right" w:pos="9026" w:leader="dot"/>
            </w:tabs>
            <w:rPr/>
          </w:pPr>
          <w:hyperlink w:anchor="__RefHeading___Toc3242475_2870459653">
            <w:r>
              <w:rPr>
                <w:webHidden/>
                <w:rStyle w:val="IndexLink"/>
                <w:rtl w:val="true"/>
              </w:rPr>
              <w:t>الفهارس</w:t>
            </w:r>
            <w:r>
              <w:rPr>
                <w:rStyle w:val="IndexLink"/>
                <w:rtl w:val="true"/>
              </w:rPr>
              <w:tab/>
            </w:r>
            <w:r>
              <w:rPr>
                <w:rStyle w:val="IndexLink"/>
              </w:rPr>
              <w:t>238</w:t>
            </w:r>
          </w:hyperlink>
        </w:p>
        <w:p>
          <w:pPr>
            <w:pStyle w:val="Contents3"/>
            <w:tabs>
              <w:tab w:val="clear" w:pos="8459"/>
              <w:tab w:val="right" w:pos="9026" w:leader="dot"/>
            </w:tabs>
            <w:rPr/>
          </w:pPr>
          <w:hyperlink w:anchor="__RefHeading___Toc3242477_2870459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3242479_2870459653">
            <w:r>
              <w:rPr>
                <w:webHidden/>
                <w:rStyle w:val="IndexLink"/>
                <w:rtl w:val="true"/>
              </w:rPr>
              <w:t>فهرس الآيات</w:t>
            </w:r>
            <w:r>
              <w:rPr>
                <w:rStyle w:val="IndexLink"/>
                <w:rtl w:val="true"/>
              </w:rPr>
              <w:tab/>
            </w:r>
            <w:r>
              <w:rPr>
                <w:rStyle w:val="IndexLink"/>
              </w:rPr>
              <w:t>240</w:t>
            </w:r>
          </w:hyperlink>
        </w:p>
        <w:p>
          <w:pPr>
            <w:pStyle w:val="Contents3"/>
            <w:tabs>
              <w:tab w:val="clear" w:pos="8459"/>
              <w:tab w:val="right" w:pos="9026" w:leader="dot"/>
            </w:tabs>
            <w:rPr/>
          </w:pPr>
          <w:hyperlink w:anchor="__RefHeading___Toc3242481_2870459653">
            <w:r>
              <w:rPr>
                <w:webHidden/>
                <w:rStyle w:val="IndexLink"/>
                <w:rtl w:val="true"/>
              </w:rPr>
              <w:t>فهرس الأحاديث و الروايات</w:t>
            </w:r>
            <w:r>
              <w:rPr>
                <w:rStyle w:val="IndexLink"/>
                <w:rtl w:val="true"/>
              </w:rPr>
              <w:tab/>
            </w:r>
            <w:r>
              <w:rPr>
                <w:rStyle w:val="IndexLink"/>
              </w:rPr>
              <w:t>244</w:t>
            </w:r>
          </w:hyperlink>
        </w:p>
        <w:p>
          <w:pPr>
            <w:pStyle w:val="Contents3"/>
            <w:tabs>
              <w:tab w:val="clear" w:pos="8459"/>
              <w:tab w:val="right" w:pos="9026" w:leader="dot"/>
            </w:tabs>
            <w:rPr/>
          </w:pPr>
          <w:hyperlink w:anchor="__RefHeading___Toc3242483_2870459653">
            <w:r>
              <w:rPr>
                <w:webHidden/>
                <w:rStyle w:val="IndexLink"/>
                <w:rtl w:val="true"/>
              </w:rPr>
              <w:t>فهرس الأعلام و الرواة</w:t>
            </w:r>
            <w:r>
              <w:rPr>
                <w:rStyle w:val="IndexLink"/>
                <w:rtl w:val="true"/>
              </w:rPr>
              <w:tab/>
            </w:r>
            <w:r>
              <w:rPr>
                <w:rStyle w:val="IndexLink"/>
              </w:rPr>
              <w:t>248</w:t>
            </w:r>
          </w:hyperlink>
        </w:p>
        <w:p>
          <w:pPr>
            <w:pStyle w:val="Contents3"/>
            <w:tabs>
              <w:tab w:val="clear" w:pos="8459"/>
              <w:tab w:val="right" w:pos="9026" w:leader="dot"/>
            </w:tabs>
            <w:rPr/>
          </w:pPr>
          <w:hyperlink w:anchor="__RefHeading___Toc3242485_2870459653">
            <w:r>
              <w:rPr>
                <w:webHidden/>
                <w:rStyle w:val="IndexLink"/>
                <w:rtl w:val="true"/>
              </w:rPr>
              <w:t>فهرس أسماء الكتب الواردة في المتن</w:t>
            </w:r>
            <w:r>
              <w:rPr>
                <w:rStyle w:val="IndexLink"/>
                <w:rtl w:val="true"/>
              </w:rPr>
              <w:tab/>
            </w:r>
            <w:r>
              <w:rPr>
                <w:rStyle w:val="IndexLink"/>
              </w:rPr>
              <w:t>252</w:t>
            </w:r>
          </w:hyperlink>
        </w:p>
        <w:p>
          <w:pPr>
            <w:pStyle w:val="Contents3"/>
            <w:tabs>
              <w:tab w:val="clear" w:pos="8459"/>
              <w:tab w:val="right" w:pos="9026" w:leader="dot"/>
            </w:tabs>
            <w:rPr/>
          </w:pPr>
          <w:hyperlink w:anchor="__RefHeading___Toc3242487_2870459653">
            <w:r>
              <w:rPr>
                <w:webHidden/>
                <w:rStyle w:val="IndexLink"/>
                <w:rtl w:val="true"/>
              </w:rPr>
              <w:t>فهرس الفرق و المذاهب و الديانات</w:t>
            </w:r>
            <w:r>
              <w:rPr>
                <w:rStyle w:val="IndexLink"/>
                <w:rtl w:val="true"/>
              </w:rPr>
              <w:tab/>
            </w:r>
            <w:r>
              <w:rPr>
                <w:rStyle w:val="IndexLink"/>
              </w:rPr>
              <w:t>253</w:t>
            </w:r>
          </w:hyperlink>
        </w:p>
        <w:p>
          <w:pPr>
            <w:pStyle w:val="Contents3"/>
            <w:tabs>
              <w:tab w:val="clear" w:pos="8459"/>
              <w:tab w:val="right" w:pos="9026" w:leader="dot"/>
            </w:tabs>
            <w:rPr/>
          </w:pPr>
          <w:hyperlink w:anchor="__RefHeading___Toc3242489_2870459653">
            <w:r>
              <w:rPr>
                <w:webHidden/>
                <w:rStyle w:val="IndexLink"/>
                <w:rtl w:val="true"/>
              </w:rPr>
              <w:t>فهرس مصادر التحقيق</w:t>
            </w:r>
            <w:r>
              <w:rPr>
                <w:rStyle w:val="IndexLink"/>
                <w:rtl w:val="true"/>
              </w:rPr>
              <w:tab/>
            </w:r>
            <w:r>
              <w:rPr>
                <w:rStyle w:val="IndexLink"/>
              </w:rPr>
              <w:t>257</w:t>
            </w:r>
          </w:hyperlink>
        </w:p>
        <w:p>
          <w:pPr>
            <w:pStyle w:val="Contents3"/>
            <w:tabs>
              <w:tab w:val="clear" w:pos="8459"/>
              <w:tab w:val="right" w:pos="9026" w:leader="dot"/>
            </w:tabs>
            <w:rPr/>
          </w:pPr>
          <w:hyperlink w:anchor="__RefHeading___Toc3242491_2870459653">
            <w:r>
              <w:rPr>
                <w:webHidden/>
                <w:rStyle w:val="IndexLink"/>
                <w:rtl w:val="true"/>
              </w:rPr>
              <w:t>فهرس الموضوعات</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0_71093"/>
      <w:bookmarkStart w:id="1" w:name="pg9140_71093"/>
      <w:bookmarkEnd w:id="1"/>
    </w:p>
    <w:p>
      <w:pPr>
        <w:pStyle w:val="Heading2"/>
        <w:numPr>
          <w:ilvl w:val="1"/>
          <w:numId w:val="1"/>
        </w:numPr>
        <w:rPr/>
      </w:pPr>
      <w:bookmarkStart w:id="2" w:name="pg9140_71093"/>
      <w:bookmarkStart w:id="3" w:name="__RefHeading___Toc324210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تسلیک النفس إلی حظیرة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حلي ابی‌منصوربن ‌یوسف ‌بن‌ المطهر؛ تحقیق فاطمه رمضاني؛ تقدیم جعفر السبحاني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موسسه‌الامام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الامامية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 فاطمه، مصحح</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BP210/5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297/4172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3067602</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210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40_71097"/>
      <w:bookmarkStart w:id="8" w:name="pg9140_71097"/>
      <w:bookmarkEnd w:id="8"/>
    </w:p>
    <w:p>
      <w:pPr>
        <w:pStyle w:val="Heading2"/>
        <w:numPr>
          <w:ilvl w:val="1"/>
          <w:numId w:val="1"/>
        </w:numPr>
        <w:rPr/>
      </w:pPr>
      <w:bookmarkStart w:id="9" w:name="pg9140_71097"/>
      <w:bookmarkStart w:id="10" w:name="__RefHeading___Toc3242105_2870459653"/>
      <w:bookmarkStart w:id="11" w:name="_Toc3"/>
      <w:bookmarkEnd w:id="9"/>
      <w:bookmarkEnd w:id="10"/>
      <w:r>
        <w:rPr>
          <w:rtl w:val="true"/>
        </w:rPr>
        <w:t>المقدّمة</w:t>
      </w:r>
      <w:r>
        <w:rPr>
          <w:rtl w:val="true"/>
        </w:rPr>
        <w:t xml:space="preserve">: </w:t>
      </w:r>
      <w:r>
        <w:rPr>
          <w:rtl w:val="true"/>
        </w:rPr>
        <w:t>بقلم آية اللّه جعفر السبحاني</w:t>
      </w:r>
      <w:bookmarkEnd w:id="11"/>
    </w:p>
    <w:p>
      <w:pPr>
        <w:pStyle w:val="Heading3"/>
        <w:numPr>
          <w:ilvl w:val="2"/>
          <w:numId w:val="1"/>
        </w:numPr>
        <w:rPr/>
      </w:pPr>
      <w:bookmarkStart w:id="12" w:name="__RefHeading___Toc3242107_2870459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3242109_2870459653"/>
      <w:bookmarkStart w:id="15" w:name="_Toc5"/>
      <w:bookmarkEnd w:id="14"/>
      <w:r>
        <w:rPr>
          <w:rtl w:val="true"/>
        </w:rPr>
        <w:t>العباقرة في مرآة التاريخ</w:t>
      </w:r>
      <w:bookmarkEnd w:id="15"/>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المرسلين أبي القاسم محمد و على عترته الطيبين الطاهرين صلاة ما دامت السماوات ذات أبراج و الأرض ذات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التعرّف على مكانة العلماء البارزين و عظمتهم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خدموا المجتمع الإنساني بأفكارهم و آرائهم و كتبهم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يتمّ من خلال طريقين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كلمات العلماء في حقّهم، فإنّها مرآة لشخصياتهم، و طريق لفهم جوانب حياتهم و إدراك منزلتهم العلمية</w:t>
      </w:r>
      <w:r>
        <w:rPr>
          <w:rFonts w:eastAsia="Amiri" w:cs="Amiri" w:ascii="Amiri" w:hAnsi="Amiri"/>
          <w:color w:val="111111"/>
          <w:sz w:val="28"/>
          <w:szCs w:val="28"/>
          <w:rtl w:val="true"/>
          <w:lang w:bidi="ar-SA"/>
        </w:rPr>
        <w:t>.</w:t>
      </w:r>
      <w:bookmarkStart w:id="16" w:name="pg9140_71098"/>
    </w:p>
    <w:p>
      <w:pPr>
        <w:pStyle w:val="BookText"/>
        <w:rPr/>
      </w:pPr>
      <w:bookmarkEnd w:id="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الآثار الّتي خلّفوها على الصّعد الفكرية و العلمية و الثقافية و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بهذين الطريقين يمكن التعرّف على مكانة و دور أي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الّذي بين يديك أثر من آثار أحد أعلام الإسلام، و الّذي اشتهر بالنبوغ و العبقرية و التقدّم في ميادين العلوم العقلية و النقلية، ألا و هو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هنا كباحثين محايدين سنقوم بتحقيق هذه الشهرة الّتي لم نزل نسمعها من المشايخ العظام جيلا بعد جيل، و ذلك باتباع الطريقين المذكورين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242111_2870459653"/>
      <w:bookmarkStart w:id="18" w:name="_Toc6"/>
      <w:bookmarkEnd w:id="17"/>
      <w:r>
        <w:rPr>
          <w:rtl w:val="true"/>
        </w:rPr>
        <w:t>كلمات في حقّ المؤلّف</w:t>
      </w:r>
      <w:bookmarkEnd w:id="18"/>
    </w:p>
    <w:p>
      <w:pPr>
        <w:pStyle w:val="BookText"/>
        <w:rPr/>
      </w:pPr>
      <w:r>
        <w:rPr>
          <w:rFonts w:ascii="Amiri" w:hAnsi="Amiri" w:eastAsia="Amiri" w:cs="Amiri"/>
          <w:color w:val="111111"/>
          <w:sz w:val="28"/>
          <w:sz w:val="28"/>
          <w:szCs w:val="28"/>
          <w:rtl w:val="true"/>
          <w:lang w:bidi="ar-SA"/>
        </w:rPr>
        <w:t>إذا ألقينا نظرة على معاجم الرجال و تراجم العلماء سنجد أنّ كلّ من ذكر العلاّمة الحلّيّ رحمه اللّه أو ترجم له يصفه بما يوصف به عباقرة العلوم و جهابذة الفنون، و إليك نزرا يسيرا من كلمات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ذو الفنون، عالم الشيعة و فقيههم، صاحب التصانيف الّتي اشتهرت في حياته، و كان يصنف و هو راكب، و كان ريّض الأخلاق، مشتهر الذكاء، و كان إماما في الكلام و المعقولات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الشيعة و إمامهم و مصنّفهم، و كان آية في </w:t>
      </w:r>
    </w:p>
    <w:p>
      <w:pPr>
        <w:pStyle w:val="BookText"/>
        <w:rPr/>
      </w:pP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مشتهر الذكر، حسن الأخلاق</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ابن المطهّر الحلّيّ الإمامي، جمال الدين الشيعي، ولد في بضع و أربعين و ستمائة، و لازم النصير الطوسي مدة و اشتغل في العلوم العقلية، فمهر فيها و صنّف في الأصول و الحكمة، و كان رأس الشيعة بالحلّة، و اشتهرت تصانيفه، و تخرّج به جماعة، و شرحه على مختصر ابن الحاجب في غاية الحسن في حلّ ألفاظه و تقريب معانيه و صنّف في فقه الإمامية، و كان قيّما بذلك داعية إليه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هذه كلمات أعاظم أهل السنّة في حقّه، و أمّا أقوال علماء الشيعة فهي كثيرة نذكر منها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عرّفه ابن داود الحلّيّ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و صاحب التحقيق و التدقيق، كثير التصانيف، انتهت رئاسة الإمامية إليه في المعقول و المنقول</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علاّمة العلماء، محقّق، مدقّق، ثقة ثقة، فقيه، محدّث، متكلّم، ماهر، جليل القدر، عظيم الشأن رفيع المنزلة، لا نظير له في الفنون و العلوم العقلية و النقلية، و فضائله و محاسنه أكثر من أن تحصى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الميرزا عبد اللّه الأفندي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رضى اللّه عنه جامعا لأنواع العلوم، مصنّفا في أقسامها، حكيما متكلّما فقيها محدّثا أصوليا أديبا شاعرا ماهرا، و قد رأيت بعض أشعاره ببلدة أردبيل، و هي تدلّ على جودة طبعه في أنواع النظم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وافر التصنيف متكاثر التأليف، أخذ و استفاد عن جمّ غفير من علماء عصره من العامّة و الخاصة، و أفاد و أجاد على جمع كثير من فضلاء دهره الخاصة بل من العامة أيضا، كما يظهر من إجازات علماء الطريقين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هذا الطريق الّذي سلكناه في تعريف المؤلف، يدلّ على أنّ الفريقين اتّفقا على نبوغه و ذكائه و علمه و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معي الآن لنسلك الطريق الثاني، الّذي يرشد إليه معلمان رئيسيان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انثال عليه الأفواج من روّاد العلم من كلّ صوب، و انتهلوا من علمه و أفادوا من محاضراته، حتّى احتلّ فريق منهم مكانة سامية في الفقه و الأصول و الكلام و غيرها من المجالات، و إليك أسماء عدد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ولده فخر المحقّقين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 أخته مجد الدين أبو الفوارس محمد بن علي بن الأعرج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الدين عبد المطلب بن أبي الفوارس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ضياء الدين بن أبي الفوارس الحسيني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مهنّا بن سنان بن عبد الوهاب الحسيني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الدين محمد بن القاسم بن معية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الدين محمد بن علي بن محمد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بن يحيى الأسترآبادي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زهرة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المحاسن يونس بن ناصر الحسيني الغروي المشهدي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محمد الحلّي، ابن العتائقي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قطب الدين أبو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اثنا عشر عالما من أكابر تلاميذه أوردنا أسماءهم كمعالم على الطريق إلى الوصول إلى حقيقة شهرة العلاّمة الحلّيّ، و إلاّ فإن المتخرّجين به من الأعلام أكثر من ذلك بكثير، 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الحلّة في عصر العلاّمة أو غيره أربعمائة و أربعين مجتهدا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من المعلوم أنّ جلّ هؤلاء ممّن استقوا من نمير علمه و معين عذبه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العلمية الّتي تركها للأجيال، فضع يدك على كتبه و مؤلّفاته في شتّى الفنون، ستجده في حقل الفقه و الأصول فقيها بارعا، و أصوليّا لامعا، و في حقل المعقول و الكلام فيلسوفا ماهرا و متكلّما فذّا، و يكفي في ذلك أنّه ألّف ما يناهز ثلاثين مؤلفا في الكلام و أصول الدين و الجدل و الاحتجاج و آداب البحث و المناظرة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نحن و إن ذكرنا في تقديمنا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كثير من كتب العلاّمة في حقل الكلام، و لكنّنا نستقصي هنا كلّ ما وقفنا عليه في هذا المضمار، و إليك اسماءها مجرّدة عن التعليق و التوضيح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الأبحاث المفيدة في تحصيل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استقصاء النظر في البحث عن القضاء و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الألفين الفارق بين الصدق و 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الملكوت في شرح الياقوت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الفهم في شرح النظم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مقصد الواصلين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في معرفة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البراهين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الاعتقاد على جميع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الوصول في علمي الكلام و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في فضائل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جواب سؤالين سألهما الخواجة رشيد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أربعون مسألة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تسليك النفس إلى حظيرة القدس و الأخير هو هذا الكتاب الّذي يزفّه الطبع إلى القرّاء الكرام، و قد ألّفه العلاّمة الحلّيّ استجابة لرغبة ولده محمد المعروف بفخر المحقّقين، و خصّصه لأهم المسائل الكلامية، الّتي أفرغها في قوالب فلسفية و 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أشبه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نصير الدين الطوسي، و الّذي شرحه العلاّمة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كتابه الموسوم بتجريد الاعتقاد قد بلغ فيه أقصى المراد و جمع جلّ مسائل الكلام على أبلغ نظام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المصنّف سلك في كتابه هذا مسلك السهولة في البيان، و هو يغاير مسلك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يمتاز بالصعوبة، </w:t>
      </w:r>
    </w:p>
    <w:p>
      <w:pPr>
        <w:pStyle w:val="BookText"/>
        <w:rPr/>
      </w:pPr>
      <w:r>
        <w:rPr>
          <w:rFonts w:ascii="Amiri" w:hAnsi="Amiri" w:eastAsia="Amiri" w:cs="Amiri"/>
          <w:color w:val="111111"/>
          <w:sz w:val="28"/>
          <w:sz w:val="28"/>
          <w:szCs w:val="28"/>
          <w:rtl w:val="true"/>
          <w:lang w:bidi="ar-SA"/>
        </w:rPr>
        <w:t xml:space="preserve">و لكنّهما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و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في إضفاء الصبغة الفلسفية على المسائل الكلاميّة على نحو صار هذا النمط هو المقبول بين المتأخّرين من المتكلّمين من غير فرق بين 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كما يصفه المؤلّف في مقدّمته مشتمل على أهم المسائل و أشرفها و النكت العظيمة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فيه النكات الكلامية و أصول المطالب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الكتاب إلى مراصد،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أقسام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واجب الوجود تعالى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مرصد يشتمل على مطالب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فهرس إجمالي لمراصد الكتاب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 السيد نظام الدين عبد الحميد بن الأعرج الحلّي ابن أخت </w:t>
      </w:r>
      <w:bookmarkStart w:id="19" w:name="pg9140_71105"/>
    </w:p>
    <w:p>
      <w:pPr>
        <w:pStyle w:val="BookText"/>
        <w:rPr/>
      </w:pPr>
      <w:bookmarkEnd w:id="19"/>
      <w:r>
        <w:rPr>
          <w:rFonts w:ascii="Amiri" w:hAnsi="Amiri" w:eastAsia="Amiri" w:cs="Amiri"/>
          <w:color w:val="111111"/>
          <w:sz w:val="28"/>
          <w:sz w:val="28"/>
          <w:szCs w:val="28"/>
          <w:rtl w:val="true"/>
          <w:lang w:bidi="ar-SA"/>
        </w:rPr>
        <w:t xml:space="preserve">العلاّمة شرح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اللبس في شرح تسليك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الأم من مؤلّفات العلاّمة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الماثل بين أيدينا إرجاعات إلى نهاية المرام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242113_2870459653"/>
      <w:bookmarkStart w:id="21" w:name="_Toc7"/>
      <w:bookmarkEnd w:id="20"/>
      <w:r>
        <w:rPr>
          <w:rtl w:val="true"/>
        </w:rPr>
        <w:t>النسخ المعتمدة</w:t>
      </w:r>
      <w:bookmarkEnd w:id="21"/>
    </w:p>
    <w:p>
      <w:pPr>
        <w:pStyle w:val="BookText"/>
        <w:rPr/>
      </w:pPr>
      <w:r>
        <w:rPr>
          <w:rFonts w:ascii="Amiri" w:hAnsi="Amiri" w:eastAsia="Amiri" w:cs="Amiri"/>
          <w:color w:val="111111"/>
          <w:sz w:val="28"/>
          <w:sz w:val="28"/>
          <w:szCs w:val="28"/>
          <w:rtl w:val="true"/>
          <w:lang w:bidi="ar-SA"/>
        </w:rPr>
        <w:t>قامت الطالبة فاطمة رمضاني بتحقيق و تصحيح هذا الكتاب القيّم، تحت رعاية الأستاذين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الشيخ عبد اللّه النوراني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نجف قلي الحبيبي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نالت بذلك شهادة الماجستير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الإلهيات من كلية 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اعتمدت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عملها على نسخ ثلاث، اتّخذت الأولى منها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مواصفات هذه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متحف بريطانيا، بالاستناد إلى صورتها المستنسخة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برقم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و كاتب النسخة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الرضي الحسيني، و قد فرغ من نسخها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صفر من شهور عام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حياة المؤلّف، و تقع النسخة في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بخط النسخ، و في هوامش النسخة إيضاحات بقلم ولد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تعين على فهم المراد، و نجد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يؤيد صحّة النسخة و قلّة الخطأ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آخرها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 أيده اللّه تعالى، قولا و بحثا و فهما و ضبطا و استنساخا في مجالس آخرها سابع عشر رجب سنة اثنتين و عشرين و سبعمائة، الحمد للّه وحده و صلى اللّه على سيدنا محمد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الحسن بن المطهر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الموجودة في مكتبة آية اللّه الحكيم قدس سرّه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بالاستناد إلى صورتها المستنسخة و الموجودة في مركز إحياء التراث الإسلامي في قم المقدسة، برقم </w:t>
      </w:r>
      <w:r>
        <w:rPr>
          <w:rFonts w:eastAsia="Amiri" w:cs="Amiri" w:ascii="Amiri" w:hAnsi="Amiri"/>
          <w:color w:val="111111"/>
          <w:sz w:val="28"/>
          <w:szCs w:val="28"/>
          <w:lang w:bidi="ar-SA"/>
        </w:rPr>
        <w:t>689/2</w:t>
      </w:r>
      <w:r>
        <w:rPr>
          <w:rFonts w:ascii="Amiri" w:hAnsi="Amiri" w:eastAsia="Amiri" w:cs="Amiri"/>
          <w:color w:val="111111"/>
          <w:sz w:val="28"/>
          <w:sz w:val="28"/>
          <w:szCs w:val="28"/>
          <w:rtl w:val="true"/>
          <w:lang w:bidi="ar-SA"/>
        </w:rPr>
        <w:t xml:space="preserve">، و هذه النسخة لم يذكر فيها اسم الناسخ، و تمّ استنساخها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صفر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أنّه استنسخها من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بهذه النسخة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التدقيق و مقاصد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غير خالية من الأغلاط لفظا و معنى، و جاء في هوامش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هامش 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يكون ذلك قرينة على أنّها قرئت على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في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الموجودة في مكتبة مجلس الشورى الإسلامي برقم</w:t>
      </w:r>
      <w:bookmarkStart w:id="22" w:name="pg9140_71107"/>
    </w:p>
    <w:p>
      <w:pPr>
        <w:pStyle w:val="BookText"/>
        <w:rPr/>
      </w:pPr>
      <w:bookmarkEnd w:id="22"/>
      <w:r>
        <w:rPr>
          <w:rFonts w:eastAsia="Amiri" w:cs="Amiri" w:ascii="Amiri" w:hAnsi="Amiri"/>
          <w:color w:val="111111"/>
          <w:sz w:val="28"/>
          <w:szCs w:val="28"/>
          <w:lang w:bidi="ar-SA"/>
        </w:rPr>
        <w:t>62283</w:t>
      </w:r>
      <w:r>
        <w:rPr>
          <w:rFonts w:ascii="Amiri" w:hAnsi="Amiri" w:eastAsia="Amiri" w:cs="Amiri"/>
          <w:color w:val="111111"/>
          <w:sz w:val="28"/>
          <w:sz w:val="28"/>
          <w:szCs w:val="28"/>
          <w:rtl w:val="true"/>
          <w:lang w:bidi="ar-SA"/>
        </w:rPr>
        <w:t xml:space="preserve">، و يوجد فلمها المصغّر في مكتبة جامعة طهران، و تقع في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 من النسخة المطلب الرابع من المرصد التاسع في ثبوت المعاد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الناسخ غير معلوم، و هي غير مؤرخة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242115_2870459653"/>
      <w:bookmarkStart w:id="24" w:name="_Toc8"/>
      <w:bookmarkEnd w:id="23"/>
      <w:r>
        <w:rPr>
          <w:rtl w:val="true"/>
        </w:rPr>
        <w:t>منهج التحقيق</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اعتمدت المحقّقة الفاضلة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كأصل مع تثبيت الاختلافات مع باقي النسخ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إضافات المحقّقة لضرورة يقتضيها السياق أو للعناوين الاستنتاجية للفصول و المطالب لتسهيل المراجعة للقارئ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بين 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أحد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أخذت المحقّقة على عاتقها بذكر جميع الاختلافات الموجودة بين النسخ في الهامش مع أنّ قسما كثيرا منها ليس بصحيح قطعا، و إنّما هي هفوات النسّاخ، فكان اللازم الاقتصار على ما يحتمل الصحّة، و لكنّنا أبقيناها على صورتها، لأنّ ذلك هو المنهج الرائج لتصحيح و تحقيق النسخ الخطية من قبل الجامعيّين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تثميننا لجهود المحقّقة الفاضلة في تصحيح الكتاب و تحقيقه بهذه الدقة، و لكن كان اللازم عليها أن تورد التعاليق الموجودة في </w:t>
      </w:r>
      <w:bookmarkStart w:id="25" w:name="pg9140_71108"/>
    </w:p>
    <w:p>
      <w:pPr>
        <w:pStyle w:val="BookText"/>
        <w:rPr/>
      </w:pPr>
      <w:bookmarkEnd w:id="25"/>
      <w:r>
        <w:rPr>
          <w:rFonts w:ascii="Amiri" w:hAnsi="Amiri" w:eastAsia="Amiri" w:cs="Amiri"/>
          <w:color w:val="111111"/>
          <w:sz w:val="28"/>
          <w:sz w:val="28"/>
          <w:szCs w:val="28"/>
          <w:rtl w:val="true"/>
          <w:lang w:bidi="ar-SA"/>
        </w:rPr>
        <w:t>هامش النسخة الأولى و الّتي هي من إفادات فخر المحقّقين، لأنّ لها دور الإيضاح</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242117_2870459653"/>
      <w:bookmarkStart w:id="27" w:name="_Toc9"/>
      <w:bookmarkEnd w:id="26"/>
      <w:r>
        <w:rPr>
          <w:rtl w:val="true"/>
        </w:rPr>
        <w:t>ختامه مسك</w:t>
      </w:r>
      <w:bookmarkEnd w:id="27"/>
    </w:p>
    <w:p>
      <w:pPr>
        <w:pStyle w:val="BookText"/>
        <w:rPr/>
      </w:pPr>
      <w:r>
        <w:rPr>
          <w:rFonts w:ascii="Amiri" w:hAnsi="Amiri" w:eastAsia="Amiri" w:cs="Amiri"/>
          <w:color w:val="111111"/>
          <w:sz w:val="28"/>
          <w:sz w:val="28"/>
          <w:szCs w:val="28"/>
          <w:rtl w:val="true"/>
          <w:lang w:bidi="ar-SA"/>
        </w:rPr>
        <w:t xml:space="preserve">قد وقفت على أسماء الكتب الكلامية الّتي سطرتها يد العلاّمة الحلّيّ و الّتي بذل في تأليفها و تصنيفها أوقاتا ثمينة و أنفاسا قدسية، و شغلت كل أوقاته في الحضر و السفر، و قد ألّف قسما منها بين عام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خلال تواجده في إيران بمعية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العلاّمة رحمه اللّه ثمانية و سبعين عاما حيث ولد عام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انتقل إلى جوار ربه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ترك مكتبة ثمينة و غزيرة في أغلب العلوم و المعارف قلّما يتّفق لإنسان أن يأتي بهذا العطاء الثّر، و قد قام العلاّمة الراحل السيد عبد العزيز الطباطبائي باستقصاء جميع ما ألّفه العلاّمة الحلّيّ، و ذكر ذلك كلّه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مجموع ما ذكره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العلاّمة في مواهبه و قابلياته و آثاره الضخمة، و هو قدوة لكلّ الأجيال، إذ أنّه نهض بمسئوليته الفكرية و العلمية و الدينية في عصر ماجت فيه التيارات الفكرية من مختلف الفرق و لم يكن له بد من سدّ كلّ ثغرة ببيانه و قلمه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إذ نعيش في هذا العصر العصيب الّذي تعدّدت فيه المناهج الكلامية و التيارات الفلسفية الّتي تبتغي نشر الإلحاد و إطفاء نور الإيمان في قلوب الشباب، نهيب بكلّ من ينبض قلبه بحب الإسلام و خدمة المجتمع أن يقتدي بالعلاّمة الحلي رحمه اللّه في التصدي إلى البحوث الكلامية و الفلسفية بشكل يلائم لسان العصر و منطق الشباب، إذ لكلّ زمان منطق و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بعث العلاّمة الحلي و أستاذه نصير الدين و تلميذه قطب الدين الرازي و غيرهم من الأجلاّء في هذا الزمان، لكان لهم قصب السبق في بيان العقائد الإسلامية و المفاهيم الدينية على مختلف المستويات، و لم يفتّروا عن التأليف و التصنيف، و لم يسأموا من الإرشاد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جميع علمائنا الماضين و حفظ اللّه الباقين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مؤسسة الإمام الصادق عليه السّلام قد اهتمت بتدريس علم الكلام في مستويات عالية، و تخرّج منها جمع من الفضلاء تسلّحوا بمنطق العلم و الكلام و انتشروا في البلاد، و لم تزل الدراسات الكلامية مستمرة لنيل شهادات البكلوريوس و الماجستير و الدكتوراه في معهد علم الكلام التابع للمؤسسة بإشرافنا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إتماما لما قامت به المؤسسة من تحقيق و نشر عدد من مؤلفات العلاّمة الحلّيّ رحمه اللّه في الكلام و الأصول و الفقه، أخذنا على عاتقنا طبع و نشر هذه الرسالة الجامعية، شاكرين للمحقّقة الفاضلة و للأفاضل أعضاء لجنة </w:t>
      </w:r>
    </w:p>
    <w:p>
      <w:pPr>
        <w:pStyle w:val="BookText"/>
        <w:rPr/>
      </w:pPr>
      <w:r>
        <w:rPr>
          <w:rFonts w:ascii="Amiri" w:hAnsi="Amiri" w:eastAsia="Amiri" w:cs="Amiri"/>
          <w:color w:val="111111"/>
          <w:sz w:val="28"/>
          <w:sz w:val="28"/>
          <w:szCs w:val="28"/>
          <w:rtl w:val="true"/>
          <w:lang w:bidi="ar-SA"/>
        </w:rPr>
        <w:t>الإشراف، جهودهم المضنية الّتي بذلت في تحقيق و تصحيح هذا الأثر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داعين اللّه لهم بالتوفيق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بنعمته تتم الصالحات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مؤسسة الإمام الصادق عليه السّلام قم المقدسة رابع شهر ذي العقدة الحرام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8" w:name="pg9140_71111"/>
    </w:p>
    <w:p>
      <w:pPr>
        <w:pStyle w:val="Heading2"/>
        <w:numPr>
          <w:ilvl w:val="1"/>
          <w:numId w:val="1"/>
        </w:numPr>
        <w:rPr/>
      </w:pPr>
      <w:bookmarkStart w:id="29" w:name="__RefHeading___Toc3242119_2870459653"/>
      <w:bookmarkStart w:id="30" w:name="_Toc10"/>
      <w:bookmarkEnd w:id="28"/>
      <w:bookmarkEnd w:id="29"/>
      <w:r>
        <w:rPr>
          <w:rtl w:val="true"/>
        </w:rPr>
        <w:t>[</w:t>
      </w:r>
      <w:r>
        <w:rPr>
          <w:rtl w:val="true"/>
        </w:rPr>
        <w:t>مقدمة المؤلف</w:t>
      </w:r>
      <w:r>
        <w:rPr>
          <w:rtl w:val="true"/>
        </w:rPr>
        <w:t>]</w:t>
      </w:r>
      <w:bookmarkEnd w:id="30"/>
    </w:p>
    <w:p>
      <w:pPr>
        <w:pStyle w:val="BookText"/>
        <w:rPr/>
      </w:pPr>
      <w:r>
        <w:rPr>
          <w:rFonts w:ascii="Amiri" w:hAnsi="Amiri" w:eastAsia="Amiri" w:cs="Amiri"/>
          <w:color w:val="111111"/>
          <w:sz w:val="28"/>
          <w:sz w:val="28"/>
          <w:szCs w:val="28"/>
          <w:rtl w:val="true"/>
          <w:lang w:bidi="ar-SA"/>
        </w:rPr>
        <w:t>بسم اللّه الرّحمن الرّحيم الحمد للّه القديم الأزليّ، الدّائم الأبديّ، الإله القهّار، الواجب الغنيّ، المالك القويّ، القديم الجبّار، الحكيم الكريم، العليّ العظيم الغفّار، العليم الحكيم، الرّءوف الرّحيم، العطوف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إنعامه المدرار، و أشكره على آلائه المسيلة الغزار، و أسأله التّوفيق في هذه الدّار لحسن العقبى في دار القرار؛ و صلّى اللّه على سيّدنا محمّد النّبيّ المختار و على آله الأئمّة الأطهار و عترته الأخيار الأبرار، صلاة تتعاقب عليهم تعاقب الأعصار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أجبت سؤالك، أيّها الولد الصّالح،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تصنيف هذا الكتاب المسمّى بتسليك النّفس إلى حظيرة القدس، مشتملا على المسائل المهمّة الشّريفة و النّكت العظيمة اللّطيفة، و بيّنت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لمراضيه و أعانك على امتثال أوامره و 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لبّ </w:t>
      </w:r>
    </w:p>
    <w:p>
      <w:pPr>
        <w:pStyle w:val="BookText"/>
        <w:rPr/>
      </w:pPr>
      <w:r>
        <w:rPr>
          <w:rFonts w:ascii="Amiri" w:hAnsi="Amiri" w:eastAsia="Amiri" w:cs="Amiri"/>
          <w:color w:val="111111"/>
          <w:sz w:val="28"/>
          <w:sz w:val="28"/>
          <w:szCs w:val="28"/>
          <w:rtl w:val="true"/>
          <w:lang w:bidi="ar-SA"/>
        </w:rPr>
        <w:t xml:space="preserve">النّكت الكلاميّة، و أوضحت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المطالب العقليّة، أسعدك اللّه في الدّارين و رزقك تكميل الرّئاستين بمنّه و لطفه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رتّبت</w:t>
      </w:r>
      <w:r>
        <w:rPr>
          <w:rStyle w:val="FootnoteAnchor"/>
          <w:rtl w:val="true"/>
        </w:rPr>
        <w:footnoteReference w:id="11"/>
      </w:r>
      <w:r>
        <w:rPr>
          <w:rFonts w:ascii="Amiri" w:hAnsi="Amiri" w:eastAsia="Amiri" w:cs="Amiri"/>
          <w:color w:val="111111"/>
          <w:sz w:val="28"/>
          <w:sz w:val="28"/>
          <w:szCs w:val="28"/>
          <w:rtl w:val="true"/>
          <w:lang w:bidi="ar-SA"/>
        </w:rPr>
        <w:t>هذا الكتاب على مراصد تسعة</w:t>
      </w:r>
      <w:r>
        <w:rPr>
          <w:rFonts w:eastAsia="Amiri" w:cs="Amiri" w:ascii="Amiri" w:hAnsi="Amiri"/>
          <w:color w:val="111111"/>
          <w:sz w:val="28"/>
          <w:szCs w:val="28"/>
          <w:rtl w:val="true"/>
          <w:lang w:bidi="ar-SA"/>
        </w:rPr>
        <w:t xml:space="preserve">. </w:t>
      </w:r>
      <w:bookmarkStart w:id="31" w:name="pg9140_71113"/>
    </w:p>
    <w:p>
      <w:pPr>
        <w:pStyle w:val="Heading2"/>
        <w:numPr>
          <w:ilvl w:val="1"/>
          <w:numId w:val="1"/>
        </w:numPr>
        <w:rPr/>
      </w:pPr>
      <w:bookmarkStart w:id="32" w:name="__RefHeading___Toc3242121_2870459653"/>
      <w:bookmarkStart w:id="33" w:name="_Toc11"/>
      <w:bookmarkEnd w:id="31"/>
      <w:bookmarkEnd w:id="32"/>
      <w:r>
        <w:rPr>
          <w:rtl w:val="true"/>
        </w:rPr>
        <w:t>المرصد الأوّل في الأمور العامّة و فيه فصول</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3242123_2870459653"/>
      <w:bookmarkStart w:id="35" w:name="_Toc12"/>
      <w:bookmarkEnd w:id="34"/>
      <w:r>
        <w:rPr>
          <w:rtl w:val="true"/>
        </w:rPr>
        <w:t>اشارة</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140_71115"/>
      <w:bookmarkStart w:id="37" w:name="pg9140_71115"/>
      <w:bookmarkEnd w:id="37"/>
    </w:p>
    <w:p>
      <w:pPr>
        <w:pStyle w:val="Heading3"/>
        <w:numPr>
          <w:ilvl w:val="2"/>
          <w:numId w:val="1"/>
        </w:numPr>
        <w:rPr/>
      </w:pPr>
      <w:bookmarkStart w:id="38" w:name="pg9140_71115"/>
      <w:bookmarkStart w:id="39" w:name="__RefHeading___Toc3242125_2870459653"/>
      <w:bookmarkStart w:id="40" w:name="_Toc13"/>
      <w:bookmarkEnd w:id="38"/>
      <w:bookmarkEnd w:id="39"/>
      <w:r>
        <w:rPr>
          <w:rtl w:val="true"/>
        </w:rPr>
        <w:t>الفصل الأوّل في المقدمات</w:t>
      </w:r>
      <w:bookmarkEnd w:id="40"/>
    </w:p>
    <w:p>
      <w:pPr>
        <w:pStyle w:val="Heading4"/>
        <w:numPr>
          <w:ilvl w:val="3"/>
          <w:numId w:val="1"/>
        </w:numPr>
        <w:rPr/>
      </w:pPr>
      <w:bookmarkStart w:id="41" w:name="__RefHeading___Toc3242127_2870459653"/>
      <w:bookmarkStart w:id="42" w:name="_Toc14"/>
      <w:bookmarkEnd w:id="41"/>
      <w:r>
        <w:rPr>
          <w:rtl w:val="true"/>
        </w:rPr>
        <w:t>المقدّمة الأولى</w:t>
      </w:r>
      <w:r>
        <w:rPr>
          <w:rtl w:val="true"/>
        </w:rPr>
        <w:t>: [</w:t>
      </w:r>
      <w:r>
        <w:rPr>
          <w:rtl w:val="true"/>
        </w:rPr>
        <w:t>في التّصور و التّصديق</w:t>
      </w:r>
      <w:r>
        <w:rPr>
          <w:rtl w:val="true"/>
        </w:rPr>
        <w:t>]</w:t>
      </w:r>
      <w:bookmarkEnd w:id="42"/>
    </w:p>
    <w:p>
      <w:pPr>
        <w:pStyle w:val="BookText"/>
        <w:rPr/>
      </w:pPr>
      <w:r>
        <w:rPr>
          <w:rFonts w:ascii="Amiri" w:hAnsi="Amiri" w:eastAsia="Amiri" w:cs="Amiri"/>
          <w:color w:val="111111"/>
          <w:sz w:val="28"/>
          <w:sz w:val="28"/>
          <w:szCs w:val="28"/>
          <w:rtl w:val="true"/>
          <w:lang w:bidi="ar-SA"/>
        </w:rPr>
        <w:t>العلم إمّا تصوّر، و هو حصول صورة الشّيء في العقل من غير حكم؛ و إمّا تصديق، و هو الحكم ببعض المتصوّرات على بعض إيجابا أو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ضروريّ و 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فالضّروريّ من التّصوّرات، ما لا يتوقّف حصوله على طلب و كسب، كتصوّر الحرارة و البرودة؛ و المكتسب، ما يتوقّف، كتصوّر الجوهر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الضّروريّ من التّصديقات ما يكفي تصوّر طرفيه في الحكم، كالتّصديق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المكتسب ما لا يكفي، كالحكم بحدوث العالم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كاسب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هو التّعريف بالأجزاء؛ أو الرّسم، و هو التّعريف بالأعراض الخارجيّة</w:t>
      </w:r>
      <w:r>
        <w:rPr>
          <w:rFonts w:eastAsia="Amiri" w:cs="Amiri" w:ascii="Amiri" w:hAnsi="Amiri"/>
          <w:color w:val="111111"/>
          <w:sz w:val="28"/>
          <w:szCs w:val="28"/>
          <w:rtl w:val="true"/>
          <w:lang w:bidi="ar-SA"/>
        </w:rPr>
        <w:t>.</w:t>
      </w:r>
      <w:r>
        <w:rPr>
          <w:rStyle w:val="FootnoteAnchor"/>
          <w:rtl w:val="true"/>
        </w:rPr>
        <w:footnoteReference w:id="12"/>
      </w:r>
      <w:bookmarkStart w:id="43" w:name="pg9140_71116"/>
    </w:p>
    <w:p>
      <w:pPr>
        <w:pStyle w:val="BookText"/>
        <w:rPr/>
      </w:pPr>
      <w:bookmarkEnd w:id="43"/>
      <w:r>
        <w:rPr>
          <w:rFonts w:ascii="Amiri" w:hAnsi="Amiri" w:eastAsia="Amiri" w:cs="Amiri"/>
          <w:color w:val="111111"/>
          <w:sz w:val="28"/>
          <w:sz w:val="28"/>
          <w:szCs w:val="28"/>
          <w:rtl w:val="true"/>
          <w:lang w:bidi="ar-SA"/>
        </w:rPr>
        <w:t>و كاسب التّصديق هو الحجّة؛ و هي</w:t>
      </w:r>
      <w:r>
        <w:rPr>
          <w:rStyle w:val="FootnoteAnchor"/>
          <w:rtl w:val="true"/>
        </w:rPr>
        <w:footnoteReference w:id="13"/>
      </w:r>
      <w:r>
        <w:rPr>
          <w:rFonts w:ascii="Amiri" w:hAnsi="Amiri" w:eastAsia="Amiri" w:cs="Amiri"/>
          <w:color w:val="111111"/>
          <w:sz w:val="28"/>
          <w:sz w:val="28"/>
          <w:szCs w:val="28"/>
          <w:rtl w:val="true"/>
          <w:lang w:bidi="ar-SA"/>
        </w:rPr>
        <w:t>إمّا قياس، إن استدلّ بالعامّ على الخاصّ؛ و إمّا استقراء، إن كان بالعكس؛ و إمّا تمثيل، إن استدلّ بالمساوي على المساوي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الأوّل يقينيّ و الأخيران</w:t>
      </w:r>
      <w:r>
        <w:rPr>
          <w:rStyle w:val="FootnoteAnchor"/>
          <w:rtl w:val="true"/>
        </w:rPr>
        <w:footnoteReference w:id="15"/>
      </w:r>
      <w:r>
        <w:rPr>
          <w:rFonts w:ascii="Amiri" w:hAnsi="Amiri" w:eastAsia="Amiri" w:cs="Amiri"/>
          <w:color w:val="111111"/>
          <w:sz w:val="28"/>
          <w:sz w:val="28"/>
          <w:szCs w:val="28"/>
          <w:rtl w:val="true"/>
          <w:lang w:bidi="ar-SA"/>
        </w:rPr>
        <w:t>ظنّيان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242129_2870459653"/>
      <w:bookmarkStart w:id="45" w:name="_Toc15"/>
      <w:bookmarkEnd w:id="44"/>
      <w:r>
        <w:rPr>
          <w:rtl w:val="true"/>
        </w:rPr>
        <w:t>المقدّمة الثّانية</w:t>
      </w:r>
      <w:r>
        <w:rPr>
          <w:rtl w:val="true"/>
        </w:rPr>
        <w:t>: [</w:t>
      </w:r>
      <w:r>
        <w:rPr>
          <w:rtl w:val="true"/>
        </w:rPr>
        <w:t>في التعريف</w:t>
      </w:r>
      <w:r>
        <w:rPr>
          <w:rtl w:val="true"/>
        </w:rPr>
        <w:t>]</w:t>
      </w:r>
      <w:bookmarkEnd w:id="45"/>
    </w:p>
    <w:p>
      <w:pPr>
        <w:pStyle w:val="BookText"/>
        <w:rPr/>
      </w:pPr>
      <w:r>
        <w:rPr>
          <w:rFonts w:ascii="Amiri" w:hAnsi="Amiri" w:eastAsia="Amiri" w:cs="Amiri"/>
          <w:color w:val="111111"/>
          <w:sz w:val="28"/>
          <w:sz w:val="28"/>
          <w:szCs w:val="28"/>
          <w:rtl w:val="true"/>
          <w:lang w:bidi="ar-SA"/>
        </w:rPr>
        <w:t>اعلم أنّ المعلوم من كلّ وجه، و المجهول من كلّ وجه، لا يمكن طلبهما لاستحالة تحصيل الحاصل؛ و عدم الاشتياق إلى ما لا شعور به البتّة؛ فلا بدّ و أن يكون معلوما من وجه و مجهولا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متغايران، و المطلوب ليس كلّ واحد منهما، بل معروضهما، و هو الماهيّة ذات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الماهيّة إن كانت مركّبة جاز تحديدها و إلاّ عرّفت بالرّسم</w:t>
      </w:r>
      <w:r>
        <w:rPr>
          <w:rStyle w:val="FootnoteAnchor"/>
          <w:rtl w:val="true"/>
        </w:rPr>
        <w:footnoteReference w:id="16"/>
      </w:r>
      <w:r>
        <w:rPr>
          <w:rFonts w:ascii="Amiri" w:hAnsi="Amiri" w:eastAsia="Amiri" w:cs="Amiri"/>
          <w:color w:val="111111"/>
          <w:sz w:val="28"/>
          <w:sz w:val="28"/>
          <w:szCs w:val="28"/>
          <w:rtl w:val="true"/>
          <w:lang w:bidi="ar-SA"/>
        </w:rPr>
        <w:t>لا غير؛ و إن</w:t>
      </w:r>
      <w:r>
        <w:rPr>
          <w:rStyle w:val="FootnoteAnchor"/>
          <w:rtl w:val="true"/>
        </w:rPr>
        <w:footnoteReference w:id="17"/>
      </w:r>
      <w:r>
        <w:rPr>
          <w:rFonts w:ascii="Amiri" w:hAnsi="Amiri" w:eastAsia="Amiri" w:cs="Amiri"/>
          <w:color w:val="111111"/>
          <w:sz w:val="28"/>
          <w:sz w:val="28"/>
          <w:szCs w:val="28"/>
          <w:rtl w:val="true"/>
          <w:lang w:bidi="ar-SA"/>
        </w:rPr>
        <w:t>كانت جزءا من غيرها جاز التّحديد بها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إن اشتمل على جميع المقوّمات فهو التّامّ، و إلاّ فهو النّاقص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الرسم إن افاد تمييز الماهية عن جميع ما عداها فهو التّام و الاّ فهو الناقص؛ و الحدّ إنّما يتألّف من الجنس و الفصل</w:t>
      </w:r>
      <w:r>
        <w:rPr>
          <w:rFonts w:eastAsia="Amiri" w:cs="Amiri" w:ascii="Amiri" w:hAnsi="Amiri"/>
          <w:color w:val="111111"/>
          <w:sz w:val="28"/>
          <w:szCs w:val="28"/>
          <w:rtl w:val="true"/>
          <w:lang w:bidi="ar-SA"/>
        </w:rPr>
        <w:t xml:space="preserve">. </w:t>
      </w:r>
      <w:bookmarkStart w:id="46" w:name="pg9140_71117"/>
    </w:p>
    <w:p>
      <w:pPr>
        <w:pStyle w:val="BookText"/>
        <w:rPr/>
      </w:pPr>
      <w:bookmarkEnd w:id="46"/>
      <w:r>
        <w:rPr>
          <w:rFonts w:ascii="Amiri" w:hAnsi="Amiri" w:eastAsia="Amiri" w:cs="Amiri"/>
          <w:color w:val="111111"/>
          <w:sz w:val="28"/>
          <w:sz w:val="28"/>
          <w:szCs w:val="28"/>
          <w:rtl w:val="true"/>
          <w:lang w:bidi="ar-SA"/>
        </w:rPr>
        <w:t>و الجنس هو كمال الجزء</w:t>
      </w:r>
      <w:r>
        <w:rPr>
          <w:rStyle w:val="FootnoteAnchor"/>
          <w:rtl w:val="true"/>
        </w:rPr>
        <w:footnoteReference w:id="18"/>
      </w:r>
      <w:r>
        <w:rPr>
          <w:rFonts w:ascii="Amiri" w:hAnsi="Amiri" w:eastAsia="Amiri" w:cs="Amiri"/>
          <w:color w:val="111111"/>
          <w:sz w:val="28"/>
          <w:sz w:val="28"/>
          <w:szCs w:val="28"/>
          <w:rtl w:val="true"/>
          <w:lang w:bidi="ar-SA"/>
        </w:rPr>
        <w:t>المشترك، و هو الكلّيّ المقول على كثيرين مختلفين بالحقائق في جواب ما هو؟ و الفصل هو الجزء المميّز، و هو الكلي المقول على كثيرين في جواب أيّما هو في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المركّب منهما هو النّوع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تترتب</w:t>
      </w:r>
      <w:r>
        <w:rPr>
          <w:rStyle w:val="FootnoteAnchor"/>
          <w:rtl w:val="true"/>
        </w:rPr>
        <w:footnoteReference w:id="19"/>
      </w:r>
      <w:r>
        <w:rPr>
          <w:rFonts w:ascii="Amiri" w:hAnsi="Amiri" w:eastAsia="Amiri" w:cs="Amiri"/>
          <w:color w:val="111111"/>
          <w:sz w:val="28"/>
          <w:sz w:val="28"/>
          <w:szCs w:val="28"/>
          <w:rtl w:val="true"/>
          <w:lang w:bidi="ar-SA"/>
        </w:rPr>
        <w:t>الأجناس بعضها فوق بعض الى ان ينتهي إلى جنس لا جنس فوقه، و يسمّى جنس الأجناس، و في التّنازل إلى جنس لا جنس تحته، و هو الجنس السّافل، و الأنواع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الخارج عن الماهيّة إن اختصّ بها فهو الخاصّة، و إلاّ فهو العرض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فالكليّات هي هذه الخمسة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 الفصل و النّوع و الخاصّة و العرض العامّ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242131_2870459653"/>
      <w:bookmarkStart w:id="48" w:name="_Toc16"/>
      <w:bookmarkEnd w:id="47"/>
      <w:r>
        <w:rPr>
          <w:rtl w:val="true"/>
        </w:rPr>
        <w:t>المقدّمة الثّالثة</w:t>
      </w:r>
      <w:r>
        <w:rPr>
          <w:rtl w:val="true"/>
        </w:rPr>
        <w:t>: [</w:t>
      </w:r>
      <w:r>
        <w:rPr>
          <w:rtl w:val="true"/>
        </w:rPr>
        <w:t>في القياس</w:t>
      </w:r>
      <w:r>
        <w:rPr>
          <w:rtl w:val="true"/>
        </w:rPr>
        <w:t>]</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كلّ قياس إنّما يتركّب من مقدّمتين لا أزيد و لا أقلّ، و يشترك المقدّمتان في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أوسط، و تتباينان بجزءين</w:t>
      </w:r>
      <w:r>
        <w:rPr>
          <w:rStyle w:val="FootnoteAnchor"/>
          <w:rtl w:val="true"/>
        </w:rPr>
        <w:footnoteReference w:id="20"/>
      </w:r>
      <w:r>
        <w:rPr>
          <w:rFonts w:ascii="Amiri" w:hAnsi="Amiri" w:eastAsia="Amiri" w:cs="Amiri"/>
          <w:color w:val="111111"/>
          <w:sz w:val="28"/>
          <w:sz w:val="28"/>
          <w:szCs w:val="28"/>
          <w:rtl w:val="true"/>
          <w:lang w:bidi="ar-SA"/>
        </w:rPr>
        <w:t>آخرين هما الأصغر و الأكبر</w:t>
      </w:r>
      <w:r>
        <w:rPr>
          <w:rFonts w:eastAsia="Amiri" w:cs="Amiri" w:ascii="Amiri" w:hAnsi="Amiri"/>
          <w:color w:val="111111"/>
          <w:sz w:val="28"/>
          <w:szCs w:val="28"/>
          <w:rtl w:val="true"/>
          <w:lang w:bidi="ar-SA"/>
        </w:rPr>
        <w:t xml:space="preserve">. </w:t>
      </w:r>
      <w:bookmarkStart w:id="49" w:name="pg9140_71118"/>
    </w:p>
    <w:p>
      <w:pPr>
        <w:pStyle w:val="BookText"/>
        <w:rPr/>
      </w:pPr>
      <w:bookmarkEnd w:id="49"/>
      <w:r>
        <w:rPr>
          <w:rFonts w:ascii="Amiri" w:hAnsi="Amiri" w:eastAsia="Amiri" w:cs="Amiri"/>
          <w:color w:val="111111"/>
          <w:sz w:val="28"/>
          <w:sz w:val="28"/>
          <w:szCs w:val="28"/>
          <w:rtl w:val="true"/>
          <w:lang w:bidi="ar-SA"/>
        </w:rPr>
        <w:t>و هذا المشترك إن كان محمولا في الصّغرى موضوعا في الكبرى فهو الشّكل الأوّل؛ و عكسه الرّابع؛ و إن كان محمولا فيهما فهو الثّاني؛ و إن كان موضوعا فيهما فهو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الصّغرى و 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المقدّمتين بالإيجاب و السّلب، و 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الصّغرى و كلّيّة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الخسّتين</w:t>
      </w:r>
      <w:r>
        <w:rPr>
          <w:rStyle w:val="FootnoteAnchor"/>
          <w:rtl w:val="true"/>
        </w:rPr>
        <w:footnoteReference w:id="21"/>
      </w:r>
      <w:r>
        <w:rPr>
          <w:rFonts w:ascii="Amiri" w:hAnsi="Amiri" w:eastAsia="Amiri" w:cs="Amiri"/>
          <w:color w:val="111111"/>
          <w:sz w:val="28"/>
          <w:sz w:val="28"/>
          <w:szCs w:val="28"/>
          <w:rtl w:val="true"/>
          <w:lang w:bidi="ar-SA"/>
        </w:rPr>
        <w:t>إلاّ إذا كانت الصّغرى موجبة جزئيّة، و استعمال السّالبة الكليّة الكبرى مع الموجبة الجزئيّة الصّغرى لا غير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242133_2870459653"/>
      <w:bookmarkStart w:id="51" w:name="_Toc17"/>
      <w:bookmarkEnd w:id="50"/>
      <w:r>
        <w:rPr>
          <w:rtl w:val="true"/>
        </w:rPr>
        <w:t>المقدّمة الرّابعة</w:t>
      </w:r>
      <w:r>
        <w:rPr>
          <w:rtl w:val="true"/>
        </w:rPr>
        <w:t>: [</w:t>
      </w:r>
      <w:r>
        <w:rPr>
          <w:rtl w:val="true"/>
        </w:rPr>
        <w:t>في مواد الأقيسة و صورها</w:t>
      </w:r>
      <w:r>
        <w:rPr>
          <w:rtl w:val="true"/>
        </w:rPr>
        <w:t>]</w:t>
      </w:r>
      <w:bookmarkEnd w:id="51"/>
    </w:p>
    <w:p>
      <w:pPr>
        <w:pStyle w:val="BookText"/>
        <w:rPr/>
      </w:pPr>
      <w:r>
        <w:rPr>
          <w:rFonts w:ascii="Amiri" w:hAnsi="Amiri" w:eastAsia="Amiri" w:cs="Amiri"/>
          <w:color w:val="111111"/>
          <w:sz w:val="28"/>
          <w:sz w:val="28"/>
          <w:szCs w:val="28"/>
          <w:rtl w:val="true"/>
          <w:lang w:bidi="ar-SA"/>
        </w:rPr>
        <w:t>مقدّمتا الدّليل إن كانتا قطعيّتين فالنّتيجة كذلك، و إن كانتا ظنّيتين أو إحداهما فالنّتيجة ظنّيّة؛ لأنّها تتبع أخسّ المقدّمتين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الضّروريّات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 المشاهدات و المجرّبات و الحدسيّات و المتواترات و قضايا قياساتها معها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يكفي حصول المقدّمتين في اكتساب</w:t>
      </w:r>
      <w:r>
        <w:rPr>
          <w:rStyle w:val="FootnoteAnchor"/>
          <w:rtl w:val="true"/>
        </w:rPr>
        <w:footnoteReference w:id="23"/>
      </w:r>
      <w:r>
        <w:rPr>
          <w:rFonts w:ascii="Amiri" w:hAnsi="Amiri" w:eastAsia="Amiri" w:cs="Amiri"/>
          <w:color w:val="111111"/>
          <w:sz w:val="28"/>
          <w:sz w:val="28"/>
          <w:szCs w:val="28"/>
          <w:rtl w:val="true"/>
          <w:lang w:bidi="ar-SA"/>
        </w:rPr>
        <w:t xml:space="preserve">النّتيجة، بل لا بدّ </w:t>
      </w:r>
    </w:p>
    <w:p>
      <w:pPr>
        <w:pStyle w:val="BookText"/>
        <w:rPr/>
      </w:pPr>
      <w:r>
        <w:rPr>
          <w:rFonts w:ascii="Amiri" w:hAnsi="Amiri" w:eastAsia="Amiri" w:cs="Amiri"/>
          <w:color w:val="111111"/>
          <w:sz w:val="28"/>
          <w:sz w:val="28"/>
          <w:szCs w:val="28"/>
          <w:rtl w:val="true"/>
          <w:lang w:bidi="ar-SA"/>
        </w:rPr>
        <w:t>من ترتيب مخصوص بينهما، و هو الجزء الصّوريّ للنّظر، و المقدّمتان أجزاء مادّيّة، و بصحّتهما يصحّ النّظر، و بفسادهما أو فساد إحداهما يكون فاسدا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إشارة مختصرة إلى كيفيّة اكتساب المطالب، و التّفريع مذكور في كتبنا العقليّة</w:t>
      </w:r>
      <w:r>
        <w:rPr>
          <w:rFonts w:eastAsia="Amiri" w:cs="Amiri" w:ascii="Amiri" w:hAnsi="Amiri"/>
          <w:color w:val="111111"/>
          <w:sz w:val="28"/>
          <w:szCs w:val="28"/>
          <w:rtl w:val="true"/>
          <w:lang w:bidi="ar-SA"/>
        </w:rPr>
        <w:t xml:space="preserve">. </w:t>
      </w:r>
      <w:bookmarkStart w:id="52" w:name="pg9140_71120"/>
    </w:p>
    <w:p>
      <w:pPr>
        <w:pStyle w:val="Heading3"/>
        <w:numPr>
          <w:ilvl w:val="2"/>
          <w:numId w:val="1"/>
        </w:numPr>
        <w:rPr/>
      </w:pPr>
      <w:bookmarkStart w:id="53" w:name="__RefHeading___Toc3242135_2870459653"/>
      <w:bookmarkStart w:id="54" w:name="_Toc18"/>
      <w:bookmarkEnd w:id="52"/>
      <w:bookmarkEnd w:id="53"/>
      <w:r>
        <w:rPr>
          <w:rtl w:val="true"/>
        </w:rPr>
        <w:t>الفصل الثّاني في مباحث الوجود و العدم</w:t>
      </w:r>
      <w:bookmarkEnd w:id="54"/>
    </w:p>
    <w:p>
      <w:pPr>
        <w:pStyle w:val="Heading4"/>
        <w:numPr>
          <w:ilvl w:val="3"/>
          <w:numId w:val="1"/>
        </w:numPr>
        <w:rPr/>
      </w:pPr>
      <w:bookmarkStart w:id="55" w:name="__RefHeading___Toc3242137_2870459653"/>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242139_2870459653"/>
      <w:bookmarkStart w:id="58" w:name="_Toc20"/>
      <w:bookmarkEnd w:id="57"/>
      <w:r>
        <w:rPr>
          <w:rtl w:val="true"/>
        </w:rPr>
        <w:t>[</w:t>
      </w:r>
      <w:r>
        <w:rPr>
          <w:rtl w:val="true"/>
        </w:rPr>
        <w:t>البحث</w:t>
      </w:r>
      <w:r>
        <w:rPr>
          <w:rtl w:val="true"/>
        </w:rPr>
        <w:t xml:space="preserve">] </w:t>
      </w:r>
      <w:r>
        <w:rPr>
          <w:rtl w:val="true"/>
        </w:rPr>
        <w:t>الأوّل</w:t>
      </w:r>
      <w:r>
        <w:rPr>
          <w:rtl w:val="true"/>
        </w:rPr>
        <w:t>: [</w:t>
      </w:r>
      <w:r>
        <w:rPr>
          <w:rtl w:val="true"/>
        </w:rPr>
        <w:t>تصوّر الوجود و العدم</w:t>
      </w:r>
      <w:r>
        <w:rPr>
          <w:rtl w:val="true"/>
        </w:rPr>
        <w:t>]</w:t>
      </w:r>
      <w:bookmarkEnd w:id="58"/>
    </w:p>
    <w:p>
      <w:pPr>
        <w:pStyle w:val="BookText"/>
        <w:rPr/>
      </w:pPr>
      <w:r>
        <w:rPr>
          <w:rFonts w:ascii="Amiri" w:hAnsi="Amiri" w:eastAsia="Amiri" w:cs="Amiri"/>
          <w:color w:val="111111"/>
          <w:sz w:val="28"/>
          <w:sz w:val="28"/>
          <w:szCs w:val="28"/>
          <w:rtl w:val="true"/>
          <w:lang w:bidi="ar-SA"/>
        </w:rPr>
        <w:t>تصوّر الوجود و العدم بديهيّ، إذ لا تصوّر أجلى</w:t>
      </w:r>
      <w:r>
        <w:rPr>
          <w:rStyle w:val="FootnoteAnchor"/>
          <w:rtl w:val="true"/>
        </w:rPr>
        <w:footnoteReference w:id="24"/>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يذكر على سبيل التّعريف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هو الثّابت العين، و المعدوم هو المنفيّ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الوجود قد يكون ذهنيّا و قد يكون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الوجود و العدم إمّا أن يكون واجبا للماهيّة لذاتها أو ممكنا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فواجب الوجود لذاته هو اللّه تعالى؛ و ممكن الوجود لذاته هو ما عداه؛ و واجب العدم لذاته هو الممتنع؛ و لغيره هو الممكن؛ فكلّ ماهيّة إذا نسب الوجود إليها إمّا أن تكون واجبة الوجود لذاته أو ممكنة أو ممتنعة</w:t>
      </w:r>
      <w:r>
        <w:rPr>
          <w:rFonts w:eastAsia="Amiri" w:cs="Amiri" w:ascii="Amiri" w:hAnsi="Amiri"/>
          <w:color w:val="111111"/>
          <w:sz w:val="28"/>
          <w:szCs w:val="28"/>
          <w:rtl w:val="true"/>
          <w:lang w:bidi="ar-SA"/>
        </w:rPr>
        <w:t xml:space="preserve">. </w:t>
      </w:r>
      <w:bookmarkStart w:id="59" w:name="pg9140_71121"/>
    </w:p>
    <w:p>
      <w:pPr>
        <w:pStyle w:val="Heading4"/>
        <w:numPr>
          <w:ilvl w:val="3"/>
          <w:numId w:val="1"/>
        </w:numPr>
        <w:rPr/>
      </w:pPr>
      <w:bookmarkStart w:id="60" w:name="__RefHeading___Toc3242141_2870459653"/>
      <w:bookmarkStart w:id="61" w:name="_Toc21"/>
      <w:bookmarkEnd w:id="59"/>
      <w:bookmarkEnd w:id="60"/>
      <w:r>
        <w:rPr>
          <w:rtl w:val="true"/>
        </w:rPr>
        <w:t>البحث الثاني</w:t>
      </w:r>
      <w:r>
        <w:rPr>
          <w:rtl w:val="true"/>
        </w:rPr>
        <w:t xml:space="preserve">: </w:t>
      </w:r>
      <w:r>
        <w:rPr>
          <w:rtl w:val="true"/>
        </w:rPr>
        <w:t xml:space="preserve">في أنّ الوجود معنى مشترك </w:t>
      </w:r>
      <w:r>
        <w:rPr>
          <w:rtl w:val="true"/>
        </w:rPr>
        <w:t>(</w:t>
      </w:r>
      <w:r>
        <w:rPr>
          <w:rtl w:val="true"/>
        </w:rPr>
        <w:t>بين الموجودات</w:t>
      </w:r>
      <w:r>
        <w:rPr>
          <w:rtl w:val="true"/>
        </w:rPr>
        <w:t>)</w:t>
      </w:r>
      <w:bookmarkEnd w:id="61"/>
    </w:p>
    <w:p>
      <w:pPr>
        <w:pStyle w:val="Heading5"/>
        <w:numPr>
          <w:ilvl w:val="4"/>
          <w:numId w:val="1"/>
        </w:numPr>
        <w:rPr/>
      </w:pPr>
      <w:bookmarkStart w:id="62" w:name="__RefHeading___Toc3242143_2870459653"/>
      <w:bookmarkStart w:id="63" w:name="_Toc22"/>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الوجود معنى مشترك بين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الحسين البصريّ‌</w:t>
      </w:r>
      <w:r>
        <w:rPr>
          <w:rStyle w:val="FootnoteAnchor"/>
          <w:rtl w:val="true"/>
        </w:rPr>
        <w:footnoteReference w:id="25"/>
      </w:r>
      <w:r>
        <w:rPr>
          <w:rFonts w:ascii="Amiri" w:hAnsi="Amiri" w:eastAsia="Amiri" w:cs="Amiri"/>
          <w:color w:val="111111"/>
          <w:sz w:val="28"/>
          <w:sz w:val="28"/>
          <w:szCs w:val="28"/>
          <w:rtl w:val="true"/>
          <w:lang w:bidi="ar-SA"/>
        </w:rPr>
        <w:t>و أبو الحسن الأشعريّ‌</w:t>
      </w:r>
      <w:r>
        <w:rPr>
          <w:rStyle w:val="FootnoteAnchor"/>
          <w:rtl w:val="true"/>
        </w:rPr>
        <w:footnoteReference w:id="26"/>
      </w:r>
      <w:r>
        <w:rPr>
          <w:rFonts w:ascii="Amiri" w:hAnsi="Amiri" w:eastAsia="Amiri" w:cs="Amiri"/>
          <w:color w:val="111111"/>
          <w:sz w:val="28"/>
          <w:sz w:val="28"/>
          <w:szCs w:val="28"/>
          <w:rtl w:val="true"/>
          <w:lang w:bidi="ar-SA"/>
        </w:rPr>
        <w:t>إنّه مشترك لفظا لا معنى، و وجود كلّ شيء نفس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نقسّم الوجود إلى الواجب و الممكن، و مورد التّقسيم مشترك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العدم واحد، لاستحالة التّميّز و الاختلاف</w:t>
      </w:r>
      <w:r>
        <w:rPr>
          <w:rStyle w:val="FootnoteAnchor"/>
          <w:rtl w:val="true"/>
        </w:rPr>
        <w:footnoteReference w:id="27"/>
      </w:r>
      <w:r>
        <w:rPr>
          <w:rFonts w:ascii="IRNazanin" w:hAnsi="IRNazanin" w:eastAsia="IRNazanin"/>
          <w:color w:val="111111"/>
          <w:sz w:val="28"/>
          <w:sz w:val="28"/>
          <w:szCs w:val="28"/>
          <w:rtl w:val="true"/>
          <w:lang w:bidi="fa-IR"/>
        </w:rPr>
        <w:t>و التماثل</w:t>
      </w:r>
      <w:r>
        <w:rPr>
          <w:rStyle w:val="FootnoteAnchor"/>
          <w:rtl w:val="true"/>
        </w:rPr>
        <w:footnoteReference w:id="28"/>
      </w:r>
      <w:r>
        <w:rPr>
          <w:rFonts w:ascii="Amiri" w:hAnsi="Amiri" w:eastAsia="Amiri" w:cs="Amiri"/>
          <w:color w:val="111111"/>
          <w:sz w:val="28"/>
          <w:sz w:val="28"/>
          <w:szCs w:val="28"/>
          <w:rtl w:val="true"/>
          <w:lang w:bidi="ar-SA"/>
        </w:rPr>
        <w:t xml:space="preserve">في العدم، فيكون مقابله، و هو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إلاّ لبطل الحصر في الموجود 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الوجود إن كان معدوما لزم اتّصاف المعدوم بالوجود، و هو باطل بالضّرورة؛ و إن كان موجودا لزم الدّور أو التّسلسل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الماهيّة لا باعتبار القيدين</w:t>
      </w:r>
      <w:r>
        <w:rPr>
          <w:rFonts w:eastAsia="Amiri" w:cs="Amiri" w:ascii="Amiri" w:hAnsi="Amiri"/>
          <w:color w:val="111111"/>
          <w:sz w:val="28"/>
          <w:szCs w:val="28"/>
          <w:rtl w:val="true"/>
          <w:lang w:bidi="ar-SA"/>
        </w:rPr>
        <w:t xml:space="preserve">. </w:t>
      </w:r>
      <w:bookmarkStart w:id="64" w:name="pg9140_71122"/>
    </w:p>
    <w:p>
      <w:pPr>
        <w:pStyle w:val="Heading5"/>
        <w:numPr>
          <w:ilvl w:val="4"/>
          <w:numId w:val="1"/>
        </w:numPr>
        <w:rPr/>
      </w:pPr>
      <w:bookmarkStart w:id="65" w:name="__RefHeading___Toc3242145_2870459653"/>
      <w:bookmarkStart w:id="66" w:name="_Toc23"/>
      <w:bookmarkEnd w:id="64"/>
      <w:bookmarkEnd w:id="65"/>
      <w:r>
        <w:rPr>
          <w:rtl w:val="true"/>
        </w:rPr>
        <w:t>تذنيب</w:t>
      </w:r>
      <w:bookmarkEnd w:id="66"/>
    </w:p>
    <w:p>
      <w:pPr>
        <w:pStyle w:val="BookText"/>
        <w:rPr/>
      </w:pPr>
      <w:r>
        <w:rPr>
          <w:rFonts w:ascii="Amiri" w:hAnsi="Amiri" w:eastAsia="Amiri" w:cs="Amiri"/>
          <w:color w:val="111111"/>
          <w:sz w:val="28"/>
          <w:sz w:val="28"/>
          <w:szCs w:val="28"/>
          <w:rtl w:val="true"/>
          <w:lang w:bidi="ar-SA"/>
        </w:rPr>
        <w:t>لمّا ثبت أنّ الوجود مشترك ثبت أنّه زائد على الماهيّات، لاستحالة أن يكون نفسها، و إلاّ لزم اشتراك الحقائق المختلفة في تمام الماهيّة؛ و أن يكون جزءا منها، و إلاّ لكان جنسا، لكونه أعم الأجزاء</w:t>
      </w:r>
      <w:r>
        <w:rPr>
          <w:rStyle w:val="FootnoteAnchor"/>
          <w:rtl w:val="true"/>
        </w:rPr>
        <w:footnoteReference w:id="30"/>
      </w:r>
      <w:r>
        <w:rPr>
          <w:rFonts w:ascii="Amiri" w:hAnsi="Amiri" w:eastAsia="Amiri" w:cs="Amiri"/>
          <w:color w:val="111111"/>
          <w:sz w:val="28"/>
          <w:sz w:val="28"/>
          <w:szCs w:val="28"/>
          <w:rtl w:val="true"/>
          <w:lang w:bidi="ar-SA"/>
        </w:rPr>
        <w:t>المشتركة، فيفتقر إلى فصل، و فصل الوجود موجود، فيكون الجنس داخلا في الفصل و يتسلسل</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242147_2870459653"/>
      <w:bookmarkStart w:id="68" w:name="_Toc24"/>
      <w:bookmarkEnd w:id="67"/>
      <w:r>
        <w:rPr>
          <w:rtl w:val="true"/>
        </w:rPr>
        <w:t>البحث الثالث</w:t>
      </w:r>
      <w:r>
        <w:rPr>
          <w:rtl w:val="true"/>
        </w:rPr>
        <w:t>: [</w:t>
      </w:r>
      <w:r>
        <w:rPr>
          <w:rtl w:val="true"/>
        </w:rPr>
        <w:t>ما هو المعدوم؟</w:t>
      </w:r>
      <w:r>
        <w:rPr>
          <w:rtl w:val="true"/>
        </w:rPr>
        <w:t>]</w:t>
      </w:r>
      <w:bookmarkEnd w:id="68"/>
    </w:p>
    <w:p>
      <w:pPr>
        <w:pStyle w:val="Heading5"/>
        <w:numPr>
          <w:ilvl w:val="4"/>
          <w:numId w:val="1"/>
        </w:numPr>
        <w:rPr/>
      </w:pPr>
      <w:bookmarkStart w:id="69" w:name="__RefHeading___Toc3242149_2870459653"/>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ذهب المحقّقون إلى أنّ المعدوم نفي محض؛ و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المعتزلة إلى أنّه شيء ثابت خارج الذّهن و لا تأثير للفاعل فيه، بل في جعل الذات موجودة؛ و تلك المعدومات متباينة بأشخاصها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الثّابت من كلّ نوع عدد غير متناه، و إنّها بأسرها متّفقة في كونها ذواتا، و إنّما تتباين بالصّفات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الثّبوت إنّما هو الوجود؛ فلو كان المعدوم ثابتا في العدم كان موجودا، و هو محال؛ و لأنّه إذا أوجد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شيئا، فإن بقيت كما كانت كان الشّيء مع غيره كهو</w:t>
      </w:r>
      <w:r>
        <w:rPr>
          <w:rStyle w:val="FootnoteAnchor"/>
          <w:rtl w:val="true"/>
        </w:rPr>
        <w:footnoteReference w:id="31"/>
      </w:r>
      <w:r>
        <w:rPr>
          <w:rFonts w:ascii="Amiri" w:hAnsi="Amiri" w:eastAsia="Amiri" w:cs="Amiri"/>
          <w:color w:val="111111"/>
          <w:sz w:val="28"/>
          <w:sz w:val="28"/>
          <w:szCs w:val="28"/>
          <w:rtl w:val="true"/>
          <w:lang w:bidi="ar-SA"/>
        </w:rPr>
        <w:t xml:space="preserve">لا مع غيره و هو باطل بالضّرورة؛ </w:t>
      </w:r>
      <w:bookmarkStart w:id="71" w:name="pg9140_71123"/>
    </w:p>
    <w:p>
      <w:pPr>
        <w:pStyle w:val="BookText"/>
        <w:rPr/>
      </w:pPr>
      <w:bookmarkEnd w:id="71"/>
      <w:r>
        <w:rPr>
          <w:rFonts w:ascii="Amiri" w:hAnsi="Amiri" w:eastAsia="Amiri" w:cs="Amiri"/>
          <w:color w:val="111111"/>
          <w:sz w:val="28"/>
          <w:sz w:val="28"/>
          <w:szCs w:val="28"/>
          <w:rtl w:val="true"/>
          <w:lang w:bidi="ar-SA"/>
        </w:rPr>
        <w:t>و إن نقصت تناهت، فيتناهى مقدورات اللّه تعالى، و هو محال؛ و لأنّه يلزم الاستغناء عن الفاعل، إذ الذّوات أزليّة، فلا تكون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الوجود من قبيل الأحوال عندهم فلا يكون مقدورا، و الاتّصاف ليس أمرا زائدا على الماهيّة و الصّفة، و إلاّ لزم التّسلسل فتكون الذّات الموجودة غنيّة عن الفاعل،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المعدوم 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متميّز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المعدوم معلوم؛ لأنّا نعلم طلوع الشّمس غدا من المشرق، و كلّ معلوم متميّز؛ و لأنّ الحركة المقدورة لنا متميّزة عن الممتنعة و إن كانتا معدومتين؛ و لأنّ بعض المعدومات يراد وقوعها كاللّذات، و بعضها لا يراد، فتكون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فلأنّ المتميّز هو الموصوف بصفة لا يشاركه فيها غيره، و ذلك يستدعي كونه متعيّنا في نفسه متحقّقا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لا نعني بالثّابت إلاّ ذلك</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242151_2870459653"/>
      <w:bookmarkStart w:id="73" w:name="_Toc26"/>
      <w:bookmarkEnd w:id="72"/>
      <w:r>
        <w:rPr>
          <w:rtl w:val="true"/>
        </w:rPr>
        <w:t>و الجواب</w:t>
      </w:r>
      <w:r>
        <w:rPr>
          <w:rtl w:val="true"/>
        </w:rPr>
        <w:t>:</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التّميّز قد يكون ذهنيّا و قد يكون خارجيّا؛ و المعدوم متميّز بالاعتبار الأوّل دون الثّاني، كما يتصوّر الممتنعات و المركّبات و الوجود، و ليس شيء منها بثابت</w:t>
      </w:r>
      <w:r>
        <w:rPr>
          <w:rFonts w:eastAsia="Amiri" w:cs="Amiri" w:ascii="Amiri" w:hAnsi="Amiri"/>
          <w:color w:val="111111"/>
          <w:sz w:val="28"/>
          <w:szCs w:val="28"/>
          <w:rtl w:val="true"/>
          <w:lang w:bidi="ar-SA"/>
        </w:rPr>
        <w:t>.</w:t>
      </w:r>
      <w:r>
        <w:rPr>
          <w:rStyle w:val="FootnoteAnchor"/>
          <w:rtl w:val="true"/>
        </w:rPr>
        <w:footnoteReference w:id="33"/>
      </w:r>
      <w:bookmarkStart w:id="74" w:name="pg9140_71124"/>
    </w:p>
    <w:p>
      <w:pPr>
        <w:pStyle w:val="Heading4"/>
        <w:numPr>
          <w:ilvl w:val="3"/>
          <w:numId w:val="1"/>
        </w:numPr>
        <w:rPr/>
      </w:pPr>
      <w:bookmarkStart w:id="75" w:name="__RefHeading___Toc3242153_2870459653"/>
      <w:bookmarkStart w:id="76" w:name="_Toc27"/>
      <w:bookmarkEnd w:id="74"/>
      <w:bookmarkEnd w:id="75"/>
      <w:r>
        <w:rPr>
          <w:rtl w:val="true"/>
        </w:rPr>
        <w:t>البحث الرّابع</w:t>
      </w:r>
      <w:r>
        <w:rPr>
          <w:rtl w:val="true"/>
        </w:rPr>
        <w:t>: [</w:t>
      </w:r>
      <w:r>
        <w:rPr>
          <w:rtl w:val="true"/>
        </w:rPr>
        <w:t>لا واسطة بين الموجود و المعدوم</w:t>
      </w:r>
      <w:r>
        <w:rPr>
          <w:rtl w:val="true"/>
        </w:rPr>
        <w:t>]</w:t>
      </w:r>
      <w:bookmarkEnd w:id="76"/>
    </w:p>
    <w:p>
      <w:pPr>
        <w:pStyle w:val="Heading5"/>
        <w:numPr>
          <w:ilvl w:val="4"/>
          <w:numId w:val="1"/>
        </w:numPr>
        <w:rPr/>
      </w:pPr>
      <w:bookmarkStart w:id="77" w:name="__RefHeading___Toc3242155_2870459653"/>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لا واسطة بين الموجود و المعدوم؛ لأنّ العقل قاض بالضّرورة بأنّ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إمّا أن يكون موجودا أو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فالواسطة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أثبت أبو هاشم واسطة بينهما و هي صفة لموجود لا موجودة و لا معدومة و لا معلومة، و 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بأنّ الوجود لا يوصف بالوجود، أمّا أوّلا، فلاستحالة التّسلسل، و أمّا ثانيا، فلأنّ الموجود كلّ ذات لها صفة الوجود، و الوجود ليس بذات، فلا يوصف بالوجود و لا يوصف بالعدم للتّغاير</w:t>
      </w:r>
      <w:r>
        <w:rPr>
          <w:rStyle w:val="FootnoteAnchor"/>
          <w:rtl w:val="true"/>
        </w:rPr>
        <w:footnoteReference w:id="34"/>
      </w:r>
      <w:r>
        <w:rPr>
          <w:rFonts w:ascii="Amiri" w:hAnsi="Amiri" w:eastAsia="Amiri" w:cs="Amiri"/>
          <w:color w:val="111111"/>
          <w:sz w:val="28"/>
          <w:sz w:val="28"/>
          <w:szCs w:val="28"/>
          <w:rtl w:val="true"/>
          <w:lang w:bidi="ar-SA"/>
        </w:rPr>
        <w:t>بين الوجود و العدم، فإن المعدوم</w:t>
      </w:r>
      <w:r>
        <w:rPr>
          <w:rStyle w:val="FootnoteAnchor"/>
          <w:rtl w:val="true"/>
        </w:rPr>
        <w:footnoteReference w:id="35"/>
      </w:r>
      <w:r>
        <w:rPr>
          <w:rFonts w:ascii="Amiri" w:hAnsi="Amiri" w:eastAsia="Amiri" w:cs="Amiri"/>
          <w:color w:val="111111"/>
          <w:sz w:val="28"/>
          <w:sz w:val="28"/>
          <w:szCs w:val="28"/>
          <w:rtl w:val="true"/>
          <w:lang w:bidi="ar-SA"/>
        </w:rPr>
        <w:t>كلّ ذات ليس لها صفة الوجود</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242157_2870459653"/>
      <w:bookmarkStart w:id="80" w:name="_Toc29"/>
      <w:bookmarkEnd w:id="79"/>
      <w:r>
        <w:rPr>
          <w:rtl w:val="true"/>
        </w:rPr>
        <w:t>و الجواب</w:t>
      </w:r>
      <w:r>
        <w:rPr>
          <w:rtl w:val="true"/>
        </w:rPr>
        <w:t>:</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الغلط نشأ من تخصيص الموجود و المعدوم بالذّوات،</w:t>
      </w:r>
      <w:r>
        <w:rPr>
          <w:rStyle w:val="FootnoteAnchor"/>
          <w:rtl w:val="true"/>
        </w:rPr>
        <w:footnoteReference w:id="36"/>
      </w:r>
      <w:r>
        <w:rPr>
          <w:rFonts w:ascii="Amiri" w:hAnsi="Amiri" w:eastAsia="Amiri" w:cs="Amiri"/>
          <w:color w:val="111111"/>
          <w:sz w:val="28"/>
          <w:sz w:val="28"/>
          <w:szCs w:val="28"/>
          <w:rtl w:val="true"/>
          <w:lang w:bidi="ar-SA"/>
        </w:rPr>
        <w:t>و لا يلزم من عدم اتّصاف الشّيء بنفسه و نقيضه ثبوت واسطة بينه و بين نقيضه</w:t>
      </w:r>
      <w:r>
        <w:rPr>
          <w:rFonts w:eastAsia="Amiri" w:cs="Amiri" w:ascii="Amiri" w:hAnsi="Amiri"/>
          <w:color w:val="111111"/>
          <w:sz w:val="28"/>
          <w:szCs w:val="28"/>
          <w:rtl w:val="true"/>
          <w:lang w:bidi="ar-SA"/>
        </w:rPr>
        <w:t xml:space="preserve">. </w:t>
      </w:r>
      <w:bookmarkStart w:id="81" w:name="pg9140_71125"/>
    </w:p>
    <w:p>
      <w:pPr>
        <w:pStyle w:val="Heading3"/>
        <w:numPr>
          <w:ilvl w:val="2"/>
          <w:numId w:val="1"/>
        </w:numPr>
        <w:rPr/>
      </w:pPr>
      <w:bookmarkStart w:id="82" w:name="__RefHeading___Toc3242159_2870459653"/>
      <w:bookmarkStart w:id="83" w:name="_Toc30"/>
      <w:bookmarkEnd w:id="81"/>
      <w:bookmarkEnd w:id="82"/>
      <w:r>
        <w:rPr>
          <w:rtl w:val="true"/>
        </w:rPr>
        <w:t>الفصل الثالث في مباحث الوجوب و قسيميه</w:t>
      </w:r>
      <w:bookmarkEnd w:id="83"/>
    </w:p>
    <w:p>
      <w:pPr>
        <w:pStyle w:val="Heading4"/>
        <w:numPr>
          <w:ilvl w:val="3"/>
          <w:numId w:val="1"/>
        </w:numPr>
        <w:rPr/>
      </w:pPr>
      <w:bookmarkStart w:id="84" w:name="__RefHeading___Toc3242161_2870459653"/>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242163_2870459653"/>
      <w:bookmarkStart w:id="87" w:name="_Toc32"/>
      <w:bookmarkEnd w:id="86"/>
      <w:r>
        <w:rPr>
          <w:rtl w:val="true"/>
        </w:rPr>
        <w:t>(</w:t>
      </w:r>
      <w:r>
        <w:rPr>
          <w:rtl w:val="true"/>
        </w:rPr>
        <w:t>البحث</w:t>
      </w:r>
      <w:r>
        <w:rPr>
          <w:rtl w:val="true"/>
        </w:rPr>
        <w:t xml:space="preserve">) </w:t>
      </w:r>
      <w:r>
        <w:rPr>
          <w:rtl w:val="true"/>
        </w:rPr>
        <w:t>الأوّل</w:t>
      </w:r>
      <w:r>
        <w:rPr>
          <w:rtl w:val="true"/>
        </w:rPr>
        <w:t>: [</w:t>
      </w:r>
      <w:r>
        <w:rPr>
          <w:rtl w:val="true"/>
        </w:rPr>
        <w:t>الوجوب و الامكان و الامتناع</w:t>
      </w:r>
      <w:r>
        <w:rPr>
          <w:rtl w:val="true"/>
        </w:rPr>
        <w:t>]</w:t>
      </w:r>
      <w:bookmarkEnd w:id="87"/>
    </w:p>
    <w:p>
      <w:pPr>
        <w:pStyle w:val="BookText"/>
        <w:rPr/>
      </w:pPr>
      <w:r>
        <w:rPr>
          <w:rFonts w:ascii="Amiri" w:hAnsi="Amiri" w:eastAsia="Amiri" w:cs="Amiri"/>
          <w:color w:val="111111"/>
          <w:sz w:val="28"/>
          <w:sz w:val="28"/>
          <w:szCs w:val="28"/>
          <w:rtl w:val="true"/>
          <w:lang w:bidi="ar-SA"/>
        </w:rPr>
        <w:t>الوجوب و الامكان و الامتناع من التّصوّرات البديهيّة، لا شيء منها بثابت، و إلاّ لزم التّسلسل و وجود المعدوم، و لأنّها امور نسبيّة، فتتوقف على وجود المنتسبين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الوجوب</w:t>
      </w:r>
      <w:r>
        <w:rPr>
          <w:rStyle w:val="FootnoteAnchor"/>
          <w:rtl w:val="true"/>
        </w:rPr>
        <w:footnoteReference w:id="37"/>
      </w:r>
      <w:r>
        <w:rPr>
          <w:rFonts w:ascii="Amiri" w:hAnsi="Amiri" w:eastAsia="Amiri" w:cs="Amiri"/>
          <w:color w:val="111111"/>
          <w:sz w:val="28"/>
          <w:sz w:val="28"/>
          <w:szCs w:val="28"/>
          <w:rtl w:val="true"/>
          <w:lang w:bidi="ar-SA"/>
        </w:rPr>
        <w:t xml:space="preserve">و الإمكان متأخّران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الامتناع يتوقّف على ما لا يوجد، فلا يكون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الأوائل الإمكان في الخارج، و إلاّ لم يبق فرق بين نفي الإمكان و الإمكان المنفيّ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خطأ؛ لأنّ التمايز</w:t>
      </w:r>
      <w:r>
        <w:rPr>
          <w:rStyle w:val="FootnoteAnchor"/>
          <w:rtl w:val="true"/>
        </w:rPr>
        <w:footnoteReference w:id="38"/>
      </w:r>
      <w:r>
        <w:rPr>
          <w:rFonts w:ascii="Amiri" w:hAnsi="Amiri" w:eastAsia="Amiri" w:cs="Amiri"/>
          <w:color w:val="111111"/>
          <w:sz w:val="28"/>
          <w:sz w:val="28"/>
          <w:szCs w:val="28"/>
          <w:rtl w:val="true"/>
          <w:lang w:bidi="ar-SA"/>
        </w:rPr>
        <w:t>يقع في الأحكام العقليّة كما يقع في الامور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اقتضى ذلك الثّبوت لزم كون الامتناع ثبوتيّا</w:t>
      </w:r>
      <w:r>
        <w:rPr>
          <w:rFonts w:eastAsia="Amiri" w:cs="Amiri" w:ascii="Amiri" w:hAnsi="Amiri"/>
          <w:color w:val="111111"/>
          <w:sz w:val="28"/>
          <w:szCs w:val="28"/>
          <w:rtl w:val="true"/>
          <w:lang w:bidi="ar-SA"/>
        </w:rPr>
        <w:t xml:space="preserve">. </w:t>
      </w:r>
      <w:bookmarkStart w:id="88" w:name="pg9140_71126"/>
    </w:p>
    <w:p>
      <w:pPr>
        <w:pStyle w:val="Heading4"/>
        <w:numPr>
          <w:ilvl w:val="3"/>
          <w:numId w:val="1"/>
        </w:numPr>
        <w:rPr/>
      </w:pPr>
      <w:bookmarkStart w:id="89" w:name="__RefHeading___Toc3242165_2870459653"/>
      <w:bookmarkStart w:id="90" w:name="_Toc33"/>
      <w:bookmarkEnd w:id="88"/>
      <w:bookmarkEnd w:id="89"/>
      <w:r>
        <w:rPr>
          <w:rtl w:val="true"/>
        </w:rPr>
        <w:t>[</w:t>
      </w:r>
      <w:r>
        <w:rPr>
          <w:rtl w:val="true"/>
        </w:rPr>
        <w:t>البحث</w:t>
      </w:r>
      <w:r>
        <w:rPr>
          <w:rtl w:val="true"/>
        </w:rPr>
        <w:t xml:space="preserve">] </w:t>
      </w:r>
      <w:r>
        <w:rPr>
          <w:rtl w:val="true"/>
        </w:rPr>
        <w:t>الثاني</w:t>
      </w:r>
      <w:r>
        <w:rPr>
          <w:rtl w:val="true"/>
        </w:rPr>
        <w:t>: [</w:t>
      </w:r>
      <w:r>
        <w:rPr>
          <w:rtl w:val="true"/>
        </w:rPr>
        <w:t>في خواص الواجب</w:t>
      </w:r>
      <w:r>
        <w:rPr>
          <w:rtl w:val="true"/>
        </w:rPr>
        <w:t>]</w:t>
      </w:r>
      <w:bookmarkEnd w:id="90"/>
    </w:p>
    <w:p>
      <w:pPr>
        <w:pStyle w:val="BookText"/>
        <w:rPr/>
      </w:pPr>
      <w:r>
        <w:rPr>
          <w:rFonts w:ascii="Amiri" w:hAnsi="Amiri" w:eastAsia="Amiri" w:cs="Amiri"/>
          <w:color w:val="111111"/>
          <w:sz w:val="28"/>
          <w:sz w:val="28"/>
          <w:szCs w:val="28"/>
          <w:rtl w:val="true"/>
          <w:lang w:bidi="ar-SA"/>
        </w:rPr>
        <w:t>الشّيء الواحد لا يكون واجبا لذاته و لغيره، لأنّ الواجب لذاته مستغن عن الغير، و الواجب لغيره غير مستغن عن ذلك الغير، فيجتمع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لذاته بسيط، لافتقار كلّ مركّب إلى جزئه، و جزؤه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وجوده نفس حقيقته؛ لأنّه لو كان زائدا عليه</w:t>
      </w:r>
      <w:r>
        <w:rPr>
          <w:rStyle w:val="FootnoteAnchor"/>
          <w:rtl w:val="true"/>
        </w:rPr>
        <w:footnoteReference w:id="39"/>
      </w:r>
      <w:r>
        <w:rPr>
          <w:rFonts w:ascii="Amiri" w:hAnsi="Amiri" w:eastAsia="Amiri" w:cs="Amiri"/>
          <w:color w:val="111111"/>
          <w:sz w:val="28"/>
          <w:sz w:val="28"/>
          <w:szCs w:val="28"/>
          <w:rtl w:val="true"/>
          <w:lang w:bidi="ar-SA"/>
        </w:rPr>
        <w:t xml:space="preserve">لكان ممكنا؛ لأنّه حينئذ يكون صفة له و كلّ صفة مفتقرة إلى الموصوف؛ و التّالي باطل، لأنّ المؤثّر فيه إن كان غير اللّه تعالى لزم افتقاره إلى غيره، فيكون ممكنا، و إن كان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تأثير المعدوم في الموجود أو وجود الماهيّة مرّتين أو الدّور</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242167_2870459653"/>
      <w:bookmarkStart w:id="92" w:name="_Toc34"/>
      <w:bookmarkEnd w:id="91"/>
      <w:r>
        <w:rPr>
          <w:rtl w:val="true"/>
        </w:rPr>
        <w:t>البحث الثالث</w:t>
      </w:r>
      <w:r>
        <w:rPr>
          <w:rtl w:val="true"/>
        </w:rPr>
        <w:t>: [</w:t>
      </w:r>
      <w:r>
        <w:rPr>
          <w:rtl w:val="true"/>
        </w:rPr>
        <w:t>في عروض الامكان للماهيّة</w:t>
      </w:r>
      <w:r>
        <w:rPr>
          <w:rtl w:val="true"/>
        </w:rPr>
        <w:t>]</w:t>
      </w:r>
      <w:bookmarkEnd w:id="92"/>
    </w:p>
    <w:p>
      <w:pPr>
        <w:pStyle w:val="Heading5"/>
        <w:numPr>
          <w:ilvl w:val="4"/>
          <w:numId w:val="1"/>
        </w:numPr>
        <w:rPr/>
      </w:pPr>
      <w:bookmarkStart w:id="93" w:name="__RefHeading___Toc3242169_2870459653"/>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الإمكان واجب للماهيّة، و إلاّ جاز انتقالها منه إلى الوجوب أو الامتناع، و هو محال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ممكن الوجود فإنّه لا يوجد و لا يعدم إلاّ بسبب منفصل، لاستحالة ترجيح أحد الطرفين المتساويين على الآخر لا لمرجّح؛ ثمّ مع ذلك السّبب يجب، و إلاّ فإن بقي الاستواء افتقر إلى غيره؛ و إن ترجّح أمكن </w:t>
      </w:r>
      <w:bookmarkStart w:id="95" w:name="pg9140_71127"/>
    </w:p>
    <w:p>
      <w:pPr>
        <w:pStyle w:val="BookText"/>
        <w:rPr/>
      </w:pPr>
      <w:bookmarkEnd w:id="95"/>
      <w:r>
        <w:rPr>
          <w:rFonts w:ascii="Amiri" w:hAnsi="Amiri" w:eastAsia="Amiri" w:cs="Amiri"/>
          <w:color w:val="111111"/>
          <w:sz w:val="28"/>
          <w:sz w:val="28"/>
          <w:szCs w:val="28"/>
          <w:rtl w:val="true"/>
          <w:lang w:bidi="ar-SA"/>
        </w:rPr>
        <w:t>وقوع المرجوح مع الأولويّة في وقت و عدمه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 أحد الوقتين بالوجود يقتضي الاحتياج إلى سبب غير الأوّل، فلا يجوز أن يكون أحد الطرفين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الإمكان علّة الاحتياج إلى المؤثّر، لقضاء العقل به</w:t>
      </w:r>
      <w:r>
        <w:rPr>
          <w:rStyle w:val="FootnoteAnchor"/>
          <w:rtl w:val="true"/>
        </w:rPr>
        <w:footnoteReference w:id="40"/>
      </w:r>
      <w:r>
        <w:rPr>
          <w:rFonts w:ascii="IRNazanin" w:hAnsi="IRNazanin" w:eastAsia="IRNazanin"/>
          <w:color w:val="111111"/>
          <w:sz w:val="28"/>
          <w:sz w:val="28"/>
          <w:szCs w:val="28"/>
          <w:rtl w:val="true"/>
          <w:lang w:bidi="fa-IR"/>
        </w:rPr>
        <w:t>عنده و بانتفائه عند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أن يكون هي الحدوث، كما ذهب إليه بعض قدماء المتكلّمين، لأنّه كيفيّة للوجود، فيتأخّر عنه، و الوجود متأخّر عن الإيجاد المتأخّر عن الاحتياج المتأخّر عن علّة الاحتياج؛ فلو كانت هي الحدوث لزم تقدّم الشّيء على نفسه بمراتب</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242171_2870459653"/>
      <w:bookmarkStart w:id="97" w:name="_Toc36"/>
      <w:bookmarkEnd w:id="96"/>
      <w:r>
        <w:rPr>
          <w:rtl w:val="true"/>
        </w:rPr>
        <w:t>تذنيب</w:t>
      </w:r>
      <w:bookmarkEnd w:id="97"/>
    </w:p>
    <w:p>
      <w:pPr>
        <w:pStyle w:val="BookText"/>
        <w:rPr/>
      </w:pPr>
      <w:r>
        <w:rPr>
          <w:rFonts w:ascii="Amiri" w:hAnsi="Amiri" w:eastAsia="Amiri" w:cs="Amiri"/>
          <w:color w:val="111111"/>
          <w:sz w:val="28"/>
          <w:sz w:val="28"/>
          <w:szCs w:val="28"/>
          <w:rtl w:val="true"/>
          <w:lang w:bidi="ar-SA"/>
        </w:rPr>
        <w:t>لمّا ثبت أنّ علّة الاحتياج</w:t>
      </w:r>
      <w:r>
        <w:rPr>
          <w:rStyle w:val="FootnoteAnchor"/>
          <w:rtl w:val="true"/>
        </w:rPr>
        <w:footnoteReference w:id="41"/>
      </w:r>
      <w:r>
        <w:rPr>
          <w:rFonts w:ascii="Amiri" w:hAnsi="Amiri" w:eastAsia="Amiri" w:cs="Amiri"/>
          <w:color w:val="111111"/>
          <w:sz w:val="28"/>
          <w:sz w:val="28"/>
          <w:szCs w:val="28"/>
          <w:rtl w:val="true"/>
          <w:lang w:bidi="ar-SA"/>
        </w:rPr>
        <w:t>هي الإمكان و هو ثابت للباقي ثبت معلوله، و هو الاحتياج إلى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قدماء المتكلّمين إلى استغنائه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المؤثّر إن لم يكن له فيه أثر كان مستغنيا قطعا؛ و إن كان له أثر فان كان هو الوجود الحاصل أوّلا</w:t>
      </w:r>
      <w:r>
        <w:rPr>
          <w:rStyle w:val="FootnoteAnchor"/>
          <w:rtl w:val="true"/>
        </w:rPr>
        <w:footnoteReference w:id="42"/>
      </w:r>
      <w:r>
        <w:rPr>
          <w:rFonts w:ascii="Amiri" w:hAnsi="Amiri" w:eastAsia="Amiri" w:cs="Amiri"/>
          <w:color w:val="111111"/>
          <w:sz w:val="28"/>
          <w:sz w:val="28"/>
          <w:szCs w:val="28"/>
          <w:rtl w:val="true"/>
          <w:lang w:bidi="ar-SA"/>
        </w:rPr>
        <w:t xml:space="preserve">لزم تحصيل الحاصل، و هو </w:t>
      </w:r>
    </w:p>
    <w:p>
      <w:pPr>
        <w:pStyle w:val="BookText"/>
        <w:rPr/>
      </w:pPr>
      <w:r>
        <w:rPr>
          <w:rFonts w:ascii="Amiri" w:hAnsi="Amiri" w:eastAsia="Amiri" w:cs="Amiri"/>
          <w:color w:val="111111"/>
          <w:sz w:val="28"/>
          <w:sz w:val="28"/>
          <w:szCs w:val="28"/>
          <w:rtl w:val="true"/>
          <w:lang w:bidi="ar-SA"/>
        </w:rPr>
        <w:t>محال؛ و إن كان أمرا جديدا كان التّأثير في الجديد لا في الباقي، فيكون الباقي مستغنيا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الأخيرة، لأنّ الباقي مفتقر إلى البقاء الجديد</w:t>
      </w:r>
      <w:r>
        <w:rPr>
          <w:rFonts w:eastAsia="Amiri" w:cs="Amiri" w:ascii="Amiri" w:hAnsi="Amiri"/>
          <w:color w:val="111111"/>
          <w:sz w:val="28"/>
          <w:szCs w:val="28"/>
          <w:rtl w:val="true"/>
          <w:lang w:bidi="ar-SA"/>
        </w:rPr>
        <w:t xml:space="preserve">. </w:t>
      </w:r>
      <w:bookmarkStart w:id="98" w:name="pg9140_71129"/>
    </w:p>
    <w:p>
      <w:pPr>
        <w:pStyle w:val="Heading2"/>
        <w:numPr>
          <w:ilvl w:val="1"/>
          <w:numId w:val="1"/>
        </w:numPr>
        <w:rPr/>
      </w:pPr>
      <w:bookmarkStart w:id="99" w:name="__RefHeading___Toc3242173_2870459653"/>
      <w:bookmarkStart w:id="100" w:name="_Toc37"/>
      <w:bookmarkEnd w:id="98"/>
      <w:bookmarkEnd w:id="99"/>
      <w:r>
        <w:rPr>
          <w:rtl w:val="true"/>
        </w:rPr>
        <w:t>المرصد الثّاني في تقسيم الموجودات و فيه مقصدان</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3242175_2870459653"/>
      <w:bookmarkStart w:id="102" w:name="_Toc38"/>
      <w:bookmarkEnd w:id="101"/>
      <w:r>
        <w:rPr>
          <w:rtl w:val="true"/>
        </w:rPr>
        <w:t>اشارة</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140_71131"/>
      <w:bookmarkStart w:id="104" w:name="pg9140_71131"/>
      <w:bookmarkEnd w:id="104"/>
    </w:p>
    <w:p>
      <w:pPr>
        <w:pStyle w:val="Heading3"/>
        <w:numPr>
          <w:ilvl w:val="2"/>
          <w:numId w:val="1"/>
        </w:numPr>
        <w:rPr/>
      </w:pPr>
      <w:bookmarkStart w:id="105" w:name="pg9140_71131"/>
      <w:bookmarkStart w:id="106" w:name="__RefHeading___Toc3242177_2870459653"/>
      <w:bookmarkStart w:id="107" w:name="_Toc39"/>
      <w:bookmarkEnd w:id="105"/>
      <w:bookmarkEnd w:id="106"/>
      <w:r>
        <w:rPr>
          <w:rtl w:val="true"/>
        </w:rPr>
        <w:t>[</w:t>
      </w:r>
      <w:r>
        <w:rPr>
          <w:rtl w:val="true"/>
        </w:rPr>
        <w:t>المقصد</w:t>
      </w:r>
      <w:r>
        <w:rPr>
          <w:rtl w:val="true"/>
        </w:rPr>
        <w:t xml:space="preserve">] </w:t>
      </w:r>
      <w:r>
        <w:rPr>
          <w:rtl w:val="true"/>
        </w:rPr>
        <w:t>الأوّل في التّقسيم على رأي المتكلّمين</w:t>
      </w:r>
      <w:bookmarkEnd w:id="107"/>
    </w:p>
    <w:p>
      <w:pPr>
        <w:pStyle w:val="Heading4"/>
        <w:numPr>
          <w:ilvl w:val="3"/>
          <w:numId w:val="1"/>
        </w:numPr>
        <w:rPr/>
      </w:pPr>
      <w:bookmarkStart w:id="108" w:name="__RefHeading___Toc3242179_2870459653"/>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إمّا أن يكون قديما أو محدثا، لأنّه إن لم يكن لوجوده أوّل، فهو القديم و هو اللّه تعالى، و إن كان لوجوده أوّل فهو المحدث، و هو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يفسّرون القديم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يسبقه العدم، و المحدث بما سبقه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مباحث ثلاثة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242181_2870459653"/>
      <w:bookmarkStart w:id="111" w:name="_Toc41"/>
      <w:bookmarkEnd w:id="110"/>
      <w:r>
        <w:rPr>
          <w:rtl w:val="true"/>
        </w:rPr>
        <w:t>[</w:t>
      </w:r>
      <w:r>
        <w:rPr>
          <w:rtl w:val="true"/>
        </w:rPr>
        <w:t>البحث</w:t>
      </w:r>
      <w:r>
        <w:rPr>
          <w:rtl w:val="true"/>
        </w:rPr>
        <w:t xml:space="preserve">] </w:t>
      </w:r>
      <w:r>
        <w:rPr>
          <w:rtl w:val="true"/>
        </w:rPr>
        <w:t>الأوّل</w:t>
      </w:r>
      <w:r>
        <w:rPr>
          <w:rtl w:val="true"/>
        </w:rPr>
        <w:t xml:space="preserve">: </w:t>
      </w:r>
      <w:r>
        <w:rPr>
          <w:rtl w:val="true"/>
        </w:rPr>
        <w:t>في مباحث القديم</w:t>
      </w:r>
      <w:bookmarkEnd w:id="11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لو قدّرنا أزمنة لا نهاية لها في جانب الماضي لكان اللّه</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القدم و الحدوث الزّمان و إلاّ لكان للزّمان زمان آخر و 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القدم و الحدوث من الصّفات الثّبوتيّة، بل من الاعتبارات الذّهنيّة، و إلا لزم التّسلسل؛ خلافا لعبد اللّه بن سعيد من الأشعريّة في الأوّل، و الكرّاميّة في الثّاني</w:t>
      </w:r>
      <w:r>
        <w:rPr>
          <w:rFonts w:eastAsia="Amiri" w:cs="Amiri" w:ascii="Amiri" w:hAnsi="Amiri"/>
          <w:color w:val="111111"/>
          <w:sz w:val="28"/>
          <w:szCs w:val="28"/>
          <w:rtl w:val="true"/>
          <w:lang w:bidi="ar-SA"/>
        </w:rPr>
        <w:t xml:space="preserve">. </w:t>
      </w:r>
      <w:bookmarkStart w:id="112" w:name="pg9140_71132"/>
    </w:p>
    <w:p>
      <w:pPr>
        <w:pStyle w:val="Heading4"/>
        <w:numPr>
          <w:ilvl w:val="3"/>
          <w:numId w:val="1"/>
        </w:numPr>
        <w:rPr/>
      </w:pPr>
      <w:bookmarkStart w:id="113" w:name="__RefHeading___Toc3242183_2870459653"/>
      <w:bookmarkStart w:id="114" w:name="_Toc42"/>
      <w:bookmarkEnd w:id="112"/>
      <w:bookmarkEnd w:id="113"/>
      <w:r>
        <w:rPr>
          <w:rtl w:val="true"/>
        </w:rPr>
        <w:t>البحث الثاني</w:t>
      </w:r>
      <w:r>
        <w:rPr>
          <w:rtl w:val="true"/>
        </w:rPr>
        <w:t xml:space="preserve">: </w:t>
      </w:r>
      <w:r>
        <w:rPr>
          <w:rtl w:val="true"/>
        </w:rPr>
        <w:t>في خواصّ القديم</w:t>
      </w:r>
      <w:bookmarkEnd w:id="114"/>
    </w:p>
    <w:p>
      <w:pPr>
        <w:pStyle w:val="BookText"/>
        <w:rPr/>
      </w:pPr>
      <w:r>
        <w:rPr>
          <w:rFonts w:ascii="Amiri" w:hAnsi="Amiri" w:eastAsia="Amiri" w:cs="Amiri"/>
          <w:color w:val="111111"/>
          <w:sz w:val="28"/>
          <w:sz w:val="28"/>
          <w:szCs w:val="28"/>
          <w:rtl w:val="true"/>
          <w:lang w:bidi="ar-SA"/>
        </w:rPr>
        <w:t>لا يمكن إسناد</w:t>
      </w:r>
      <w:r>
        <w:rPr>
          <w:rStyle w:val="FootnoteAnchor"/>
          <w:rtl w:val="true"/>
        </w:rPr>
        <w:footnoteReference w:id="44"/>
      </w:r>
      <w:r>
        <w:rPr>
          <w:rFonts w:ascii="Amiri" w:hAnsi="Amiri" w:eastAsia="Amiri" w:cs="Amiri"/>
          <w:color w:val="111111"/>
          <w:sz w:val="28"/>
          <w:sz w:val="28"/>
          <w:szCs w:val="28"/>
          <w:rtl w:val="true"/>
          <w:lang w:bidi="ar-SA"/>
        </w:rPr>
        <w:t>القديم إلى المؤثّر المختار، لأنّ الفاعل بالاختيار إنّما يفعل بواسطة القصد و الاختيار، و إنّما يصحّ توجّه القصد إلى معدوم ليوجده و لا يصحّ توجّهه إلى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إسناده</w:t>
      </w:r>
      <w:r>
        <w:rPr>
          <w:rStyle w:val="FootnoteAnchor"/>
          <w:rtl w:val="true"/>
        </w:rPr>
        <w:footnoteReference w:id="45"/>
      </w:r>
      <w:r>
        <w:rPr>
          <w:rFonts w:ascii="Amiri" w:hAnsi="Amiri" w:eastAsia="Amiri" w:cs="Amiri"/>
          <w:color w:val="111111"/>
          <w:sz w:val="28"/>
          <w:sz w:val="28"/>
          <w:szCs w:val="28"/>
          <w:rtl w:val="true"/>
          <w:lang w:bidi="ar-SA"/>
        </w:rPr>
        <w:t>إلى الموجب؛ و التّنازع بين الحكماء و المتكلّمين يرتفع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القديم لا يصحّ عليه العدم؛ لأنّه إمّا واجب لذاته أو معلول له مطلقا أو بشرط قديم؛ و على كلّ تقدير يستحيل عدم علّته،</w:t>
      </w:r>
      <w:r>
        <w:rPr>
          <w:rStyle w:val="FootnoteAnchor"/>
          <w:rtl w:val="true"/>
        </w:rPr>
        <w:footnoteReference w:id="46"/>
      </w:r>
      <w:r>
        <w:rPr>
          <w:rFonts w:ascii="Amiri" w:hAnsi="Amiri" w:eastAsia="Amiri" w:cs="Amiri"/>
          <w:color w:val="111111"/>
          <w:sz w:val="28"/>
          <w:sz w:val="28"/>
          <w:szCs w:val="28"/>
          <w:rtl w:val="true"/>
          <w:lang w:bidi="ar-SA"/>
        </w:rPr>
        <w:t>فيستحيل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يتوقّف على شرط عدميّ أزليّ، و يجوز زوال الشّرط الأزليّ، لكونه عدميّا، فيعدم القديم لعدم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لوجود ملكة ذلك العدم ليس هو القديم و لا معلوله، للتّنافي بينهما؛ و لا علّته، لاستحالة صدور المتنافيين عن علّة واحدة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القديم لا يجوز أن يكون أكثر من واحد؛ لأنّ واجب الوجود واحد مختار، على ما يأتي، فباقي الموجودات محدثة</w:t>
      </w:r>
      <w:r>
        <w:rPr>
          <w:rFonts w:eastAsia="Amiri" w:cs="Amiri" w:ascii="Amiri" w:hAnsi="Amiri"/>
          <w:color w:val="111111"/>
          <w:sz w:val="28"/>
          <w:szCs w:val="28"/>
          <w:rtl w:val="true"/>
          <w:lang w:bidi="ar-SA"/>
        </w:rPr>
        <w:t xml:space="preserve">. </w:t>
      </w:r>
      <w:bookmarkStart w:id="115" w:name="pg9140_71133"/>
    </w:p>
    <w:p>
      <w:pPr>
        <w:pStyle w:val="Heading4"/>
        <w:numPr>
          <w:ilvl w:val="3"/>
          <w:numId w:val="1"/>
        </w:numPr>
        <w:rPr/>
      </w:pPr>
      <w:bookmarkStart w:id="116" w:name="__RefHeading___Toc3242185_2870459653"/>
      <w:bookmarkStart w:id="117" w:name="_Toc43"/>
      <w:bookmarkEnd w:id="115"/>
      <w:bookmarkEnd w:id="116"/>
      <w:r>
        <w:rPr>
          <w:rtl w:val="true"/>
        </w:rPr>
        <w:t>البحث الثالث</w:t>
      </w:r>
      <w:r>
        <w:rPr>
          <w:rtl w:val="true"/>
        </w:rPr>
        <w:t xml:space="preserve">: </w:t>
      </w:r>
      <w:r>
        <w:rPr>
          <w:rtl w:val="true"/>
        </w:rPr>
        <w:t>في خواصّ المحدث</w:t>
      </w:r>
      <w:bookmarkEnd w:id="117"/>
    </w:p>
    <w:p>
      <w:pPr>
        <w:pStyle w:val="BookText"/>
        <w:rPr/>
      </w:pPr>
      <w:r>
        <w:rPr>
          <w:rFonts w:ascii="Amiri" w:hAnsi="Amiri" w:eastAsia="Amiri" w:cs="Amiri"/>
          <w:color w:val="111111"/>
          <w:sz w:val="28"/>
          <w:sz w:val="28"/>
          <w:szCs w:val="28"/>
          <w:rtl w:val="true"/>
          <w:lang w:bidi="ar-SA"/>
        </w:rPr>
        <w:t>لمّا كان المحدث هو الموجود بعد العدم كانت ماهيّته موصوفة بالأمرين، فتكون ممكنة بالضّرورة، و كلّ ممكن مفتقر إلى غيره، فكلّ محدث مفتقر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الأوائل لكلّ حادث مادّة</w:t>
      </w:r>
      <w:r>
        <w:rPr>
          <w:rStyle w:val="FootnoteAnchor"/>
          <w:rtl w:val="true"/>
        </w:rPr>
        <w:footnoteReference w:id="47"/>
      </w:r>
      <w:r>
        <w:rPr>
          <w:rFonts w:ascii="Amiri" w:hAnsi="Amiri" w:eastAsia="Amiri" w:cs="Amiri"/>
          <w:color w:val="111111"/>
          <w:sz w:val="28"/>
          <w:sz w:val="28"/>
          <w:szCs w:val="28"/>
          <w:rtl w:val="true"/>
          <w:lang w:bidi="ar-SA"/>
        </w:rPr>
        <w:t>و مدّة سابقتين عليه؛ لأنّه قبل وجوده ممكن، فلإمكانه محلّ، فليس هو الماهيّة المعدومة، فلا بدّ من محلّ هو المادّة، و قبليّة العدم تستدعي معروضا لها، و هو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 الإمكان عدميّ، لما بيّنا أوّلا، و إلاّ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المادّة ممكنة فتفتقر إلى مادّة أخرى، و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فلأنّ المادّة مغايرة للماهيّة، و الإمكان صفة للماهيّة، فكيف يصحّ عروضه لغير الموصوف به؟</w:t>
      </w:r>
    </w:p>
    <w:p>
      <w:pPr>
        <w:pStyle w:val="BookText"/>
        <w:rPr/>
      </w:pPr>
      <w:r>
        <w:rPr>
          <w:rFonts w:ascii="Amiri" w:hAnsi="Amiri" w:eastAsia="Amiri" w:cs="Amiri"/>
          <w:color w:val="111111"/>
          <w:sz w:val="28"/>
          <w:sz w:val="28"/>
          <w:szCs w:val="28"/>
          <w:rtl w:val="true"/>
          <w:lang w:bidi="ar-SA"/>
        </w:rPr>
        <w:t>و أمّا القبليّة فهي أمر اعتباريّ لا تحقّق له في الأعيان و إلاّ لزم التّسلسل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الزّمان يعرض له قبليّات و بعديّات، فإن افتقر كلّ موصوف بهما إلى زمان افتقر الزّمان إلى زمان آخر، و يتسلسل، و إلاّ فالمطلوب</w:t>
      </w:r>
      <w:r>
        <w:rPr>
          <w:rFonts w:eastAsia="Amiri" w:cs="Amiri" w:ascii="Amiri" w:hAnsi="Amiri"/>
          <w:color w:val="111111"/>
          <w:sz w:val="28"/>
          <w:szCs w:val="28"/>
          <w:rtl w:val="true"/>
          <w:lang w:bidi="ar-SA"/>
        </w:rPr>
        <w:t xml:space="preserve">. </w:t>
      </w:r>
      <w:bookmarkStart w:id="118" w:name="pg9140_71134"/>
    </w:p>
    <w:p>
      <w:pPr>
        <w:pStyle w:val="Heading3"/>
        <w:numPr>
          <w:ilvl w:val="2"/>
          <w:numId w:val="1"/>
        </w:numPr>
        <w:rPr/>
      </w:pPr>
      <w:bookmarkStart w:id="119" w:name="__RefHeading___Toc3242187_2870459653"/>
      <w:bookmarkStart w:id="120" w:name="_Toc44"/>
      <w:bookmarkEnd w:id="118"/>
      <w:bookmarkEnd w:id="119"/>
      <w:r>
        <w:rPr>
          <w:rtl w:val="true"/>
        </w:rPr>
        <w:t>المقصد الثّاني في التّقسيم على رأي الأوائل</w:t>
      </w:r>
      <w:bookmarkEnd w:id="120"/>
    </w:p>
    <w:p>
      <w:pPr>
        <w:pStyle w:val="BookText"/>
        <w:rPr/>
      </w:pPr>
      <w:r>
        <w:rPr>
          <w:rFonts w:ascii="Amiri" w:hAnsi="Amiri" w:eastAsia="Amiri" w:cs="Amiri"/>
          <w:color w:val="111111"/>
          <w:sz w:val="28"/>
          <w:sz w:val="28"/>
          <w:szCs w:val="28"/>
          <w:rtl w:val="true"/>
          <w:lang w:bidi="ar-SA"/>
        </w:rPr>
        <w:t xml:space="preserve">الموجود إمّا أن يكون واجب الوجود لذاته، و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إمّا أن يكون 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 الكم و الكيف و الأين و متى و المضاف و الملك و الوضع و أن يفعل و أن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منها جوهر و التّسعة أعراض؛ لأنّ الممكن إمّا أن يكون في موضوع،</w:t>
      </w:r>
      <w:r>
        <w:rPr>
          <w:rStyle w:val="FootnoteAnchor"/>
          <w:rtl w:val="true"/>
        </w:rPr>
        <w:footnoteReference w:id="48"/>
      </w:r>
      <w:r>
        <w:rPr>
          <w:rFonts w:ascii="Amiri" w:hAnsi="Amiri" w:eastAsia="Amiri" w:cs="Amiri"/>
          <w:color w:val="111111"/>
          <w:sz w:val="28"/>
          <w:sz w:val="28"/>
          <w:szCs w:val="28"/>
          <w:rtl w:val="true"/>
          <w:lang w:bidi="ar-SA"/>
        </w:rPr>
        <w:t>أي في محلّ متقوّم بذاته</w:t>
      </w:r>
      <w:r>
        <w:rPr>
          <w:rStyle w:val="FootnoteAnchor"/>
          <w:rtl w:val="true"/>
        </w:rPr>
        <w:footnoteReference w:id="49"/>
      </w:r>
      <w:r>
        <w:rPr>
          <w:rFonts w:ascii="Amiri" w:hAnsi="Amiri" w:eastAsia="Amiri" w:cs="Amiri"/>
          <w:color w:val="111111"/>
          <w:sz w:val="28"/>
          <w:sz w:val="28"/>
          <w:szCs w:val="28"/>
          <w:rtl w:val="true"/>
          <w:lang w:bidi="ar-SA"/>
        </w:rPr>
        <w:t>مستغن عن الحالّ فيه، و هو العرض؛ و إمّا أن لا يكون، و جاز أن يكون في محلّ، و هو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محلاّ لمثله فهو المادّة، و إن كان حالاّ فهو الصّورة، و إن كان مركّبا منهما فهو الجسم و إن كان مجرّدا فهو نفس إن تعلّق بالأجسام تعلّق التّدبير؛ و إلاّ فعقل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لا في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50"/>
      </w:r>
      <w:r>
        <w:rPr>
          <w:rFonts w:ascii="Amiri" w:hAnsi="Amiri" w:eastAsia="Amiri" w:cs="Amiri"/>
          <w:color w:val="111111"/>
          <w:sz w:val="28"/>
          <w:sz w:val="28"/>
          <w:szCs w:val="28"/>
          <w:rtl w:val="true"/>
          <w:lang w:bidi="ar-SA"/>
        </w:rPr>
        <w:t xml:space="preserve">الجوهر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للصّورة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الصّورة هي الجوهر المتّصل لذاته الحالّ في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الجوهر القابل للأبعاد الثّلاثة المتقاطعة على زوايا 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أوّل لجسم طبيعيّ إلى ذي حياة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مجرّد عن الجسم حلولا و تدبيرا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القابل لذاته المساواة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متّصل، و هو الخطّ، إن انقسم في بعد واحد؛ و السّطح، إن انقسم في بعدين؛</w:t>
      </w:r>
      <w:r>
        <w:rPr>
          <w:rStyle w:val="FootnoteAnchor"/>
          <w:rtl w:val="true"/>
        </w:rPr>
        <w:footnoteReference w:id="51"/>
      </w:r>
      <w:r>
        <w:rPr>
          <w:rFonts w:ascii="Amiri" w:hAnsi="Amiri" w:eastAsia="Amiri" w:cs="Amiri"/>
          <w:color w:val="111111"/>
          <w:sz w:val="28"/>
          <w:sz w:val="28"/>
          <w:szCs w:val="28"/>
          <w:rtl w:val="true"/>
          <w:lang w:bidi="ar-SA"/>
        </w:rPr>
        <w:t>و الجسم التّعليميّ إن انقسم في ثلاثة أبعاد؛ و الزّمان إن لم يكن قارّا، و إمّا منفصل هو العدد،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العرض الّذي لا يتوقف تصوّره على تصوّر غيره و لا يقتضي القسمة و اللاّقسمة في محلّه اقتضاء أوّليّا و أنواعه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الكيفيّات المحسوسة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راسخة فهي انفعاليّات و إلاّ فهي الانفعالات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الكيفيّات المختصّة بالكميّات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متّصلة، كالاستقامة و الانحناء، و إمّا منفصلة، كالزّوجيّة و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الكيفيّات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راسخة فهي الملكات و إلاّ فهي الحالات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الكيفيّات الاستعداديّة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نحو الدّفع فهو القوّة و إلاّ فهو اللاقوّة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الشّيء إلى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زمانه أو طرفه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النّسبة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نسبة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هيئة تعرض للجسم بسبب نسبة أجزائه بعضها إلى بعض، و نسبة أجزائه إلى أمور خارجة عنه، كالقيام و الانتكاس</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أن يفعل، و هو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ينفعل، و هو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المادّة ليست ثابتة، و إلاّ لزم التّسلسل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الكم هو الجسم أو الخطّ أو السّطح و هي جواهر أفراد يأتي البحث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المتى</w:t>
      </w:r>
      <w:r>
        <w:rPr>
          <w:rStyle w:val="FootnoteAnchor"/>
          <w:rtl w:val="true"/>
        </w:rPr>
        <w:footnoteReference w:id="55"/>
      </w:r>
      <w:r>
        <w:rPr>
          <w:rFonts w:ascii="Amiri" w:hAnsi="Amiri" w:eastAsia="Amiri" w:cs="Amiri"/>
          <w:color w:val="111111"/>
          <w:sz w:val="28"/>
          <w:sz w:val="28"/>
          <w:szCs w:val="28"/>
          <w:rtl w:val="true"/>
          <w:lang w:bidi="ar-SA"/>
        </w:rPr>
        <w:t>و ما بعده من النّسبيّة؛ لو كانت ثبوتيّة لزم التّسلسل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الكيفيّات المختصّة</w:t>
      </w:r>
      <w:r>
        <w:rPr>
          <w:rStyle w:val="FootnoteAnchor"/>
          <w:rtl w:val="true"/>
        </w:rPr>
        <w:footnoteReference w:id="56"/>
      </w:r>
      <w:r>
        <w:rPr>
          <w:rFonts w:ascii="Amiri" w:hAnsi="Amiri" w:eastAsia="Amiri" w:cs="Amiri"/>
          <w:color w:val="111111"/>
          <w:sz w:val="28"/>
          <w:sz w:val="28"/>
          <w:szCs w:val="28"/>
          <w:rtl w:val="true"/>
          <w:lang w:bidi="ar-SA"/>
        </w:rPr>
        <w:t>بالمنفصل فرع على ثبوته و ليس، و إلاّ لزم قيام العرض بمحلّين</w:t>
      </w:r>
      <w:r>
        <w:rPr>
          <w:rFonts w:eastAsia="Amiri" w:cs="Amiri" w:ascii="Amiri" w:hAnsi="Amiri"/>
          <w:color w:val="111111"/>
          <w:sz w:val="28"/>
          <w:szCs w:val="28"/>
          <w:rtl w:val="true"/>
          <w:lang w:bidi="ar-SA"/>
        </w:rPr>
        <w:t xml:space="preserve">. </w:t>
      </w:r>
      <w:bookmarkStart w:id="121" w:name="pg9140_71137"/>
    </w:p>
    <w:p>
      <w:pPr>
        <w:pStyle w:val="Heading2"/>
        <w:numPr>
          <w:ilvl w:val="1"/>
          <w:numId w:val="1"/>
        </w:numPr>
        <w:rPr/>
      </w:pPr>
      <w:bookmarkStart w:id="122" w:name="__RefHeading___Toc3242189_2870459653"/>
      <w:bookmarkStart w:id="123" w:name="_Toc45"/>
      <w:bookmarkEnd w:id="121"/>
      <w:bookmarkEnd w:id="122"/>
      <w:r>
        <w:rPr>
          <w:rtl w:val="true"/>
        </w:rPr>
        <w:t>المرصد الثالث في البحث عن أقسام الموجودات و فيه مباحث</w:t>
      </w:r>
      <w:bookmarkEnd w:id="1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242191_2870459653"/>
      <w:bookmarkStart w:id="125" w:name="_Toc46"/>
      <w:bookmarkEnd w:id="124"/>
      <w:r>
        <w:rPr>
          <w:rtl w:val="true"/>
        </w:rPr>
        <w:t>اشارة</w:t>
      </w:r>
      <w:bookmarkEnd w:id="12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140_71139"/>
      <w:bookmarkStart w:id="127" w:name="pg9140_71139"/>
      <w:bookmarkEnd w:id="127"/>
    </w:p>
    <w:p>
      <w:pPr>
        <w:pStyle w:val="Heading3"/>
        <w:numPr>
          <w:ilvl w:val="2"/>
          <w:numId w:val="1"/>
        </w:numPr>
        <w:rPr/>
      </w:pPr>
      <w:bookmarkStart w:id="128" w:name="pg9140_71139"/>
      <w:bookmarkStart w:id="129" w:name="__RefHeading___Toc3242193_2870459653"/>
      <w:bookmarkStart w:id="130" w:name="_Toc47"/>
      <w:bookmarkEnd w:id="128"/>
      <w:bookmarkEnd w:id="129"/>
      <w:r>
        <w:rPr>
          <w:rtl w:val="true"/>
        </w:rPr>
        <w:t>[</w:t>
      </w:r>
      <w:r>
        <w:rPr>
          <w:rtl w:val="true"/>
        </w:rPr>
        <w:t>البحث</w:t>
      </w:r>
      <w:r>
        <w:rPr>
          <w:rtl w:val="true"/>
        </w:rPr>
        <w:t xml:space="preserve">] </w:t>
      </w:r>
      <w:r>
        <w:rPr>
          <w:rtl w:val="true"/>
        </w:rPr>
        <w:t>الأوّل في ماهيّة الجسم</w:t>
      </w:r>
      <w:bookmarkEnd w:id="130"/>
    </w:p>
    <w:p>
      <w:pPr>
        <w:pStyle w:val="Heading4"/>
        <w:numPr>
          <w:ilvl w:val="3"/>
          <w:numId w:val="1"/>
        </w:numPr>
        <w:rPr/>
      </w:pPr>
      <w:bookmarkStart w:id="131" w:name="__RefHeading___Toc3242195_2870459653"/>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المتكلّمون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الجسم مؤلّف من جواهر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ذو وضع لا يقبل القسمة بالفعل و لا بالقوّة، يتألّف على نسبة ما بحيث يحصل له طول و عرض و 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الحكماء ذهبوا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هذه المسألة يتوقّف على ثبوت الجزء الّذي لا يتجزّى و نفيه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242197_2870459653"/>
      <w:bookmarkStart w:id="134" w:name="_Toc49"/>
      <w:bookmarkEnd w:id="133"/>
      <w:r>
        <w:rPr>
          <w:rtl w:val="true"/>
        </w:rPr>
        <w:t>و قد استدلّ مثبتوه بوجوه</w:t>
      </w:r>
      <w:r>
        <w:rPr>
          <w:rtl w:val="true"/>
        </w:rPr>
        <w:t>:</w:t>
      </w:r>
      <w:bookmarkEnd w:id="13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منه ماض و منه مستقبل، و هما معدومان، و منه حاضر، فإن كان منقسما لم يكن كلّه حاضرا،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منقسما فالحركة المقطوعة فيه إن انقسمت لزم انقسامه، لأنّ الزّمان الّذي يقع فيه نصف الحركة نصف الزّمان الّذي يقع فيه كلّ الحركة، و قد فرضنا الزّمان غير منقسم،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الحركة الواقعة في الآن غير منقسمة</w:t>
      </w:r>
      <w:r>
        <w:rPr>
          <w:rFonts w:eastAsia="Amiri" w:cs="Amiri" w:ascii="Amiri" w:hAnsi="Amiri"/>
          <w:color w:val="111111"/>
          <w:sz w:val="28"/>
          <w:szCs w:val="28"/>
          <w:rtl w:val="true"/>
          <w:lang w:bidi="ar-SA"/>
        </w:rPr>
        <w:t>.</w:t>
      </w:r>
      <w:r>
        <w:rPr>
          <w:rStyle w:val="FootnoteAnchor"/>
          <w:rtl w:val="true"/>
        </w:rPr>
        <w:footnoteReference w:id="57"/>
      </w:r>
      <w:bookmarkStart w:id="135" w:name="pg9140_71140"/>
    </w:p>
    <w:p>
      <w:pPr>
        <w:pStyle w:val="BookText"/>
        <w:rPr/>
      </w:pPr>
      <w:bookmarkEnd w:id="135"/>
      <w:r>
        <w:rPr>
          <w:rFonts w:ascii="Amiri" w:hAnsi="Amiri" w:eastAsia="Amiri" w:cs="Amiri"/>
          <w:color w:val="111111"/>
          <w:sz w:val="28"/>
          <w:sz w:val="28"/>
          <w:szCs w:val="28"/>
          <w:rtl w:val="true"/>
          <w:lang w:bidi="ar-SA"/>
        </w:rPr>
        <w:t>فالمسافة الّتي يقع فيها تلك الحركة في ذلك الزّمان غير منقسمة، لأنّها لو انقسمت لكانت الحركة إلى نصفها نصف الحركة إلى آخرها، فتكون الحركة الّتي فرضت غير منقسمة منقسمة،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وجود جزء لا يتجزّى من المسافة،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النقطة شيء ذو وضع لا جزء له، فإن كانت جوهرا ثبت المطلوب، و إن كان عرضا فمحلّه إن انقسم لزم انقسامها، لأنّ الحالّ في المنقسم منقسم؛ لأنّه إن حلّ في جميع أجزائه كان منقسما بالضّرورة، لاستحالة كون الحالّ في أحد الجزءين عين الحالّ في الآخر، و إن حلّ في بعضها لم يكن ما فرضناه محلاّ بمحلّ، هذا خلف و إن كان غير منقسم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وضعنا كرة حقيقيّة على سطح مستو لاقته بما لا ينقسم، و إلاّ كانت مضلّعة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دحرجت حتّى انتهت إلى آخر السّطح كانت ملاقية له بنقطة عقيب اخرى، و هو المطلوب</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242199_2870459653"/>
      <w:bookmarkStart w:id="137" w:name="_Toc50"/>
      <w:bookmarkEnd w:id="136"/>
      <w:r>
        <w:rPr>
          <w:rtl w:val="true"/>
        </w:rPr>
        <w:t>و احتجّ النّافون بوجوه</w:t>
      </w:r>
      <w:r>
        <w:rPr>
          <w:rtl w:val="true"/>
        </w:rPr>
        <w:t>:</w:t>
      </w:r>
      <w:bookmarkEnd w:id="1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وضعنا جواهر ثلاثة متماسّة فالوسط إن لم يحجب الطرفين عن التّماسّ لزم التّداخل، و هو معلوم البطلان، و إن يحجبهما كان الجانب الملاقي لأحد الطرفين غير الملاقي للآخر، فيلزم الانقسام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كرة متحرّكة أكملت الدّورة</w:t>
      </w:r>
      <w:r>
        <w:rPr>
          <w:rStyle w:val="FootnoteAnchor"/>
          <w:rtl w:val="true"/>
        </w:rPr>
        <w:footnoteReference w:id="58"/>
      </w:r>
      <w:r>
        <w:rPr>
          <w:rFonts w:ascii="Amiri" w:hAnsi="Amiri" w:eastAsia="Amiri" w:cs="Amiri"/>
          <w:color w:val="111111"/>
          <w:sz w:val="28"/>
          <w:sz w:val="28"/>
          <w:szCs w:val="28"/>
          <w:rtl w:val="true"/>
          <w:lang w:bidi="ar-SA"/>
        </w:rPr>
        <w:t xml:space="preserve">على نفسها، فإنّ كلّ </w:t>
      </w:r>
    </w:p>
    <w:p>
      <w:pPr>
        <w:pStyle w:val="BookText"/>
        <w:rPr/>
      </w:pPr>
      <w:r>
        <w:rPr>
          <w:rFonts w:ascii="Amiri" w:hAnsi="Amiri" w:eastAsia="Amiri" w:cs="Amiri"/>
          <w:color w:val="111111"/>
          <w:sz w:val="28"/>
          <w:sz w:val="28"/>
          <w:szCs w:val="28"/>
          <w:rtl w:val="true"/>
          <w:lang w:bidi="ar-SA"/>
        </w:rPr>
        <w:t>جزء يفرض على سطح تلك الكرة قد أكمل دورة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جزءا على المنطقة تحرّك جزءا غير منقسم فالقريب من القطب إن تحرّك مثله تساوى المداران، و هو ضروريّ البطلان، و إن لم يتحرّك اصلا لزم التّفكيك، و إن تحرّك أقلّ من جزء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خطّا مركّبا من ثلاثة جواهر، ثمّ وضعنا على طرفيه جزءين و تحرّكا، تلاقيا على منتصف الثالث، فتنقسم</w:t>
      </w:r>
      <w:r>
        <w:rPr>
          <w:rStyle w:val="FootnoteAnchor"/>
          <w:rtl w:val="true"/>
        </w:rPr>
        <w:footnoteReference w:id="59"/>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المربّع المركّب من ستّة عشر جزءا يكون قطره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تلاقت ساوى القطر الضّلع، هذا خلف، و إن تباينت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اتّسع ما بين كلّ جزءين الآخر ساوى القطر الضّلعين، هذا خلف بشكل الحمار</w:t>
      </w:r>
      <w:r>
        <w:rPr>
          <w:rStyle w:val="FootnoteAnchor"/>
          <w:rtl w:val="true"/>
        </w:rPr>
        <w:footnoteReference w:id="60"/>
      </w:r>
      <w:r>
        <w:rPr>
          <w:rFonts w:ascii="Amiri" w:hAnsi="Amiri" w:eastAsia="Amiri" w:cs="Amiri"/>
          <w:color w:val="111111"/>
          <w:sz w:val="28"/>
          <w:sz w:val="28"/>
          <w:szCs w:val="28"/>
          <w:rtl w:val="true"/>
          <w:lang w:bidi="ar-SA"/>
        </w:rPr>
        <w:t>، و إن اتّسع لأقل ثبت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حجج أخرى من الطرفين ذكرناها في كتاب نهاية المرام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38" w:name="pg9140_71142"/>
    </w:p>
    <w:p>
      <w:pPr>
        <w:pStyle w:val="Heading3"/>
        <w:numPr>
          <w:ilvl w:val="2"/>
          <w:numId w:val="1"/>
        </w:numPr>
        <w:rPr/>
      </w:pPr>
      <w:bookmarkStart w:id="139" w:name="__RefHeading___Toc3242201_2870459653"/>
      <w:bookmarkStart w:id="140" w:name="_Toc51"/>
      <w:bookmarkEnd w:id="138"/>
      <w:bookmarkEnd w:id="139"/>
      <w:r>
        <w:rPr>
          <w:rtl w:val="true"/>
        </w:rPr>
        <w:t>البحث الثّاني في إبطال حجّة الحكماء في المادّة</w:t>
      </w:r>
      <w:bookmarkEnd w:id="140"/>
    </w:p>
    <w:p>
      <w:pPr>
        <w:pStyle w:val="BookText"/>
        <w:rPr/>
      </w:pP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البسيط واحد في نفسه متصل لاستحالة تركّبه من الجواهر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أنّه قابل للقسمة، و هي عدم الاتّصال عمّا من شأنه أن يكون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فالقابل إن كان هو الاتّصال كان الشّيء قابلا لعدمه، و هو محال، لاجتماع القابل و المقبول، و إن كان شيئا آخر فهو المطلوب، لأنّا لا نعني بالمادّة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الاعتراض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وحدة الجسم، و قد برهنّا على ثبوت الجزء الّذي لا يتجزى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الانقسام المعلوم ثبوته إنّما هو الفرضيّ دون الانفكاكيّ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لا يقتضي ثبوت المادّة، بل الثّاني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اجتماع القابل و المقبول مطلقا اجتماعهما في الوجود؛ فإنّ مثل هذا القبول لا يتوقف على الوجود؛ إذ المراد به إمكان اتّصاف الشّيء بمقبوله، و لا شكّ في أنّ الماهيّة الممكنة من حيث هي هي مغايرة للوجود و العدم و قابلة لهما، و لا يلزم من ذلك استحالة، فكذا هنا</w:t>
      </w:r>
      <w:r>
        <w:rPr>
          <w:rFonts w:eastAsia="Amiri" w:cs="Amiri" w:ascii="Amiri" w:hAnsi="Amiri"/>
          <w:color w:val="111111"/>
          <w:sz w:val="28"/>
          <w:szCs w:val="28"/>
          <w:rtl w:val="true"/>
          <w:lang w:bidi="ar-SA"/>
        </w:rPr>
        <w:t xml:space="preserve">. </w:t>
      </w:r>
      <w:bookmarkStart w:id="141" w:name="pg9140_71143"/>
    </w:p>
    <w:p>
      <w:pPr>
        <w:pStyle w:val="BookText"/>
        <w:rPr/>
      </w:pPr>
      <w:bookmarkEnd w:id="14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تنقسم بانقسام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افتقر</w:t>
      </w:r>
      <w:r>
        <w:rPr>
          <w:rStyle w:val="FootnoteAnchor"/>
          <w:rtl w:val="true"/>
        </w:rPr>
        <w:footnoteReference w:id="62"/>
      </w:r>
      <w:r>
        <w:rPr>
          <w:rFonts w:ascii="Amiri" w:hAnsi="Amiri" w:eastAsia="Amiri" w:cs="Amiri"/>
          <w:color w:val="111111"/>
          <w:sz w:val="28"/>
          <w:sz w:val="28"/>
          <w:szCs w:val="28"/>
          <w:rtl w:val="true"/>
          <w:lang w:bidi="ar-SA"/>
        </w:rPr>
        <w:t>انقسام الصّورة إلى محلّ افتقرت المادّة إلى مادّة أخرى و تسلسل</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242203_2870459653"/>
      <w:bookmarkStart w:id="143" w:name="_Toc52"/>
      <w:bookmarkEnd w:id="142"/>
      <w:r>
        <w:rPr>
          <w:rtl w:val="true"/>
        </w:rPr>
        <w:t>البحث الثالث في الاعراض</w:t>
      </w:r>
      <w:bookmarkEnd w:id="143"/>
    </w:p>
    <w:p>
      <w:pPr>
        <w:pStyle w:val="Heading4"/>
        <w:numPr>
          <w:ilvl w:val="3"/>
          <w:numId w:val="1"/>
        </w:numPr>
        <w:rPr/>
      </w:pPr>
      <w:bookmarkStart w:id="144" w:name="__RefHeading___Toc3242205_2870459653"/>
      <w:bookmarkStart w:id="145" w:name="_Toc53"/>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العرض إمّا أن يفتقر إلى المحلّ لا غير، و هي الكيفيّات المحسوسة و الأكوان، و إمّا أن يفتقر إلى المحلّ و البنية، و هو الحياة و ما هو مشروط بها، و هو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الاعتقاد</w:t>
      </w:r>
      <w:r>
        <w:rPr>
          <w:rStyle w:val="FootnoteAnchor"/>
          <w:rtl w:val="true"/>
        </w:rPr>
        <w:footnoteReference w:id="63"/>
      </w:r>
      <w:r>
        <w:rPr>
          <w:rFonts w:ascii="Amiri" w:hAnsi="Amiri" w:eastAsia="Amiri" w:cs="Amiri"/>
          <w:color w:val="111111"/>
          <w:sz w:val="28"/>
          <w:sz w:val="28"/>
          <w:szCs w:val="28"/>
          <w:rtl w:val="true"/>
          <w:lang w:bidi="ar-SA"/>
        </w:rPr>
        <w:t>و الظنّ و النّظر و الإرادة و الكراهة و الشّهوة و النّفرة و الألم و اللّذة و هما من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بالبصر، و هو الضّوء و اللّون، و إمّا بالسّمع، و هي الأصوات و الحروف، و إما بالذّوق، و هي الطعوم، و إمّا بالشّمّ، و هي الرّوائح، و إمّا باللّمس، و هي الحرارة و البرودة و الرّطوبة و اليبوسة و الثّقل و الخفّة و اللّين و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الأكوان، فهو الحركة و السّكون و الاجتماع و الافتراق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فلنبحث عن كلّ واحد من هذه الأقسام على سبيل الاختصار في مطالب</w:t>
      </w:r>
      <w:r>
        <w:rPr>
          <w:rFonts w:eastAsia="Amiri" w:cs="Amiri" w:ascii="Amiri" w:hAnsi="Amiri"/>
          <w:color w:val="111111"/>
          <w:sz w:val="28"/>
          <w:szCs w:val="28"/>
          <w:rtl w:val="true"/>
          <w:lang w:bidi="ar-SA"/>
        </w:rPr>
        <w:t xml:space="preserve">. </w:t>
      </w:r>
      <w:bookmarkStart w:id="146" w:name="pg9140_71144"/>
    </w:p>
    <w:p>
      <w:pPr>
        <w:pStyle w:val="Heading4"/>
        <w:numPr>
          <w:ilvl w:val="3"/>
          <w:numId w:val="1"/>
        </w:numPr>
        <w:rPr/>
      </w:pPr>
      <w:bookmarkStart w:id="147" w:name="__RefHeading___Toc3242207_2870459653"/>
      <w:bookmarkStart w:id="148" w:name="_Toc54"/>
      <w:bookmarkEnd w:id="146"/>
      <w:bookmarkEnd w:id="147"/>
      <w:r>
        <w:rPr>
          <w:rtl w:val="true"/>
        </w:rPr>
        <w:t>المطلب الأوّل</w:t>
      </w:r>
      <w:r>
        <w:rPr>
          <w:rtl w:val="true"/>
        </w:rPr>
        <w:t xml:space="preserve">: </w:t>
      </w:r>
      <w:r>
        <w:rPr>
          <w:rtl w:val="true"/>
        </w:rPr>
        <w:t>في المبصرات</w:t>
      </w:r>
      <w:bookmarkEnd w:id="148"/>
    </w:p>
    <w:p>
      <w:pPr>
        <w:pStyle w:val="BookText"/>
        <w:rPr/>
      </w:pPr>
      <w:r>
        <w:rPr>
          <w:rFonts w:ascii="Amiri" w:hAnsi="Amiri" w:eastAsia="Amiri" w:cs="Amiri"/>
          <w:color w:val="111111"/>
          <w:sz w:val="28"/>
          <w:sz w:val="28"/>
          <w:szCs w:val="28"/>
          <w:rtl w:val="true"/>
          <w:lang w:bidi="ar-SA"/>
        </w:rPr>
        <w:t>و هي بالذّات شيئان، الضّوء و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الضّوء،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لتحرّكه بحركة المضيء، و هو خطأ، لتساوي الأجسام في الجسميّة، و اختلافها في الإضاءة و عدمها، و الحركة ممنوعة، بل يتجدّد بتجدّد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المطلق هو الضّوء، و الخفاء المطلق هو الظلمة، و المتوسّط هو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خطأ، لاشتراك السّواد و البياض في الإضاءة، و اختلافهما بماهيّتهما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بل الحقّ أنّه كيفيّة منبسطة على الجسم الكثيف يحصل عند مقابلة المضيء و منه أوّل و ثان هو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الظلمة فهي عدم الضّوء عمّا من شأنه أن يكون مضيئا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وجوديّة، لأنّها 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الصّغرى كاذبة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أمّا اللّون فعند المعتزلة انّه جنس للسّواد و البياض و الحمرة و الصّفرة و الخضرة، و جعلوا البواقي مركّبة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البلخيّ‌</w:t>
      </w:r>
      <w:r>
        <w:rPr>
          <w:rStyle w:val="FootnoteAnchor"/>
          <w:rtl w:val="true"/>
        </w:rPr>
        <w:footnoteReference w:id="66"/>
      </w:r>
      <w:r>
        <w:rPr>
          <w:rFonts w:ascii="Amiri" w:hAnsi="Amiri" w:eastAsia="Amiri" w:cs="Amiri"/>
          <w:color w:val="111111"/>
          <w:sz w:val="28"/>
          <w:sz w:val="28"/>
          <w:szCs w:val="28"/>
          <w:rtl w:val="true"/>
          <w:lang w:bidi="ar-SA"/>
        </w:rPr>
        <w:t>الغبرة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الأوائل جعل الخالص هو السّواد، و أمّا البياض فإنّه يتخيّل</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عند مخالطة الهواء للأجسام الشّفّافة الصّغيرة كما في زبد الماء و الثّلج، و هو خطأ، لأنّه محسوس، فيكون وجوديّا، نعم قد يكون بعض أسبابه ذلك و قد يكون غيره، كما في بياض البيض المسلوق، فإنّه يرى أبيض، مع أنّ النّار لم تحدث فيه هوائيّة، لأنّه بعد الطبخ 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الشّيخان على تجويز زائد على الخمسة في مقدوره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أشخاص كلّ جنس متماثلة، فإنّ الهيئة المحسوسة من أحد السّوادين هي المحسوسة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الأجناس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السّواد و البياض فمطلقا و أمّا البواقي، فاذا لم يشرط في الضّدّين غاية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المرتضى و جماعة من الأوائل اجتماع السّواد و البياض، كما في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يفتقر اللّون إلى البنية، خلافا للعلاّف، و إلاّ لنقص عند زوال البنية بالسّحق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مقدورا لنا، و إلاّ لأمكننا تغيير ألواننا إلى ما نشتهيه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الملازمة نظر، لجواز أن يتعلّق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بالواننا، و يمتنع منّا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مقدور لنا، لأنّا نضرب جسم الحيّ، فيظهر حمرة، كما يوجد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تولّدهما عن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حمرة الدّم، حيث انزعج بالضّرب، و لا يقع متولّدا، إذ الأسباب المولّدة معروفة، و ليس منها ما يولّده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البغداديّون إلى أنّه متولّد عن غيره من الألوان، و هو باق، للحكم بأنّ ما شاهدناه ثانيا هو ما شاهدناه أوّلا، و لا يتوقف وجوده على </w:t>
      </w:r>
      <w:bookmarkStart w:id="149" w:name="pg9140_71146"/>
    </w:p>
    <w:p>
      <w:pPr>
        <w:pStyle w:val="BookText"/>
        <w:rPr/>
      </w:pPr>
      <w:bookmarkEnd w:id="149"/>
      <w:r>
        <w:rPr>
          <w:rFonts w:ascii="Amiri" w:hAnsi="Amiri" w:eastAsia="Amiri" w:cs="Amiri"/>
          <w:color w:val="111111"/>
          <w:sz w:val="28"/>
          <w:sz w:val="28"/>
          <w:szCs w:val="28"/>
          <w:rtl w:val="true"/>
          <w:lang w:bidi="ar-SA"/>
        </w:rPr>
        <w:t>الضّوء، خلافا لابن سينا، للحكم القطعيّ ببقاء اللون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نراه في الظلمة،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المظلم فيه كيفيّة مانعة عن الإبصار، و إلاّ لتساوى البعيد من النّار و القريب منها ليلا في عدم الرّؤية، و التّالي باطل، فكذا المقدّم، فلم يبق إلاّ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الحصر، بل عدم الرؤية لعدم الشّرط الّذي هو الضوء</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242209_2870459653"/>
      <w:bookmarkStart w:id="151" w:name="_Toc55"/>
      <w:bookmarkEnd w:id="150"/>
      <w:r>
        <w:rPr>
          <w:rtl w:val="true"/>
        </w:rPr>
        <w:t>المطلب الثّاني</w:t>
      </w:r>
      <w:r>
        <w:rPr>
          <w:rtl w:val="true"/>
        </w:rPr>
        <w:t xml:space="preserve">: </w:t>
      </w:r>
      <w:r>
        <w:rPr>
          <w:rtl w:val="true"/>
        </w:rPr>
        <w:t>في الأصوات و الحروف</w:t>
      </w:r>
      <w:bookmarkEnd w:id="151"/>
    </w:p>
    <w:p>
      <w:pPr>
        <w:pStyle w:val="Heading5"/>
        <w:numPr>
          <w:ilvl w:val="4"/>
          <w:numId w:val="1"/>
        </w:numPr>
        <w:rPr/>
      </w:pPr>
      <w:bookmarkStart w:id="152" w:name="__RefHeading___Toc3242211_2870459653"/>
      <w:bookmarkStart w:id="153" w:name="_Toc56"/>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ذهب إبراهيم النّظّام إلى أنّ الصّوت جسم ينقطع بالحركة، تسمعه</w:t>
      </w:r>
      <w:r>
        <w:rPr>
          <w:rStyle w:val="FootnoteAnchor"/>
          <w:rtl w:val="true"/>
        </w:rPr>
        <w:footnoteReference w:id="68"/>
      </w:r>
      <w:r>
        <w:rPr>
          <w:rFonts w:ascii="IRNazanin" w:hAnsi="IRNazanin" w:eastAsia="IRNazanin"/>
          <w:color w:val="111111"/>
          <w:sz w:val="28"/>
          <w:sz w:val="28"/>
          <w:szCs w:val="28"/>
          <w:rtl w:val="true"/>
          <w:lang w:bidi="fa-IR"/>
        </w:rPr>
        <w:t>بانتقاله إلى الاذن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خطأ، فإنّ الأجسام مشتركة في الجسميّة و في كونها ملموسة و مبصرة، و ليس الصّوت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اصطكاك الأجسام الصّلبة أو القلع أو القرع، أو تموّج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فإنّ الاصطكاك و القرع مماسّة، و القلع تفريق، و التّموّج حركة، و كلّ ذلك مبصر، بخلاف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سببه تموّج الهواء، لا بمعنى انتقال هواء معيّن، بل حالة شبيهة</w:t>
      </w:r>
      <w:r>
        <w:rPr>
          <w:rStyle w:val="FootnoteAnchor"/>
          <w:rtl w:val="true"/>
        </w:rPr>
        <w:footnoteReference w:id="69"/>
      </w:r>
      <w:r>
        <w:rPr>
          <w:rFonts w:ascii="Amiri" w:hAnsi="Amiri" w:eastAsia="Amiri" w:cs="Amiri"/>
          <w:color w:val="111111"/>
          <w:sz w:val="28"/>
          <w:sz w:val="28"/>
          <w:szCs w:val="28"/>
          <w:rtl w:val="true"/>
          <w:lang w:bidi="ar-SA"/>
        </w:rPr>
        <w:t>بتموّج الماء الحاصل بالتّدارك، لصدم بعد صدم، مع سكون بعد سكون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التّموّج إمساس عنيف هو القرع أو تفريق عنيف هو القلع، و هو مقدور لنا، لصدوره باختيارنا و إن كنّا لا نفعله إلاّ بسبب هو الاعتماد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يستحيل بقاؤه، و إلاّ لأدركناه في الزّمن الثّاني و الثّالث، و لم يكن سماع زيد أولى من أن يسمع على سائر تقاليب حروفه الخمسة و يتوقّف الإحساس به على وصول</w:t>
      </w:r>
      <w:r>
        <w:rPr>
          <w:rStyle w:val="FootnoteAnchor"/>
          <w:rtl w:val="true"/>
        </w:rPr>
        <w:footnoteReference w:id="70"/>
      </w:r>
      <w:r>
        <w:rPr>
          <w:rFonts w:ascii="Amiri" w:hAnsi="Amiri" w:eastAsia="Amiri" w:cs="Amiri"/>
          <w:color w:val="111111"/>
          <w:sz w:val="28"/>
          <w:sz w:val="28"/>
          <w:szCs w:val="28"/>
          <w:rtl w:val="true"/>
          <w:lang w:bidi="ar-SA"/>
        </w:rPr>
        <w:t>الهواء الحامل له إلى سطح الصّماخ، لميل صوت المؤذّن على المنارة من جانب إلى آخر عند هبوب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بالمنع؛ لأنّ حامل كلّ واحد من الحروف إمّا كلّ واحد من أجزاء الهواء، فيجب في من تكلّم بكلمة أن يتكرّر سماعها للسّامع الواحد بأن تتأدّى إلى صماخه أجزاء كثيرة من الهواء، أو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Style w:val="FootnoteAnchor"/>
          <w:rtl w:val="true"/>
        </w:rPr>
        <w:footnoteReference w:id="71"/>
      </w:r>
      <w:r>
        <w:rPr>
          <w:rFonts w:ascii="Amiri" w:hAnsi="Amiri" w:eastAsia="Amiri" w:cs="Amiri"/>
          <w:color w:val="111111"/>
          <w:sz w:val="28"/>
          <w:sz w:val="28"/>
          <w:szCs w:val="28"/>
          <w:rtl w:val="true"/>
          <w:lang w:bidi="ar-SA"/>
        </w:rPr>
        <w:t>لا يسمع الكلام دفعة واحدة إلاّ سامع واحد؛ لأنّ المجموع لا ينتقل</w:t>
      </w:r>
      <w:r>
        <w:rPr>
          <w:rStyle w:val="FootnoteAnchor"/>
          <w:rtl w:val="true"/>
        </w:rPr>
        <w:footnoteReference w:id="72"/>
      </w:r>
      <w:r>
        <w:rPr>
          <w:rFonts w:ascii="Amiri" w:hAnsi="Amiri" w:eastAsia="Amiri" w:cs="Amiri"/>
          <w:color w:val="111111"/>
          <w:sz w:val="28"/>
          <w:sz w:val="28"/>
          <w:szCs w:val="28"/>
          <w:rtl w:val="true"/>
          <w:lang w:bidi="ar-SA"/>
        </w:rPr>
        <w:t>دفعة إلاّ إلى سامع واحد، و للسّامع من وراء الجدران مع تغيير الشّكل عند صدم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الأصوات متماثل و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الشّيخان إلى تضادّ ما اختلف فيها و توقّف قاضي القضاة و أبو عبد اللّه</w:t>
      </w:r>
      <w:r>
        <w:rPr>
          <w:rStyle w:val="FootnoteAnchor"/>
          <w:rtl w:val="true"/>
        </w:rPr>
        <w:footnoteReference w:id="73"/>
      </w:r>
      <w:r>
        <w:rPr>
          <w:rFonts w:ascii="Amiri" w:hAnsi="Amiri" w:eastAsia="Amiri" w:cs="Amiri"/>
          <w:color w:val="111111"/>
          <w:sz w:val="28"/>
          <w:sz w:val="28"/>
          <w:szCs w:val="28"/>
          <w:rtl w:val="true"/>
          <w:lang w:bidi="ar-SA"/>
        </w:rPr>
        <w:t>في ذلك و إذا تموّج الهواء و قاوم ذلك التّموّج جسم، كجبل أو جدار املس بحيث يردّ ذلك التموّج بصرفه إلى خلف، و يكون شكله شكل الأوّل، و على هيئته، حدث من ذلك صوت هو الصّدى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الحرف، فهو هيئة عارضة للصّوت يتميّز بها صوت آخر مثله في </w:t>
      </w:r>
    </w:p>
    <w:p>
      <w:pPr>
        <w:pStyle w:val="BookText"/>
        <w:rPr/>
      </w:pPr>
      <w:r>
        <w:rPr>
          <w:rFonts w:ascii="Amiri" w:hAnsi="Amiri" w:eastAsia="Amiri" w:cs="Amiri"/>
          <w:color w:val="111111"/>
          <w:sz w:val="28"/>
          <w:sz w:val="28"/>
          <w:szCs w:val="28"/>
          <w:rtl w:val="true"/>
          <w:lang w:bidi="ar-SA"/>
        </w:rPr>
        <w:t>الحدّة</w:t>
      </w:r>
      <w:r>
        <w:rPr>
          <w:rStyle w:val="FootnoteAnchor"/>
          <w:rtl w:val="true"/>
        </w:rPr>
        <w:footnoteReference w:id="74"/>
      </w:r>
      <w:r>
        <w:rPr>
          <w:rFonts w:ascii="Amiri" w:hAnsi="Amiri" w:eastAsia="Amiri" w:cs="Amiri"/>
          <w:color w:val="111111"/>
          <w:sz w:val="28"/>
          <w:sz w:val="28"/>
          <w:szCs w:val="28"/>
          <w:rtl w:val="true"/>
          <w:lang w:bidi="ar-SA"/>
        </w:rPr>
        <w:t>و الثّقل تميّزا عن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مصوّت، و هو حروف المدّ و اللّين، و لا يمكن الابتداء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صامت، و هو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هو المركّب من الحروف المنتظمة على نسبة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الشّيخان، فقال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الأصوات المخصوصة، 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زائد على الأصوات، و ذهب إلى بقاء الكلام دون الصّوت و أثبته مسموعا عند مقارنة الصّوت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الأشاعرة إلى أنّ الكلام معنى في النّفس قائم بالمتكلّم شاهدا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الكلابيّة أثبتوا الكلام النفساني</w:t>
      </w:r>
      <w:r>
        <w:rPr>
          <w:rStyle w:val="FootnoteAnchor"/>
          <w:rtl w:val="true"/>
        </w:rPr>
        <w:footnoteReference w:id="75"/>
      </w:r>
      <w:r>
        <w:rPr>
          <w:rFonts w:ascii="IRNazanin" w:hAnsi="IRNazanin" w:eastAsia="IRNazanin"/>
          <w:color w:val="111111"/>
          <w:sz w:val="28"/>
          <w:sz w:val="28"/>
          <w:szCs w:val="28"/>
          <w:rtl w:val="true"/>
          <w:lang w:bidi="fa-IR"/>
        </w:rPr>
        <w:t>غائبا لا شاهدا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الخاطر عند أبي هاشم كلام خفيّ يفعله اللّه في داخل سمع المكلّف، أو يفعله الملك بأمره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قول أبي عليّ، فتارة جعله فكرا،</w:t>
      </w:r>
      <w:r>
        <w:rPr>
          <w:rStyle w:val="FootnoteAnchor"/>
          <w:rtl w:val="true"/>
        </w:rPr>
        <w:footnoteReference w:id="76"/>
      </w:r>
      <w:r>
        <w:rPr>
          <w:rFonts w:ascii="Amiri" w:hAnsi="Amiri" w:eastAsia="Amiri" w:cs="Amiri"/>
          <w:color w:val="111111"/>
          <w:sz w:val="28"/>
          <w:sz w:val="28"/>
          <w:szCs w:val="28"/>
          <w:rtl w:val="true"/>
          <w:lang w:bidi="ar-SA"/>
        </w:rPr>
        <w:t>و اخرى إنّه اعتقاد، و تارة إنّه ظنّ، و منع من كونه كلاما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التّمنّي عند أبي هاشم معنى يوجد في النّفس، و عند أبي عليّ إنّه قول مخصوص لا بدّ فيه من اعتقاد و قصد؛ فإن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اعتقد أنّه كان ينتفع به و قصد إلى هذا القول؛ فإنّه متمنّ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هو القول، و ما عداه شرط؛ لأنّ أهل اللغة عدّوه من أقسام الكلام</w:t>
      </w:r>
      <w:r>
        <w:rPr>
          <w:rFonts w:eastAsia="Amiri" w:cs="Amiri" w:ascii="Amiri" w:hAnsi="Amiri"/>
          <w:color w:val="111111"/>
          <w:sz w:val="28"/>
          <w:szCs w:val="28"/>
          <w:rtl w:val="true"/>
          <w:lang w:bidi="ar-SA"/>
        </w:rPr>
        <w:t xml:space="preserve">. </w:t>
      </w:r>
      <w:bookmarkStart w:id="154" w:name="pg9140_71149"/>
    </w:p>
    <w:p>
      <w:pPr>
        <w:pStyle w:val="Heading5"/>
        <w:numPr>
          <w:ilvl w:val="4"/>
          <w:numId w:val="1"/>
        </w:numPr>
        <w:rPr/>
      </w:pPr>
      <w:bookmarkStart w:id="155" w:name="__RefHeading___Toc3242213_2870459653"/>
      <w:bookmarkStart w:id="156" w:name="_Toc57"/>
      <w:bookmarkEnd w:id="154"/>
      <w:bookmarkEnd w:id="155"/>
      <w:r>
        <w:rPr>
          <w:rtl w:val="true"/>
        </w:rPr>
        <w:t>تذنيب</w:t>
      </w:r>
      <w:bookmarkEnd w:id="156"/>
    </w:p>
    <w:p>
      <w:pPr>
        <w:pStyle w:val="BookText"/>
        <w:rPr/>
      </w:pPr>
      <w:r>
        <w:rPr>
          <w:rFonts w:ascii="Amiri" w:hAnsi="Amiri" w:eastAsia="Amiri" w:cs="Amiri"/>
          <w:color w:val="111111"/>
          <w:sz w:val="28"/>
          <w:sz w:val="28"/>
          <w:szCs w:val="28"/>
          <w:rtl w:val="true"/>
          <w:lang w:bidi="ar-SA"/>
        </w:rPr>
        <w:t>اختلف الشّيخان، فقال أبو عليّ و أبو الهذيل</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هي المحكيّ؛ لأنّهما جعلا الكلام معنى باقيا غير الصّوت، و جعلا</w:t>
      </w:r>
      <w:r>
        <w:rPr>
          <w:rStyle w:val="FootnoteAnchor"/>
          <w:rtl w:val="true"/>
        </w:rPr>
        <w:footnoteReference w:id="78"/>
      </w:r>
      <w:r>
        <w:rPr>
          <w:rFonts w:ascii="Amiri" w:hAnsi="Amiri" w:eastAsia="Amiri" w:cs="Amiri"/>
          <w:color w:val="111111"/>
          <w:sz w:val="28"/>
          <w:sz w:val="28"/>
          <w:szCs w:val="28"/>
          <w:rtl w:val="true"/>
          <w:lang w:bidi="ar-SA"/>
        </w:rPr>
        <w:t>المراد بالقراءة الصّوت و بالمقروّ الحرف الباقي، و قالا بأنّ هذا المسموع نفس ما أوجده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أبو عليّ الكلام موجودا في المحلّ بغيره كما أوجب</w:t>
      </w:r>
      <w:r>
        <w:rPr>
          <w:rStyle w:val="FootnoteAnchor"/>
          <w:rtl w:val="true"/>
        </w:rPr>
        <w:footnoteReference w:id="79"/>
      </w:r>
      <w:r>
        <w:rPr>
          <w:rFonts w:ascii="Amiri" w:hAnsi="Amiri" w:eastAsia="Amiri" w:cs="Amiri"/>
          <w:color w:val="111111"/>
          <w:sz w:val="28"/>
          <w:sz w:val="28"/>
          <w:szCs w:val="28"/>
          <w:rtl w:val="true"/>
          <w:lang w:bidi="ar-SA"/>
        </w:rPr>
        <w:t>وجود الجوهر في جهة بغيره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متلوّا وجد مع الصّوت، و إذا كان محفوظا فمع الحفظ، و إذا كان مكتوبا فمع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مع الحفظ و الكتابة كلاما كما أثبته مع التّلاوة، لأنّ المسموع لو كان غير ما اوجده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لبطلت المعجزة، إذ كان أحدنا قادرا على الاتيان بمثله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غير المحكيّ؛ لأنّ الكلام غير باق، فالمسموع غير ما أوجده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الحكاية هي المحكيّ لكان من حكى عن النّار محترقا، و لو كان في المكتوب كلام لكان مسموعا، و كذا الحفظ</w:t>
      </w:r>
      <w:r>
        <w:rPr>
          <w:rFonts w:eastAsia="Amiri" w:cs="Amiri" w:ascii="Amiri" w:hAnsi="Amiri"/>
          <w:color w:val="111111"/>
          <w:sz w:val="28"/>
          <w:szCs w:val="28"/>
          <w:rtl w:val="true"/>
          <w:lang w:bidi="ar-SA"/>
        </w:rPr>
        <w:t xml:space="preserve">. </w:t>
      </w:r>
      <w:bookmarkStart w:id="157" w:name="pg9140_71150"/>
    </w:p>
    <w:p>
      <w:pPr>
        <w:pStyle w:val="Heading4"/>
        <w:numPr>
          <w:ilvl w:val="3"/>
          <w:numId w:val="1"/>
        </w:numPr>
        <w:rPr/>
      </w:pPr>
      <w:bookmarkStart w:id="158" w:name="__RefHeading___Toc3242215_2870459653"/>
      <w:bookmarkStart w:id="159" w:name="_Toc58"/>
      <w:bookmarkEnd w:id="157"/>
      <w:bookmarkEnd w:id="158"/>
      <w:r>
        <w:rPr>
          <w:rtl w:val="true"/>
        </w:rPr>
        <w:t>المطلب الثالث</w:t>
      </w:r>
      <w:r>
        <w:rPr>
          <w:rtl w:val="true"/>
        </w:rPr>
        <w:t xml:space="preserve">: </w:t>
      </w:r>
      <w:r>
        <w:rPr>
          <w:rtl w:val="true"/>
        </w:rPr>
        <w:t>في الطعوم و الرّوائح</w:t>
      </w:r>
      <w:bookmarkEnd w:id="159"/>
    </w:p>
    <w:p>
      <w:pPr>
        <w:pStyle w:val="BookText"/>
        <w:rPr/>
      </w:pPr>
      <w:r>
        <w:rPr>
          <w:rFonts w:ascii="Amiri" w:hAnsi="Amiri" w:eastAsia="Amiri" w:cs="Amiri"/>
          <w:color w:val="111111"/>
          <w:sz w:val="28"/>
          <w:sz w:val="28"/>
          <w:szCs w:val="28"/>
          <w:rtl w:val="true"/>
          <w:lang w:bidi="ar-SA"/>
        </w:rPr>
        <w:t>الجسم إمّا أن يكون عديم الطعم إمّا حقيقة أو حسّا بأن يكون له طعم في نفسه، لكنّه لشدّة تكاثفه لا يتحلّل منه شيء يخالط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احتيل في تحليل أجزائه و تلطيفها أحسّ طعمه، مثل النّحاس و الحديد، و يسمّى التّفه؛ و إمّا أن يكون ذا 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بسائط الطعوم ثمانية؛ لأنّ الجسم الحامل للطّعم إمّا أن يكون لطيفا أو كثيفا أو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في الثلاثة إمّا الحرارة أو البرودة أو القوّة المعتدلة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فالحارّ إن فعل في الكثيف حدثت الحرارة، و إن فعل في اللّطيف حدثت الحرافة، و إن فعل في المعتدل حدثت الملوحة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البارد إن فعل في الكثيف حدثت العفوصة، و إن فعل في اللّطيف حدثت الحموضة، و إن فعل في المعتدل حدث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المعتدل إن فعل في اللّطيف حدثت الدّسومة، و إن فعل في الكثيف حدثت الحلاوة، و إن فعل في المعتدل حدثت التّفاهة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جعلوا البسائط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الحلاوة و الحموضة و المرارة و الملوحة و الحرافة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يجتمع طعمان في جسم واحد، كالمرارة و القبض في الحضض </w:t>
      </w:r>
      <w:bookmarkStart w:id="160" w:name="pg9140_71151"/>
    </w:p>
    <w:p>
      <w:pPr>
        <w:pStyle w:val="BookText"/>
        <w:rPr/>
      </w:pPr>
      <w:bookmarkEnd w:id="160"/>
      <w:r>
        <w:rPr>
          <w:rFonts w:ascii="Amiri" w:hAnsi="Amiri" w:eastAsia="Amiri" w:cs="Amiri"/>
          <w:color w:val="111111"/>
          <w:sz w:val="28"/>
          <w:sz w:val="28"/>
          <w:szCs w:val="28"/>
          <w:rtl w:val="true"/>
          <w:lang w:bidi="ar-SA"/>
        </w:rPr>
        <w:t>و يسمّى البشاعة، و المرارة و الملوحة في السّبخة، و يسمّى الزّعوقة، و المرارة و الحرافة و القبض في الباذنجان، و المرارة و التّفاهة في الهندبا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الطعوم مقدورة لنا و يصحّ عليها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قاضي القضاة في إدراك الطعم مماسّة اللّهاة لمحلّ الطعم، و لم يشرط أبو هاشم و أبو عبد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قولهما لو وجد طعم لا في محلّ يصحّ‌</w:t>
      </w:r>
      <w:r>
        <w:rPr>
          <w:rStyle w:val="FootnoteAnchor"/>
          <w:rtl w:val="true"/>
        </w:rPr>
        <w:footnoteReference w:id="80"/>
      </w:r>
      <w:r>
        <w:rPr>
          <w:rFonts w:ascii="Amiri" w:hAnsi="Amiri" w:eastAsia="Amiri" w:cs="Amiri"/>
          <w:color w:val="111111"/>
          <w:sz w:val="28"/>
          <w:sz w:val="28"/>
          <w:szCs w:val="28"/>
          <w:rtl w:val="true"/>
          <w:lang w:bidi="ar-SA"/>
        </w:rPr>
        <w:t>إدراكه، خلافا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الرّوائح فإنّها لم توضع لأنواعها اسم إلاّ من جهة الموافقة و المخالفة،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و منتنة، أو يشتقّ لها من الطعوم المقارنة لها اسم،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حلوة و حامضة، أو يضاف إلى المحلّ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المسك أو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متماثل و متضادّ</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242217_2870459653"/>
      <w:bookmarkStart w:id="162" w:name="_Toc59"/>
      <w:bookmarkEnd w:id="161"/>
      <w:r>
        <w:rPr>
          <w:rtl w:val="true"/>
        </w:rPr>
        <w:t>المطلب الرّابع</w:t>
      </w:r>
      <w:r>
        <w:rPr>
          <w:rtl w:val="true"/>
        </w:rPr>
        <w:t xml:space="preserve">: </w:t>
      </w:r>
      <w:r>
        <w:rPr>
          <w:rtl w:val="true"/>
        </w:rPr>
        <w:t>في الحرارة و البرودة</w:t>
      </w:r>
      <w:bookmarkEnd w:id="162"/>
    </w:p>
    <w:p>
      <w:pPr>
        <w:pStyle w:val="BookText"/>
        <w:rPr/>
      </w:pPr>
      <w:r>
        <w:rPr>
          <w:rFonts w:ascii="Amiri" w:hAnsi="Amiri" w:eastAsia="Amiri" w:cs="Amiri"/>
          <w:color w:val="111111"/>
          <w:sz w:val="28"/>
          <w:sz w:val="28"/>
          <w:szCs w:val="28"/>
          <w:rtl w:val="true"/>
          <w:lang w:bidi="ar-SA"/>
        </w:rPr>
        <w:t>من خواصّ الحرارة، التّصعيد، فيعرض من ذلك الجمع بين المتماثلات، و التّفريق بين المختلفات من المركّبات، و لو كان الالتحام شديدا حدثت حركة دوريّة إن تساوى اللّطيف و الكثيف، و إن غلب اللّطيف تصعّد، و إن غلب الكثيف جدّا لم تقو النّار على تليينه، كالطلق، و إلاّ أثّرت في تليينه، كالحديد؛ و تسويد الرّطب و تبييض اليابس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إفادة القوام، كما في بياض البيض، و قد تحدث بالحركة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w:t>
      </w:r>
      <w:bookmarkStart w:id="163" w:name="pg9140_71152"/>
    </w:p>
    <w:p>
      <w:pPr>
        <w:pStyle w:val="BookText"/>
        <w:rPr/>
      </w:pPr>
      <w:bookmarkEnd w:id="163"/>
      <w:r>
        <w:rPr>
          <w:rFonts w:ascii="Amiri" w:hAnsi="Amiri" w:eastAsia="Amiri" w:cs="Amiri"/>
          <w:color w:val="111111"/>
          <w:sz w:val="28"/>
          <w:sz w:val="28"/>
          <w:szCs w:val="28"/>
          <w:rtl w:val="true"/>
          <w:lang w:bidi="ar-SA"/>
        </w:rPr>
        <w:t>صيرورة العناصر نارا، لعدم القبول في الفلكيّات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من الأوائل أنّ البرودة عدم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لأنّا ندرك من الجسم البارد كيفيّة زائدة على الجسميّة، و العدم لا يدرك، بل هي كيفيّة وجوديّة مضادّة للحرارة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كونهما مقدورتين</w:t>
      </w:r>
      <w:r>
        <w:rPr>
          <w:rStyle w:val="FootnoteAnchor"/>
          <w:rtl w:val="true"/>
        </w:rPr>
        <w:footnoteReference w:id="81"/>
      </w:r>
      <w:r>
        <w:rPr>
          <w:rFonts w:ascii="Amiri" w:hAnsi="Amiri" w:eastAsia="Amiri" w:cs="Amiri"/>
          <w:color w:val="111111"/>
          <w:sz w:val="28"/>
          <w:sz w:val="28"/>
          <w:szCs w:val="28"/>
          <w:rtl w:val="true"/>
          <w:lang w:bidi="ar-SA"/>
        </w:rPr>
        <w:t>لنا خلاف بين المعتزلة و كذا في 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في إدراكهما إلى حاسّة عندهم، بل يكفي فيه محلّ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 يقال لما يحس بسخونته، كالنّار، و لما يكون ظهور الكيفيّة منه موقوفا على ملاقاة بدن الحيوان، كالغذاء و الدّواء، و الحرارة جنس للّتي في النّار و في بدن الحيوان و الفائضة عن الأجرام الفلكيّة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242219_2870459653"/>
      <w:bookmarkStart w:id="165" w:name="_Toc60"/>
      <w:bookmarkEnd w:id="164"/>
      <w:r>
        <w:rPr>
          <w:rtl w:val="true"/>
        </w:rPr>
        <w:t>المطلب الخامس</w:t>
      </w:r>
      <w:r>
        <w:rPr>
          <w:rtl w:val="true"/>
        </w:rPr>
        <w:t xml:space="preserve">: </w:t>
      </w:r>
      <w:r>
        <w:rPr>
          <w:rtl w:val="true"/>
        </w:rPr>
        <w:t>في الرّطوبة و اليبوسة</w:t>
      </w:r>
      <w:bookmarkEnd w:id="165"/>
    </w:p>
    <w:p>
      <w:pPr>
        <w:pStyle w:val="Heading5"/>
        <w:numPr>
          <w:ilvl w:val="4"/>
          <w:numId w:val="1"/>
        </w:numPr>
        <w:rPr/>
      </w:pPr>
      <w:bookmarkStart w:id="166" w:name="__RefHeading___Toc3242221_2870459653"/>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الماء الموصوف بالرّطوبة له و 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الكيفيّة الّتي بها يكون سهل الالتصاق بالغير، سهل الانفصال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الكيفيّة الّتي بها يكون سهل التّشكّل بالحاوي الغريب، سهل التّرك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فسّرت الرّطوبة بكلّ واحد من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الأوّل بقولهم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الهواء رطب بالطبع، فإنّه لا يلتصق بالغير، و الثّاني بالنّار؛ فإن لها هذا الوصف و ليست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اليبوسة، قيل إنّها الكيفيّة الّتي يعسر قبول الأشكال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Style w:val="FootnoteAnchor"/>
          <w:rtl w:val="true"/>
        </w:rPr>
        <w:footnoteReference w:id="82"/>
      </w:r>
      <w:r>
        <w:rPr>
          <w:rFonts w:ascii="Amiri" w:hAnsi="Amiri" w:eastAsia="Amiri" w:cs="Amiri"/>
          <w:color w:val="111111"/>
          <w:sz w:val="28"/>
          <w:sz w:val="28"/>
          <w:szCs w:val="28"/>
          <w:rtl w:val="true"/>
          <w:lang w:bidi="ar-SA"/>
        </w:rPr>
        <w:t>متضادّتان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الرّطوبة جنسا لرطوبة الماء و الدّهن و العسل و الزّيبق و غيرها، أو نوعا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الشّيخان، فذهب أبو علي إلى أنّهما مدركتان لمسا، و منعه أبو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اللّين، عدم ممانعة الغامر، فهو عدميّ عند الأوائل، و المتكلّمون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ثبوتيّ، لأنّه محسوس و هو نوع من الرّطوبة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السّيلان، حركة في أجسام متفاصلة حقيقة، متواصلة حسّا لدفع بعضها بعضا و إن كانت يابسة كالتّراب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الحرارة و البرودة فعليّتان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الرّطوبة و اليبوسة منفعلتان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اللّطافة، تقال على رقّة القوام و قبول الانقسام إلى أجزاء صغيرة و سرعة التّأثّر من الملاقي و الشّفافيّة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اللّزوجيّة كيفيّة يكون بها الجسم سهل التّشكّل عسر التّفريق، بل يمتدّ متّصلا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الهشاشة</w:t>
      </w:r>
      <w:r>
        <w:rPr>
          <w:rStyle w:val="FootnoteAnchor"/>
          <w:rtl w:val="true"/>
        </w:rPr>
        <w:footnoteReference w:id="83"/>
      </w:r>
      <w:r>
        <w:rPr>
          <w:rFonts w:ascii="Amiri" w:hAnsi="Amiri" w:eastAsia="Amiri" w:cs="Amiri"/>
          <w:color w:val="111111"/>
          <w:sz w:val="28"/>
          <w:sz w:val="28"/>
          <w:szCs w:val="28"/>
          <w:rtl w:val="true"/>
          <w:lang w:bidi="ar-SA"/>
        </w:rPr>
        <w:t>كيفيّة يكون بها الجسم صعب</w:t>
      </w:r>
      <w:r>
        <w:rPr>
          <w:rStyle w:val="FootnoteAnchor"/>
          <w:rtl w:val="true"/>
        </w:rPr>
        <w:footnoteReference w:id="84"/>
      </w:r>
      <w:r>
        <w:rPr>
          <w:rFonts w:ascii="Amiri" w:hAnsi="Amiri" w:eastAsia="Amiri" w:cs="Amiri"/>
          <w:color w:val="111111"/>
          <w:sz w:val="28"/>
          <w:sz w:val="28"/>
          <w:szCs w:val="28"/>
          <w:rtl w:val="true"/>
          <w:lang w:bidi="ar-SA"/>
        </w:rPr>
        <w:t>التّشكّل، سهل التّفريق</w:t>
      </w:r>
      <w:r>
        <w:rPr>
          <w:rFonts w:eastAsia="Amiri" w:cs="Amiri" w:ascii="Amiri" w:hAnsi="Amiri"/>
          <w:color w:val="111111"/>
          <w:sz w:val="28"/>
          <w:szCs w:val="28"/>
          <w:rtl w:val="true"/>
          <w:lang w:bidi="ar-SA"/>
        </w:rPr>
        <w:t xml:space="preserve">. </w:t>
      </w:r>
      <w:bookmarkStart w:id="168" w:name="pg9140_71154"/>
    </w:p>
    <w:p>
      <w:pPr>
        <w:pStyle w:val="Heading5"/>
        <w:numPr>
          <w:ilvl w:val="4"/>
          <w:numId w:val="1"/>
        </w:numPr>
        <w:rPr/>
      </w:pPr>
      <w:bookmarkStart w:id="169" w:name="__RefHeading___Toc3242223_2870459653"/>
      <w:bookmarkStart w:id="170" w:name="_Toc62"/>
      <w:bookmarkEnd w:id="168"/>
      <w:bookmarkEnd w:id="169"/>
      <w:r>
        <w:rPr>
          <w:rtl w:val="true"/>
        </w:rPr>
        <w:t>تنبيه</w:t>
      </w:r>
      <w:bookmarkEnd w:id="170"/>
    </w:p>
    <w:p>
      <w:pPr>
        <w:pStyle w:val="BookText"/>
        <w:rPr/>
      </w:pPr>
      <w:r>
        <w:rPr>
          <w:rFonts w:ascii="Amiri" w:hAnsi="Amiri" w:eastAsia="Amiri" w:cs="Amiri"/>
          <w:color w:val="111111"/>
          <w:sz w:val="28"/>
          <w:sz w:val="28"/>
          <w:szCs w:val="28"/>
          <w:rtl w:val="true"/>
          <w:lang w:bidi="ar-SA"/>
        </w:rPr>
        <w:t>الجسم إن اقتضى نوعه الرّطوبة فهو الرّطب،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التصق به الرّطب فهو المنتقع إن كان غائصا فيه؛ و إلاّ فهو المبتلّ و الجافّ إن لم يلتصق به الرّطب</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242225_2870459653"/>
      <w:bookmarkStart w:id="172" w:name="_Toc63"/>
      <w:bookmarkEnd w:id="171"/>
      <w:r>
        <w:rPr>
          <w:rtl w:val="true"/>
        </w:rPr>
        <w:t>المطلب السّادس</w:t>
      </w:r>
      <w:r>
        <w:rPr>
          <w:rtl w:val="true"/>
        </w:rPr>
        <w:t xml:space="preserve">: </w:t>
      </w:r>
      <w:r>
        <w:rPr>
          <w:rtl w:val="true"/>
        </w:rPr>
        <w:t>في الاعتماد</w:t>
      </w:r>
      <w:bookmarkEnd w:id="172"/>
    </w:p>
    <w:p>
      <w:pPr>
        <w:pStyle w:val="BookText"/>
        <w:rPr/>
      </w:pPr>
      <w:r>
        <w:rPr>
          <w:rFonts w:ascii="Amiri" w:hAnsi="Amiri" w:eastAsia="Amiri" w:cs="Amiri"/>
          <w:color w:val="111111"/>
          <w:sz w:val="28"/>
          <w:sz w:val="28"/>
          <w:szCs w:val="28"/>
          <w:rtl w:val="true"/>
          <w:lang w:bidi="ar-SA"/>
        </w:rPr>
        <w:t>و هو معنى محسوس، و تسمّيه الحكماء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أنكره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 يدلّ عليه؛ فإنّ المدافعة ثابتة في الزّقّ المنفوخ المسكّن تحت الماء قسرا نحو الصّعود، و الحجر المسكّن في الجوّ يحسّ فيه بالمدافعة نحو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هذه المدافعة نفس الطبيعة لوجود كلّ منهما دون الاخرى كالمدافعة النّفسانيّة و الجسم في مكانه الطبيعيّ؛ و لا الحركة، لوجودها في المسكّن قسرا دون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85"/>
      </w:r>
      <w:r>
        <w:rPr>
          <w:rFonts w:ascii="Amiri" w:hAnsi="Amiri" w:eastAsia="Amiri" w:cs="Amiri"/>
          <w:color w:val="111111"/>
          <w:sz w:val="28"/>
          <w:sz w:val="28"/>
          <w:szCs w:val="28"/>
          <w:rtl w:val="true"/>
          <w:lang w:bidi="ar-SA"/>
        </w:rPr>
        <w:t>معنى يوجب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فوق فيسمّى خفّة أو إلى أسفل فيسمّى 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فالثّقل قوّة طبيعيّة يتحرّك بها الجسم إلى حيث ينطبق مركزه على مركز العالم إن كان مطلقا أو يقرب من ذلك إن كان مضافا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الخفيف المطلق هو الطّافي على سائر العناصر، و هو النّار، و المضاف </w:t>
      </w:r>
    </w:p>
    <w:p>
      <w:pPr>
        <w:pStyle w:val="BookText"/>
        <w:rPr/>
      </w:pPr>
      <w:r>
        <w:rPr>
          <w:rFonts w:ascii="Amiri" w:hAnsi="Amiri" w:eastAsia="Amiri" w:cs="Amiri"/>
          <w:color w:val="111111"/>
          <w:sz w:val="28"/>
          <w:sz w:val="28"/>
          <w:szCs w:val="28"/>
          <w:rtl w:val="true"/>
          <w:lang w:bidi="ar-SA"/>
        </w:rPr>
        <w:t>هو الّذي يتحرّك أكثر المسافة الممتدّة بين المركز و المحيط حركة إلى المحيط كالهواء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الميل إمّا طبيعيّ، كمدافعة الحجر المسكّن في الجوّ، و إمّا نفسانيّ، كما يعتمد الحيوان على غيره، و إمّا قسريّ، كالحجر المرميّ إلى فوق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الجهات الطبيعيّة الفوق و السّفل؛ فالاعتماد الطبيعيّ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يجتمع ميلان طبيعيّان مختلفا الجهة، لاستحالة توجّه الجسم طبعا إلى جهة 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اجتماع الطبيعيّ و القسريّ إلى جهتين، فيحصل حركة مركّبة نحو جهة الفاضل منهما إن كان، أو سكونا إن لم يكن، و إلى جهة واحدة فتزداد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اختلفت الجهة قصد</w:t>
      </w:r>
      <w:r>
        <w:rPr>
          <w:rStyle w:val="FootnoteAnchor"/>
          <w:rtl w:val="true"/>
        </w:rPr>
        <w:footnoteReference w:id="86"/>
      </w:r>
      <w:r>
        <w:rPr>
          <w:rFonts w:ascii="Amiri" w:hAnsi="Amiri" w:eastAsia="Amiri" w:cs="Amiri"/>
          <w:color w:val="111111"/>
          <w:sz w:val="28"/>
          <w:sz w:val="28"/>
          <w:szCs w:val="28"/>
          <w:rtl w:val="true"/>
          <w:lang w:bidi="ar-SA"/>
        </w:rPr>
        <w:t>جهة متوسّطة بينهما على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الأوائل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لولاه لساوت الحركة مع العائق الحركة بدونه، فإنّه لو تحرّك مع ميل مسافة و بدونه تلك في زمان أقلّ و مع ميل أقلّ على نسبة الزّمانين ساوت زمان عديم الميل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الحبل إذا جذبه متساويا القدرة وقف لتكافي</w:t>
      </w:r>
      <w:r>
        <w:rPr>
          <w:rStyle w:val="FootnoteAnchor"/>
          <w:rtl w:val="true"/>
        </w:rPr>
        <w:footnoteReference w:id="87"/>
      </w:r>
      <w:r>
        <w:rPr>
          <w:rFonts w:ascii="Amiri" w:hAnsi="Amiri" w:eastAsia="Amiri" w:cs="Amiri"/>
          <w:color w:val="111111"/>
          <w:sz w:val="28"/>
          <w:sz w:val="28"/>
          <w:szCs w:val="28"/>
          <w:rtl w:val="true"/>
          <w:lang w:bidi="ar-SA"/>
        </w:rPr>
        <w:t>فعليهما له؛ و ليس السّكون، لأنّ فعل أحدهما من جنس فعل الآخر، و المثلان</w:t>
      </w:r>
      <w:r>
        <w:rPr>
          <w:rStyle w:val="FootnoteAnchor"/>
          <w:rtl w:val="true"/>
        </w:rPr>
        <w:footnoteReference w:id="88"/>
      </w:r>
      <w:r>
        <w:rPr>
          <w:rFonts w:ascii="Amiri" w:hAnsi="Amiri" w:eastAsia="Amiri" w:cs="Amiri"/>
          <w:color w:val="111111"/>
          <w:sz w:val="28"/>
          <w:sz w:val="28"/>
          <w:szCs w:val="28"/>
          <w:rtl w:val="true"/>
          <w:lang w:bidi="ar-SA"/>
        </w:rPr>
        <w:t>لا يتمانعان، فهو الاعتماد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آنيّ، لوجوده آن الوصول، و باق، لأنّه علّة الإيصال،</w:t>
      </w:r>
      <w:r>
        <w:rPr>
          <w:rStyle w:val="FootnoteAnchor"/>
          <w:rtl w:val="true"/>
        </w:rPr>
        <w:footnoteReference w:id="89"/>
      </w:r>
      <w:r>
        <w:rPr>
          <w:rFonts w:ascii="Amiri" w:hAnsi="Amiri" w:eastAsia="Amiri" w:cs="Amiri"/>
          <w:color w:val="111111"/>
          <w:sz w:val="28"/>
          <w:sz w:val="28"/>
          <w:szCs w:val="28"/>
          <w:rtl w:val="true"/>
          <w:lang w:bidi="ar-SA"/>
        </w:rPr>
        <w:t>فيوجد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قابل للشدّة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فالطبيعيّ يشتدّ خيرا لقلّة المعاوقة، و القسريّ في الوسط لحصول السّخونة بواسطة المحاكّة، و يضعف القوّة، إلاّ أنّ التّلطيف المستفاد بالسّخونة يوفي على ما يفوت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ترادف الصكّ‌</w:t>
      </w:r>
      <w:r>
        <w:rPr>
          <w:rStyle w:val="FootnoteAnchor"/>
          <w:rtl w:val="true"/>
        </w:rPr>
        <w:footnoteReference w:id="90"/>
      </w:r>
      <w:r>
        <w:rPr>
          <w:rFonts w:ascii="Amiri" w:hAnsi="Amiri" w:eastAsia="Amiri" w:cs="Amiri"/>
          <w:color w:val="111111"/>
          <w:sz w:val="28"/>
          <w:sz w:val="28"/>
          <w:szCs w:val="28"/>
          <w:rtl w:val="true"/>
          <w:lang w:bidi="ar-SA"/>
        </w:rPr>
        <w:t>على القوّة ضعفت و لم تبلغ السّخونة مبلغا يفي</w:t>
      </w:r>
      <w:r>
        <w:rPr>
          <w:rStyle w:val="FootnoteAnchor"/>
          <w:rtl w:val="true"/>
        </w:rPr>
        <w:footnoteReference w:id="91"/>
      </w:r>
      <w:r>
        <w:rPr>
          <w:rFonts w:ascii="Amiri" w:hAnsi="Amiri" w:eastAsia="Amiri" w:cs="Amiri"/>
          <w:color w:val="111111"/>
          <w:sz w:val="28"/>
          <w:sz w:val="28"/>
          <w:szCs w:val="28"/>
          <w:rtl w:val="true"/>
          <w:lang w:bidi="ar-SA"/>
        </w:rPr>
        <w:t>بتدارك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مدرك باللّمس عند أبي هاشم، فلا يحتاج في إثباته إلى دليل، بل يحتاج إلى ثبوت التّغاير؛ فإنّ المدركات قد تشتبه باعتبار لها، و منعه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متماثل، و هو ما اختصّ بجهة واحدة، لاستلزام الاتّحاد في المعلول الاتّحاد في العلّة؛ و منه مختلف، و هو ما تعدّدت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أبي عليّ أنّه متضادّ لامتناع اجتماعهما في جسم واحد، و عند أبي هاشم أنّه غير متضادّ، لأنّ الجاذبين المتساويين فعلا اعتمادين إلى جهتين متضادّتين فقد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ضدّين لما صحّ اجتماعهما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أجناس الاعتماد ستّة بحسب تعدّد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يصحّ بقاؤه عند المعتزلة، و هو اللاّزم، الاعتماد سفلا و صعدا؛ لأنّه لو لم يبق الاعتماد في </w:t>
      </w:r>
    </w:p>
    <w:p>
      <w:pPr>
        <w:pStyle w:val="BookText"/>
        <w:rPr/>
      </w:pPr>
      <w:r>
        <w:rPr>
          <w:rFonts w:ascii="Amiri" w:hAnsi="Amiri" w:eastAsia="Amiri" w:cs="Amiri"/>
          <w:color w:val="111111"/>
          <w:sz w:val="28"/>
          <w:sz w:val="28"/>
          <w:szCs w:val="28"/>
          <w:rtl w:val="true"/>
          <w:lang w:bidi="ar-SA"/>
        </w:rPr>
        <w:t xml:space="preserve">الحجر لامتنع علينا حمل الحجر الثّقيل أو كان سهلا جدّا، و التّالي بقسميه باطل 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فيه الاعتماد امتنع علينا ممانعته، و إن لم يفعل سهل حركته، 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عداهما لا يصحّ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عرض يشار إليه إلاّ و قد يوجد و لا يبقى معه شيء من هذه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الثّقل عند أبي هاشم راجع إلى الاعتماد اللازم سفلا، و أبو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تزايد أجزاء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بالزّق المنفوخ، فإنّه يمتلئ بالهواء، و هو أخفّ من أجزاء يسيرة من الرّصاص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أقسام توليده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يولّده بنفسه، و هو الاكوان، و الاعتماد في محلّه و يولّدهما في غير محلّه بشرط المماسّة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ما يولّده بنفسه بشرط، و لا يصحّ أن يولّده على وجه إلاّ بشرط، و هو الأصوات، فإنّه يولّدها بشرط المصاكّة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ما يولّده لا بنفسه، بل بواسطة، و هو التّأليف و الألم؛</w:t>
      </w:r>
      <w:r>
        <w:rPr>
          <w:rStyle w:val="FootnoteAnchor"/>
          <w:rtl w:val="true"/>
        </w:rPr>
        <w:footnoteReference w:id="92"/>
      </w:r>
      <w:r>
        <w:rPr>
          <w:rFonts w:ascii="Amiri" w:hAnsi="Amiri" w:eastAsia="Amiri" w:cs="Amiri"/>
          <w:color w:val="111111"/>
          <w:sz w:val="28"/>
          <w:sz w:val="28"/>
          <w:szCs w:val="28"/>
          <w:rtl w:val="true"/>
          <w:lang w:bidi="ar-SA"/>
        </w:rPr>
        <w:t>لأنّه يولّد المجاورة الّتي تولّد التّأليف، و يولّد التّفريق في جسم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الوهن و الألم متولّد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الأسباب ما يولّد مثله سوى الاعتماد و لا يولّد الاعتماد شيئا ممّا يولّده إلاّ و يولّد اعتمادا آخر معه</w:t>
      </w:r>
      <w:r>
        <w:rPr>
          <w:rFonts w:eastAsia="Amiri" w:cs="Amiri" w:ascii="Amiri" w:hAnsi="Amiri"/>
          <w:color w:val="111111"/>
          <w:sz w:val="28"/>
          <w:szCs w:val="28"/>
          <w:rtl w:val="true"/>
          <w:lang w:bidi="ar-SA"/>
        </w:rPr>
        <w:t xml:space="preserve">. </w:t>
      </w:r>
      <w:bookmarkStart w:id="173" w:name="pg9140_71158"/>
    </w:p>
    <w:p>
      <w:pPr>
        <w:pStyle w:val="Heading4"/>
        <w:numPr>
          <w:ilvl w:val="3"/>
          <w:numId w:val="1"/>
        </w:numPr>
        <w:rPr/>
      </w:pPr>
      <w:bookmarkStart w:id="174" w:name="__RefHeading___Toc3242227_2870459653"/>
      <w:bookmarkStart w:id="175" w:name="_Toc64"/>
      <w:bookmarkEnd w:id="173"/>
      <w:bookmarkEnd w:id="174"/>
      <w:r>
        <w:rPr>
          <w:rtl w:val="true"/>
        </w:rPr>
        <w:t>المطلب السّابع</w:t>
      </w:r>
      <w:r>
        <w:rPr>
          <w:rtl w:val="true"/>
        </w:rPr>
        <w:t xml:space="preserve">: </w:t>
      </w:r>
      <w:r>
        <w:rPr>
          <w:rtl w:val="true"/>
        </w:rPr>
        <w:t>في الأكوان</w:t>
      </w:r>
      <w:bookmarkEnd w:id="175"/>
    </w:p>
    <w:p>
      <w:pPr>
        <w:pStyle w:val="Heading5"/>
        <w:numPr>
          <w:ilvl w:val="4"/>
          <w:numId w:val="1"/>
        </w:numPr>
        <w:rPr/>
      </w:pPr>
      <w:bookmarkStart w:id="176" w:name="__RefHeading___Toc3242229_2870459653"/>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الكون جنس، تحته امور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 السّكون و الاجتماع و الافتراق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أربعة نظرات</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242231_2870459653"/>
      <w:bookmarkStart w:id="179" w:name="_Toc66"/>
      <w:bookmarkEnd w:id="178"/>
      <w:r>
        <w:rPr>
          <w:rtl w:val="true"/>
        </w:rPr>
        <w:t>النّظر الأوّل</w:t>
      </w:r>
      <w:r>
        <w:rPr>
          <w:rtl w:val="true"/>
        </w:rPr>
        <w:t xml:space="preserve">: </w:t>
      </w:r>
      <w:r>
        <w:rPr>
          <w:rtl w:val="true"/>
        </w:rPr>
        <w:t>في المعنى المشترك بين الأربعة</w:t>
      </w:r>
      <w:bookmarkEnd w:id="179"/>
    </w:p>
    <w:p>
      <w:pPr>
        <w:pStyle w:val="BookText"/>
        <w:rPr/>
      </w:pPr>
      <w:r>
        <w:rPr>
          <w:rFonts w:ascii="Amiri" w:hAnsi="Amiri" w:eastAsia="Amiri" w:cs="Amiri"/>
          <w:color w:val="111111"/>
          <w:sz w:val="28"/>
          <w:sz w:val="28"/>
          <w:szCs w:val="28"/>
          <w:rtl w:val="true"/>
          <w:lang w:bidi="ar-SA"/>
        </w:rPr>
        <w:t>حصول الجوهر في الحيّز أمر 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معلّل بمعنى،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أبو هاشم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 أنّا إذا حرّكنا جسما أو سكنّاه فعلنا فيه اعتمادا نحو الجذب و الدّفع، فيحصل التحرّك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نفعل معنى زائدا، يسمّى حركة ذلك المعنى يوجب كون الجسم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المعنى زائد على الاعتماد و على التّحرّك؛ فاثبت الكون و المقتضى له و الحالة المعلّلة به و هي الكائنيّة و نفاه باقي المتكلّمين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أنّا لو فعلناه لعلمناه إجمالا أو تفصيلا، و التّالي باطل بالوجدان، فإنّا نجد من أنفسنا أنّا لا نعلمه البتّة، فالمقدّم مثله و الشّرطيّة ضروريّة، فإنّ القادر إنّما يفعل ما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ذلك المعنى إن لم يصحّ وجوده إلاّ بعد حصول الجوهر في ذلك الحيّز دار، و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اقتضى حصوله في ذلك الحيّز فهو الاعتماد، و إلاّ لم يكن بأن يحصل في ذلك الحيّز أولى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قدرنا على جعل الجسم كائنا من غير توسّط معنى لقدرنا على ذاته و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بالضّرورة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الشّرطيّة القياس على الكلام؛ و لأنّ صفة الكائنيّة يصحّ فيها التّزايد، فلا تقع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 أنّ القويّ يمنع الضّعيف عن تحريك ما سكّنه، فقد فعل فيه أمرا زائدا على ما إذا لم يقصد منعه؛ و لأنّ القادرين إذا دفع أحدهما جزءا حال جذب الآخر لم يكن مقدورهما واحدا، لاستحالة وقوع مقدور بقادرين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الشّرطيّة أنّ الفاعل كالعلّة، فكما أنّها لا تؤثّر في أزيد من صفة واحدة كذا الفاعل؛ و لأنّ الوجود لمّا كان بالفاعل امتنع فيه التّزايد فكذا هنا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الشّرطيّة، و القياس ضعيف في نفسه و باطل هنا؛ فإنّه جعل الفرع أصلا، و التّزايد غير معقول في الكائنيّة، لأنّها عبارة عن الحصول في 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محاذاة الجسم لآخر، و القويّ فعل اعتمادا زائدا، لا كونا زائدا؛ فإنّ الأكوان عندهم لا حظّ لها في المنع، و نمنع استحالة وقوع مقدور بقادرين، و نمنع مساواة الفاعل العلّة، مع أنّ الأصل ممنوع، و نمنع تعليل امتناع تزايد الوجود بكونه بالفاعل</w:t>
      </w:r>
      <w:r>
        <w:rPr>
          <w:rFonts w:eastAsia="Amiri" w:cs="Amiri" w:ascii="Amiri" w:hAnsi="Amiri"/>
          <w:color w:val="111111"/>
          <w:sz w:val="28"/>
          <w:szCs w:val="28"/>
          <w:rtl w:val="true"/>
          <w:lang w:bidi="ar-SA"/>
        </w:rPr>
        <w:t xml:space="preserve">. </w:t>
      </w:r>
      <w:bookmarkStart w:id="180" w:name="pg9140_71160"/>
    </w:p>
    <w:p>
      <w:pPr>
        <w:pStyle w:val="Heading5"/>
        <w:numPr>
          <w:ilvl w:val="4"/>
          <w:numId w:val="1"/>
        </w:numPr>
        <w:rPr/>
      </w:pPr>
      <w:bookmarkStart w:id="181" w:name="__RefHeading___Toc3242233_2870459653"/>
      <w:bookmarkStart w:id="182" w:name="_Toc67"/>
      <w:bookmarkEnd w:id="180"/>
      <w:bookmarkEnd w:id="181"/>
      <w:r>
        <w:rPr>
          <w:rtl w:val="true"/>
        </w:rPr>
        <w:t>النّظر الثّاني</w:t>
      </w:r>
      <w:r>
        <w:rPr>
          <w:rtl w:val="true"/>
        </w:rPr>
        <w:t xml:space="preserve">: </w:t>
      </w:r>
      <w:r>
        <w:rPr>
          <w:rtl w:val="true"/>
        </w:rPr>
        <w:t>في التّفريع على قول البهشميّة</w:t>
      </w:r>
      <w:bookmarkEnd w:id="182"/>
    </w:p>
    <w:p>
      <w:pPr>
        <w:pStyle w:val="BookText"/>
        <w:rPr/>
      </w:pPr>
      <w:r>
        <w:rPr>
          <w:rFonts w:ascii="Amiri" w:hAnsi="Amiri" w:eastAsia="Amiri" w:cs="Amiri"/>
          <w:color w:val="111111"/>
          <w:sz w:val="28"/>
          <w:sz w:val="28"/>
          <w:szCs w:val="28"/>
          <w:rtl w:val="true"/>
          <w:lang w:bidi="ar-SA"/>
        </w:rPr>
        <w:t>الكون منه متماثل و منه متضادّ، فما اختصّ بجهة واحدة من الأكوان فهو متماثل، سواء اختصّ بجوهر واحد أو بأكثر إذا كانت في تلك الجهة على البدل، و سواء اختصّ بوقت أو أوقات، لاشتراكها في المعلول، و المتضادّ ما يصير به الجوهر في جهتين، لاستحالة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المتضادّ إمّا متناف، و هو الّذي يصحّ وجوده على التّعاقب، و إمّا غير متناف، و هو ما يتعاقب، كالكون في المكان الأوّل مع الكون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تعدّد المحلّ تضادّ الكونان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الأكوان عند أبي هاشم يصحّ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و أبو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بقاء الحركة و إلاّ لصارت سكونا و التزمه</w:t>
      </w:r>
      <w:r>
        <w:rPr>
          <w:rStyle w:val="FootnoteAnchor"/>
          <w:rtl w:val="true"/>
        </w:rPr>
        <w:footnoteReference w:id="93"/>
      </w:r>
      <w:r>
        <w:rPr>
          <w:rFonts w:ascii="Amiri" w:hAnsi="Amiri" w:eastAsia="Amiri" w:cs="Amiri"/>
          <w:color w:val="111111"/>
          <w:sz w:val="28"/>
          <w:sz w:val="28"/>
          <w:szCs w:val="28"/>
          <w:rtl w:val="true"/>
          <w:lang w:bidi="ar-SA"/>
        </w:rPr>
        <w:t>أبو هاشم؛ و الأكوان مدركة لمسا و رؤية عند أبي عليّ و منعه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أنّها مدركة بالرّؤية ثانيا و هي مقدورة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الكون يولّد التّأليف بشرط المجاورة، و إلاّ لم يشرط انتفاء الصّحة عن المحلّ</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242235_2870459653"/>
      <w:bookmarkStart w:id="184" w:name="_Toc68"/>
      <w:bookmarkEnd w:id="183"/>
      <w:r>
        <w:rPr>
          <w:rtl w:val="true"/>
        </w:rPr>
        <w:t>النّظر الثّالث</w:t>
      </w:r>
      <w:r>
        <w:rPr>
          <w:rtl w:val="true"/>
        </w:rPr>
        <w:t xml:space="preserve">: </w:t>
      </w:r>
      <w:r>
        <w:rPr>
          <w:rtl w:val="true"/>
        </w:rPr>
        <w:t>في الحركة</w:t>
      </w:r>
      <w:bookmarkEnd w:id="184"/>
    </w:p>
    <w:p>
      <w:pPr>
        <w:pStyle w:val="BookText"/>
        <w:rPr/>
      </w:pPr>
      <w:r>
        <w:rPr>
          <w:rFonts w:ascii="Amiri" w:hAnsi="Amiri" w:eastAsia="Amiri" w:cs="Amiri"/>
          <w:color w:val="111111"/>
          <w:sz w:val="28"/>
          <w:sz w:val="28"/>
          <w:szCs w:val="28"/>
          <w:rtl w:val="true"/>
          <w:lang w:bidi="ar-SA"/>
        </w:rPr>
        <w:t xml:space="preserve">الحركة هي 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للجوهر في حيّز بعد أن كان في حيّز آخر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الأوائل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أوّل لما بالقوّة من حيث هو 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الموجود </w:t>
      </w:r>
    </w:p>
    <w:p>
      <w:pPr>
        <w:pStyle w:val="BookText"/>
        <w:rPr/>
      </w:pPr>
      <w:r>
        <w:rPr>
          <w:rFonts w:ascii="Amiri" w:hAnsi="Amiri" w:eastAsia="Amiri" w:cs="Amiri"/>
          <w:color w:val="111111"/>
          <w:sz w:val="28"/>
          <w:sz w:val="28"/>
          <w:szCs w:val="28"/>
          <w:rtl w:val="true"/>
          <w:lang w:bidi="ar-SA"/>
        </w:rPr>
        <w:t>بالقوّة من كلّ وجه محال، بل إمّا بالفعل من كلّ وجه أو من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إذا خرج إلى الفعل إمّا</w:t>
      </w:r>
      <w:r>
        <w:rPr>
          <w:rStyle w:val="FootnoteAnchor"/>
          <w:rtl w:val="true"/>
        </w:rPr>
        <w:footnoteReference w:id="94"/>
      </w:r>
      <w:r>
        <w:rPr>
          <w:rFonts w:ascii="Amiri" w:hAnsi="Amiri" w:eastAsia="Amiri" w:cs="Amiri"/>
          <w:color w:val="111111"/>
          <w:sz w:val="28"/>
          <w:sz w:val="28"/>
          <w:szCs w:val="28"/>
          <w:rtl w:val="true"/>
          <w:lang w:bidi="ar-SA"/>
        </w:rPr>
        <w:t>دفعة أو على التّدريج، و الثّاني هو الحركة، فوجودها بالفعل الّذي هو أسبق الكمالين يستدعي قوّة ما للمتحرّك، فإذا وجدت صارت كمالا ثانيا، و هي تفارق سائر الكمالات الّتي لا يستعقب وجودها قوّة لذي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وجودها، فالمحقّقون عليه، لأنّها من المحسوسات الثّانية،</w:t>
      </w:r>
      <w:r>
        <w:rPr>
          <w:rStyle w:val="FootnoteAnchor"/>
          <w:rtl w:val="true"/>
        </w:rPr>
        <w:footnoteReference w:id="95"/>
      </w:r>
      <w:r>
        <w:rPr>
          <w:rFonts w:ascii="Amiri" w:hAnsi="Amiri" w:eastAsia="Amiri" w:cs="Amiri"/>
          <w:color w:val="111111"/>
          <w:sz w:val="28"/>
          <w:sz w:val="28"/>
          <w:szCs w:val="28"/>
          <w:rtl w:val="true"/>
          <w:lang w:bidi="ar-SA"/>
        </w:rPr>
        <w:t>و أنكره جماعة، لأنّ وجودها ليس حال كون المتمكّن في الأوّل، لأنّه بعد لم يتحرّك، و لا في الثّاني</w:t>
      </w:r>
      <w:r>
        <w:rPr>
          <w:rStyle w:val="FootnoteAnchor"/>
          <w:rtl w:val="true"/>
        </w:rPr>
        <w:footnoteReference w:id="96"/>
      </w:r>
      <w:r>
        <w:rPr>
          <w:rFonts w:ascii="Amiri" w:hAnsi="Amiri" w:eastAsia="Amiri" w:cs="Amiri"/>
          <w:color w:val="111111"/>
          <w:sz w:val="28"/>
          <w:sz w:val="28"/>
          <w:szCs w:val="28"/>
          <w:rtl w:val="true"/>
          <w:lang w:bidi="ar-SA"/>
        </w:rPr>
        <w:t>لانقطاع الحركة، و لا 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يرد على نفاة</w:t>
      </w:r>
      <w:r>
        <w:rPr>
          <w:rStyle w:val="FootnoteAnchor"/>
          <w:rtl w:val="true"/>
        </w:rPr>
        <w:footnoteReference w:id="97"/>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لها من ستّة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و ما إليه و ما فيه و ما به و ما له و الزّمان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أن يتحرّك جسم ما لذاته و إلاّ لبقيت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الحركة إلاّ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لا في مكان؛ لأنّها يحلّ نفس الجوهر، فلا يفتقر إلى غيره، كاللّون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ثقيلا لهوى عند فقد العلائق، و إن لم يكن مكان فقد تحرّك لا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تفسير المكان؛ و هؤلاء عنوا به ما يمنع اعتماد الثّقيل من النّزول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الحركة المكانيّة قد تكون في الأين و قد تكون في الوضع و قد تكون في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الكيفيّة، فهي الحركة في الكيف، كما ينتقل الجسم من حرارة إلى برودة و من سواد إلى بياض على التّدريج، و لا تقع الحركة في غير ذلك من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للحركة الانقسام باعتبار انقسام الزّمان؛ فإنّ الحركة في زمان ضعف الحركة في نصفه؛ و باعتبار انقسام المسافة، فإنّ الحركة إلى نصف المسافة نصف الحركة إلى جميعها؛ و باعتبار انقسام المتحرّك، فإنّها من الأعراض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وحدة الموضوع و الزّمان و ما هي فيه بالشّخص تكون الحركة واحدة به و اختلاف الموضوع نوعا لا يوجب اختلاف الحركة، بل اختلاف أحد الثّلاثة ما منه و ما إليه 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سريعة، و هي الّتي تقطع الأطول في الزّمان المساوي أو الأقصر أو المساوي في الأقصر؛ و إمّا بطيئة و هي ما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سببهما، فعند المتكلّمين خلوّ الحركات من السّكنات و عدمه، و عند الأوائل كيفيّات قائمة بها، و إلاّ لظهرت سكنات الفرس السّريع العدو في الغاية و خفيت حركاته إذا قيست إلى حركات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تضادّ الحركات، لتضادّ ما منه و ما إليه باعتبار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إضافة المبدأ و المنتهى و إن اتّحد المحلّ، كالدوريّة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الحركة قد تكون مستقيمة و مستديرة و مركبّة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 في وجوب السّكون بين المتضادّتين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فأثبته قوم، لأنّ علّة التّحريك إلى جهة موجودة آن الوصول، و هي غير علّة المفارقة</w:t>
      </w:r>
      <w:r>
        <w:rPr>
          <w:rStyle w:val="FootnoteAnchor"/>
          <w:rtl w:val="true"/>
        </w:rPr>
        <w:footnoteReference w:id="98"/>
      </w:r>
      <w:r>
        <w:rPr>
          <w:rFonts w:ascii="Amiri" w:hAnsi="Amiri" w:eastAsia="Amiri" w:cs="Amiri"/>
          <w:color w:val="111111"/>
          <w:sz w:val="28"/>
          <w:sz w:val="28"/>
          <w:szCs w:val="28"/>
          <w:rtl w:val="true"/>
          <w:lang w:bidi="ar-SA"/>
        </w:rPr>
        <w:t>فلا بدّ من آن آخر، و الآنات غير متتالية فلا بدّ من زمان سكون؛ و هو مبنيّ على نفي الجوهر و على امتناع اجتماع الميلين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نفاه آخرون و إلاّ لم يجب رجوع الحجر، لأنّ وقوفه إنّما يكون لعلّة و يستحيل عدمها لذاتها و لا للطبيعة أو الجسم أو لشيء ممّا وجد فيه، و إلاّ لما وجد مع شيء منها، فلم يبق إلاّ سبب خارجيّ؛ فإن كان وصوله واجبا امتنع وجودها و إلاّ كان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الحركة إمّا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طبيعيّة أو قسريّة أو إراديّة، أو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كالمحويّ المتحرّك بحركة الحاوي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الحركة القسريّة مع المفارقة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المحرّك يولّد اعتمادا و ذلك الاعتماد يوجب حركة، ثمّ تلك الحركة تولّد</w:t>
      </w:r>
      <w:r>
        <w:rPr>
          <w:rStyle w:val="FootnoteAnchor"/>
          <w:rtl w:val="true"/>
        </w:rPr>
        <w:footnoteReference w:id="99"/>
      </w:r>
      <w:r>
        <w:rPr>
          <w:rFonts w:ascii="Amiri" w:hAnsi="Amiri" w:eastAsia="Amiri" w:cs="Amiri"/>
          <w:color w:val="111111"/>
          <w:sz w:val="28"/>
          <w:sz w:val="28"/>
          <w:szCs w:val="28"/>
          <w:rtl w:val="true"/>
          <w:lang w:bidi="ar-SA"/>
        </w:rPr>
        <w:t>اعتمادا، و ذلك الاعتماد يولّد حركة إلى أن ينتهي التّوليد بسبب الضّعف الحاصل من الهواء المخروق و قيل إنّ المحرّك يفيد المتحرّك قوّة محرّكة إلى جهة مخصوصة و هي باقية إلى آخر الحركة لكنّها تأخذ</w:t>
      </w:r>
      <w:r>
        <w:rPr>
          <w:rStyle w:val="FootnoteAnchor"/>
          <w:rtl w:val="true"/>
        </w:rPr>
        <w:footnoteReference w:id="100"/>
      </w:r>
      <w:r>
        <w:rPr>
          <w:rFonts w:ascii="Amiri" w:hAnsi="Amiri" w:eastAsia="Amiri" w:cs="Amiri"/>
          <w:color w:val="111111"/>
          <w:sz w:val="28"/>
          <w:sz w:val="28"/>
          <w:szCs w:val="28"/>
          <w:rtl w:val="true"/>
          <w:lang w:bidi="ar-SA"/>
        </w:rPr>
        <w:t>في الضّعف بسبب مصاكّات الهواء المخروق إلى أن يبلغ الضّعف بحيث يغلبه القوّة الطبيعيّة، فتتحرك الجسم إلى أسفل</w:t>
      </w:r>
      <w:r>
        <w:rPr>
          <w:rFonts w:eastAsia="Amiri" w:cs="Amiri" w:ascii="Amiri" w:hAnsi="Amiri"/>
          <w:color w:val="111111"/>
          <w:sz w:val="28"/>
          <w:szCs w:val="28"/>
          <w:rtl w:val="true"/>
          <w:lang w:bidi="ar-SA"/>
        </w:rPr>
        <w:t xml:space="preserve">. </w:t>
      </w:r>
      <w:bookmarkStart w:id="185" w:name="pg9140_71164"/>
    </w:p>
    <w:p>
      <w:pPr>
        <w:pStyle w:val="Heading5"/>
        <w:numPr>
          <w:ilvl w:val="4"/>
          <w:numId w:val="1"/>
        </w:numPr>
        <w:rPr/>
      </w:pPr>
      <w:bookmarkStart w:id="186" w:name="__RefHeading___Toc3242237_2870459653"/>
      <w:bookmarkStart w:id="187" w:name="_Toc69"/>
      <w:bookmarkEnd w:id="185"/>
      <w:bookmarkEnd w:id="186"/>
      <w:r>
        <w:rPr>
          <w:rtl w:val="true"/>
        </w:rPr>
        <w:t>النّظر الرّابع</w:t>
      </w:r>
      <w:r>
        <w:rPr>
          <w:rtl w:val="true"/>
        </w:rPr>
        <w:t xml:space="preserve">: </w:t>
      </w:r>
      <w:r>
        <w:rPr>
          <w:rtl w:val="true"/>
        </w:rPr>
        <w:t>في باقي الأكوان</w:t>
      </w:r>
      <w:bookmarkEnd w:id="187"/>
    </w:p>
    <w:p>
      <w:pPr>
        <w:pStyle w:val="BookText"/>
        <w:rPr/>
      </w:pPr>
      <w:r>
        <w:rPr>
          <w:rFonts w:ascii="Amiri" w:hAnsi="Amiri" w:eastAsia="Amiri" w:cs="Amiri"/>
          <w:color w:val="111111"/>
          <w:sz w:val="28"/>
          <w:sz w:val="28"/>
          <w:szCs w:val="28"/>
          <w:rtl w:val="true"/>
          <w:lang w:bidi="ar-SA"/>
        </w:rPr>
        <w:t>السّكون هو حصول الجسم في الحيّز بعد حصوله في ذلك الحيّز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الأوائل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الحركة عمّا من شأنه أن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نوع الحركة؛ إذ لا فارق بينهما سوى البقاء و عدمه؛ و النّزاع لفظيّ؛ لأنّ للسّاكن نسبا ثابتة و عدم حركة، فإن اطلق السّكون على الأوّل، فهو ثبوتيّ و إن اطلق على الثّاني فهو عدميّ؛ و لا يمكن خلوّ الجسم الباقي عن الحركة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الحادث حال حدوثه فإنّ حصوله في مكان ليس حركة و لا سكونا، و يسمّى كونا؛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سكون، لأنّ الأكوان كلّها سكونات و تكون بعضها حركات باعتبار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الاجتماع هو كون الجوهرين في حيّزين بحيث لا يتخلّلهما ثالث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الافتراق هو كونهما في حيّزين بحيث يتخللهما ثالث؛ و جعل أبو الهذيل الافتراق معنى زائدا على الأكوان، و هو قول أبي عليّ أوّلا؛ و أبو هاشم جعله عبارة عن الكونين اللّذين يحصل بهما الجسمان في مكانين بعيدين</w:t>
      </w:r>
      <w:r>
        <w:rPr>
          <w:rFonts w:eastAsia="Amiri" w:cs="Amiri" w:ascii="Amiri" w:hAnsi="Amiri"/>
          <w:color w:val="111111"/>
          <w:sz w:val="28"/>
          <w:szCs w:val="28"/>
          <w:rtl w:val="true"/>
          <w:lang w:bidi="ar-SA"/>
        </w:rPr>
        <w:t xml:space="preserve">. </w:t>
      </w:r>
      <w:bookmarkStart w:id="188" w:name="pg9140_71165"/>
    </w:p>
    <w:p>
      <w:pPr>
        <w:pStyle w:val="Heading4"/>
        <w:numPr>
          <w:ilvl w:val="3"/>
          <w:numId w:val="1"/>
        </w:numPr>
        <w:rPr/>
      </w:pPr>
      <w:bookmarkStart w:id="189" w:name="__RefHeading___Toc3242239_2870459653"/>
      <w:bookmarkStart w:id="190" w:name="_Toc70"/>
      <w:bookmarkEnd w:id="188"/>
      <w:bookmarkEnd w:id="189"/>
      <w:r>
        <w:rPr>
          <w:rtl w:val="true"/>
        </w:rPr>
        <w:t>المطلب الثّامن</w:t>
      </w:r>
      <w:r>
        <w:rPr>
          <w:rtl w:val="true"/>
        </w:rPr>
        <w:t xml:space="preserve">: </w:t>
      </w:r>
      <w:r>
        <w:rPr>
          <w:rtl w:val="true"/>
        </w:rPr>
        <w:t>في الحياة</w:t>
      </w:r>
      <w:bookmarkEnd w:id="190"/>
    </w:p>
    <w:p>
      <w:pPr>
        <w:pStyle w:val="BookText"/>
        <w:rPr/>
      </w:pPr>
      <w:r>
        <w:rPr>
          <w:rFonts w:ascii="Amiri" w:hAnsi="Amiri" w:eastAsia="Amiri" w:cs="Amiri"/>
          <w:color w:val="111111"/>
          <w:sz w:val="28"/>
          <w:sz w:val="28"/>
          <w:szCs w:val="28"/>
          <w:rtl w:val="true"/>
          <w:lang w:bidi="ar-SA"/>
        </w:rPr>
        <w:t>و هي عرض يحلّ بدن الحيّ يقتضي صحّة القدرة و العلم منه، مشروط باعتدال المزاج، و باعتبارها يصير الجملة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لها من بنية مخصوصة؛ خلافا للأشعريّة، و إلاّ لصحّ وجودها في جزء لا يتجزّى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القائم بالمجموع إن كان حياة واحدة لزم قيام العرض الواحد بمحلّين؛ و إن تعدّدت لزم الدّور؛ إن كان قيام البعض بالمحلّ موقوفا على قيام الآخر به و بالعكس أو التّرجيح من غير مرجّح إن لم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كلّ حياة بمحلّها موقوف على مجامعة الأجزاء، لا على قيام العرض بالأجزاء؛ و كما احتاجت إلى البنية فهي محتاجة إلى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حاجتها إلى الرّوح، فأثبته أبو هاشم، لفقدانها عند فقدان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نفاه أبو عليّ، و إلاّ لشاعت الحاجة في كلّ محلّ فيه حياة و هي متماثلة لا اختلاف فيها و لا تضادّ؛ لاتّفاق معلولها؛ و ليست مقدورة لنا؛ و هي باقية و لا ضدّ لها، و زوالها عند القتل باعتبار أنّ المرجع بالقتل إمّا تفريق البنية، فعدمت لعدم شرطها، و كذا عند البرد الشّديد و الحرّ الشّديد، لحصول التّفريق فيهما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أثبتت الأشاعرة و أبو عليّ و الكعبيّ و أبو هاشم أولا الموت ضدّا </w:t>
      </w:r>
      <w:bookmarkStart w:id="191" w:name="pg9140_71166"/>
    </w:p>
    <w:p>
      <w:pPr>
        <w:pStyle w:val="BookText"/>
        <w:rPr/>
      </w:pPr>
      <w:bookmarkEnd w:id="191"/>
      <w:r>
        <w:rPr>
          <w:rFonts w:ascii="Amiri" w:hAnsi="Amiri" w:eastAsia="Amiri" w:cs="Amiri"/>
          <w:color w:val="111111"/>
          <w:sz w:val="28"/>
          <w:sz w:val="28"/>
          <w:szCs w:val="28"/>
          <w:rtl w:val="true"/>
          <w:lang w:bidi="ar-SA"/>
        </w:rPr>
        <w:t>للحياة؛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عدم الحياة عمّا من شأنه أن يكون حيّا بعد اتّصافه بها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242241_2870459653"/>
      <w:bookmarkStart w:id="193" w:name="_Toc71"/>
      <w:bookmarkEnd w:id="192"/>
      <w:r>
        <w:rPr>
          <w:rtl w:val="true"/>
        </w:rPr>
        <w:t>المطلب التّاسع</w:t>
      </w:r>
      <w:r>
        <w:rPr>
          <w:rtl w:val="true"/>
        </w:rPr>
        <w:t xml:space="preserve">: </w:t>
      </w:r>
      <w:r>
        <w:rPr>
          <w:rtl w:val="true"/>
        </w:rPr>
        <w:t>في القدرة</w:t>
      </w:r>
      <w:bookmarkEnd w:id="193"/>
    </w:p>
    <w:p>
      <w:pPr>
        <w:pStyle w:val="BookText"/>
        <w:rPr/>
      </w:pPr>
      <w:r>
        <w:rPr>
          <w:rFonts w:ascii="Amiri" w:hAnsi="Amiri" w:eastAsia="Amiri" w:cs="Amiri"/>
          <w:color w:val="111111"/>
          <w:sz w:val="28"/>
          <w:sz w:val="28"/>
          <w:szCs w:val="28"/>
          <w:rtl w:val="true"/>
          <w:lang w:bidi="ar-SA"/>
        </w:rPr>
        <w:t>و هي عرض يقتضي كون محلّه إذا شاء أن يفعل فعل، و إذا شاء أن يترك ترك، و ليست نفس المزاج؛ لأنّه كيفيّة متوسّطة بين الحارّ و البارد، فيكون من جنسهما، فيكون تأثيره من جنس تأثيرهما، و تأثير القدرة مضادّة لتأثيرهما و هي متقدّمة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للأشعريّة، و إلاّ لقبح تكليف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عرض، فلا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الطّعن في الكبرى و تتعلّق بالضّدّين، إذ هو معنى القدرة، و للعلم الضّروريّ بأنّ من قدر على الحركة يمنة قدر عليها يسرة، و إن لم يتصوّر قدرة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الأشاعرة نازعوا في ذلك، و إلاّ لزم وجودهما معا؛ إذ ليس أحدهما أولى بالوقوع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الإرادة؛ و تتعلّق من أفعال الجوارح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الأكوان و التّأليف و الاعتماد و الصّوت و الألم؛ و من أفعال القلوب بخمسة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الإرادة و الكراهة و الفكر و الاعتقاد و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يصحّ الفعل بالقدرة إلاّ مباشرة؛ و هو أن يبتدي به في محلّها أو متولّدا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يقع بحسب فعل آخر يقف كثرته و قلّته عليه إمّا في محلّ القدرة أو متعدّ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الاختراع مختصّ بالقديم تعالى؛ و القدرة الواحدة تتعلّق بما لا يتناهى من الجنس الواحد في الوقت الواحد إذا تعدّد المحلّ، فإنّه يمكننا أن نحرّك جسما خفيفا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تتعلّق من الجنس الواحد في المحلّ الواحد بما لا يتناهى مع تغاير الأوقات؛ إذ كلّ فعل يصدر عنها يمكن إيجاد مثله مع السّلامة؛ و إذا كان الجنس و الوقت و المحلّ واحدا لم يجز أن تتعلّق بأكثر من الجزء الواحد و إلاّ لتعلّقت بما لا يتناهى لعدم الأولويّة، فينتفي التّفاضل بين القادرين، فيمكن رفع الحبال من الضّعيف كما يمكن من ذي القوّة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تتعلّق من المختلف مع اتّحاد الوقت و المحلّ بما لا يتناهى؛ إذ لا شيء إلاّ و يصحّ منّا أن نفعل له إرادة؛ و لو لا تعلّق قدرتنا بجميع هذه الإرادات المختلفة لما صحّ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الشّيخان، فجوّز أبو هاشم خلوّ القدرة عن الأخذ و التّرك إلاّ مع وجود داع إلى أحدهما؛ فإنّه لو وجب فإمّا لأمر يرجع إلى كونه قادرا فقط، فيلزم مثله في القديم تعالى، أو لشيء يرجع إلى القدرة مع تساوي نسبتها إلى المتولّد و المبتدأ؛ و لو جاز في أحدهما لجاز في الثّاني، لكن </w:t>
      </w:r>
    </w:p>
    <w:p>
      <w:pPr>
        <w:pStyle w:val="BookText"/>
        <w:rPr/>
      </w:pPr>
      <w:r>
        <w:rPr>
          <w:rFonts w:ascii="Amiri" w:hAnsi="Amiri" w:eastAsia="Amiri" w:cs="Amiri"/>
          <w:color w:val="111111"/>
          <w:sz w:val="28"/>
          <w:sz w:val="28"/>
          <w:szCs w:val="28"/>
          <w:rtl w:val="true"/>
          <w:lang w:bidi="ar-SA"/>
        </w:rPr>
        <w:t>التّالي باطل، و إلاّ لكان الجسم إذا سكّنه القوي يكون قد فعل في كلّ حال فيه من السّكون بجميع قدرة، فلا يتأتّى من الضّعيف تحريكه، لكن يصحّ منّا تحريك ما سكّنه القويّ بل القادر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و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خلوّ القادر بقدرة من أخذ أو ترك في المباشر من الأفعال إلاّ عند منع؛ إذ لو جاز الخلوّ وقتا ما لجاز دائما، و ذلك يقتضي جواز خلوّه</w:t>
      </w:r>
      <w:r>
        <w:rPr>
          <w:rStyle w:val="FootnoteAnchor"/>
          <w:rtl w:val="true"/>
        </w:rPr>
        <w:footnoteReference w:id="102"/>
      </w:r>
      <w:r>
        <w:rPr>
          <w:rFonts w:ascii="Amiri" w:hAnsi="Amiri" w:eastAsia="Amiri" w:cs="Amiri"/>
          <w:color w:val="111111"/>
          <w:sz w:val="28"/>
          <w:sz w:val="28"/>
          <w:szCs w:val="28"/>
          <w:rtl w:val="true"/>
          <w:lang w:bidi="ar-SA"/>
        </w:rPr>
        <w:t>من الطاعات و المعاصي و من استحقاق المدح و الذّمّ؛ و لأنّه لو جاز خلوّه من الفعل لوجب إذا دخل دار غيره بإذنه ثمّ نهاه</w:t>
      </w:r>
      <w:r>
        <w:rPr>
          <w:rStyle w:val="FootnoteAnchor"/>
          <w:rtl w:val="true"/>
        </w:rPr>
        <w:footnoteReference w:id="103"/>
      </w:r>
      <w:r>
        <w:rPr>
          <w:rFonts w:ascii="Amiri" w:hAnsi="Amiri" w:eastAsia="Amiri" w:cs="Amiri"/>
          <w:color w:val="111111"/>
          <w:sz w:val="28"/>
          <w:sz w:val="28"/>
          <w:szCs w:val="28"/>
          <w:rtl w:val="true"/>
          <w:lang w:bidi="ar-SA"/>
        </w:rPr>
        <w:t>عن القعود؛ إن ينقلب ذلك الحسن قبيحا، فلا بدّ من تجديد الكون حالا فحالا ليثبت استحقاق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الحصر في الأوّل و بقاء الأكوان، و منع الملازمة في الثّاني، لأنّه يعرض لدواعي الحاجة فلا بدّ من كونه فاعلا وقتا ما، و المنهيّ عن القعود مستحقّ للذّم و إن لم يجدّد الأكوان؛ لأنّه لم يفعل ما وجب عليه من الخروج كما يستحقّ الذّم لو وضع متاعه بعد الإذن، ثمّ حظر عليه مع أنّه لم يجدّد الأكوان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منعت المعتزلة في تعلّق المقدور الواحد بقادرين؛ إذ يجوز اختلاف دواعيهما فيعلم أحدهما حسنه، فيدعوه الدّاعي إلى إيقاعه و يعتقد الآخر </w:t>
      </w:r>
      <w:bookmarkStart w:id="194" w:name="pg9140_71169"/>
    </w:p>
    <w:p>
      <w:pPr>
        <w:pStyle w:val="BookText"/>
        <w:rPr/>
      </w:pPr>
      <w:bookmarkEnd w:id="194"/>
      <w:r>
        <w:rPr>
          <w:rFonts w:ascii="Amiri" w:hAnsi="Amiri" w:eastAsia="Amiri" w:cs="Amiri"/>
          <w:color w:val="111111"/>
          <w:sz w:val="28"/>
          <w:sz w:val="28"/>
          <w:szCs w:val="28"/>
          <w:rtl w:val="true"/>
          <w:lang w:bidi="ar-SA"/>
        </w:rPr>
        <w:t>قبحه؛ فيصرفه هذا الاعتقاد عن إيقاعه، فيجتمع فيه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تغاير المقدور وجب اختلاف القدر، فليست متماثلة و لا متضادّة؛ لأنّ تضادّ المتعلّقات إنّما يصحّ إذا كان المتعلّق واحدا؛ ثم يتعلّق أحدهما بالعكس من تعلّق الآخر؛ و هذا ممتنع في القدر، لأنّ تعلّقها غير مختلف، فليس إلاّ لأنّ متعلّقها واحد، و حينئذ تكون متماثلة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مختلفة صحّ وجود الكثير منها في محلّ واحد و يصح البقاء على القدر من غير توقّف على بقاء المقدور و ليست مقدورة لنا و إلاّ لأمكننا أن نزيد في قوانا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العجز عدم القدرة عمّا من شأنه أن يكون قادرا؛ و عند الاشاعرة و أبي عليّ و أبي هاشم أوّلا إنّه صفة وجوديّة مضادّة للقدرة</w:t>
      </w:r>
      <w:r>
        <w:rPr>
          <w:rStyle w:val="FootnoteAnchor"/>
          <w:rtl w:val="true"/>
        </w:rPr>
        <w:footnoteReference w:id="104"/>
      </w:r>
      <w:r>
        <w:rPr>
          <w:rFonts w:ascii="Amiri" w:hAnsi="Amiri" w:eastAsia="Amiri" w:cs="Amiri"/>
          <w:color w:val="111111"/>
          <w:sz w:val="28"/>
          <w:sz w:val="28"/>
          <w:szCs w:val="28"/>
          <w:rtl w:val="true"/>
          <w:lang w:bidi="ar-SA"/>
        </w:rPr>
        <w:t>لأنّه ليس كون إحداهما عدما للاخرى أولى من العكس؛ و هو ضعيف لأنّ الاحتمال لا يوجب الجزم</w:t>
      </w:r>
      <w:r>
        <w:rPr>
          <w:rFonts w:eastAsia="Amiri" w:cs="Amiri" w:ascii="Amiri" w:hAnsi="Amiri"/>
          <w:color w:val="111111"/>
          <w:sz w:val="28"/>
          <w:szCs w:val="28"/>
          <w:rtl w:val="true"/>
          <w:lang w:bidi="ar-SA"/>
        </w:rPr>
        <w:t>.</w:t>
      </w:r>
      <w:r>
        <w:rPr>
          <w:rStyle w:val="FootnoteAnchor"/>
          <w:rtl w:val="true"/>
        </w:rPr>
        <w:footnoteReference w:id="105"/>
      </w:r>
    </w:p>
    <w:p>
      <w:pPr>
        <w:pStyle w:val="Heading4"/>
        <w:numPr>
          <w:ilvl w:val="3"/>
          <w:numId w:val="1"/>
        </w:numPr>
        <w:rPr/>
      </w:pPr>
      <w:bookmarkStart w:id="195" w:name="__RefHeading___Toc3242243_2870459653"/>
      <w:bookmarkStart w:id="196" w:name="_Toc72"/>
      <w:bookmarkEnd w:id="195"/>
      <w:r>
        <w:rPr>
          <w:rtl w:val="true"/>
        </w:rPr>
        <w:t>المطلب العاشر</w:t>
      </w:r>
      <w:r>
        <w:rPr>
          <w:rtl w:val="true"/>
        </w:rPr>
        <w:t xml:space="preserve">: </w:t>
      </w:r>
      <w:r>
        <w:rPr>
          <w:rtl w:val="true"/>
        </w:rPr>
        <w:t>في الاعتقاد</w:t>
      </w:r>
      <w:bookmarkEnd w:id="1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أمر ذهنيّ يجده الحيّ من نفسه و يدرك التّفرقة بينه و بين غيره بالضّرورة؛ و يمكن أن يحكم فيه بنفي أو إثبات؛ و هذا الحكم إمّا أن يكون جازما أو لا، و الأوّل إمّا أن يكون مطابقا أو لا، فإن كان مطابقا فإمّا أن يكون </w:t>
      </w:r>
    </w:p>
    <w:p>
      <w:pPr>
        <w:pStyle w:val="BookText"/>
        <w:rPr/>
      </w:pPr>
      <w:r>
        <w:rPr>
          <w:rFonts w:ascii="Amiri" w:hAnsi="Amiri" w:eastAsia="Amiri" w:cs="Amiri"/>
          <w:color w:val="111111"/>
          <w:sz w:val="28"/>
          <w:sz w:val="28"/>
          <w:szCs w:val="28"/>
          <w:rtl w:val="true"/>
          <w:lang w:bidi="ar-SA"/>
        </w:rPr>
        <w:t>ثابتا أو لا، و الثّابت هو العلم و غيره هو الاعتقاد الحق المستند إلى التقليد، و غير المطابق هو اعتقاد الجاهل، و غير الجازم إن كان راجحا فهو الظنّ، و إن كان مرجوحا فهو الوهم، و المتساوي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العلم،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و إلاّ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سلبيّ؛ و هو خطأ، و إلاّ لم يكن سلب أيّ شيء كان، بل سلب مقابله؛ فإن كان سلبا كان العلم ثبوتيّا، و إن كان إيجابا لكان</w:t>
      </w:r>
      <w:r>
        <w:rPr>
          <w:rStyle w:val="FootnoteAnchor"/>
          <w:rtl w:val="true"/>
        </w:rPr>
        <w:footnoteReference w:id="106"/>
      </w:r>
      <w:r>
        <w:rPr>
          <w:rFonts w:ascii="Amiri" w:hAnsi="Amiri" w:eastAsia="Amiri" w:cs="Amiri"/>
          <w:color w:val="111111"/>
          <w:sz w:val="28"/>
          <w:sz w:val="28"/>
          <w:szCs w:val="28"/>
          <w:rtl w:val="true"/>
          <w:lang w:bidi="ar-SA"/>
        </w:rPr>
        <w:t>عدمه صادقا على العدم، فيكون العلم صادقا على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انطباع صورة المعلوم في العالم؛ و ابطل بأنّ من تصوّر الحرارة كان حارّا و ليس بجيّد، فإنّ الحاصل ليس الماهيّة، بل الصّورة؛ و الحقّ أنّه صفة حقيقيّة يلزمها الإضافة إلى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العلم عرضا يوجب العالميّة، و أثبتوا تعلّقا للعالميّة بالمعلوم، و كما يتعلّق العلم بالموجود كذا يتعلّق بالمعدوم، كما نعلم طلوع الشّمس غدا؛ خلافا لبعضهم، حيث أوجبوا تعلّقه بالموجود؛ لأنّ كلّ معلوم متميّز، و كلّ متميّز ثابت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 أعمّ من الذّهنيّ و الخارجيّ، ثمّ المعدوم إن كان بسيطا علم بالنّسبة، كما نقول</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ليس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نسبته إليه نسبة السّواد إلى البياض؛ و إن كان مركّبا تعلّق العلم بأجزائه الوجوديّة، كالعلم </w:t>
      </w:r>
    </w:p>
    <w:p>
      <w:pPr>
        <w:pStyle w:val="BookText"/>
        <w:rPr/>
      </w:pPr>
      <w:r>
        <w:rPr>
          <w:rFonts w:ascii="Amiri" w:hAnsi="Amiri" w:eastAsia="Amiri" w:cs="Amiri"/>
          <w:color w:val="111111"/>
          <w:sz w:val="28"/>
          <w:sz w:val="28"/>
          <w:szCs w:val="28"/>
          <w:rtl w:val="true"/>
          <w:lang w:bidi="ar-SA"/>
        </w:rPr>
        <w:t>بعدم اجتماع الضّدين؛ فإنّا نعقل السّواد و البياض و الاجتماع، ثمّ نعقل أنّ ذلك الاجتماع غير حاصل بين</w:t>
      </w:r>
      <w:r>
        <w:rPr>
          <w:rStyle w:val="FootnoteAnchor"/>
          <w:rtl w:val="true"/>
        </w:rPr>
        <w:footnoteReference w:id="108"/>
      </w:r>
      <w:r>
        <w:rPr>
          <w:rFonts w:ascii="Amiri" w:hAnsi="Amiri" w:eastAsia="Amiri" w:cs="Amiri"/>
          <w:color w:val="111111"/>
          <w:sz w:val="28"/>
          <w:sz w:val="28"/>
          <w:szCs w:val="28"/>
          <w:rtl w:val="true"/>
          <w:lang w:bidi="ar-SA"/>
        </w:rPr>
        <w:t>السّواد و البياض؛ و العلم تابع للمعلوم و حكاية عنه، بمعنى أنّ الأصل في هيئة التّطابق هو المعلوم، و إن جاز تقدّم العلم كما يتقدم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تعلّقه بنفس العالم إشكال من حيث وجوب تعلّق الإضافة بالمتغايرين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بأنّ كونه عالما مغاير لكونه معلوما، أو بتغاير الجزئيّ و الكلّيّ باطل؛ لأنّ التّغاير بالعالميّة و المعلوميّة متأخّر عن العلم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 جزء الماهيّة،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معنى مغاير للاعتقاد، و إلاّ لكان كلّ اعتقاد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خطأ؛ فإنّه اعتقاد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الاعتقاد و إلاّ لكان ضدّا، فيمتنع اجتماعهما أو مخالفا، فلا ينتفيان بضدّ واحد، فتعيّن التّماثل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مقدور لنا، لتوجّه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الضروريّ من فعله تعالى و لمّا شرطت المطابقة في العلم امتنع تعلّق علم واحد بمعلومين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جوّز الكعبيّ تعلّق العلم الواحد بمعلومين متلازمين؛ و المعلوم </w:t>
      </w:r>
    </w:p>
    <w:p>
      <w:pPr>
        <w:pStyle w:val="BookText"/>
        <w:rPr/>
      </w:pPr>
      <w:r>
        <w:rPr>
          <w:rFonts w:ascii="Amiri" w:hAnsi="Amiri" w:eastAsia="Amiri" w:cs="Amiri"/>
          <w:color w:val="111111"/>
          <w:sz w:val="28"/>
          <w:sz w:val="28"/>
          <w:szCs w:val="28"/>
          <w:rtl w:val="true"/>
          <w:lang w:bidi="ar-SA"/>
        </w:rPr>
        <w:t>إجمالا معلوم من وجه و مجهول من آخر، و الوجهان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المعلوم لا إجمال فيه، و المجهول غير معلوم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w:t>
      </w:r>
      <w:r>
        <w:rPr>
          <w:rStyle w:val="FootnoteAnchor"/>
          <w:rtl w:val="true"/>
        </w:rPr>
        <w:footnoteReference w:id="109"/>
      </w:r>
      <w:r>
        <w:rPr>
          <w:rFonts w:ascii="Amiri" w:hAnsi="Amiri" w:eastAsia="Amiri" w:cs="Amiri"/>
          <w:color w:val="111111"/>
          <w:sz w:val="28"/>
          <w:sz w:val="28"/>
          <w:szCs w:val="28"/>
          <w:rtl w:val="true"/>
          <w:lang w:bidi="ar-SA"/>
        </w:rPr>
        <w:t>اجتمعا في شيء ظنّ مغايرة الإجماليّ للتّفصيليّ، و التّنافي بين اعتقادي الضّدين،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تعلّق العلم بالعلم، و اختلفوا، فقال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بالمعلوم، و قال أبو عبد اللّه و أبو إسحاق</w:t>
      </w:r>
      <w:r>
        <w:rPr>
          <w:rStyle w:val="FootnoteAnchor"/>
          <w:rtl w:val="true"/>
        </w:rPr>
        <w:footnoteReference w:id="110"/>
      </w:r>
      <w:r>
        <w:rPr>
          <w:rFonts w:ascii="Amiri" w:hAnsi="Amiri" w:eastAsia="Amiri" w:cs="Amiri"/>
          <w:color w:val="111111"/>
          <w:sz w:val="28"/>
          <w:sz w:val="28"/>
          <w:szCs w:val="28"/>
          <w:rtl w:val="true"/>
          <w:lang w:bidi="ar-SA"/>
        </w:rPr>
        <w:t>و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بكون العلم على حال أو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تضادّ في العلوم</w:t>
      </w:r>
      <w:r>
        <w:rPr>
          <w:rStyle w:val="FootnoteAnchor"/>
          <w:rtl w:val="true"/>
        </w:rPr>
        <w:footnoteReference w:id="111"/>
      </w:r>
      <w:r>
        <w:rPr>
          <w:rFonts w:ascii="Amiri" w:hAnsi="Amiri" w:eastAsia="Amiri" w:cs="Amiri"/>
          <w:color w:val="111111"/>
          <w:sz w:val="28"/>
          <w:sz w:val="28"/>
          <w:szCs w:val="28"/>
          <w:rtl w:val="true"/>
          <w:lang w:bidi="ar-SA"/>
        </w:rPr>
        <w:t>، بل فيها متماثل و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تضادّ اعتقادان، سواء كانا جهلين أو أحدهما علما و الآخر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منه واجب؛ كمعرفته تعالى؛ لأنّها دافعة للخوف الحاصل من الاختلاف، و لأنّ الشكر واجب و لا يتمّ بدونها، و كالعلم بما 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 عند الشّيخين و أبي إسحاق أنّه معنى يضادّ العلم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قال قاضي القضاة و أبو إسحاق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 العلم بالامور الّتي جرت العادة بأن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عدم العلم بعد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فعند أبي عليّ و أبي القاسم أنّه معنى مضادّ للعلم خلافا لأبي هاشم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الشّيخان على جواز بقاء العلوم في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أبو إسحاق </w:t>
      </w:r>
      <w:bookmarkStart w:id="197" w:name="pg9140_71173"/>
    </w:p>
    <w:p>
      <w:pPr>
        <w:pStyle w:val="BookText"/>
        <w:rPr/>
      </w:pPr>
      <w:bookmarkEnd w:id="197"/>
      <w:r>
        <w:rPr>
          <w:rFonts w:ascii="Amiri" w:hAnsi="Amiri" w:eastAsia="Amiri" w:cs="Amiri"/>
          <w:color w:val="111111"/>
          <w:sz w:val="28"/>
          <w:sz w:val="28"/>
          <w:szCs w:val="28"/>
          <w:rtl w:val="true"/>
          <w:lang w:bidi="ar-SA"/>
        </w:rPr>
        <w:t>و قاضي القضاة من بقاء العلوم و أنواع الاعتقادات أجمع، و إلاّ لم تنتف إلاّ بالضّدّ، و التّالي باطل؛ فإنّ أحدنا يخرج من كونه عالما بسهو 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العلم هو الحصول و كان الحصول لا ينفكّ عن حصول الحصول عند اعتبار المعتبرين وجب من العلم بالشّيء العلم بالعلم به، خلافا للشّيخين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الّذي هو مناط التّكليف عند جماعة هو العلم بوجوب الواجبات و استحالة المستحيلات، و إلاّ لصحّ انفكاك أحدهما من الآخر؛ و هو ضعيف، لإمكان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المعتزلة زيادة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بحسن الحسن و قبح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أبو بكر</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بوجوب الواجبات و استحالة المستحيلات و مجاري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قوّة غريزيّة تلزمها هذه العلوم البديهيّة عند سلامة الحواسّ</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242245_2870459653"/>
      <w:bookmarkStart w:id="199" w:name="_Toc73"/>
      <w:bookmarkEnd w:id="198"/>
      <w:r>
        <w:rPr>
          <w:rtl w:val="true"/>
        </w:rPr>
        <w:t>المطلب الحادي عشر</w:t>
      </w:r>
      <w:r>
        <w:rPr>
          <w:rtl w:val="true"/>
        </w:rPr>
        <w:t xml:space="preserve">: </w:t>
      </w:r>
      <w:r>
        <w:rPr>
          <w:rtl w:val="true"/>
        </w:rPr>
        <w:t>في الظنّ‌</w:t>
      </w:r>
      <w:bookmarkEnd w:id="19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ترجيح أحد المجوّزين مع تجويز خلافه، و رجحان الاعتقاد غير اعتقاد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قبيل الاعتقاد عند أبي هاشم؛ فإنّ الظنّ قد يبلغ مبلغا يلتبس بالعلم، و الشّيء إنّما يلتبس بما هو من جنسه؛ و الكبرى ممنوعة؛ فإنّ الإرادة تلتبس بالشّهوة</w:t>
      </w:r>
      <w:r>
        <w:rPr>
          <w:rFonts w:eastAsia="Amiri" w:cs="Amiri" w:ascii="Amiri" w:hAnsi="Amiri"/>
          <w:color w:val="111111"/>
          <w:sz w:val="28"/>
          <w:szCs w:val="28"/>
          <w:rtl w:val="true"/>
          <w:lang w:bidi="ar-SA"/>
        </w:rPr>
        <w:t xml:space="preserve">. </w:t>
      </w:r>
      <w:bookmarkStart w:id="200" w:name="pg9140_71174"/>
    </w:p>
    <w:p>
      <w:pPr>
        <w:pStyle w:val="BookText"/>
        <w:rPr/>
      </w:pPr>
      <w:bookmarkEnd w:id="200"/>
      <w:r>
        <w:rPr>
          <w:rFonts w:ascii="Amiri" w:hAnsi="Amiri" w:eastAsia="Amiri" w:cs="Amiri"/>
          <w:color w:val="111111"/>
          <w:sz w:val="28"/>
          <w:sz w:val="28"/>
          <w:szCs w:val="28"/>
          <w:rtl w:val="true"/>
          <w:lang w:bidi="ar-SA"/>
        </w:rPr>
        <w:t>و قال أبو عليّ و أبو اسحاق و أبو عبد اللّه و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مغاير له للفصل بين حالنا عند الظنّ و عند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في الاعتقاد الجزم كان مغايرا للظنّ، و إلاّ كان جنسا له، و هو مضادّ للعلم إذا تعلّق بمتعلّقه على العكس؛ كالعلم بأنّ زيدا في الدّار، و الظنّ أنّه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المضادّة بين أفراده، كظنّ كون زيد في الدّار و ظنّ أنّه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يتعلّق الظنّ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الظن حسن و قبيح و واجب</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242247_2870459653"/>
      <w:bookmarkStart w:id="202" w:name="_Toc74"/>
      <w:bookmarkEnd w:id="201"/>
      <w:r>
        <w:rPr>
          <w:rtl w:val="true"/>
        </w:rPr>
        <w:t>المطلب الثّاني عشر</w:t>
      </w:r>
      <w:r>
        <w:rPr>
          <w:rtl w:val="true"/>
        </w:rPr>
        <w:t xml:space="preserve">: </w:t>
      </w:r>
      <w:r>
        <w:rPr>
          <w:rtl w:val="true"/>
        </w:rPr>
        <w:t>في النّظر</w:t>
      </w:r>
      <w:bookmarkEnd w:id="202"/>
    </w:p>
    <w:p>
      <w:pPr>
        <w:pStyle w:val="BookText"/>
        <w:rPr/>
      </w:pPr>
      <w:r>
        <w:rPr>
          <w:rFonts w:ascii="Amiri" w:hAnsi="Amiri" w:eastAsia="Amiri" w:cs="Amiri"/>
          <w:color w:val="111111"/>
          <w:sz w:val="28"/>
          <w:sz w:val="28"/>
          <w:szCs w:val="28"/>
          <w:rtl w:val="true"/>
          <w:lang w:bidi="ar-SA"/>
        </w:rPr>
        <w:t>أجود حدوده ما حدّدناه نحن في ساير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ترتيب امور ذهنيّة ليتوصّل بها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جامع للعلل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متماثل و هو ما اتفق معلوله؛ و مختلف، و هو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فيه تضادّ؛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أمرين يتضادّان على كلّ وجه 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أبو هاشم؛ لاشتراط اتّحاد المتعلّق في تضادّ المتعلّق، و إذا تعلّق النّظران بمنظور واحد تماثلا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عليه البقاء عند المعتزلة؛ لخروج أحدنا عن كونه ناظرا من دون ضدّ، إذ ليس في النّظر تضادّ لما تقدم، و لا يضادّه غيره؛ إذ لا شيء إلاّ و يصحّ مجامعته له إلاّ العلم بالمدلول، فإنّه لا يجامع النّظر في الدّلالة، لا لتضادّهما و إلاّ لم يجامع الظنّ، لأنّه يضادّ العلم، و ما يستحيل وجوده مع </w:t>
      </w:r>
    </w:p>
    <w:p>
      <w:pPr>
        <w:pStyle w:val="BookText"/>
        <w:rPr/>
      </w:pPr>
      <w:r>
        <w:rPr>
          <w:rFonts w:ascii="Amiri" w:hAnsi="Amiri" w:eastAsia="Amiri" w:cs="Amiri"/>
          <w:color w:val="111111"/>
          <w:sz w:val="28"/>
          <w:sz w:val="28"/>
          <w:szCs w:val="28"/>
          <w:rtl w:val="true"/>
          <w:lang w:bidi="ar-SA"/>
        </w:rPr>
        <w:t>أحد الضّدّين يستحيل وجوده مع الآخر؛ و التّالي باطل؛ إذ ظنّ المدلول يجامع النّظر، بل لافتقار النّظر إلى تجويز النّقيض المنافي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بما يجري مجرى الضّدّ، و هو العلم بالمدلول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يزول نظره</w:t>
      </w:r>
      <w:r>
        <w:rPr>
          <w:rStyle w:val="FootnoteAnchor"/>
          <w:rtl w:val="true"/>
        </w:rPr>
        <w:footnoteReference w:id="114"/>
      </w:r>
      <w:r>
        <w:rPr>
          <w:rFonts w:ascii="Amiri" w:hAnsi="Amiri" w:eastAsia="Amiri" w:cs="Amiri"/>
          <w:color w:val="111111"/>
          <w:sz w:val="28"/>
          <w:sz w:val="28"/>
          <w:szCs w:val="28"/>
          <w:rtl w:val="true"/>
          <w:lang w:bidi="ar-SA"/>
        </w:rPr>
        <w:t>قبل حصول العلم، و الفكر المستمرّ ليس واحدا، بل أفكار متجدّدة يجدّدها النّاظر، و وصفه بالطول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مقدور لنا؛ لصدوره بحسب القصد و الدّاعي لا متولّدا عن غيره بالاستقراء الدّالّ على نفي ما يولّده، و لا يصحّ عن القصد و الدّاعي، و إلاّ لكانت جميع الأفعال متولّدة عنهما؛ و لامتناع كونهما معا سببين، لاستحالة تكثّر العلّة مع وحدة المعلول، و لا عن الإرادة؛ إذ الصّدور عنها جائز، فلا تعدّ</w:t>
      </w:r>
      <w:r>
        <w:rPr>
          <w:rStyle w:val="FootnoteAnchor"/>
          <w:rtl w:val="true"/>
        </w:rPr>
        <w:footnoteReference w:id="115"/>
      </w:r>
      <w:r>
        <w:rPr>
          <w:rFonts w:ascii="Amiri" w:hAnsi="Amiri" w:eastAsia="Amiri" w:cs="Amiri"/>
          <w:color w:val="111111"/>
          <w:sz w:val="28"/>
          <w:sz w:val="28"/>
          <w:szCs w:val="28"/>
          <w:rtl w:val="true"/>
          <w:lang w:bidi="ar-SA"/>
        </w:rPr>
        <w:t>سببا موجبا و لا الدّاعي؛ لأنه قد يكون علوما ضروريّة، فيكون المتولّد عنه ضروريّا، و لا عن</w:t>
      </w:r>
      <w:r>
        <w:rPr>
          <w:rStyle w:val="FootnoteAnchor"/>
          <w:rtl w:val="true"/>
        </w:rPr>
        <w:footnoteReference w:id="116"/>
      </w:r>
      <w:r>
        <w:rPr>
          <w:rFonts w:ascii="Amiri" w:hAnsi="Amiri" w:eastAsia="Amiri" w:cs="Amiri"/>
          <w:color w:val="111111"/>
          <w:sz w:val="28"/>
          <w:sz w:val="28"/>
          <w:szCs w:val="28"/>
          <w:rtl w:val="true"/>
          <w:lang w:bidi="ar-SA"/>
        </w:rPr>
        <w:t>النظر و إلاّ لزم وجود ما لا يتناهى؛ و إفادته للعلم</w:t>
      </w:r>
      <w:r>
        <w:rPr>
          <w:rStyle w:val="FootnoteAnchor"/>
          <w:rtl w:val="true"/>
        </w:rPr>
        <w:footnoteReference w:id="117"/>
      </w:r>
      <w:r>
        <w:rPr>
          <w:rFonts w:ascii="Amiri" w:hAnsi="Amiri" w:eastAsia="Amiri" w:cs="Amiri"/>
          <w:color w:val="111111"/>
          <w:sz w:val="28"/>
          <w:sz w:val="28"/>
          <w:szCs w:val="28"/>
          <w:rtl w:val="true"/>
          <w:lang w:bidi="ar-SA"/>
        </w:rPr>
        <w:t>ضروريّة، فإن من علم أنّ العالم متغيّر و أنّ كلّ متغيّر محدث علم بالضّرورة كون العالم محدثا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إنكار السّمنيّة سفسطة؛ احتجّوا بأنّ العلم بكون الاعتقاد الحاصل عقيب المقدّمتين علما ليس ضروريّا، لانكشاف فساده كثيرا، و لا نظريّا، و إلاّ تسلسل؛ و لأنّ الامور الإلهيّة خفيّة مع عجزنا عن إدراك ذواتنا فكيف يحصل العلم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العلم بأنّ نتيجة القياس المفروض علم نظريّ حصل من مقدّمتين، إحداهما أنّ تلك النّتيجة لازمة بالضّرورة لضرورتين، و كلّ لازم لضرورتين علم بالضّرورة، فإذن نتيجة القياس المفروض علم بالضّرورة و هذه النّتيجة نظريّة مستفادة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العلم بأنّ نتيجة القياس المفروض علم بالضّرورة، بديهيّ يحصل من نفس تصوّرهما،</w:t>
      </w:r>
      <w:r>
        <w:rPr>
          <w:rStyle w:val="FootnoteAnchor"/>
          <w:rtl w:val="true"/>
        </w:rPr>
        <w:footnoteReference w:id="118"/>
      </w:r>
      <w:r>
        <w:rPr>
          <w:rFonts w:ascii="Amiri" w:hAnsi="Amiri" w:eastAsia="Amiri" w:cs="Amiri"/>
          <w:color w:val="111111"/>
          <w:sz w:val="28"/>
          <w:sz w:val="28"/>
          <w:szCs w:val="28"/>
          <w:rtl w:val="true"/>
          <w:lang w:bidi="ar-SA"/>
        </w:rPr>
        <w:t>فينقطع التّسلسل، و الصّعوبة لا تدلّ‌</w:t>
      </w:r>
      <w:r>
        <w:rPr>
          <w:rStyle w:val="FootnoteAnchor"/>
          <w:rtl w:val="true"/>
        </w:rPr>
        <w:footnoteReference w:id="119"/>
      </w:r>
      <w:r>
        <w:rPr>
          <w:rFonts w:ascii="IRNazanin" w:hAnsi="IRNazanin" w:eastAsia="IRNazanin"/>
          <w:color w:val="111111"/>
          <w:sz w:val="28"/>
          <w:sz w:val="28"/>
          <w:szCs w:val="28"/>
          <w:rtl w:val="true"/>
          <w:lang w:bidi="fa-IR"/>
        </w:rPr>
        <w:t>على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حصول العلم عقيب الصّحيح واجب؛ لاستحالة التّخلّف بالضّرورة، خلافا للأشعريّة؛ لأنّ أفعال العباد مستندة إليه تعالى، فحصوله عاديّ، و الصّغرى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المعتزلة على سبيل التّوليد؛ لأنّه يحصل من النّاظر بتوسّط النّظر، لوقوعه بحسبه على طريقة واحدة مع سلامة الأحوال، بمعنى أنّ النّظر في الحدوث يحصل منه نتيجة الحدوث، لا النّبوّة مثلا؛ و قياس الأشاعرة على التّذكّر المجمع على عدم توليده لا يفيد اليقين؛ لضعف القياس، و لا الالزام</w:t>
      </w:r>
      <w:r>
        <w:rPr>
          <w:rStyle w:val="FootnoteAnchor"/>
          <w:rtl w:val="true"/>
        </w:rPr>
        <w:footnoteReference w:id="120"/>
      </w:r>
      <w:r>
        <w:rPr>
          <w:rFonts w:ascii="Amiri" w:hAnsi="Amiri" w:eastAsia="Amiri" w:cs="Amiri"/>
          <w:color w:val="111111"/>
          <w:sz w:val="28"/>
          <w:sz w:val="28"/>
          <w:szCs w:val="28"/>
          <w:rtl w:val="true"/>
          <w:lang w:bidi="ar-SA"/>
        </w:rPr>
        <w:t>لو قيل به؛ لأنّ علّة عدم التّوليد في التّذكّر حصوله في بعض الأوقات من غير قصد المتذكّر بخلاف النّظر، فإن صحّت ظهر الفرق، و إلاّ منعوا حكم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الفاسد، فقد اتّفقوا على عدم توليده الجهل، و إلاّ لكان الجاهل معذورا؛ و لأنّ المحقّ لا يحصل له الجهل بنظره في شبهة المبطل؛ و ينتقض بالمبطل لو نظر فى دليل المحقّ فلا بدّ من اعتقاد حقيّة المقدّمات و صحّة النّظر بصحّة ترتيبه، و هو جزؤه الصّوريّ؛ و صحّة مقدّماته، و هي الجزء الماديّ، و فساده بفسادهما أو فساد أحدهما و لا بدّ من الأوّل، و إلاّ لشارك العقلاء في النّظريّات و انتفى الغلط، و هما متغايران تغاير الحالّ للمحلّ، و لا تسلسل؛ لأنّه ثابت بين الأجزاء المادّيّة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وجوب العلم عقيب النّظر الصّحيح فلا حاجة إلى المعلّم</w:t>
      </w:r>
      <w:r>
        <w:rPr>
          <w:rStyle w:val="FootnoteAnchor"/>
          <w:rtl w:val="true"/>
        </w:rPr>
        <w:footnoteReference w:id="121"/>
      </w:r>
      <w:r>
        <w:rPr>
          <w:rFonts w:ascii="Amiri" w:hAnsi="Amiri" w:eastAsia="Amiri" w:cs="Amiri"/>
          <w:color w:val="111111"/>
          <w:sz w:val="28"/>
          <w:sz w:val="28"/>
          <w:szCs w:val="28"/>
          <w:rtl w:val="true"/>
          <w:lang w:bidi="ar-SA"/>
        </w:rPr>
        <w:t xml:space="preserve">في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خلافا للملاحدة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لاختلال شرط في النّظر، و ألزموا</w:t>
      </w:r>
      <w:r>
        <w:rPr>
          <w:rStyle w:val="FootnoteAnchor"/>
          <w:rtl w:val="true"/>
        </w:rPr>
        <w:footnoteReference w:id="122"/>
      </w:r>
      <w:r>
        <w:rPr>
          <w:rFonts w:ascii="Amiri" w:hAnsi="Amiri" w:eastAsia="Amiri" w:cs="Amiri"/>
          <w:color w:val="111111"/>
          <w:sz w:val="28"/>
          <w:sz w:val="28"/>
          <w:szCs w:val="28"/>
          <w:rtl w:val="true"/>
          <w:lang w:bidi="ar-SA"/>
        </w:rPr>
        <w:t xml:space="preserve">التّسلسل، لافتقار المعلّم إلى معلّم آخر، و الدّور لتوقّف العلم بصدقه على العلم بتصديقه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المعجزة على يده المتوقّف على العلم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بزيادة عقله علينا و الثّاني بالمشاركة للعقل، فيفيد المعلّم</w:t>
      </w:r>
      <w:r>
        <w:rPr>
          <w:rStyle w:val="FootnoteAnchor"/>
          <w:rtl w:val="true"/>
        </w:rPr>
        <w:footnoteReference w:id="123"/>
      </w:r>
      <w:r>
        <w:rPr>
          <w:rFonts w:ascii="Amiri" w:hAnsi="Amiri" w:eastAsia="Amiri" w:cs="Amiri"/>
          <w:color w:val="111111"/>
          <w:sz w:val="28"/>
          <w:sz w:val="28"/>
          <w:szCs w:val="28"/>
          <w:rtl w:val="true"/>
          <w:lang w:bidi="ar-SA"/>
        </w:rPr>
        <w:t>التّنبيه على الأدلّة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الشّبهات الّتي من جملتها ما يدلّ على صدقه، فيحكم العقل عند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طلب فشرطه عدم العلم؛ لاستحالة تحصيل </w:t>
      </w:r>
    </w:p>
    <w:p>
      <w:pPr>
        <w:pStyle w:val="BookText"/>
        <w:rPr/>
      </w:pPr>
      <w:r>
        <w:rPr>
          <w:rFonts w:ascii="Amiri" w:hAnsi="Amiri" w:eastAsia="Amiri" w:cs="Amiri"/>
          <w:color w:val="111111"/>
          <w:sz w:val="28"/>
          <w:sz w:val="28"/>
          <w:szCs w:val="28"/>
          <w:rtl w:val="true"/>
          <w:lang w:bidi="ar-SA"/>
        </w:rPr>
        <w:t>الحاصل و ان لا يكون في حكم السّاهي عن المطلوب؛ و الطلب في الدّليل الثّاني الدّلالة و يشكّل إنتاج المطلوب و عدم الجهل المركّب لعدم الطلب مع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التّنافي ذاتيّ عند أبي هاشم، لأنّ النّظر مقارن</w:t>
      </w:r>
      <w:r>
        <w:rPr>
          <w:rStyle w:val="FootnoteAnchor"/>
          <w:rtl w:val="true"/>
        </w:rPr>
        <w:footnoteReference w:id="124"/>
      </w:r>
      <w:r>
        <w:rPr>
          <w:rFonts w:ascii="Amiri" w:hAnsi="Amiri" w:eastAsia="Amiri" w:cs="Amiri"/>
          <w:color w:val="111111"/>
          <w:sz w:val="28"/>
          <w:sz w:val="28"/>
          <w:szCs w:val="28"/>
          <w:rtl w:val="true"/>
          <w:lang w:bidi="ar-SA"/>
        </w:rPr>
        <w:t>للشّكّ، و الجهل للجزم، و تنافي اللوازم يقتضي تنافي الملزومات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الأوائل للصارف لوجود النّظر مع عدم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واجب لتوقّف المعرفة عليه؛ إذ ليست ضروريّة بالضّرورة، و لا طريق سواه و إلاّ لالتجاء العقلاء إليه في بعض الأزمان، و التّقليد يستلزمه و إلاّ لزم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ينتفي ضرر الخوف بالظنّ و لو لم يجب شرط إيقاع المطلق، خرج المطلق عن إطلاقه أو لزم تكليف ما لا يطاق، و وجوبه عقليّ و إلاّ لزم إفحام الأنبياء؛ إذ لا يصحّ معرفة السّمع إلاّ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فعله قبل العلم بوجوبه، خلافا للأشعريّة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w:t>
      </w:r>
      <w:r>
        <w:rPr>
          <w:rStyle w:val="FootnoteAnchor"/>
          <w:rtl w:val="true"/>
        </w:rPr>
        <w:footnoteReference w:id="125"/>
      </w:r>
      <w:r>
        <w:rPr>
          <w:rFonts w:ascii="Amiri" w:hAnsi="Amiri" w:eastAsia="Amiri" w:cs="Amiri"/>
          <w:color w:val="111111"/>
          <w:sz w:val="28"/>
          <w:sz w:val="28"/>
          <w:szCs w:val="28"/>
          <w:rtl w:val="true"/>
          <w:lang w:bidi="ar-SA"/>
        </w:rPr>
        <w:t>نفي التّعذيب على الأوامر السّمعيّة قبل البعثة أو</w:t>
      </w:r>
      <w:r>
        <w:rPr>
          <w:rStyle w:val="FootnoteAnchor"/>
          <w:rtl w:val="true"/>
        </w:rPr>
        <w:footnoteReference w:id="126"/>
      </w:r>
      <w:r>
        <w:rPr>
          <w:rFonts w:ascii="Amiri" w:hAnsi="Amiri" w:eastAsia="Amiri" w:cs="Amiri"/>
          <w:color w:val="111111"/>
          <w:sz w:val="28"/>
          <w:sz w:val="28"/>
          <w:szCs w:val="28"/>
          <w:rtl w:val="true"/>
          <w:lang w:bidi="ar-SA"/>
        </w:rPr>
        <w:t>استعمال الرّسول في العقل مجازا، و هو فطريّ القياس، فلا يلزم الإفحام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الواجبات عند المعتزلة،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المراد إن كان ما هو بالذّات فالمعرفة، و إلاّ </w:t>
      </w:r>
      <w:bookmarkStart w:id="203" w:name="pg9140_71179"/>
    </w:p>
    <w:p>
      <w:pPr>
        <w:pStyle w:val="BookText"/>
        <w:rPr/>
      </w:pPr>
      <w:bookmarkEnd w:id="203"/>
      <w:r>
        <w:rPr>
          <w:rFonts w:ascii="Amiri" w:hAnsi="Amiri" w:eastAsia="Amiri" w:cs="Amiri"/>
          <w:color w:val="111111"/>
          <w:sz w:val="28"/>
          <w:sz w:val="28"/>
          <w:szCs w:val="28"/>
          <w:rtl w:val="true"/>
          <w:lang w:bidi="ar-SA"/>
        </w:rPr>
        <w:t>فالقصد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من النّظر العلم بالمطلوب و يتبعه العلم بالدّلالة، و هي مغايرة؛ لأنّها نسبيّة</w:t>
      </w:r>
      <w:r>
        <w:rPr>
          <w:rStyle w:val="FootnoteAnchor"/>
          <w:rtl w:val="true"/>
        </w:rPr>
        <w:footnoteReference w:id="127"/>
      </w:r>
      <w:r>
        <w:rPr>
          <w:rFonts w:ascii="Amiri" w:hAnsi="Amiri" w:eastAsia="Amiri" w:cs="Amiri"/>
          <w:color w:val="111111"/>
          <w:sz w:val="28"/>
          <w:sz w:val="28"/>
          <w:szCs w:val="28"/>
          <w:rtl w:val="true"/>
          <w:lang w:bidi="ar-SA"/>
        </w:rPr>
        <w:t>فتتأخّر؛</w:t>
      </w:r>
      <w:r>
        <w:rPr>
          <w:rStyle w:val="FootnoteAnchor"/>
          <w:rtl w:val="true"/>
        </w:rPr>
        <w:footnoteReference w:id="128"/>
      </w:r>
      <w:r>
        <w:rPr>
          <w:rFonts w:ascii="Amiri" w:hAnsi="Amiri" w:eastAsia="Amiri" w:cs="Amiri"/>
          <w:color w:val="111111"/>
          <w:sz w:val="28"/>
          <w:sz w:val="28"/>
          <w:szCs w:val="28"/>
          <w:rtl w:val="true"/>
          <w:lang w:bidi="ar-SA"/>
        </w:rPr>
        <w:t>و لا يحصل الكسبيّ بدون النّظر، فإنّ النّقليّات كلّها مستندة إلى صدق الرّسول صلّى اللّه عليه و آله و سلّم، فكلّ مقدّمة يتوقّف عليها العلم بصدقه لا يستفاد من النّقل و إلاّ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دليل عقليّ عليه، فطريق اكتسابه النّقل و ما عداهما يجوز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النّقليّات تفتقر إلى نقل اللّغة و النّحو و التّصريف و عدم الاشتراك و المجاز و التّخصيص و النّسخ و الإضمار و التّقديم و التّأخير و المعارض العقليّ، و إلاّ دار، و هي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هذه منفية</w:t>
      </w:r>
      <w:r>
        <w:rPr>
          <w:rStyle w:val="FootnoteAnchor"/>
          <w:rtl w:val="true"/>
        </w:rPr>
        <w:footnoteReference w:id="129"/>
      </w:r>
      <w:r>
        <w:rPr>
          <w:rFonts w:ascii="Amiri" w:hAnsi="Amiri" w:eastAsia="Amiri" w:cs="Amiri"/>
          <w:color w:val="111111"/>
          <w:sz w:val="28"/>
          <w:sz w:val="28"/>
          <w:szCs w:val="28"/>
          <w:rtl w:val="true"/>
          <w:lang w:bidi="ar-SA"/>
        </w:rPr>
        <w:t>في محكمات القرآن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242249_2870459653"/>
      <w:bookmarkStart w:id="205" w:name="_Toc75"/>
      <w:bookmarkEnd w:id="204"/>
      <w:r>
        <w:rPr>
          <w:rtl w:val="true"/>
        </w:rPr>
        <w:t>المطلب الثالث عشر</w:t>
      </w:r>
      <w:r>
        <w:rPr>
          <w:rtl w:val="true"/>
        </w:rPr>
        <w:t xml:space="preserve">: </w:t>
      </w:r>
      <w:r>
        <w:rPr>
          <w:rtl w:val="true"/>
        </w:rPr>
        <w:t>في الإرادة و الكراهة</w:t>
      </w:r>
      <w:bookmarkEnd w:id="205"/>
    </w:p>
    <w:p>
      <w:pPr>
        <w:pStyle w:val="BookText"/>
        <w:rPr/>
      </w:pPr>
      <w:r>
        <w:rPr>
          <w:rFonts w:ascii="Amiri" w:hAnsi="Amiri" w:eastAsia="Amiri" w:cs="Amiri"/>
          <w:color w:val="111111"/>
          <w:sz w:val="28"/>
          <w:sz w:val="28"/>
          <w:szCs w:val="28"/>
          <w:rtl w:val="true"/>
          <w:lang w:bidi="ar-SA"/>
        </w:rPr>
        <w:t>اختلف النّاس،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هي الدّاعي، و هو عبارة عن علم الحيّ أو اعتقاده أو ظنّه بما له أو لغيره ممّن يؤثّر خيره فيه منفعة يمكن وصولها إليه أو إلى ذلك الغير من غير مانع من تعب</w:t>
      </w:r>
      <w:r>
        <w:rPr>
          <w:rStyle w:val="FootnoteAnchor"/>
          <w:rtl w:val="true"/>
        </w:rPr>
        <w:footnoteReference w:id="130"/>
      </w:r>
      <w:r>
        <w:rPr>
          <w:rFonts w:ascii="Amiri" w:hAnsi="Amiri" w:eastAsia="Amiri" w:cs="Amiri"/>
          <w:color w:val="111111"/>
          <w:sz w:val="28"/>
          <w:sz w:val="28"/>
          <w:szCs w:val="28"/>
          <w:rtl w:val="true"/>
          <w:lang w:bidi="ar-SA"/>
        </w:rPr>
        <w:t>أو معارضة أو غيرهما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أثبت آخرون أمرا زائدا؛ لأنّا نجد من أنفسنا ميلا مرتّبا على هذا </w:t>
      </w:r>
    </w:p>
    <w:p>
      <w:pPr>
        <w:pStyle w:val="BookText"/>
        <w:rPr/>
      </w:pPr>
      <w:r>
        <w:rPr>
          <w:rFonts w:ascii="Amiri" w:hAnsi="Amiri" w:eastAsia="Amiri" w:cs="Amiri"/>
          <w:color w:val="111111"/>
          <w:sz w:val="28"/>
          <w:sz w:val="28"/>
          <w:szCs w:val="28"/>
          <w:rtl w:val="true"/>
          <w:lang w:bidi="ar-SA"/>
        </w:rPr>
        <w:t>العلم، و هو حقّ فينا، لا فيه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إرادة الشّيء كراهة ضدّه؛ للغفلة عن الضّدّ حالة الإرادة، نعم تلزمها بشرط التّفطّن للضّدّ، و هي مغايرة للشّهوة؛ فإنّ المريض يريد شرب الدواء و لا يشتهيه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إرادة الضّدّين تناف ذاتيّ على رأي؛ فإنّ إرادة أحدهما ترجيح وجوده و كذا إرادة الآخر، و كما أنّهما متقابلان فكذا إرادتهما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أحدهما تصرف عن إرادة الآخر، و هي مقدورة لنا ابتداءً من غير سبب يولّدها، لوقوعها بحسب قصدنا و دواعينا؛ و لأنّ إرادة القبيح قبيحة، فيستحيل صدورها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الإشارة إلى مولّد</w:t>
      </w:r>
      <w:r>
        <w:rPr>
          <w:rStyle w:val="FootnoteAnchor"/>
          <w:rtl w:val="true"/>
        </w:rPr>
        <w:footnoteReference w:id="131"/>
      </w:r>
      <w:r>
        <w:rPr>
          <w:rFonts w:ascii="Amiri" w:hAnsi="Amiri" w:eastAsia="Amiri" w:cs="Amiri"/>
          <w:color w:val="111111"/>
          <w:sz w:val="28"/>
          <w:sz w:val="28"/>
          <w:szCs w:val="28"/>
          <w:rtl w:val="true"/>
          <w:lang w:bidi="ar-SA"/>
        </w:rPr>
        <w:t xml:space="preserve">و قد نريد من غير سابقة فكر، فلا يتولّد عنه و لا الدّاعي، لإمكان كون العلم ضروريّا؛ و فاعل السّبب و المسبّب واحد،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القبيح، و هذه الإرادة لا يمتنع قبحها، فلا تتولّد عن الدّاعي و لا الإرادة و إلاّ تسلسل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الإرادة إمّا أن يكون لها متعلّق، و هو ما يصحّ حدوثه، و إمّا أن لا يكون، و هو ما لا يمكن حدوثه، كالبقاء و غيره؛ خلافا لأبي هاشم،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صحّة حدوث الباقي حالا فحالا صحّت إرادته؛ لأنّ ما لا متعلّق له كيف يصير متعلّقا في الحقيقة باعتبار اعتقاد المعتقد، و يصحّ تعلقها بنفسها لحدوثها، كما نأمر غيرنا بالصّلاة تقرّبا إلى اللّه تعالى، فنريد إرادته، و لا نجب، إذ لا وجه لوجوبه من حيث فقدت الدّواعي إليها، فإنّها لا تقع </w:t>
      </w:r>
    </w:p>
    <w:p>
      <w:pPr>
        <w:pStyle w:val="BookText"/>
        <w:rPr/>
      </w:pPr>
      <w:r>
        <w:rPr>
          <w:rFonts w:ascii="Amiri" w:hAnsi="Amiri" w:eastAsia="Amiri" w:cs="Amiri"/>
          <w:color w:val="111111"/>
          <w:sz w:val="28"/>
          <w:sz w:val="28"/>
          <w:szCs w:val="28"/>
          <w:rtl w:val="true"/>
          <w:lang w:bidi="ar-SA"/>
        </w:rPr>
        <w:t>مقصودة في نفسها، بل تفعل تبعا لغيرها، فلا وجه لوجوب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اريدت لم ترد بنفسها بل بإرادة اخرى، و لا تتعلّق إلاّ بالحادث بالدّوران و لا تتعلق الواحدة على التفصيل إلاّ بمراد واحد،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متماثل و هو ما اتحد فيه المتعلّق و الوقت و الوجه و الطريقة؛ لتماثل ما يصدر عنها، و مختلف، و هو ما عداه لتغاير الوجوه، بأن يريد أحدهما حدوث الشّيء على وجه و الآخر على غيره، أو الطريقة بأن يريده أحدهما على طريق الجملة و الآخر مفصّلا، أو يتغاير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تضادّ فيها عند أبي هاشم، لوجوب تعلّق أحد الضّدّين المتعلّقين بما تعلّق به الآخر على العكس؛ إذ لو تغاير المراد زال التّضادّ، و كانتا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تعلّق الإرادة على وجه واحد لا غير، فلو اتّحد متعلّقهما تماثلتا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إرادتا الضّدّين يتضادّان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للتنافي، و لا تضادّها إلاّ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عليها البقاء، و إلاّ لم يعدم إلاّ بضدّ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يخرج أحدنا عن كونه مريدا لا إلى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الإرادة و الكراهة و قبحهما تابعان</w:t>
      </w:r>
      <w:r>
        <w:rPr>
          <w:rStyle w:val="FootnoteAnchor"/>
          <w:rtl w:val="true"/>
        </w:rPr>
        <w:footnoteReference w:id="132"/>
      </w:r>
      <w:r>
        <w:rPr>
          <w:rFonts w:ascii="Amiri" w:hAnsi="Amiri" w:eastAsia="Amiri" w:cs="Amiri"/>
          <w:color w:val="111111"/>
          <w:sz w:val="28"/>
          <w:sz w:val="28"/>
          <w:szCs w:val="28"/>
          <w:rtl w:val="true"/>
          <w:lang w:bidi="ar-SA"/>
        </w:rPr>
        <w:t>لما يتعلّقان به لا بإرادة أو كراهة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انتهاء الإرادات إلى إرادة قديمة لا يستلزم نفي الاختيار؛ لأنّ معناه الإيجاد بتوسّط القدرة و الإرادة، و إن كانا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 أو غير توسّط</w:t>
      </w:r>
      <w:r>
        <w:rPr>
          <w:rFonts w:eastAsia="Amiri" w:cs="Amiri" w:ascii="Amiri" w:hAnsi="Amiri"/>
          <w:color w:val="111111"/>
          <w:sz w:val="28"/>
          <w:szCs w:val="28"/>
          <w:rtl w:val="true"/>
          <w:lang w:bidi="ar-SA"/>
        </w:rPr>
        <w:t xml:space="preserve">. </w:t>
      </w:r>
      <w:bookmarkStart w:id="206" w:name="pg9140_71182"/>
    </w:p>
    <w:p>
      <w:pPr>
        <w:pStyle w:val="BookText"/>
        <w:rPr/>
      </w:pPr>
      <w:bookmarkEnd w:id="206"/>
      <w:r>
        <w:rPr>
          <w:rFonts w:ascii="IRNazanin" w:hAnsi="IRNazanin" w:eastAsia="IRNazanin"/>
          <w:color w:val="111111"/>
          <w:sz w:val="28"/>
          <w:sz w:val="28"/>
          <w:szCs w:val="28"/>
          <w:rtl w:val="true"/>
          <w:lang w:bidi="fa-IR"/>
        </w:rPr>
        <w:t>و العزم</w:t>
      </w:r>
      <w:r>
        <w:rPr>
          <w:rStyle w:val="FootnoteAnchor"/>
          <w:rtl w:val="true"/>
        </w:rPr>
        <w:footnoteReference w:id="133"/>
      </w:r>
      <w:r>
        <w:rPr>
          <w:rFonts w:ascii="Amiri" w:hAnsi="Amiri" w:eastAsia="Amiri" w:cs="Amiri"/>
          <w:color w:val="111111"/>
          <w:sz w:val="28"/>
          <w:sz w:val="28"/>
          <w:szCs w:val="28"/>
          <w:rtl w:val="true"/>
          <w:lang w:bidi="ar-SA"/>
        </w:rPr>
        <w:t>إرادة سابقة أو جازمة حصلت بعد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أثبته أبو عليّ معنى مغايرا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النّيّة إرادة مقارنة، و إنّما يصحان إذا كان العزم أو النّيّة و الفعل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المحبّة إرادة، لكنّها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العبد إرادة الثّواب، و من العبد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إرادة،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الاعتراض</w:t>
      </w:r>
      <w:r>
        <w:rPr>
          <w:rFonts w:eastAsia="Amiri" w:cs="Amiri" w:ascii="Amiri" w:hAnsi="Amiri"/>
          <w:color w:val="111111"/>
          <w:sz w:val="28"/>
          <w:szCs w:val="28"/>
          <w:rtl w:val="true"/>
          <w:lang w:bidi="ar-SA"/>
        </w:rPr>
        <w:t>.</w:t>
      </w:r>
      <w:r>
        <w:rPr>
          <w:rStyle w:val="FootnoteAnchor"/>
          <w:rtl w:val="true"/>
        </w:rPr>
        <w:footnoteReference w:id="134"/>
      </w:r>
    </w:p>
    <w:p>
      <w:pPr>
        <w:pStyle w:val="Heading4"/>
        <w:numPr>
          <w:ilvl w:val="3"/>
          <w:numId w:val="1"/>
        </w:numPr>
        <w:rPr/>
      </w:pPr>
      <w:bookmarkStart w:id="207" w:name="__RefHeading___Toc3242251_2870459653"/>
      <w:bookmarkStart w:id="208" w:name="_Toc76"/>
      <w:bookmarkEnd w:id="207"/>
      <w:r>
        <w:rPr>
          <w:rtl w:val="true"/>
        </w:rPr>
        <w:t>المطلب الرّابع عشر</w:t>
      </w:r>
      <w:r>
        <w:rPr>
          <w:rtl w:val="true"/>
        </w:rPr>
        <w:t xml:space="preserve">: </w:t>
      </w:r>
      <w:r>
        <w:rPr>
          <w:rtl w:val="true"/>
        </w:rPr>
        <w:t>في الشّهوة و النّفار</w:t>
      </w:r>
      <w:bookmarkEnd w:id="208"/>
    </w:p>
    <w:p>
      <w:pPr>
        <w:pStyle w:val="BookText"/>
        <w:rPr/>
      </w:pPr>
      <w:r>
        <w:rPr>
          <w:rFonts w:ascii="Amiri" w:hAnsi="Amiri" w:eastAsia="Amiri" w:cs="Amiri"/>
          <w:color w:val="111111"/>
          <w:sz w:val="28"/>
          <w:sz w:val="28"/>
          <w:szCs w:val="28"/>
          <w:rtl w:val="true"/>
          <w:lang w:bidi="ar-SA"/>
        </w:rPr>
        <w:t>و هما من الكيفيّات النّفسانيّة يجدهما العاقل من نفسه وجدانا ضروريّا، و حكمهما وقوع لذّة عند الإدراك أو الم، و ليسا بمدركين حسّا، و لا يصحّ وجودهما إلاّ في محلّ، بخلاف الإرادة و الكراهة عند مثبتي المعتزلة، و لا بدّ لمحلّهما من حياة و بنية، و لا توجد في أكثر من محلّ واحد و إن افتقرت إلى البنية، و لا يفتقر كثرتهما إلى زيادة البنية، خلافا للكعبيّ؛ لقوّة شهوة المريض الضّعيف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تعلّق الشّهوة بالقبيح لا يوجب قبحها، كالقدرة بخلاف الإرادة، لتعلّقها بالقبيح و الحسن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قبحت قبح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تتعلّق إلاّ بالمدركات لا بمعنى تعلّقها بالموجود، بل و بالمعدوم على أن يدركه، لأنّه متى حصل للشّيء كونه مدركا صحّ تعلّق الشّهوة أو النّفرة به، و متى </w:t>
      </w:r>
    </w:p>
    <w:p>
      <w:pPr>
        <w:pStyle w:val="BookText"/>
        <w:rPr/>
      </w:pPr>
      <w:r>
        <w:rPr>
          <w:rFonts w:ascii="Amiri" w:hAnsi="Amiri" w:eastAsia="Amiri" w:cs="Amiri"/>
          <w:color w:val="111111"/>
          <w:sz w:val="28"/>
          <w:sz w:val="28"/>
          <w:szCs w:val="28"/>
          <w:rtl w:val="true"/>
          <w:lang w:bidi="ar-SA"/>
        </w:rPr>
        <w:t>انتفى انتفى التّعلّق، فلا تتعلّق بنفسها، و لا بما يقتضي وجوده، بل بمثله، لتعذّر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ليسا باقيين و إلاّ لما عدما</w:t>
      </w:r>
      <w:r>
        <w:rPr>
          <w:rStyle w:val="FootnoteAnchor"/>
          <w:rtl w:val="true"/>
        </w:rPr>
        <w:footnoteReference w:id="135"/>
      </w:r>
      <w:r>
        <w:rPr>
          <w:rFonts w:ascii="Amiri" w:hAnsi="Amiri" w:eastAsia="Amiri" w:cs="Amiri"/>
          <w:color w:val="111111"/>
          <w:sz w:val="28"/>
          <w:sz w:val="28"/>
          <w:szCs w:val="28"/>
          <w:rtl w:val="true"/>
          <w:lang w:bidi="ar-SA"/>
        </w:rPr>
        <w:t>إلاّ بالضّدّ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أحدنا قد يخرج عنهما لا إلى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متضادّان لامتناع اجتماعهما و لا ضدّ لهما لامتناع إثبات معنى لا حكم له، و معلوم أنّه لا واسطة بين إدراك الشّيء فيلتذّ به و بين إدراكه و التّألم منه إلاّ زوال الحكمين، و هذا نفي لا يفتقر إلى إثبات معنى، و يتساوى الشّهوتان مع اتّحاد المتعلّق، و إذا اختلف المتعلّق في الجنس اختلفتا كشهوة الحلاوة تخالف شهوة الحموضة، و لا تضادّ فيهما؛</w:t>
      </w:r>
      <w:r>
        <w:rPr>
          <w:rStyle w:val="FootnoteAnchor"/>
          <w:rtl w:val="true"/>
        </w:rPr>
        <w:footnoteReference w:id="136"/>
      </w:r>
      <w:r>
        <w:rPr>
          <w:rFonts w:ascii="Amiri" w:hAnsi="Amiri" w:eastAsia="Amiri" w:cs="Amiri"/>
          <w:color w:val="111111"/>
          <w:sz w:val="28"/>
          <w:sz w:val="28"/>
          <w:szCs w:val="28"/>
          <w:rtl w:val="true"/>
          <w:lang w:bidi="ar-SA"/>
        </w:rPr>
        <w:t>لأنّ شرط تضادّ المتعلّقات اتّحاد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تعلّقتا بواحد تماثلتا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الشّهوة و النّفرة مقدورة لنا، و إلاّ لكان الواحد</w:t>
      </w:r>
      <w:r>
        <w:rPr>
          <w:rStyle w:val="FootnoteAnchor"/>
          <w:rtl w:val="true"/>
        </w:rPr>
        <w:footnoteReference w:id="137"/>
      </w:r>
      <w:r>
        <w:rPr>
          <w:rFonts w:ascii="Amiri" w:hAnsi="Amiri" w:eastAsia="Amiri" w:cs="Amiri"/>
          <w:color w:val="111111"/>
          <w:sz w:val="28"/>
          <w:sz w:val="28"/>
          <w:szCs w:val="28"/>
          <w:rtl w:val="true"/>
          <w:lang w:bidi="ar-SA"/>
        </w:rPr>
        <w:t>منّا يفعل شهوة لما هو قادر عليه من المأكول الخشن عند تعذّر ما اشتهاه قويا من الطعام الرّفيع و هي أصل المنافع، فإنّ الحيّ إنّما ينتفع بإدراك ما يشتهيه و هي من أصول النّعم؛ إذ لا يمكن الانتفاع بالحياة من دون الشّهوة و التّمكّن من المشتهى</w:t>
      </w:r>
      <w:r>
        <w:rPr>
          <w:rFonts w:eastAsia="Amiri" w:cs="Amiri" w:ascii="Amiri" w:hAnsi="Amiri"/>
          <w:color w:val="111111"/>
          <w:sz w:val="28"/>
          <w:szCs w:val="28"/>
          <w:rtl w:val="true"/>
          <w:lang w:bidi="ar-SA"/>
        </w:rPr>
        <w:t xml:space="preserve">. </w:t>
      </w:r>
      <w:bookmarkStart w:id="209" w:name="pg9140_71184"/>
    </w:p>
    <w:p>
      <w:pPr>
        <w:pStyle w:val="Heading4"/>
        <w:numPr>
          <w:ilvl w:val="3"/>
          <w:numId w:val="1"/>
        </w:numPr>
        <w:rPr/>
      </w:pPr>
      <w:bookmarkStart w:id="210" w:name="__RefHeading___Toc3242253_2870459653"/>
      <w:bookmarkStart w:id="211" w:name="_Toc77"/>
      <w:bookmarkEnd w:id="209"/>
      <w:bookmarkEnd w:id="210"/>
      <w:r>
        <w:rPr>
          <w:rtl w:val="true"/>
        </w:rPr>
        <w:t>المطلب الخامس عشر</w:t>
      </w:r>
      <w:r>
        <w:rPr>
          <w:rtl w:val="true"/>
        </w:rPr>
        <w:t xml:space="preserve">: </w:t>
      </w:r>
      <w:r>
        <w:rPr>
          <w:rtl w:val="true"/>
        </w:rPr>
        <w:t>في اللّذّة و الألم</w:t>
      </w:r>
      <w:bookmarkEnd w:id="211"/>
    </w:p>
    <w:p>
      <w:pPr>
        <w:pStyle w:val="BookText"/>
        <w:rPr/>
      </w:pPr>
      <w:r>
        <w:rPr>
          <w:rFonts w:ascii="Amiri" w:hAnsi="Amiri" w:eastAsia="Amiri" w:cs="Amiri"/>
          <w:color w:val="111111"/>
          <w:sz w:val="28"/>
          <w:sz w:val="28"/>
          <w:szCs w:val="28"/>
          <w:rtl w:val="true"/>
          <w:lang w:bidi="ar-SA"/>
        </w:rPr>
        <w:t xml:space="preserve">و هما أمران يدركهما كلّ عاقل و يفرق بينهما و بين غيرهما، فلا يمكن تعريفهما بأنّ 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الملائم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وجوديّان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زكريّا إلى أنّ اللّذّة عود إلى الحالة الطبيعيّة بعد الخروج عنها و خلاص عن الألم، فأخذ بالعرض مكان ما بالذّات، إذ الإدراك إنّما يحصل بانفعال للحاسّة يقتضيه تبدّل حال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ينتقض بمشاهدة صورة جميلة لم يكن له شعور بها أوّلا، حتّى يجعل</w:t>
      </w:r>
      <w:r>
        <w:rPr>
          <w:rStyle w:val="FootnoteAnchor"/>
          <w:rtl w:val="true"/>
        </w:rPr>
        <w:footnoteReference w:id="138"/>
      </w:r>
      <w:r>
        <w:rPr>
          <w:rFonts w:ascii="Amiri" w:hAnsi="Amiri" w:eastAsia="Amiri" w:cs="Amiri"/>
          <w:color w:val="111111"/>
          <w:sz w:val="28"/>
          <w:sz w:val="28"/>
          <w:szCs w:val="28"/>
          <w:rtl w:val="true"/>
          <w:lang w:bidi="ar-SA"/>
        </w:rPr>
        <w:t>تلك اللّذّة خلاصا عن ألم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الأوائل أنّ سبب الألم تفرّق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لأنّه عدميّ، و حاصل في الملتذّ به، كالغذاء و منتف عنده، كقطع الإصبع بسرعة و قطع فاقد الحسّ و الحذر، بل سوء المزاج المختلف و النّقص بعليّة عدم الحركة للسّكون و عدم السّمع للخرس و عدم الغذاء للجوع، خطأ؛ لأنّ السّكون عندهم عدميّ و ليس عدم الحركة سببا فاعلا، بل معدّا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السّكون مستند إلى الفاعل، و عدم الحركة شرط كعدم الضدّ؛ و الخرس عدميّ و الجوع بسبب سوء المزاج و حصول</w:t>
      </w:r>
      <w:r>
        <w:rPr>
          <w:rStyle w:val="FootnoteAnchor"/>
          <w:rtl w:val="true"/>
        </w:rPr>
        <w:footnoteReference w:id="139"/>
      </w:r>
      <w:r>
        <w:rPr>
          <w:rFonts w:ascii="Amiri" w:hAnsi="Amiri" w:eastAsia="Amiri" w:cs="Amiri"/>
          <w:color w:val="111111"/>
          <w:sz w:val="28"/>
          <w:sz w:val="28"/>
          <w:szCs w:val="28"/>
          <w:rtl w:val="true"/>
          <w:lang w:bidi="ar-SA"/>
        </w:rPr>
        <w:t>الألم عند التّفرّق</w:t>
      </w:r>
      <w:r>
        <w:rPr>
          <w:rStyle w:val="FootnoteAnchor"/>
          <w:rtl w:val="true"/>
        </w:rPr>
        <w:footnoteReference w:id="140"/>
      </w:r>
      <w:r>
        <w:rPr>
          <w:rFonts w:ascii="Amiri" w:hAnsi="Amiri" w:eastAsia="Amiri" w:cs="Amiri"/>
          <w:color w:val="111111"/>
          <w:sz w:val="28"/>
          <w:sz w:val="28"/>
          <w:szCs w:val="28"/>
          <w:rtl w:val="true"/>
          <w:lang w:bidi="ar-SA"/>
        </w:rPr>
        <w:t>لا يدلّ على أنّه السّبب</w:t>
      </w:r>
      <w:r>
        <w:rPr>
          <w:rFonts w:eastAsia="Amiri" w:cs="Amiri" w:ascii="Amiri" w:hAnsi="Amiri"/>
          <w:color w:val="111111"/>
          <w:sz w:val="28"/>
          <w:szCs w:val="28"/>
          <w:rtl w:val="true"/>
          <w:lang w:bidi="ar-SA"/>
        </w:rPr>
        <w:t xml:space="preserve">. </w:t>
      </w:r>
      <w:bookmarkStart w:id="212" w:name="pg9140_71185"/>
    </w:p>
    <w:p>
      <w:pPr>
        <w:pStyle w:val="BookText"/>
        <w:rPr/>
      </w:pPr>
      <w:bookmarkEnd w:id="212"/>
      <w:r>
        <w:rPr>
          <w:rFonts w:ascii="Amiri" w:hAnsi="Amiri" w:eastAsia="Amiri" w:cs="Amiri"/>
          <w:color w:val="111111"/>
          <w:sz w:val="28"/>
          <w:sz w:val="28"/>
          <w:szCs w:val="28"/>
          <w:rtl w:val="true"/>
          <w:lang w:bidi="ar-SA"/>
        </w:rPr>
        <w:t>و لا تضادّ بين الألم و اللذّة، خلافا للكعبيّ، لأنّ المقتضي لهما قد يكون واحدا، كحكّة الأجرب، فإنّها توجب اللّذّة و الألم لو كان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الشّيخان، فشرط أبو عليّ و الكعبيّ في محلّه الحياة، و لم يجوّزا وجوده في الجماد، و منعه أبو هاشم و جوّز وجود جنسه في الجماد، لكن لا يسمّى ألما، لأنّ التّسمية بذلك تقتضي حصول النّفرة عنه مع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هو مقدور لنا؛ لوقوعه بحسب أحوالنا، إلاّ أنّه لا يقع منّا إلاّ متولّدا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اللّذّة عند أبي هاشم لاتّحادهما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أبو عليّ من قدرتنا عليها؛ و الألم غير باق، إذ لا ضدّ له ينفيه، فكان يبقى ببقاء المحلّ، إذ لا شرط عند أبي هاشم سواه، و كلّه متماثل، لاشتراك أفراده في صحّة ادراكه لمحلّ الحياة في محلّها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242255_2870459653"/>
      <w:bookmarkStart w:id="214" w:name="_Toc78"/>
      <w:bookmarkEnd w:id="213"/>
      <w:r>
        <w:rPr>
          <w:rtl w:val="true"/>
        </w:rPr>
        <w:t>المطلب السّادس عشر</w:t>
      </w:r>
      <w:r>
        <w:rPr>
          <w:rtl w:val="true"/>
        </w:rPr>
        <w:t xml:space="preserve">: </w:t>
      </w:r>
      <w:r>
        <w:rPr>
          <w:rtl w:val="true"/>
        </w:rPr>
        <w:t>في الإدراك</w:t>
      </w:r>
      <w:bookmarkEnd w:id="214"/>
    </w:p>
    <w:p>
      <w:pPr>
        <w:pStyle w:val="BookText"/>
        <w:rPr/>
      </w:pPr>
      <w:r>
        <w:rPr>
          <w:rFonts w:ascii="Amiri" w:hAnsi="Amiri" w:eastAsia="Amiri" w:cs="Amiri"/>
          <w:color w:val="111111"/>
          <w:sz w:val="28"/>
          <w:sz w:val="28"/>
          <w:szCs w:val="28"/>
          <w:rtl w:val="true"/>
          <w:lang w:bidi="ar-SA"/>
        </w:rPr>
        <w:t>اختلف النّاس هنا، فعند الأوائل و أبي الحسين، أنّه عبارة عن تأثر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منه هو 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الباقين أنّه نوع مغاير للعلم، و لتأثر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حالة العلم بالشّيء حال إدراكه و بعده؛ و ينقسم بانقسام 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الموصوف بهذه الصّفة الجملة دون الأجزاء، خلافا لبشر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فالحواسّ تدرك بها و لكن صفة الإدراك لا يصحّ رجوعها إليها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أثبت أبو الهذيل الإدراك معنى، و جعل كون أحدنا مدركا، موقوفا </w:t>
      </w:r>
    </w:p>
    <w:p>
      <w:pPr>
        <w:pStyle w:val="BookText"/>
        <w:rPr/>
      </w:pPr>
      <w:r>
        <w:rPr>
          <w:rFonts w:ascii="Amiri" w:hAnsi="Amiri" w:eastAsia="Amiri" w:cs="Amiri"/>
          <w:color w:val="111111"/>
          <w:sz w:val="28"/>
          <w:sz w:val="28"/>
          <w:szCs w:val="28"/>
          <w:rtl w:val="true"/>
          <w:lang w:bidi="ar-SA"/>
        </w:rPr>
        <w:t>عليه و جوّز حصول كونه حيّا مع الشّرائط المعتبرة في الإدراك و لا يدرك المدرك لفقد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الاشاعرة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يجعله أبو هاشم معنى، بل جعل أحدنا مدركا؛ لكونه حيّا و وجود المدرك و صحّة الحواس و زوال الموانع، فيكون التّأثر</w:t>
      </w:r>
      <w:r>
        <w:rPr>
          <w:rStyle w:val="FootnoteAnchor"/>
          <w:rtl w:val="true"/>
        </w:rPr>
        <w:footnoteReference w:id="141"/>
      </w:r>
      <w:r>
        <w:rPr>
          <w:rFonts w:ascii="Amiri" w:hAnsi="Amiri" w:eastAsia="Amiri" w:cs="Amiri"/>
          <w:color w:val="111111"/>
          <w:sz w:val="28"/>
          <w:sz w:val="28"/>
          <w:szCs w:val="28"/>
          <w:rtl w:val="true"/>
          <w:lang w:bidi="ar-SA"/>
        </w:rPr>
        <w:t>لكونه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الامور تكون شروطا في اقتضاء كونه حيّا كونه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 لأنّ كون المدرك مدركا صفة تجب لو كانت صحيحة و كلّ صفة تجب عند صحّتها فإنّها تستغني عن معنى يقتضيها، إذ المقتضي لوجوبها نفس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الأولى، أنّها لو لم تجب على تقدير الصّحة لزم السّفسطة، لتجويز أن يكون بحضرتنا جبال شاهقة و أصوات هائلة و الحواسّ صحيحة و الموانع مرتفعة و الشّرائط حاصلة، و نحن لا ندركها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بالحاسّة جسم ذو بنية مخصوصة زائدة على بنية الحياة، فيدرك به ما لا يدرك بغيره، و لا يراد به كلّ محلّ فيه حياة، و إلاّ لزم في جميع الأعضاء أن تكون 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المعنى نفى أبو هاشم، اللّمس حاسّة، لأنّ محلّ الحياة يشترك في صحّة إدراك الحرارة و البرودة؛ و هو غلط، لاحتمال اشتراط بعض الحواسّ بامور زائدة على بنية الحياة دون البعض</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حاسّة اللّمس أنفع من غيرها، لأنّ الحيوان مركّب من العناصر، </w:t>
      </w:r>
    </w:p>
    <w:p>
      <w:pPr>
        <w:pStyle w:val="BookText"/>
        <w:rPr/>
      </w:pPr>
      <w:r>
        <w:rPr>
          <w:rFonts w:ascii="Amiri" w:hAnsi="Amiri" w:eastAsia="Amiri" w:cs="Amiri"/>
          <w:color w:val="111111"/>
          <w:sz w:val="28"/>
          <w:sz w:val="28"/>
          <w:szCs w:val="28"/>
          <w:rtl w:val="true"/>
          <w:lang w:bidi="ar-SA"/>
        </w:rPr>
        <w:t>و صلاحه باعتدالها و بقاء مزاجها، و فساده بخروج بعضها عن الاعتدال و تغالبها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 مقتضى الحكمة الإلهيّة إيجاد قوّة سارية في جميع أجزائه ليدرك بها المنافي، فيحترز عنه، و هو اللّمس، و غيره كالذّوق و الشّمّ يراد لجلب النّفع و دفع الضّرر أسبق من جلب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كلّ حيوان له قوّة لمس أن يكون له قوّة حركة ليقرب من الملائم و يبعد عن المنافر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اللّمس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الحاكمة بين الحارّ و البارد، و بين الرّطب و اليابس، و بين الصّلب و اللّين، و بين الخشن و الأملس، بناء على أنّ القوّة الواحدة لا يصدر عنها أمران،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خاصّة اللّمس أنّ حامله هو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شرط الواسطة الخلوّ عن الكيفيّة الّتي يؤدّيها إلى المدرك لينفعل جيدا فيتمّ الشّعور به، فالأقرب إلى الاعتدال أشدّ إحساسا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بعض الأوائل الحسّ لبسائط العناصر لقربها من ملائمهما و بعدها عن منافرها؛ و الحجّة ضعيفة و المطلوب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الذّوق يفتقر إلى الرّطوبة اللّعابيّة المنبعثة عن القوّة الملعّبة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خلوّها عن الطعوم و إلاّ لم يودّ كما ينبغي كالمرضى، و هذه الرّطوبة يحتمل أن تنفعل عن ذي الطعم فالإحساس لا بواسطة أو يخالطها أجزاء ذي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تغوص في اللّسان حتّى تخالطه، فالإحساس بواسطة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الشّمّ يدرك بتوسط انتقال أجزاء من ذي الرّائحة يتحلل بواسطة </w:t>
      </w:r>
    </w:p>
    <w:p>
      <w:pPr>
        <w:pStyle w:val="BookText"/>
        <w:rPr/>
      </w:pPr>
      <w:r>
        <w:rPr>
          <w:rFonts w:ascii="Amiri" w:hAnsi="Amiri" w:eastAsia="Amiri" w:cs="Amiri"/>
          <w:color w:val="111111"/>
          <w:sz w:val="28"/>
          <w:sz w:val="28"/>
          <w:szCs w:val="28"/>
          <w:rtl w:val="true"/>
          <w:lang w:bidi="ar-SA"/>
        </w:rPr>
        <w:t>التّبخير،</w:t>
      </w:r>
      <w:r>
        <w:rPr>
          <w:rStyle w:val="FootnoteAnchor"/>
          <w:rtl w:val="true"/>
        </w:rPr>
        <w:footnoteReference w:id="142"/>
      </w:r>
      <w:r>
        <w:rPr>
          <w:rFonts w:ascii="Amiri" w:hAnsi="Amiri" w:eastAsia="Amiri" w:cs="Amiri"/>
          <w:color w:val="111111"/>
          <w:sz w:val="28"/>
          <w:sz w:val="28"/>
          <w:szCs w:val="28"/>
          <w:rtl w:val="true"/>
          <w:lang w:bidi="ar-SA"/>
        </w:rPr>
        <w:t>و يخالط الهواء المتوسّط، و يصل إلى الخيشوم، لأنّ الدلك يوجبه أن ينفعل الهواء المتوسّط بتلك الكيفيّة، و إلاّ لنقص ذو الرائحة عند كثرة الشّامّين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الشّمّ يتعلّق بالمشموم حيث هو أبعد في المقال و لا بدّ في ذي الرّائحة من أجزاء لطيفة قابلة لاختلاطها بالهواء، و لهذا لا يدرك الرائحة في قطع العود و العنبر ما لم يتخلل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 يفتقر إلى وصول الهواء المنضغط بين قارع و مقروع إلى سطح الصّماخ عند الأوائل و النّظام و الكعبيّ و أبي عليّ أوّلا، و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الأوائل في الإبصار، فبعضهم أنّه يحصل لانطباع صورة المرئيّ في العين، و آخرون بخروج شعاع من العين مصمت مخروط الشّكل، رأسه عند البصر و قاعدته عند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أبي هاشم، لكنّه جعل الغليظ عند العين؛ لأنّ حلقة الخاتم إذا قربت</w:t>
      </w:r>
      <w:r>
        <w:rPr>
          <w:rStyle w:val="FootnoteAnchor"/>
          <w:rtl w:val="true"/>
        </w:rPr>
        <w:footnoteReference w:id="143"/>
      </w:r>
      <w:r>
        <w:rPr>
          <w:rFonts w:ascii="Amiri" w:hAnsi="Amiri" w:eastAsia="Amiri" w:cs="Amiri"/>
          <w:color w:val="111111"/>
          <w:sz w:val="28"/>
          <w:sz w:val="28"/>
          <w:szCs w:val="28"/>
          <w:rtl w:val="true"/>
          <w:lang w:bidi="ar-SA"/>
        </w:rPr>
        <w:t>من العين يراها أكثر ممّا هي عليه؛</w:t>
      </w:r>
      <w:r>
        <w:rPr>
          <w:rStyle w:val="FootnoteAnchor"/>
          <w:rtl w:val="true"/>
        </w:rPr>
        <w:footnoteReference w:id="144"/>
      </w:r>
      <w:r>
        <w:rPr>
          <w:rFonts w:ascii="Amiri" w:hAnsi="Amiri" w:eastAsia="Amiri" w:cs="Amiri"/>
          <w:color w:val="111111"/>
          <w:sz w:val="28"/>
          <w:sz w:val="28"/>
          <w:szCs w:val="28"/>
          <w:rtl w:val="true"/>
          <w:lang w:bidi="ar-SA"/>
        </w:rPr>
        <w:t>لأنّ الشّعاع ينفصل متسعا، فيتخيّل لاتّساعه سعة الحلقة، فإذا تباعدت رآها صغيرة، لاستدقاق الطرف الآخر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القولان عندي باطلان؛ لامتناع انطباع العظيم في الصّغير، و لأنّه لو كان بالانطباع لما أدركنا البعد، فكنّا لا نرى القريب على قربه و لا البعيد على بعده، و لأنّ الخارج من العين إن كان جسما استحال أن يلاقي نصف الكرة، </w:t>
      </w:r>
    </w:p>
    <w:p>
      <w:pPr>
        <w:pStyle w:val="BookText"/>
        <w:rPr/>
      </w:pPr>
      <w:r>
        <w:rPr>
          <w:rFonts w:ascii="Amiri" w:hAnsi="Amiri" w:eastAsia="Amiri" w:cs="Amiri"/>
          <w:color w:val="111111"/>
          <w:sz w:val="28"/>
          <w:sz w:val="28"/>
          <w:szCs w:val="28"/>
          <w:rtl w:val="true"/>
          <w:lang w:bidi="ar-SA"/>
        </w:rPr>
        <w:t>لامتناع خروج جسم بهذا المقدار من العين مع صغرها، و امتنع أن يخرق الأفلاك عندكم، و إلاّ استحال عليه الانتقال، و لأنّ حركته ليست طبيعيّة، و إلاّ لكان إلى جهة واحدة، و لا قسريّة، لأنّها تابعة لها، و لا إراديّة قطعا؛ و لأنّ الإبصار يحصل مع حصول الأهوية القويّة القالعة للأشجار الكبار من غير تشوّش</w:t>
      </w:r>
      <w:r>
        <w:rPr>
          <w:rStyle w:val="FootnoteAnchor"/>
          <w:rtl w:val="true"/>
        </w:rPr>
        <w:footnoteReference w:id="14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أنّ مقابلة العين للمرئيّ مع حصول الشرائط سبب معدّ أو موجب للإدراك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الإدراك في حقّنا يتوقف على عشرة امور بعد سلامة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كثافة المبصر، بمعنى أن يكون له لون أو ضوء، و وقوع الضّوء عليه، و المقابلة أو حكمها زمانا، و شفافيّة المتوسّط، و عدم إفراط الصّغر و الضّوء و البعد و القرب و تعمّد ذي الآلة الإبصار، و عدم اقتران ما يوجب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حصول الشّرائط يجب الإبصار عند الأوائل و المعتزلة بالضّرورة، خلافا للأشعريّة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أجزاء البعيد متساوية الوضع عند الحدقة، لأنّ العمود المفترض من العين على القاعدة المفروضة عند المرئيّ أقصر من الطرفين، لأنّه يوتر الحادّة،</w:t>
      </w:r>
      <w:r>
        <w:rPr>
          <w:rStyle w:val="FootnoteAnchor"/>
          <w:rtl w:val="true"/>
        </w:rPr>
        <w:footnoteReference w:id="146"/>
      </w:r>
      <w:r>
        <w:rPr>
          <w:rFonts w:ascii="Amiri" w:hAnsi="Amiri" w:eastAsia="Amiri" w:cs="Amiri"/>
          <w:color w:val="111111"/>
          <w:sz w:val="28"/>
          <w:sz w:val="28"/>
          <w:szCs w:val="28"/>
          <w:rtl w:val="true"/>
          <w:lang w:bidi="ar-SA"/>
        </w:rPr>
        <w:t>و هما يوتران قائمتين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صغره إمّا انطباعه في زاوية صغرت</w:t>
      </w:r>
      <w:r>
        <w:rPr>
          <w:rStyle w:val="FootnoteAnchor"/>
          <w:rtl w:val="true"/>
        </w:rPr>
        <w:footnoteReference w:id="147"/>
      </w:r>
      <w:r>
        <w:rPr>
          <w:rFonts w:ascii="Amiri" w:hAnsi="Amiri" w:eastAsia="Amiri" w:cs="Amiri"/>
          <w:color w:val="111111"/>
          <w:sz w:val="28"/>
          <w:sz w:val="28"/>
          <w:szCs w:val="28"/>
          <w:rtl w:val="true"/>
          <w:lang w:bidi="ar-SA"/>
        </w:rPr>
        <w:t>لبعد الخطّين المفروضين أو لتفرق الأشعّة فلا يحصل الإدراك التّامّ</w:t>
      </w:r>
      <w:r>
        <w:rPr>
          <w:rFonts w:eastAsia="Amiri" w:cs="Amiri" w:ascii="Amiri" w:hAnsi="Amiri"/>
          <w:color w:val="111111"/>
          <w:sz w:val="28"/>
          <w:szCs w:val="28"/>
          <w:rtl w:val="true"/>
          <w:lang w:bidi="ar-SA"/>
        </w:rPr>
        <w:t xml:space="preserve">. </w:t>
      </w:r>
      <w:bookmarkStart w:id="215" w:name="pg9140_71190"/>
    </w:p>
    <w:p>
      <w:pPr>
        <w:pStyle w:val="BookText"/>
        <w:rPr/>
      </w:pPr>
      <w:bookmarkEnd w:id="215"/>
      <w:r>
        <w:rPr>
          <w:rFonts w:ascii="Amiri" w:hAnsi="Amiri" w:eastAsia="Amiri" w:cs="Amiri"/>
          <w:color w:val="111111"/>
          <w:sz w:val="28"/>
          <w:sz w:val="28"/>
          <w:szCs w:val="28"/>
          <w:rtl w:val="true"/>
          <w:lang w:bidi="ar-SA"/>
        </w:rPr>
        <w:t>و تساوي نسبة الصّقيل إلى العين و المرئيّ سبب معدّ لإدراكه فيه، لا لانطباع صورة فيه، ثمّ في العين من تلك الصّورة، و إلاّ لم يتغيّر عن موضعها بزوال شيء ثالث،</w:t>
      </w:r>
      <w:r>
        <w:rPr>
          <w:rStyle w:val="FootnoteAnchor"/>
          <w:rtl w:val="true"/>
        </w:rPr>
        <w:footnoteReference w:id="148"/>
      </w:r>
      <w:r>
        <w:rPr>
          <w:rFonts w:ascii="Amiri" w:hAnsi="Amiri" w:eastAsia="Amiri" w:cs="Amiri"/>
          <w:color w:val="111111"/>
          <w:sz w:val="28"/>
          <w:sz w:val="28"/>
          <w:szCs w:val="28"/>
          <w:rtl w:val="true"/>
          <w:lang w:bidi="ar-SA"/>
        </w:rPr>
        <w:t>كالحائط إذا اخضرّ بانعكاس الخضرة إليه لم يتغيّر بانتقال النّاظر، و لا لانعكاس الشّعاع من العين إلى الصّقيل، ثمّ منه إلى المرئيّ</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242257_2870459653"/>
      <w:bookmarkStart w:id="217" w:name="_Toc79"/>
      <w:bookmarkEnd w:id="216"/>
      <w:r>
        <w:rPr>
          <w:rtl w:val="true"/>
        </w:rPr>
        <w:t>المطلب السّابع عشر</w:t>
      </w:r>
      <w:r>
        <w:rPr>
          <w:rtl w:val="true"/>
        </w:rPr>
        <w:t xml:space="preserve">: </w:t>
      </w:r>
      <w:r>
        <w:rPr>
          <w:rtl w:val="true"/>
        </w:rPr>
        <w:t>في بقيّة أعراض وقع فيها الخلاف بين المتكلّمين</w:t>
      </w:r>
      <w:bookmarkEnd w:id="217"/>
    </w:p>
    <w:p>
      <w:pPr>
        <w:pStyle w:val="Heading5"/>
        <w:numPr>
          <w:ilvl w:val="4"/>
          <w:numId w:val="1"/>
        </w:numPr>
        <w:rPr/>
      </w:pPr>
      <w:bookmarkStart w:id="218" w:name="__RefHeading___Toc3242259_2870459653"/>
      <w:bookmarkStart w:id="219" w:name="_Toc80"/>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242261_2870459653"/>
      <w:bookmarkStart w:id="221" w:name="_Toc81"/>
      <w:bookmarkEnd w:id="220"/>
      <w:r>
        <w:rPr>
          <w:rtl w:val="true"/>
        </w:rPr>
        <w:t>الأوّل</w:t>
      </w:r>
      <w:r>
        <w:rPr>
          <w:rtl w:val="true"/>
        </w:rPr>
        <w:t xml:space="preserve">: </w:t>
      </w:r>
      <w:r>
        <w:rPr>
          <w:rtl w:val="true"/>
        </w:rPr>
        <w:t>البقاء،</w:t>
      </w:r>
      <w:bookmarkEnd w:id="221"/>
    </w:p>
    <w:p>
      <w:pPr>
        <w:pStyle w:val="BookText"/>
        <w:rPr/>
      </w:pPr>
      <w:r>
        <w:rPr>
          <w:rFonts w:ascii="Amiri" w:hAnsi="Amiri" w:eastAsia="Amiri" w:cs="Amiri"/>
          <w:color w:val="111111"/>
          <w:sz w:val="28"/>
          <w:sz w:val="28"/>
          <w:szCs w:val="28"/>
          <w:rtl w:val="true"/>
          <w:lang w:bidi="ar-SA"/>
        </w:rPr>
        <w:t>و قد أثبته الأشاعرة معنى قائما بالباقي يقتضي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الكعبيّ، خلافا لباقي المعتزلة، و هو الحقّ؛ و إلاّ لزم التّسلسل، أو كون جعله ذاتا أولى من جعله صفة، و لأنّ وجود الصّفة تابع لوجود الذّات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انعكس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الشّيء باقيا بعد أن لم يكن لا يدلّ على وجود البقاء معنى في نفسه، فإنّ كثيرا من الصّفات الاعتباريّة تتجدّد على الذّات و لا تحقّق لها عينا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242263_2870459653"/>
      <w:bookmarkStart w:id="223" w:name="_Toc82"/>
      <w:bookmarkEnd w:id="222"/>
      <w:r>
        <w:rPr>
          <w:rtl w:val="true"/>
        </w:rPr>
        <w:t>الثّاني</w:t>
      </w:r>
      <w:r>
        <w:rPr>
          <w:rtl w:val="true"/>
        </w:rPr>
        <w:t xml:space="preserve">: </w:t>
      </w:r>
      <w:r>
        <w:rPr>
          <w:rtl w:val="true"/>
        </w:rPr>
        <w:t>الفناء،</w:t>
      </w:r>
      <w:bookmarkEnd w:id="2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المحققون ذهبوا إلى أنّ الإعدام قد يحصل بالفاعل كما يحصل الايجاد به، و جماعة من المعتزلة منعوا من تعلّق الإعدام</w:t>
      </w:r>
      <w:r>
        <w:rPr>
          <w:rStyle w:val="FootnoteAnchor"/>
          <w:rtl w:val="true"/>
        </w:rPr>
        <w:footnoteReference w:id="149"/>
      </w:r>
      <w:r>
        <w:rPr>
          <w:rFonts w:ascii="IRNazanin" w:hAnsi="IRNazanin" w:eastAsia="IRNazanin"/>
          <w:color w:val="111111"/>
          <w:sz w:val="28"/>
          <w:sz w:val="28"/>
          <w:szCs w:val="28"/>
          <w:rtl w:val="true"/>
          <w:lang w:bidi="fa-IR"/>
        </w:rPr>
        <w:t xml:space="preserve">بالفاعل </w:t>
      </w:r>
      <w:bookmarkStart w:id="224" w:name="pg9140_71191"/>
    </w:p>
    <w:p>
      <w:pPr>
        <w:pStyle w:val="BookText"/>
        <w:rPr/>
      </w:pPr>
      <w:bookmarkEnd w:id="224"/>
      <w:r>
        <w:rPr>
          <w:rFonts w:ascii="Amiri" w:hAnsi="Amiri" w:eastAsia="Amiri" w:cs="Amiri"/>
          <w:color w:val="111111"/>
          <w:sz w:val="28"/>
          <w:sz w:val="28"/>
          <w:szCs w:val="28"/>
          <w:rtl w:val="true"/>
          <w:lang w:bidi="ar-SA"/>
        </w:rPr>
        <w:t>و أوجبوا طريان الضّدّ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يفنى لذاته، و كلّ ما يقبل الفناء عنده لا يصحّ بقاؤه أكثر من آن واحد، ثمّ في ثاني حدوثه، يعدم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مثبتوه جعلوه ضدّا للجواهر، لأنّها باقية لذاتها، لا بمعنى تحتاج إليه فيه، و لا ضدّ لها من الأعراض سواه، و لا يصحّ عدمها لذاتها و لا بالفاعل، و هي واجبة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فأثبتوا الفناء عرضا، لأنّ الجواهر لا تتضادّ مجرّد الامتناع حلول أحد الضّدّين في الآخر حادثا بعد الجواهر و إلاّ لكان إيجاده عبثا و إن كان ممكن الوجود قبلها، لأنّ القادر على الشّيء قادر على إيجاد ضدّه في تلك الحال آنيّ الوجود، و إلاّ لم يعدم إلاّ بضدّ و يتسلسل غير ذي جهة، خلافا لابن الإخشيد و الصّيمريّ، و إلاّ لكان متحيّزا، إذ كلّ ذي جهة لا على سبيل التّبعية، متحيّز، متماثلا لتساوي أفراده في فناء</w:t>
      </w:r>
      <w:r>
        <w:rPr>
          <w:rStyle w:val="FootnoteAnchor"/>
          <w:rtl w:val="true"/>
        </w:rPr>
        <w:footnoteReference w:id="150"/>
      </w:r>
      <w:r>
        <w:rPr>
          <w:rFonts w:ascii="IRNazanin" w:hAnsi="IRNazanin" w:eastAsia="IRNazanin"/>
          <w:color w:val="111111"/>
          <w:sz w:val="28"/>
          <w:sz w:val="28"/>
          <w:szCs w:val="28"/>
          <w:rtl w:val="true"/>
          <w:lang w:bidi="fa-IR"/>
        </w:rPr>
        <w:t>الجواهر بها؛ و اتّحاد</w:t>
      </w:r>
      <w:r>
        <w:rPr>
          <w:rStyle w:val="FootnoteAnchor"/>
          <w:rtl w:val="true"/>
        </w:rPr>
        <w:footnoteReference w:id="151"/>
      </w:r>
      <w:r>
        <w:rPr>
          <w:rFonts w:ascii="Amiri" w:hAnsi="Amiri" w:eastAsia="Amiri" w:cs="Amiri"/>
          <w:color w:val="111111"/>
          <w:sz w:val="28"/>
          <w:sz w:val="28"/>
          <w:szCs w:val="28"/>
          <w:rtl w:val="true"/>
          <w:lang w:bidi="ar-SA"/>
        </w:rPr>
        <w:t>المعلول يستلزم تساوي العلّة، ليس مقدورا لنا، و إلاّ لقدرنا على الضّدّ الآخر، و هو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ممنوعة، و أيّ جوهر فني بطريانه؛ فنيت جميع الجواهر لتجرّده و تساوي الجواهر في الماهيّة فتتساوى في النّسبة إليه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242265_2870459653"/>
      <w:bookmarkStart w:id="226" w:name="_Toc83"/>
      <w:bookmarkEnd w:id="225"/>
      <w:r>
        <w:rPr>
          <w:rtl w:val="true"/>
        </w:rPr>
        <w:t>الثالث</w:t>
      </w:r>
      <w:r>
        <w:rPr>
          <w:rtl w:val="true"/>
        </w:rPr>
        <w:t xml:space="preserve">: </w:t>
      </w:r>
      <w:r>
        <w:rPr>
          <w:rtl w:val="true"/>
        </w:rPr>
        <w:t>التأليف،</w:t>
      </w:r>
      <w:bookmarkEnd w:id="2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أثبت التّأليف معنى قائما بمحلّين، أبو الهذيل العلاّف و تبعه جماعة البصريين، كأبي عليّ و أبي هاشم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نفاه الباقون، لامتناع قيام عرض بمحلّين، كما يمتنع حلول جسم في مكانين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احتجّ المثبتون بأنّ بعض الأجسام يصعب فكّها</w:t>
      </w:r>
      <w:r>
        <w:rPr>
          <w:rStyle w:val="FootnoteAnchor"/>
          <w:rtl w:val="true"/>
        </w:rPr>
        <w:footnoteReference w:id="152"/>
      </w:r>
      <w:r>
        <w:rPr>
          <w:rFonts w:ascii="Amiri" w:hAnsi="Amiri" w:eastAsia="Amiri" w:cs="Amiri"/>
          <w:color w:val="111111"/>
          <w:sz w:val="28"/>
          <w:sz w:val="28"/>
          <w:szCs w:val="28"/>
          <w:rtl w:val="true"/>
          <w:lang w:bidi="ar-SA"/>
        </w:rPr>
        <w:t>فلا بدّ من معنى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قائما بأحد المحلّين لعدم الأولويّة فيجب قيامه بالمحلّين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لاستناد صعوبة التفكيك إلى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أبو هاشم من قيامه بأكثر من محلّين و إلاّ لزم التّفكيك لو ازيد جزء واحد منها؛ لعدم التأليف بعدم محله، و الوجود بخلافه، و عدم الوجود لا يدلّ على الامتناع، و هو باق، و إلاّ لزم امتناع التّفكيك أو سهولته،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إيجاد التّأليف حالا بعد حال كان مراده أولى بالوجود و إلاّ سهل فكّه، فينتفي الصّعوبة بالكلّيّة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يتولّد عن المجاورة، و لهذا يقع بحسبها، فإنّ المتجاورين طولا يقع التّأليف بينهما</w:t>
      </w:r>
      <w:r>
        <w:rPr>
          <w:rStyle w:val="FootnoteAnchor"/>
          <w:rtl w:val="true"/>
        </w:rPr>
        <w:footnoteReference w:id="153"/>
      </w:r>
      <w:r>
        <w:rPr>
          <w:rFonts w:ascii="Amiri" w:hAnsi="Amiri" w:eastAsia="Amiri" w:cs="Amiri"/>
          <w:color w:val="111111"/>
          <w:sz w:val="28"/>
          <w:sz w:val="28"/>
          <w:szCs w:val="28"/>
          <w:rtl w:val="true"/>
          <w:lang w:bidi="ar-SA"/>
        </w:rPr>
        <w:t>فيصحّ وجوده فيما يصعب تفكيكه و ما لا يصعب لوجود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المقدّمات ممنوعة، و ليس بمدرك لمسا و لا رؤية عند أبي هاشم، خلافا لأبي عليّ، و إلاّ لأدركنا الفرق بين قليله و كثيره، و هو متماثل لا تضادّ فيه و لا اختلاف، لتساوي جميع أفراده في أخصّ صفاته، و هو افتقاره عند الوجود إلى محلّين، و لأنّ إمكان اجتماع أفراده ينفي 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إمكان الاجتماع، أنّ الجزء الواحد يمكن أن يؤلّف</w:t>
      </w:r>
      <w:r>
        <w:rPr>
          <w:rStyle w:val="FootnoteAnchor"/>
          <w:rtl w:val="true"/>
        </w:rPr>
        <w:footnoteReference w:id="154"/>
      </w:r>
      <w:r>
        <w:rPr>
          <w:rFonts w:ascii="Amiri" w:hAnsi="Amiri" w:eastAsia="Amiri" w:cs="Amiri"/>
          <w:color w:val="111111"/>
          <w:sz w:val="28"/>
          <w:sz w:val="28"/>
          <w:szCs w:val="28"/>
          <w:rtl w:val="true"/>
          <w:lang w:bidi="ar-SA"/>
        </w:rPr>
        <w:t>مع ستّة أمثاله، و ليس للتّأليف ضدّ من غير جنسه، إذ لا عرض يتوهّم أنّه ضدّ له سوى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ضدّا له و إلاّ لاتحد محلّهما فكان يفتقر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الافتراق</w:t>
      </w:r>
      <w:r>
        <w:rPr>
          <w:rStyle w:val="FootnoteAnchor"/>
          <w:rtl w:val="true"/>
        </w:rPr>
        <w:footnoteReference w:id="155"/>
      </w:r>
      <w:r>
        <w:rPr>
          <w:rFonts w:ascii="Amiri" w:hAnsi="Amiri" w:eastAsia="Amiri" w:cs="Amiri"/>
          <w:color w:val="111111"/>
          <w:sz w:val="28"/>
          <w:sz w:val="28"/>
          <w:szCs w:val="28"/>
          <w:rtl w:val="true"/>
          <w:lang w:bidi="ar-SA"/>
        </w:rPr>
        <w:t>إلى محلّين</w:t>
      </w:r>
      <w:r>
        <w:rPr>
          <w:rStyle w:val="FootnoteAnchor"/>
          <w:rtl w:val="true"/>
        </w:rPr>
        <w:footnoteReference w:id="156"/>
      </w:r>
      <w:r>
        <w:rPr>
          <w:rFonts w:ascii="Amiri" w:hAnsi="Amiri" w:eastAsia="Amiri" w:cs="Amiri"/>
          <w:color w:val="111111"/>
          <w:sz w:val="28"/>
          <w:sz w:val="28"/>
          <w:szCs w:val="28"/>
          <w:rtl w:val="true"/>
          <w:lang w:bidi="ar-SA"/>
        </w:rPr>
        <w:t>متجاورين، كما افتقر ضدّه إليهما، و التّالي باطل بالضّرورة فكذا المقدّم، و هو مقدور لنا، لوقوعه منّا بحسب القصد و الدّاعي متولّدا عن المجاورة الّتي نفعلها لا مباشرة، خلافا لأبي عليّ</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9140_71195"/>
      <w:bookmarkStart w:id="228" w:name="pg9140_71195"/>
      <w:bookmarkEnd w:id="228"/>
    </w:p>
    <w:p>
      <w:pPr>
        <w:pStyle w:val="Heading2"/>
        <w:numPr>
          <w:ilvl w:val="1"/>
          <w:numId w:val="1"/>
        </w:numPr>
        <w:rPr/>
      </w:pPr>
      <w:bookmarkStart w:id="229" w:name="pg9140_71195"/>
      <w:bookmarkStart w:id="230" w:name="__RefHeading___Toc3242267_2870459653"/>
      <w:bookmarkStart w:id="231" w:name="_Toc84"/>
      <w:bookmarkEnd w:id="229"/>
      <w:bookmarkEnd w:id="230"/>
      <w:r>
        <w:rPr>
          <w:rtl w:val="true"/>
        </w:rPr>
        <w:t>المرصد الرّابع في أحكام الموجودات و فيه مقصدان</w:t>
      </w:r>
      <w:bookmarkEnd w:id="2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3242269_2870459653"/>
      <w:bookmarkStart w:id="233" w:name="_Toc85"/>
      <w:bookmarkEnd w:id="232"/>
      <w:r>
        <w:rPr>
          <w:rtl w:val="true"/>
        </w:rPr>
        <w:t>اشارة</w:t>
      </w:r>
      <w:bookmarkEnd w:id="2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9140_71197"/>
      <w:bookmarkStart w:id="235" w:name="pg9140_71197"/>
      <w:bookmarkEnd w:id="235"/>
    </w:p>
    <w:p>
      <w:pPr>
        <w:pStyle w:val="Heading3"/>
        <w:numPr>
          <w:ilvl w:val="2"/>
          <w:numId w:val="1"/>
        </w:numPr>
        <w:rPr/>
      </w:pPr>
      <w:bookmarkStart w:id="236" w:name="pg9140_71197"/>
      <w:bookmarkStart w:id="237" w:name="__RefHeading___Toc3242271_2870459653"/>
      <w:bookmarkStart w:id="238" w:name="_Toc86"/>
      <w:bookmarkEnd w:id="236"/>
      <w:bookmarkEnd w:id="237"/>
      <w:r>
        <w:rPr>
          <w:rtl w:val="true"/>
        </w:rPr>
        <w:t>المقصد الأوّل في الأحكام العامّة</w:t>
      </w:r>
      <w:bookmarkEnd w:id="238"/>
    </w:p>
    <w:p>
      <w:pPr>
        <w:pStyle w:val="Heading4"/>
        <w:numPr>
          <w:ilvl w:val="3"/>
          <w:numId w:val="1"/>
        </w:numPr>
        <w:rPr/>
      </w:pPr>
      <w:bookmarkStart w:id="239" w:name="__RefHeading___Toc3242273_2870459653"/>
      <w:bookmarkStart w:id="240" w:name="_Toc87"/>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و فيه مطالب</w:t>
      </w:r>
    </w:p>
    <w:p>
      <w:pPr>
        <w:pStyle w:val="Heading4"/>
        <w:numPr>
          <w:ilvl w:val="3"/>
          <w:numId w:val="1"/>
        </w:numPr>
        <w:rPr/>
      </w:pPr>
      <w:bookmarkStart w:id="241" w:name="__RefHeading___Toc3242275_2870459653"/>
      <w:bookmarkStart w:id="242" w:name="_Toc88"/>
      <w:bookmarkEnd w:id="241"/>
      <w:r>
        <w:rPr>
          <w:rtl w:val="true"/>
        </w:rPr>
        <w:t>[</w:t>
      </w:r>
      <w:r>
        <w:rPr>
          <w:rtl w:val="true"/>
        </w:rPr>
        <w:t>المطلب</w:t>
      </w:r>
      <w:r>
        <w:rPr>
          <w:rtl w:val="true"/>
        </w:rPr>
        <w:t xml:space="preserve">] </w:t>
      </w:r>
      <w:r>
        <w:rPr>
          <w:rtl w:val="true"/>
        </w:rPr>
        <w:t>الأوّل</w:t>
      </w:r>
      <w:r>
        <w:rPr>
          <w:rtl w:val="true"/>
        </w:rPr>
        <w:t xml:space="preserve">: </w:t>
      </w:r>
      <w:r>
        <w:rPr>
          <w:rtl w:val="true"/>
        </w:rPr>
        <w:t>في الواحد و مقابله</w:t>
      </w:r>
      <w:bookmarkEnd w:id="242"/>
    </w:p>
    <w:p>
      <w:pPr>
        <w:pStyle w:val="BookText"/>
        <w:rPr/>
      </w:pPr>
      <w:r>
        <w:rPr>
          <w:rFonts w:ascii="Amiri" w:hAnsi="Amiri" w:eastAsia="Amiri" w:cs="Amiri"/>
          <w:color w:val="111111"/>
          <w:sz w:val="28"/>
          <w:sz w:val="28"/>
          <w:szCs w:val="28"/>
          <w:rtl w:val="true"/>
          <w:lang w:bidi="ar-SA"/>
        </w:rPr>
        <w:t>تصوّر الوحدة و الكثرة ضروريّ، لما مرّ، لكن الوحدة أعرف عند العقل و الكثرة عند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المعقولات الثّانية و إلاّ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أثبتهما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الوحدة عارضة للعرض كانت بالعرضيّة أولى، فالكثرة كذلك، لتقوّمها</w:t>
      </w:r>
      <w:r>
        <w:rPr>
          <w:rStyle w:val="FootnoteAnchor"/>
          <w:rtl w:val="true"/>
        </w:rPr>
        <w:footnoteReference w:id="157"/>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 إمّا بالذّات أو بالعرض،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الملك عند المدينة كحال الرّبّان عند السّفينة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إن كان مقولا على كثرة وجب اشتراكها في أمر يتّحد به و لا ينقسم باعتباره؛ فإن كانت الكثرة شخصيّة اشتركت في الحقيقة النّوعيّة، و إن كانت نوعيّة اشتركت في الحقيقة الجنسيّة و تتفاوت قربا و بعدا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لم يكن فهو الواحد 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القسمة بوجه ما، فإمّا أن لا يكون له مفهوم زائد على كونه شيئا غير منقسم، و هو نفس الوحدة، و هو أولى باسم الواحد من البواقي، أو يكون، فإن لم يكن ذا وضع فهو المفارق، و إلاّ فهو النّقطة، و إن قبل القسمة فهو خطّ أو سطح أو جسم إن قبل لذاته، و إلاّ فإمّا عارض له أو معروض، و لا يمكن اتّحاد الاثنين، لأنّهما إن عدما و وجد غيرهما أو أحدهما أو بقيا كما كانا فلا 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الأوائل العدد، إذ هنا معدودات بالضّرورة و ليست ماهيّاتها مجرّد كونها أعدادا، بل ماهيّاتها حقائق الأشياء، فكونها أعدادا أمر مغاير لها، و ليس عدما مطلقا و لا أيّ ملكة كانت، بل إن كان</w:t>
      </w:r>
      <w:r>
        <w:rPr>
          <w:rStyle w:val="FootnoteAnchor"/>
          <w:rtl w:val="true"/>
        </w:rPr>
        <w:footnoteReference w:id="158"/>
      </w:r>
      <w:r>
        <w:rPr>
          <w:rFonts w:ascii="Amiri" w:hAnsi="Amiri" w:eastAsia="Amiri" w:cs="Amiri"/>
          <w:color w:val="111111"/>
          <w:sz w:val="28"/>
          <w:sz w:val="28"/>
          <w:szCs w:val="28"/>
          <w:rtl w:val="true"/>
          <w:lang w:bidi="ar-SA"/>
        </w:rPr>
        <w:t>فعدم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متركّب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الامور الوجوديّة لا يكون عدميا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خطأ، لأنّ أفراد العشرة إن لم يعرض لها أمر يتّحد باعتباره ليصير محلاّ للعشريّة صار الواحد عشرة، و هو محال و إلاّ نقلنا</w:t>
      </w:r>
      <w:r>
        <w:rPr>
          <w:rStyle w:val="FootnoteAnchor"/>
          <w:rtl w:val="true"/>
        </w:rPr>
        <w:footnoteReference w:id="159"/>
      </w:r>
      <w:r>
        <w:rPr>
          <w:rFonts w:ascii="Amiri" w:hAnsi="Amiri" w:eastAsia="Amiri" w:cs="Amiri"/>
          <w:color w:val="111111"/>
          <w:sz w:val="28"/>
          <w:sz w:val="28"/>
          <w:szCs w:val="28"/>
          <w:rtl w:val="true"/>
          <w:lang w:bidi="ar-SA"/>
        </w:rPr>
        <w:t>البحث في العارض، بل هي أمر اعتباريّ و تقوّمه إنّما هو من الآحاد، لعدم الأولويّة في الأنواع و امتناع تقوّم الماهيّة بالأجزاء المتكثّرة المتباينة</w:t>
      </w:r>
      <w:r>
        <w:rPr>
          <w:rFonts w:eastAsia="Amiri" w:cs="Amiri" w:ascii="Amiri" w:hAnsi="Amiri"/>
          <w:color w:val="111111"/>
          <w:sz w:val="28"/>
          <w:szCs w:val="28"/>
          <w:rtl w:val="true"/>
          <w:lang w:bidi="ar-SA"/>
        </w:rPr>
        <w:t xml:space="preserve">. </w:t>
      </w:r>
      <w:bookmarkStart w:id="243" w:name="pg9140_71199"/>
    </w:p>
    <w:p>
      <w:pPr>
        <w:pStyle w:val="Heading4"/>
        <w:numPr>
          <w:ilvl w:val="3"/>
          <w:numId w:val="1"/>
        </w:numPr>
        <w:rPr/>
      </w:pPr>
      <w:bookmarkStart w:id="244" w:name="__RefHeading___Toc3242277_2870459653"/>
      <w:bookmarkStart w:id="245" w:name="_Toc89"/>
      <w:bookmarkEnd w:id="243"/>
      <w:bookmarkEnd w:id="244"/>
      <w:r>
        <w:rPr>
          <w:rtl w:val="true"/>
        </w:rPr>
        <w:t>المطلب الثّاني</w:t>
      </w:r>
      <w:r>
        <w:rPr>
          <w:rtl w:val="true"/>
        </w:rPr>
        <w:t xml:space="preserve">: </w:t>
      </w:r>
      <w:r>
        <w:rPr>
          <w:rtl w:val="true"/>
        </w:rPr>
        <w:t>في التّماثل و مقابله</w:t>
      </w:r>
      <w:bookmarkEnd w:id="245"/>
    </w:p>
    <w:p>
      <w:pPr>
        <w:pStyle w:val="BookText"/>
        <w:rPr/>
      </w:pPr>
      <w:r>
        <w:rPr>
          <w:rFonts w:ascii="Amiri" w:hAnsi="Amiri" w:eastAsia="Amiri" w:cs="Amiri"/>
          <w:color w:val="111111"/>
          <w:sz w:val="28"/>
          <w:sz w:val="28"/>
          <w:szCs w:val="28"/>
          <w:rtl w:val="true"/>
          <w:lang w:bidi="ar-SA"/>
        </w:rPr>
        <w:t>التّكثّر لا يعقل مع التّساوي من كلّ وجه، بل لا بدّ من مائز هو التّعيّن، و حينئذ يحصل التّغاير، فإن سدّ أحدهما مسدّ الآخر من كلّ وجه، فهما المثلان، و إلاّ فالمختلفان؛ فإن لم يمكن اجتماعهما في شيء واحد في زمان واحد من جهة واحدة فهما المتقابلان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المثلان لا يمكن اجتماعهما فهما ضدّان في الحقيقة عند الأوائل و الأشاعرة إن لم يشترط التّباعد، و إلاّ لارتفع الامتياز بينهما في الذّاتيّات و اللوازم و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مشايخ المعتزلة جوّزوا اجتماعهما لاشتداد</w:t>
      </w:r>
      <w:r>
        <w:rPr>
          <w:rStyle w:val="FootnoteAnchor"/>
          <w:rtl w:val="true"/>
        </w:rPr>
        <w:footnoteReference w:id="160"/>
      </w:r>
      <w:r>
        <w:rPr>
          <w:rFonts w:ascii="Amiri" w:hAnsi="Amiri" w:eastAsia="Amiri" w:cs="Amiri"/>
          <w:color w:val="111111"/>
          <w:sz w:val="28"/>
          <w:sz w:val="28"/>
          <w:szCs w:val="28"/>
          <w:rtl w:val="true"/>
          <w:lang w:bidi="ar-SA"/>
        </w:rPr>
        <w:t>بعض الألوان و نمنع انحصار السّبب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المتقابلان إن كانا وجوديّين فهما المضافان</w:t>
      </w:r>
      <w:r>
        <w:rPr>
          <w:rStyle w:val="FootnoteAnchor"/>
          <w:rtl w:val="true"/>
        </w:rPr>
        <w:footnoteReference w:id="161"/>
      </w:r>
      <w:r>
        <w:rPr>
          <w:rFonts w:ascii="Amiri" w:hAnsi="Amiri" w:eastAsia="Amiri" w:cs="Amiri"/>
          <w:color w:val="111111"/>
          <w:sz w:val="28"/>
          <w:sz w:val="28"/>
          <w:szCs w:val="28"/>
          <w:rtl w:val="true"/>
          <w:lang w:bidi="ar-SA"/>
        </w:rPr>
        <w:t>، إن تلازما تعقّلا و كان كلّ منهما مقولا</w:t>
      </w:r>
      <w:r>
        <w:rPr>
          <w:rStyle w:val="FootnoteAnchor"/>
          <w:rtl w:val="true"/>
        </w:rPr>
        <w:footnoteReference w:id="162"/>
      </w:r>
      <w:r>
        <w:rPr>
          <w:rFonts w:ascii="Amiri" w:hAnsi="Amiri" w:eastAsia="Amiri" w:cs="Amiri"/>
          <w:color w:val="111111"/>
          <w:sz w:val="28"/>
          <w:sz w:val="28"/>
          <w:szCs w:val="28"/>
          <w:rtl w:val="true"/>
          <w:lang w:bidi="ar-SA"/>
        </w:rPr>
        <w:t>بالقياس إلى الآخر، و إلاّ فهما الضّدان، و إن كان أحدهما فعدم و ملكة إن تخصّصا بموضوع واحد، و إلاّ فمتناقضان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للواحد أكثر من ضدّ واحد إن شرطنا غاية التباعد، و إلاّ جاز التّكثّر، و قد يكون أحدهما لازما للموضوع و قد لا يكون، إمّا مع امتناع خلوّ المحلّ عنهما كالصّحّة و المرض، أو لا كالحرارة و البرودة و أشدّ المتقابلات تعاندا</w:t>
      </w:r>
      <w:r>
        <w:rPr>
          <w:rStyle w:val="FootnoteAnchor"/>
          <w:rtl w:val="true"/>
        </w:rPr>
        <w:footnoteReference w:id="163"/>
      </w:r>
      <w:r>
        <w:rPr>
          <w:rFonts w:ascii="Amiri" w:hAnsi="Amiri" w:eastAsia="Amiri" w:cs="Amiri"/>
          <w:color w:val="111111"/>
          <w:sz w:val="28"/>
          <w:sz w:val="28"/>
          <w:szCs w:val="28"/>
          <w:rtl w:val="true"/>
          <w:lang w:bidi="ar-SA"/>
        </w:rPr>
        <w:t xml:space="preserve">، السّلب و الإيجاب؛ لأنّ اعتقاد أنّ الشّيء ليس بأسود له يرفع الذّاتيّ و اعتقاد أنّه أبيض يرفع أنّه ليس بأبيض، و هو عرضيّ، و رافع الذّاتيّ </w:t>
      </w:r>
      <w:bookmarkStart w:id="246" w:name="pg9140_71200"/>
    </w:p>
    <w:p>
      <w:pPr>
        <w:pStyle w:val="BookText"/>
        <w:rPr/>
      </w:pPr>
      <w:bookmarkEnd w:id="246"/>
      <w:r>
        <w:rPr>
          <w:rFonts w:ascii="Amiri" w:hAnsi="Amiri" w:eastAsia="Amiri" w:cs="Amiri"/>
          <w:color w:val="111111"/>
          <w:sz w:val="28"/>
          <w:sz w:val="28"/>
          <w:szCs w:val="28"/>
          <w:rtl w:val="true"/>
          <w:lang w:bidi="ar-SA"/>
        </w:rPr>
        <w:t>أقوى معاندة من الرّافع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الواحد لا يكون ضدّا للمختلفين، و كلّ ضدّين فلهما جنس اخير،</w:t>
      </w:r>
      <w:r>
        <w:rPr>
          <w:rStyle w:val="FootnoteAnchor"/>
          <w:rtl w:val="true"/>
        </w:rPr>
        <w:footnoteReference w:id="164"/>
      </w:r>
      <w:r>
        <w:rPr>
          <w:rFonts w:ascii="Amiri" w:hAnsi="Amiri" w:eastAsia="Amiri" w:cs="Amiri"/>
          <w:color w:val="111111"/>
          <w:sz w:val="28"/>
          <w:sz w:val="28"/>
          <w:szCs w:val="28"/>
          <w:rtl w:val="true"/>
          <w:lang w:bidi="ar-SA"/>
        </w:rPr>
        <w:t>و لا يتضادّ جنسان بالاستقراء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التّماثل و الاختلاف و التّضادّ امور اعتباريّة من المعقولات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جعلها امورا معقولة و يعتبر</w:t>
      </w:r>
      <w:r>
        <w:rPr>
          <w:rStyle w:val="FootnoteAnchor"/>
          <w:rtl w:val="true"/>
        </w:rPr>
        <w:footnoteReference w:id="165"/>
      </w:r>
      <w:r>
        <w:rPr>
          <w:rFonts w:ascii="Amiri" w:hAnsi="Amiri" w:eastAsia="Amiri" w:cs="Amiri"/>
          <w:color w:val="111111"/>
          <w:sz w:val="28"/>
          <w:sz w:val="28"/>
          <w:szCs w:val="28"/>
          <w:rtl w:val="true"/>
          <w:lang w:bidi="ar-SA"/>
        </w:rPr>
        <w:t>فيها مثلها، و لا تسلسل، بل ينقطع بانقطاع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قدماء المعتزلة أنّ الغيرين</w:t>
      </w:r>
      <w:r>
        <w:rPr>
          <w:rStyle w:val="FootnoteAnchor"/>
          <w:rtl w:val="true"/>
        </w:rPr>
        <w:footnoteReference w:id="166"/>
      </w:r>
      <w:r>
        <w:rPr>
          <w:rFonts w:ascii="Amiri" w:hAnsi="Amiri" w:eastAsia="Amiri" w:cs="Amiri"/>
          <w:color w:val="111111"/>
          <w:sz w:val="28"/>
          <w:sz w:val="28"/>
          <w:szCs w:val="28"/>
          <w:rtl w:val="true"/>
          <w:lang w:bidi="ar-SA"/>
        </w:rPr>
        <w:t>يتغايران لمعنى، و كذا المثلان و الضّدّان و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و إلاّ لزم التّسلسل</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242279_2870459653"/>
      <w:bookmarkStart w:id="248" w:name="_Toc90"/>
      <w:bookmarkEnd w:id="247"/>
      <w:r>
        <w:rPr>
          <w:rtl w:val="true"/>
        </w:rPr>
        <w:t>المطلب الثّالث</w:t>
      </w:r>
      <w:r>
        <w:rPr>
          <w:rtl w:val="true"/>
        </w:rPr>
        <w:t xml:space="preserve">: </w:t>
      </w:r>
      <w:r>
        <w:rPr>
          <w:rtl w:val="true"/>
        </w:rPr>
        <w:t>في العلّة و المعلول</w:t>
      </w:r>
      <w:bookmarkEnd w:id="248"/>
    </w:p>
    <w:p>
      <w:pPr>
        <w:pStyle w:val="BookText"/>
        <w:rPr/>
      </w:pPr>
      <w:r>
        <w:rPr>
          <w:rFonts w:ascii="Amiri" w:hAnsi="Amiri" w:eastAsia="Amiri" w:cs="Amiri"/>
          <w:color w:val="111111"/>
          <w:sz w:val="28"/>
          <w:sz w:val="28"/>
          <w:szCs w:val="28"/>
          <w:rtl w:val="true"/>
          <w:lang w:bidi="ar-SA"/>
        </w:rPr>
        <w:t>العلّة ما يستند إليها وجود شيء، و يسمّى ذلك الشّيء 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جزء المعلول أو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مادّة إن وجد بها المعلول بالقوّة و صورة إن قارن وجودها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الخارجة إمّا مؤثّرة فيه و هو الفاعل، أو الّتي لأجلها الشّيء و هي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تكثّر علل الشخصيّ التّامّة لوجوبه بكلّ منهما فيستغني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تكثّر علل النّوعي و اختلافها في الماهيّة؛ لأنّه لذاته يفتقر إلى علّة ما و التّعيين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معلول البسيط و إن اتّحدت الاعتبارات، و إلاّ لكان كلّ موجودين في سلسلة واحدة، و هو باطل بالضّرورة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الأوائل من ذلك، لأنّ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عرضا </w:t>
      </w:r>
    </w:p>
    <w:p>
      <w:pPr>
        <w:pStyle w:val="BookText"/>
        <w:rPr/>
      </w:pPr>
      <w:r>
        <w:rPr>
          <w:rFonts w:ascii="Amiri" w:hAnsi="Amiri" w:eastAsia="Amiri" w:cs="Amiri"/>
          <w:color w:val="111111"/>
          <w:sz w:val="28"/>
          <w:sz w:val="28"/>
          <w:szCs w:val="28"/>
          <w:rtl w:val="true"/>
          <w:lang w:bidi="ar-SA"/>
        </w:rPr>
        <w:t>للذّات تسلسل، و إن قوّماها أو أحدهما تركبت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غلط، لأنّه اعتباريّ، كالسّلب و القبول و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الاعتذار بكونها إضافات وارد في الصّدور، و الدّور باطل بالضّرورة، فإنّ المؤثّر في المؤثّر في الشّيء مؤثّر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ترامي</w:t>
      </w:r>
      <w:r>
        <w:rPr>
          <w:rStyle w:val="FootnoteAnchor"/>
          <w:rtl w:val="true"/>
        </w:rPr>
        <w:footnoteReference w:id="167"/>
      </w:r>
      <w:r>
        <w:rPr>
          <w:rFonts w:ascii="Amiri" w:hAnsi="Amiri" w:eastAsia="Amiri" w:cs="Amiri"/>
          <w:color w:val="111111"/>
          <w:sz w:val="28"/>
          <w:sz w:val="28"/>
          <w:szCs w:val="28"/>
          <w:rtl w:val="true"/>
          <w:lang w:bidi="ar-SA"/>
        </w:rPr>
        <w:t>العلل إلى ما لا يتناهى؛ لأنّ مجموعها مجموع امور ممكنة، كلّ واحد منها مفتقر إلى المؤثر المغاير، فالمجموع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يكون هو الجزء، إذ لا يجب به الجملة و تستلزم تأثيره في علله المتسلسلة إلى ما لا يتناهى، فبقي الخارج، و هو الواجب؛ و لأنّ الممكنات وسط، و وجد الطرف الاخر، فيوجد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تخلّف المعلول عن علّته التّامّة، و إلاّ لكان ترجيح أحد الأوقات بالوقوع دون غيره إن كان لا لمرجّح لزم رجحان أحد طرفي الممكن على الآخر لا لمرجّح، و هو باطل، و إلاّ لكان</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في العلّيّة، و قد فرض الأوّل تاما</w:t>
      </w:r>
      <w:r>
        <w:rPr>
          <w:rStyle w:val="FootnoteAnchor"/>
          <w:rtl w:val="true"/>
        </w:rPr>
        <w:footnoteReference w:id="169"/>
      </w:r>
      <w:r>
        <w:rPr>
          <w:rFonts w:ascii="IRNazanin" w:hAnsi="IRNazanin" w:eastAsia="IRNazanin"/>
          <w:color w:val="111111"/>
          <w:sz w:val="28"/>
          <w:sz w:val="28"/>
          <w:szCs w:val="28"/>
          <w:rtl w:val="true"/>
          <w:lang w:bidi="fa-IR"/>
        </w:rPr>
        <w:t>،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امتناع في اتّصاف البسيط بالمؤثريّة و القبول لشيء واحد و يكون الوجوب من حيث المؤثريّة و الإمكان من حيث القبول، فلا استحالة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العليّة و المعلوليّة من الأوصاف الاعتباريّة الّتي يمكن إلحاقها بالامور </w:t>
      </w:r>
    </w:p>
    <w:p>
      <w:pPr>
        <w:pStyle w:val="BookText"/>
        <w:rPr/>
      </w:pPr>
      <w:r>
        <w:rPr>
          <w:rFonts w:ascii="Amiri" w:hAnsi="Amiri" w:eastAsia="Amiri" w:cs="Amiri"/>
          <w:color w:val="111111"/>
          <w:sz w:val="28"/>
          <w:sz w:val="28"/>
          <w:szCs w:val="28"/>
          <w:rtl w:val="true"/>
          <w:lang w:bidi="ar-SA"/>
        </w:rPr>
        <w:t>العينيّة و الذّهنية على حدّ واحد، فلا امتناع من اتّصاف عدم الملكة بهما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العدم المطلق فلا، و يجوز توقّف العلّة العقليّة على شرط و تركّبها و إن كان المعلول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علّة بماهيّتها</w:t>
      </w:r>
      <w:r>
        <w:rPr>
          <w:rStyle w:val="FootnoteAnchor"/>
          <w:rtl w:val="true"/>
        </w:rPr>
        <w:footnoteReference w:id="170"/>
      </w:r>
      <w:r>
        <w:rPr>
          <w:rFonts w:ascii="Amiri" w:hAnsi="Amiri" w:eastAsia="Amiri" w:cs="Amiri"/>
          <w:color w:val="111111"/>
          <w:sz w:val="28"/>
          <w:sz w:val="28"/>
          <w:szCs w:val="28"/>
          <w:rtl w:val="true"/>
          <w:lang w:bidi="ar-SA"/>
        </w:rPr>
        <w:t>معلولة بوجودها،</w:t>
      </w:r>
      <w:r>
        <w:rPr>
          <w:rStyle w:val="FootnoteAnchor"/>
          <w:rtl w:val="true"/>
        </w:rPr>
        <w:footnoteReference w:id="171"/>
      </w:r>
      <w:r>
        <w:rPr>
          <w:rFonts w:ascii="Amiri" w:hAnsi="Amiri" w:eastAsia="Amiri" w:cs="Amiri"/>
          <w:color w:val="111111"/>
          <w:sz w:val="28"/>
          <w:sz w:val="28"/>
          <w:szCs w:val="28"/>
          <w:rtl w:val="true"/>
          <w:lang w:bidi="ar-SA"/>
        </w:rPr>
        <w:t>و القوّة المحرّكة</w:t>
      </w:r>
      <w:r>
        <w:rPr>
          <w:rStyle w:val="FootnoteAnchor"/>
          <w:rtl w:val="true"/>
        </w:rPr>
        <w:footnoteReference w:id="172"/>
      </w:r>
      <w:r>
        <w:rPr>
          <w:rFonts w:ascii="Amiri" w:hAnsi="Amiri" w:eastAsia="Amiri" w:cs="Amiri"/>
          <w:color w:val="111111"/>
          <w:sz w:val="28"/>
          <w:sz w:val="28"/>
          <w:szCs w:val="28"/>
          <w:rtl w:val="true"/>
          <w:lang w:bidi="ar-SA"/>
        </w:rPr>
        <w:t>الحيوانيّة تنبعث عن شوق منبعث عن تخيّل أو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تحصل غاية الشّوق فالحركة باطلة، و السّبب المؤدّي إلى مسبّبه دائما أو أكثريّا غايته ذاتيّة و إلاّ اتّفاقيّة</w:t>
      </w:r>
      <w:r>
        <w:rPr>
          <w:rFonts w:eastAsia="Amiri" w:cs="Amiri" w:ascii="Amiri" w:hAnsi="Amiri"/>
          <w:color w:val="111111"/>
          <w:sz w:val="28"/>
          <w:szCs w:val="28"/>
          <w:rtl w:val="true"/>
          <w:lang w:bidi="ar-SA"/>
        </w:rPr>
        <w:t xml:space="preserve">. </w:t>
      </w:r>
      <w:bookmarkStart w:id="249" w:name="pg9140_71203"/>
    </w:p>
    <w:p>
      <w:pPr>
        <w:pStyle w:val="Heading3"/>
        <w:numPr>
          <w:ilvl w:val="2"/>
          <w:numId w:val="1"/>
        </w:numPr>
        <w:rPr/>
      </w:pPr>
      <w:bookmarkStart w:id="250" w:name="__RefHeading___Toc3242281_2870459653"/>
      <w:bookmarkStart w:id="251" w:name="_Toc91"/>
      <w:bookmarkEnd w:id="249"/>
      <w:bookmarkEnd w:id="250"/>
      <w:r>
        <w:rPr>
          <w:rtl w:val="true"/>
        </w:rPr>
        <w:t>المقصد الثّاني في الأحكام الخاصّة</w:t>
      </w:r>
      <w:bookmarkEnd w:id="251"/>
    </w:p>
    <w:p>
      <w:pPr>
        <w:pStyle w:val="Heading4"/>
        <w:numPr>
          <w:ilvl w:val="3"/>
          <w:numId w:val="1"/>
        </w:numPr>
        <w:rPr/>
      </w:pPr>
      <w:bookmarkStart w:id="252" w:name="__RefHeading___Toc3242283_2870459653"/>
      <w:bookmarkStart w:id="253" w:name="_Toc92"/>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و فيه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242285_2870459653"/>
      <w:bookmarkStart w:id="255" w:name="_Toc93"/>
      <w:bookmarkEnd w:id="254"/>
      <w:r>
        <w:rPr>
          <w:rtl w:val="true"/>
        </w:rPr>
        <w:t>[</w:t>
      </w:r>
      <w:r>
        <w:rPr>
          <w:rtl w:val="true"/>
        </w:rPr>
        <w:t>الفصل</w:t>
      </w:r>
      <w:r>
        <w:rPr>
          <w:rtl w:val="true"/>
        </w:rPr>
        <w:t xml:space="preserve">] </w:t>
      </w:r>
      <w:r>
        <w:rPr>
          <w:rtl w:val="true"/>
        </w:rPr>
        <w:t>الأوّل في أحكام الجواهر</w:t>
      </w:r>
      <w:bookmarkEnd w:id="255"/>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بالتّحيّز، و هو الصّورة الجسميّة عند الأوائل، و عند المتكلّمين، المتحيّز هو المختصّ بحال، لكونه عليها يتزايد قدره بانضمام غيره إليه، أو يشغل قدرا من المكان بحيث يمنع غيره من أمثاله عن</w:t>
      </w:r>
      <w:r>
        <w:rPr>
          <w:rStyle w:val="FootnoteAnchor"/>
          <w:rtl w:val="true"/>
        </w:rPr>
        <w:footnoteReference w:id="173"/>
      </w:r>
      <w:r>
        <w:rPr>
          <w:rFonts w:ascii="Amiri" w:hAnsi="Amiri" w:eastAsia="Amiri" w:cs="Amiri"/>
          <w:color w:val="111111"/>
          <w:sz w:val="28"/>
          <w:sz w:val="28"/>
          <w:szCs w:val="28"/>
          <w:rtl w:val="true"/>
          <w:lang w:bidi="ar-SA"/>
        </w:rPr>
        <w:t>أن يحصل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تركبت الأجسام منها عند المتكلّمين خلافا للأوائل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جماعة من المعتزلة حصول الجسم من ثمانية منها مترتبة في الطول و العرض و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الكعبيّ من أربعة مثلّث، و فوقها رابع صنوبريّ الشّكل، و عند أبي الهذيل من ستّة، و عند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هو المركّب مطلقا، و المؤلّف </w:t>
      </w:r>
    </w:p>
    <w:p>
      <w:pPr>
        <w:pStyle w:val="BookText"/>
        <w:rPr/>
      </w:pPr>
      <w:r>
        <w:rPr>
          <w:rFonts w:ascii="Amiri" w:hAnsi="Amiri" w:eastAsia="Amiri" w:cs="Amiri"/>
          <w:color w:val="111111"/>
          <w:sz w:val="28"/>
          <w:sz w:val="28"/>
          <w:szCs w:val="28"/>
          <w:rtl w:val="true"/>
          <w:lang w:bidi="ar-SA"/>
        </w:rPr>
        <w:t>من اثنين، جسم، و النّزاع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تركّبه من أعراض، خلافا لضرار بن عمرو، و حفص الفرد و النّظّام، و إلاّ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يدرك لمسا و رؤية عند المعتزلة، و عند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المبصر بالذّات هو اللّون أو الضّوء، فابصار الجوهر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هو القائم بنفسه، فاخرج اللّون عن كونه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لا يعقل إلاّ في حيّز و محاذاة، و لا بدّ من مكان، إن جعلنا</w:t>
      </w:r>
      <w:r>
        <w:rPr>
          <w:rStyle w:val="FootnoteAnchor"/>
          <w:rtl w:val="true"/>
        </w:rPr>
        <w:footnoteReference w:id="174"/>
      </w:r>
      <w:r>
        <w:rPr>
          <w:rFonts w:ascii="Amiri" w:hAnsi="Amiri" w:eastAsia="Amiri" w:cs="Amiri"/>
          <w:color w:val="111111"/>
          <w:sz w:val="28"/>
          <w:sz w:val="28"/>
          <w:szCs w:val="28"/>
          <w:rtl w:val="true"/>
          <w:lang w:bidi="ar-SA"/>
        </w:rPr>
        <w:t xml:space="preserve">المكان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قاله بعض الأوائل، و إن جعلناه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من الجسم الحاوي المماسّ للسّطح الظاهر من المحويّ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بعضهم،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يعتمد عليه المتمكن و يقلّه و يثبت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اختاره المتكلّمون، استغنى بعض الأجسام عنه لاستحالة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القائلون بالسّطح حركة الحجر الواقف في الماء و الطائر في الهواء و سكون الشّمس، و ألزم القائلون بالبعد تداخل البعدين عند حلول المتمكّن في مكانه و التزموه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المكان بكلا التّفسيرين، هل يمكن خلوه أو يمتنع؟ فجماعة على الأوّل، لاستلزام حركة السطحين المتلاقيين</w:t>
      </w:r>
      <w:r>
        <w:rPr>
          <w:rStyle w:val="FootnoteAnchor"/>
          <w:rtl w:val="true"/>
        </w:rPr>
        <w:footnoteReference w:id="175"/>
      </w:r>
      <w:r>
        <w:rPr>
          <w:rFonts w:ascii="Amiri" w:hAnsi="Amiri" w:eastAsia="Amiri" w:cs="Amiri"/>
          <w:color w:val="111111"/>
          <w:sz w:val="28"/>
          <w:sz w:val="28"/>
          <w:szCs w:val="28"/>
          <w:rtl w:val="true"/>
          <w:lang w:bidi="ar-SA"/>
        </w:rPr>
        <w:t xml:space="preserve">دون صاحبه خلوّ الوسط؛ لانتفاء الفرج و امتناع الطفرة و فرض التلاقي و لامتناع الحركة حينئذ، و إلاّ لزم التّداخل إن بقي المتحيّز في الثّاني كما كان، و الدّور إن انتقل </w:t>
      </w:r>
    </w:p>
    <w:p>
      <w:pPr>
        <w:pStyle w:val="BookText"/>
        <w:rPr/>
      </w:pPr>
      <w:r>
        <w:rPr>
          <w:rFonts w:ascii="Amiri" w:hAnsi="Amiri" w:eastAsia="Amiri" w:cs="Amiri"/>
          <w:color w:val="111111"/>
          <w:sz w:val="28"/>
          <w:sz w:val="28"/>
          <w:szCs w:val="28"/>
          <w:rtl w:val="true"/>
          <w:lang w:bidi="ar-SA"/>
        </w:rPr>
        <w:t>إلى مكان الأوّل، و حركة جميع أجزاء العالم بحركة النّملة من مكان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التّخلخل و التّكاثف الحقيقيّان مبنيّان على المادّة، و قد أبطلناها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الأوائل على الثّاني و به قال الكعبيّ، لتقدّره، فيكون كمّا أو ذا كمّ، و لأنّها متناهية، فهي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الشّكل ذاتيّا تساوى الجزء و الكلّ‌</w:t>
      </w:r>
      <w:r>
        <w:rPr>
          <w:rStyle w:val="FootnoteAnchor"/>
          <w:rtl w:val="true"/>
        </w:rPr>
        <w:footnoteReference w:id="176"/>
      </w:r>
      <w:r>
        <w:rPr>
          <w:rFonts w:ascii="IRNazanin" w:hAnsi="IRNazanin" w:eastAsia="IRNazanin"/>
          <w:color w:val="111111"/>
          <w:sz w:val="28"/>
          <w:sz w:val="28"/>
          <w:szCs w:val="28"/>
          <w:rtl w:val="true"/>
          <w:lang w:bidi="fa-IR"/>
        </w:rPr>
        <w:t>و إلاّ وجب القابل فثبت</w:t>
      </w:r>
      <w:r>
        <w:rPr>
          <w:rStyle w:val="FootnoteAnchor"/>
          <w:rtl w:val="true"/>
        </w:rPr>
        <w:footnoteReference w:id="177"/>
      </w:r>
      <w:r>
        <w:rPr>
          <w:rFonts w:ascii="Amiri" w:hAnsi="Amiri" w:eastAsia="Amiri" w:cs="Amiri"/>
          <w:color w:val="111111"/>
          <w:sz w:val="28"/>
          <w:sz w:val="28"/>
          <w:szCs w:val="28"/>
          <w:rtl w:val="true"/>
          <w:lang w:bidi="ar-SA"/>
        </w:rPr>
        <w:t>الجسم؛ و لأنّه يلزم أن يكون الحركة مع العائق، كالحركة بدونه، فإنّ السّرعة في مقابلة الرّقة و البطء في مقابلة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الحركة في مسافة معيّنة خالية تقع في زمان وقعت مع العائق في أكثر، و لنفرضه الضّعف، ثمّ نفرض</w:t>
      </w:r>
      <w:r>
        <w:rPr>
          <w:rStyle w:val="FootnoteAnchor"/>
          <w:rtl w:val="true"/>
        </w:rPr>
        <w:footnoteReference w:id="178"/>
      </w:r>
      <w:r>
        <w:rPr>
          <w:rFonts w:ascii="Amiri" w:hAnsi="Amiri" w:eastAsia="Amiri" w:cs="Amiri"/>
          <w:color w:val="111111"/>
          <w:sz w:val="28"/>
          <w:sz w:val="28"/>
          <w:szCs w:val="28"/>
          <w:rtl w:val="true"/>
          <w:lang w:bidi="ar-SA"/>
        </w:rPr>
        <w:t>أرقّ من الأوّل بنسبة تفاوت الزّمانين فيتحرّك في زمان الخلأ و التّقدّر</w:t>
      </w:r>
      <w:r>
        <w:rPr>
          <w:rStyle w:val="FootnoteAnchor"/>
          <w:rtl w:val="true"/>
        </w:rPr>
        <w:footnoteReference w:id="179"/>
      </w:r>
      <w:r>
        <w:rPr>
          <w:rFonts w:ascii="Amiri" w:hAnsi="Amiri" w:eastAsia="Amiri" w:cs="Amiri"/>
          <w:color w:val="111111"/>
          <w:sz w:val="28"/>
          <w:sz w:val="28"/>
          <w:szCs w:val="28"/>
          <w:rtl w:val="true"/>
          <w:lang w:bidi="ar-SA"/>
        </w:rPr>
        <w:t>ذهنيّ لجسم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الشّكل بالكرة البسيطة، و الغلط</w:t>
      </w:r>
      <w:r>
        <w:rPr>
          <w:rStyle w:val="FootnoteAnchor"/>
          <w:rtl w:val="true"/>
        </w:rPr>
        <w:footnoteReference w:id="180"/>
      </w:r>
      <w:r>
        <w:rPr>
          <w:rFonts w:ascii="Amiri" w:hAnsi="Amiri" w:eastAsia="Amiri" w:cs="Amiri"/>
          <w:color w:val="111111"/>
          <w:sz w:val="28"/>
          <w:sz w:val="28"/>
          <w:szCs w:val="28"/>
          <w:rtl w:val="true"/>
          <w:lang w:bidi="ar-SA"/>
        </w:rPr>
        <w:t>في جعل الزّمان بسبب المعاوقة، بل للحركة</w:t>
      </w:r>
      <w:r>
        <w:rPr>
          <w:rStyle w:val="FootnoteAnchor"/>
          <w:rtl w:val="true"/>
        </w:rPr>
        <w:footnoteReference w:id="181"/>
      </w:r>
      <w:r>
        <w:rPr>
          <w:rFonts w:ascii="Amiri" w:hAnsi="Amiri" w:eastAsia="Amiri" w:cs="Amiri"/>
          <w:color w:val="111111"/>
          <w:sz w:val="28"/>
          <w:sz w:val="28"/>
          <w:szCs w:val="28"/>
          <w:rtl w:val="true"/>
          <w:lang w:bidi="ar-SA"/>
        </w:rPr>
        <w:t xml:space="preserve">لذاتها قدر من الزّمان، و باعتبار المعاوقة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فسيجمعهما ذات المعاوقة و يتفاوت في الزّائد باعتبار المعاوقة فلا يتساويان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أثبت الصّور النّوعيّة </w:t>
      </w:r>
    </w:p>
    <w:p>
      <w:pPr>
        <w:pStyle w:val="BookText"/>
        <w:rPr/>
      </w:pPr>
      <w:r>
        <w:rPr>
          <w:rFonts w:ascii="Amiri" w:hAnsi="Amiri" w:eastAsia="Amiri" w:cs="Amiri"/>
          <w:color w:val="111111"/>
          <w:sz w:val="28"/>
          <w:sz w:val="28"/>
          <w:szCs w:val="28"/>
          <w:rtl w:val="true"/>
          <w:lang w:bidi="ar-SA"/>
        </w:rPr>
        <w:t>يلزمه تجويز الضّدّية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الجوهر هو المقصود إليه بالإشارة لتوقّفها على تشخّص المشار إليه، و تشخّص الأعراض تابع لتشخّص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جماعة من المعتزلة للجوهر أربع صفات غير الصّفات الثّابتة له باعتبار تركّبه مع غيره، كالحياة و ما يشترط بها الجوهريّة، و هي صفة الجنس ذاتيّة، فثبت له حالتي الوجود و العدم، بها يشارك ما يشارك، و يخالف ما يخالف</w:t>
      </w:r>
      <w:r>
        <w:rPr>
          <w:rStyle w:val="FootnoteAnchor"/>
          <w:rtl w:val="true"/>
        </w:rPr>
        <w:footnoteReference w:id="183"/>
      </w:r>
      <w:r>
        <w:rPr>
          <w:rFonts w:ascii="Amiri" w:hAnsi="Amiri" w:eastAsia="Amiri" w:cs="Amiri"/>
          <w:color w:val="111111"/>
          <w:sz w:val="28"/>
          <w:sz w:val="28"/>
          <w:szCs w:val="28"/>
          <w:rtl w:val="true"/>
          <w:lang w:bidi="ar-SA"/>
        </w:rPr>
        <w:t>و الوجود، و هي الصّفة الحاصلة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التّحيّز، و هي الصّفة التّابعة للحدوث الصّادرة عن الجوهريّة بشرط الوجود؛ و الحصول في الحيّز، و هي كونه كائنا، المعلّلة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أثبتوا للأعراض صفة الجنس، الصادرة عنها عند الوجود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تزايد الجوهريّة و التّحيّز؛ لأنّ التّزايد يستند إلى علّة تتزايد أو شرط يتزايد، ككون المدرك مدركا عند كثرة المدركات، و لا شيء يستند هاتان الصّفتان إليه يصحّ فيه التّزايد؛ و لأنّ التّحيّز لو تزايد لجاز صيرورة الجوهر الفرد على صورة جبل عظيم للزّيادة الحاصلة في الصّفة الموجبة للتّعاظم، و لا الوجود و إلاّ لصحّ منّا إيجاد الموجود و إحداثه حالا فحالا، و التّالي باطل بالضّرورة، فالمقدّم مثله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الشّرطيّة أنّ كلّ ذات صحّ حصولها على أزيد من صفة واحدة حالة الحدوث صحّ حصولها على الزّائد حالة البقاء؛ و بعض الأوائل جوّز فيه الشّدّة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السكون فجوّزوا فيه التّزايد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حادثة، خلافا للأوائل؛ لأنّها لا تخلو عن الحوادث، و كلّ ما لا يخلو عن الحوادث فهو حادث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الصّغرى فلانّها لا تخلو عن الحركة و السّكون بالضّرورة؛ لأنّها إن بقيت في أحيازها كانت ساكنة و إلاّ فهي متحرّكة و لا واسطة بين النّقيضين، و كلاهما حادثان، لأنّ ماهيّة كلّ منهما يستدعي المسبوقيّة بالغير، و لا شيء</w:t>
      </w:r>
      <w:r>
        <w:rPr>
          <w:rStyle w:val="FootnoteAnchor"/>
          <w:rtl w:val="true"/>
        </w:rPr>
        <w:footnoteReference w:id="184"/>
      </w:r>
      <w:r>
        <w:rPr>
          <w:rFonts w:ascii="Amiri" w:hAnsi="Amiri" w:eastAsia="Amiri" w:cs="Amiri"/>
          <w:color w:val="111111"/>
          <w:sz w:val="28"/>
          <w:sz w:val="28"/>
          <w:szCs w:val="28"/>
          <w:rtl w:val="true"/>
          <w:lang w:bidi="ar-SA"/>
        </w:rPr>
        <w:t>من القديم كذلك؛ و لأنّ كلّ واحد من الحركة الشّخصيّة و السّكون لو كان أزليّا لما عدم، و التّالى باطل بالحسّ و تسليم الخصم و إمكان مقولة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الحركة لو كان قديما أو مجموع أفرادها كان الشّخص قديما، لامتناع وجود نوع منفك عن شخص، و لأنّه إن لم يوجد في الأزل شيء من الحركة،</w:t>
      </w:r>
      <w:r>
        <w:rPr>
          <w:rStyle w:val="FootnoteAnchor"/>
          <w:rtl w:val="true"/>
        </w:rPr>
        <w:footnoteReference w:id="185"/>
      </w:r>
      <w:r>
        <w:rPr>
          <w:rFonts w:ascii="Amiri" w:hAnsi="Amiri" w:eastAsia="Amiri" w:cs="Amiri"/>
          <w:color w:val="111111"/>
          <w:sz w:val="28"/>
          <w:sz w:val="28"/>
          <w:szCs w:val="28"/>
          <w:rtl w:val="true"/>
          <w:lang w:bidi="ar-SA"/>
        </w:rPr>
        <w:t>فالكلّ حادث و إلاّ كان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قدم شخص ما للحركة و لأنّ كلّ جزئيّ حادث فهو مسبوق بعدم</w:t>
      </w:r>
      <w:r>
        <w:rPr>
          <w:rStyle w:val="FootnoteAnchor"/>
          <w:rtl w:val="true"/>
        </w:rPr>
        <w:footnoteReference w:id="186"/>
      </w:r>
      <w:r>
        <w:rPr>
          <w:rFonts w:ascii="Amiri" w:hAnsi="Amiri" w:eastAsia="Amiri" w:cs="Amiri"/>
          <w:color w:val="111111"/>
          <w:sz w:val="28"/>
          <w:sz w:val="28"/>
          <w:szCs w:val="28"/>
          <w:rtl w:val="true"/>
          <w:lang w:bidi="ar-SA"/>
        </w:rPr>
        <w:t>لا الاوّل له أزليّ، فمجموع العدمات أزليّ، فإنّ وجد معها شيء من الحركات يساوي المسبوق و السّابق، و إلاّ كان الكلّ حادثا، فلا يمكن ترامي الحوادث إلى ما لا نهاية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الحركات لو كانت غير متناهية في جانب الماضي لتوقّف وجود اليوم على انقضاء ما لا يتناهى،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لأنّا لو فرضنا من الآن إلى الازل جملة، و من زمان الطوفان إلى الأزل جملة اخرى، ثمّ أطبقنا إحداهما </w:t>
      </w:r>
    </w:p>
    <w:p>
      <w:pPr>
        <w:pStyle w:val="BookText"/>
        <w:rPr/>
      </w:pPr>
      <w:r>
        <w:rPr>
          <w:rFonts w:ascii="Amiri" w:hAnsi="Amiri" w:eastAsia="Amiri" w:cs="Amiri"/>
          <w:color w:val="111111"/>
          <w:sz w:val="28"/>
          <w:sz w:val="28"/>
          <w:szCs w:val="28"/>
          <w:rtl w:val="true"/>
          <w:lang w:bidi="ar-SA"/>
        </w:rPr>
        <w:t>بالاخرى، فإن تساويا تساوى الزّائد و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بالضّرورة، و إلاّ انقطعت النّاقصة فانقطعتا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الأوائل، بأنّ كلّ ما لا بدّ منه في المؤثريّة إن كان قديما لزم القدم و 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الأولى ممنوعة و الثّانية منقوضة بالحادث اليوميّ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حدوث الجواهر ثبت حدوث ما يتوقّف</w:t>
      </w:r>
      <w:r>
        <w:rPr>
          <w:rStyle w:val="FootnoteAnchor"/>
          <w:rtl w:val="true"/>
        </w:rPr>
        <w:footnoteReference w:id="187"/>
      </w:r>
      <w:r>
        <w:rPr>
          <w:rFonts w:ascii="Amiri" w:hAnsi="Amiri" w:eastAsia="Amiri" w:cs="Amiri"/>
          <w:color w:val="111111"/>
          <w:sz w:val="28"/>
          <w:sz w:val="28"/>
          <w:szCs w:val="28"/>
          <w:rtl w:val="true"/>
          <w:lang w:bidi="ar-SA"/>
        </w:rPr>
        <w:t>عليها، و هو الأجسام، لتركّبها منها و لانسحاب</w:t>
      </w:r>
      <w:r>
        <w:rPr>
          <w:rStyle w:val="FootnoteAnchor"/>
          <w:rtl w:val="true"/>
        </w:rPr>
        <w:footnoteReference w:id="188"/>
      </w:r>
      <w:r>
        <w:rPr>
          <w:rFonts w:ascii="Amiri" w:hAnsi="Amiri" w:eastAsia="Amiri" w:cs="Amiri"/>
          <w:color w:val="111111"/>
          <w:sz w:val="28"/>
          <w:sz w:val="28"/>
          <w:szCs w:val="28"/>
          <w:rtl w:val="true"/>
          <w:lang w:bidi="ar-SA"/>
        </w:rPr>
        <w:t>الدّليل بعينه فيها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غير مقدور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مباشرة فلامتناع التّداخل، و كذا التّولّد مع اتحاد المحلّ</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 إمّا مع التّغاير فالّذي يعدى به الفعل عنه هو الاعتماد، و هو لا يولّد الجوهر، و إلاّ لكنّا إذا اعتمدنا على ظرف زمانا أوجدنا فيه جواهر، كما نوجدها بالنّفخ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للأوائل في هذا الباب طريق آخر، و هو أنّ الفاعل الصّورة؛ لأنّ القابل لا يكون فاعلا، و الصّورة إنّما تفعل بمشاركة</w:t>
      </w:r>
      <w:r>
        <w:rPr>
          <w:rStyle w:val="FootnoteAnchor"/>
          <w:rtl w:val="true"/>
        </w:rPr>
        <w:footnoteReference w:id="190"/>
      </w:r>
      <w:r>
        <w:rPr>
          <w:rFonts w:ascii="Amiri" w:hAnsi="Amiri" w:eastAsia="Amiri" w:cs="Amiri"/>
          <w:color w:val="111111"/>
          <w:sz w:val="28"/>
          <w:sz w:val="28"/>
          <w:szCs w:val="28"/>
          <w:rtl w:val="true"/>
          <w:lang w:bidi="ar-SA"/>
        </w:rPr>
        <w:t>الوضع، و لهذا فانّ النّار تسخّن ما يلاقيها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يلاقي ما يلاقيها بواسطة الملاقي، و الفاعل في المركّب فاعل في جزئه معا، و لا مشاركة في الوضع بين المادّة و الصّورة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بطلان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القائلون بثبوتها منعوا من تجرّدها عن الصّورة، و إلاّ فإن حصلت بعد اتّصافها بها في كلّ مكان لزم حصول الجسم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أكثر من مكان واحد، و هو باطل بالضّرورة؛ أو في بعض الأمكنة لزم التّرجيح من غير مرجّح، و هو غير تامّ، لدلالته على امتناع اتّصاف المجرّدة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ينتقض بجزئيّات العنصر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منعوا من تجرّد الصّورة عنها، و إلاّ كانت نقطة أو حالّة إن انقسمت و يمتنع استحالة الأوّل و استلزام الانقسام المادّة</w:t>
      </w:r>
      <w:r>
        <w:rPr>
          <w:rFonts w:eastAsia="Amiri" w:cs="Amiri" w:ascii="Amiri" w:hAnsi="Amiri"/>
          <w:color w:val="111111"/>
          <w:sz w:val="28"/>
          <w:szCs w:val="28"/>
          <w:rtl w:val="true"/>
          <w:lang w:bidi="ar-SA"/>
        </w:rPr>
        <w:t xml:space="preserve">. </w:t>
      </w:r>
      <w:bookmarkStart w:id="256" w:name="pg9140_71210"/>
    </w:p>
    <w:p>
      <w:pPr>
        <w:pStyle w:val="Heading4"/>
        <w:numPr>
          <w:ilvl w:val="3"/>
          <w:numId w:val="1"/>
        </w:numPr>
        <w:rPr/>
      </w:pPr>
      <w:bookmarkStart w:id="257" w:name="__RefHeading___Toc3242287_2870459653"/>
      <w:bookmarkStart w:id="258" w:name="_Toc94"/>
      <w:bookmarkEnd w:id="256"/>
      <w:bookmarkEnd w:id="257"/>
      <w:r>
        <w:rPr>
          <w:rtl w:val="true"/>
        </w:rPr>
        <w:t>الفصل الثّاني في أحكام الأجسام</w:t>
      </w:r>
      <w:bookmarkEnd w:id="258"/>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متماثلة، خلافا للنّظّام؛ لاشتراكها في الماهيّة، و هي كونها طويلة عريضة عميقة، أو أنّها الجواهر القابلة للأبعاد المتقاطعة على زوايا قوائم، و لاشتباهها حسّا عند اتّفاقها في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يبتني على مشاهدة الجميع و على التّساوي في الحقيقة عند التّساوي في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باقية، خلافا للنّظّام، للعلم الضّروريّ بأنّ المشاهد ثانيا هو المشاهد أوّلا، و الإعدام مستند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محال، خلافا للنّظّام، للعلم الضّروريّ بأن بعدين أعظم من أحدهما، و امتناع اجتماع جسمين في حيّز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خلوّ الأجسام عن جميع الأعراض إلاّ الكون، خلافا للأشاعرة، لأنّ الهواء كذلك، و قياس اللون على الكون خال عن الجامع و ما قبله على ما بعده ممنوع الأصل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مرئيّة بواسطة الضّوء و اللّون، و هو 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متناهية خلافا لحكماء الهند،</w:t>
      </w:r>
      <w:r>
        <w:rPr>
          <w:rStyle w:val="FootnoteAnchor"/>
          <w:rtl w:val="true"/>
        </w:rPr>
        <w:footnoteReference w:id="191"/>
      </w:r>
      <w:r>
        <w:rPr>
          <w:rFonts w:ascii="Amiri" w:hAnsi="Amiri" w:eastAsia="Amiri" w:cs="Amiri"/>
          <w:color w:val="111111"/>
          <w:sz w:val="28"/>
          <w:sz w:val="28"/>
          <w:szCs w:val="28"/>
          <w:rtl w:val="true"/>
          <w:lang w:bidi="ar-SA"/>
        </w:rPr>
        <w:t>و إلاّ لأمكننا فرض خطّين كساقي مثلّث يمتدّان إلى غير نهاية؛ فالبعد بينهما كذلك، فيكون ما لا يتناهى محصورا بين حاصرين، و هو باطل بالضّرورة؛ و لأنّ الكرة المفروض قطرها موازيا لخطّ غير متناه إذا تحرّكت حركة وضعيّة انتقل القطر من الموازاة إلى المسامتة، فيحدث نقطة هي أوّل نقط المسامتة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ذلك في غير المتناهي؛ و للتّطبيق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حدوث العالم، و لا يجب أن يكون أبديّا، خلافا للأوائل</w:t>
      </w:r>
      <w:r>
        <w:rPr>
          <w:rStyle w:val="FootnoteAnchor"/>
          <w:rtl w:val="true"/>
        </w:rPr>
        <w:footnoteReference w:id="192"/>
      </w:r>
      <w:r>
        <w:rPr>
          <w:rFonts w:ascii="Amiri" w:hAnsi="Amiri" w:eastAsia="Amiri" w:cs="Amiri"/>
          <w:color w:val="111111"/>
          <w:sz w:val="28"/>
          <w:sz w:val="28"/>
          <w:szCs w:val="28"/>
          <w:rtl w:val="true"/>
          <w:lang w:bidi="ar-SA"/>
        </w:rPr>
        <w:t>و الكرّاميّة</w:t>
      </w:r>
      <w:r>
        <w:rPr>
          <w:rStyle w:val="FootnoteAnchor"/>
          <w:rtl w:val="true"/>
        </w:rPr>
        <w:footnoteReference w:id="193"/>
      </w:r>
      <w:r>
        <w:rPr>
          <w:rFonts w:ascii="Amiri" w:hAnsi="Amiri" w:eastAsia="Amiri" w:cs="Amiri"/>
          <w:color w:val="111111"/>
          <w:sz w:val="28"/>
          <w:sz w:val="28"/>
          <w:szCs w:val="28"/>
          <w:rtl w:val="true"/>
          <w:lang w:bidi="ar-SA"/>
        </w:rPr>
        <w:t>لأنّ ماهيّته قابلة للعدم، و إلاّ لكان قديما واجبا لذاته، و يمتنع استناده إلى الموجب، و يجوز استناد العدم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إمّا بسيط، و هو الّذي ليس فيه تركيب من قوى و طبائع، و يتشابه أجزاؤه في تمام الماهيّة؛ و إمّا مركّب، و هو ما فيه تركيب من قوى و طبائع، و لا يتشابه أجزاؤه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البسيط إمّا فلكيّ أو 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كلّيّات الأفلاك تسعة، بناء على عدم قبوله الخرق و الالتيام، 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الفلك المحيط هو المحدّد للجهات؛ لأنّ جهتي العلو و السّفل مختلفان طبعا، و لا يمكن أن يكون الجهة عدميّة، إذ لا امتياز فيه؛ و لانّها مقصد المتحرّك و متعلّق الإشارة غير منقسمة، و إلاّ </w:t>
      </w:r>
    </w:p>
    <w:p>
      <w:pPr>
        <w:pStyle w:val="BookText"/>
        <w:rPr/>
      </w:pPr>
      <w:r>
        <w:rPr>
          <w:rFonts w:ascii="Amiri" w:hAnsi="Amiri" w:eastAsia="Amiri" w:cs="Amiri"/>
          <w:color w:val="111111"/>
          <w:sz w:val="28"/>
          <w:sz w:val="28"/>
          <w:szCs w:val="28"/>
          <w:rtl w:val="true"/>
          <w:lang w:bidi="ar-SA"/>
        </w:rPr>
        <w:t>لكان الواصل إلى منتصفها إن قصد الجهة ممّا وراءه ليس منها، و إلاّ فهو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التّمايز في البعد المتساوي و لا بجسمين متباينين وضعا؛ لأنّ كلّ واحد يحدّد القرب منه دون البعد، فلا بدّ من محيط يتحدّد القرب بسطحه</w:t>
      </w:r>
      <w:r>
        <w:rPr>
          <w:rStyle w:val="FootnoteAnchor"/>
          <w:rtl w:val="true"/>
        </w:rPr>
        <w:footnoteReference w:id="194"/>
      </w:r>
      <w:r>
        <w:rPr>
          <w:rFonts w:ascii="Amiri" w:hAnsi="Amiri" w:eastAsia="Amiri" w:cs="Amiri"/>
          <w:color w:val="111111"/>
          <w:sz w:val="28"/>
          <w:sz w:val="28"/>
          <w:szCs w:val="28"/>
          <w:rtl w:val="true"/>
          <w:lang w:bidi="ar-SA"/>
        </w:rPr>
        <w:t>، و البعد بمركزه و إعدام الملكة قد تتمايز بملكاتها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يقصد الحركة إلى البياض و ليس موجودا و متعلّق الإشارة الأحياز و الأبعاد و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البعدين يخالف الآخر بخصوصيّته و وضعه، فهو كاف في تمايز الجهة، و لأنّهما طرفا بعد متوهّم من المركز إلى المحيط، و البعد يحصل بانقطاع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بسيط، و إلاّ لكان مركّبا فصحّ‌</w:t>
      </w:r>
      <w:r>
        <w:rPr>
          <w:rStyle w:val="FootnoteAnchor"/>
          <w:rtl w:val="true"/>
        </w:rPr>
        <w:footnoteReference w:id="195"/>
      </w:r>
      <w:r>
        <w:rPr>
          <w:rFonts w:ascii="Amiri" w:hAnsi="Amiri" w:eastAsia="Amiri" w:cs="Amiri"/>
          <w:color w:val="111111"/>
          <w:sz w:val="28"/>
          <w:sz w:val="28"/>
          <w:szCs w:val="28"/>
          <w:rtl w:val="true"/>
          <w:lang w:bidi="ar-SA"/>
        </w:rPr>
        <w:t>عليه الانحلال، و المحدّد لا يصحّ عليه الانحلال و إلاّ لكان ذا جهة مسبوقا بها، فحركته دوريّة لتساوي نسبة أجزائه إلى الأمور الخارجة عنه، فأمكنت الحركة عليه؛ فكان ذا ميل مستدير، فلا يكون له مستقيم، للتّنافي بين الميلين؛ فلا يكون خفيفا و لا ثقيلا، و لا يقبل الخرق و الالتيام، و لا حارّا و لا باردا و لا رطبا و لا يابسا، بل هو طبيعة خامسة مخالفة لطبائع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الأصول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فلاختصاصها لو سلّمت بالمحدّد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فلانتقاضها بالأفلاك الثّمانية، إذ يصحّ على كلّ فلك مماسّة غيره بمقعّره، كما يصحّ بمحدّبه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ثالثا، فلأنّ إمكان الحركة لا يستلزم وجوب الميل، إلاّ إذا تمّ الاستعداد،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 فلأنّ الميول لو لم تجتمع لتساوت الحركتان عن ضعيف 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 فلم لا يجوز وجود ميلين في وقتين عند حالتين، كالمتحرّك يوجد فيه الميل عند مفارقة مكانه و عدمه عند حصوله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الاعتراضات ذكرناه في كتاب نهاية المرام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بسائط العناصر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الوسط، مركزها مركز العالم، و لها كيفيّتان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هي البرودة، و انفعاليّة هي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يحيط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ربعا واحدا معمورا، انكشف عن الماء، لحكمة نشو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كيفيّتان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هي البرودة، و انفعاليّة هي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بالماء، و له كيفيّتان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هي الحرارة و انفعاليّة هي الرّطوبة بمعنى قبول الأشكال، لا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محيطة بالهواء و لها كيفيّتان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هي الحرارة و انفعاليّة هي اليبوسة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قابلة للكون و الفساد، لصيرورة النّار هواء عند الانطفاء </w:t>
      </w:r>
    </w:p>
    <w:p>
      <w:pPr>
        <w:pStyle w:val="BookText"/>
        <w:rPr/>
      </w:pPr>
      <w:r>
        <w:rPr>
          <w:rFonts w:ascii="Amiri" w:hAnsi="Amiri" w:eastAsia="Amiri" w:cs="Amiri"/>
          <w:color w:val="111111"/>
          <w:sz w:val="28"/>
          <w:sz w:val="28"/>
          <w:szCs w:val="28"/>
          <w:rtl w:val="true"/>
          <w:lang w:bidi="ar-SA"/>
        </w:rPr>
        <w:t>و بالعكس عند النّفخ؛ و الهواء عند تبرّده</w:t>
      </w:r>
      <w:r>
        <w:rPr>
          <w:rStyle w:val="FootnoteAnchor"/>
          <w:rtl w:val="true"/>
        </w:rPr>
        <w:footnoteReference w:id="197"/>
      </w:r>
      <w:r>
        <w:rPr>
          <w:rFonts w:ascii="Amiri" w:hAnsi="Amiri" w:eastAsia="Amiri" w:cs="Amiri"/>
          <w:color w:val="111111"/>
          <w:sz w:val="28"/>
          <w:sz w:val="28"/>
          <w:szCs w:val="28"/>
          <w:rtl w:val="true"/>
          <w:lang w:bidi="ar-SA"/>
        </w:rPr>
        <w:t>ماء، كما يجتمع قطرات الماء على طرف الإناء الحاوي للجمد و بالعكس عند الإسخان؛ و الأرض ماء، كما يفعله أصحاب الاكسير و بالعكس؛ فإن كثيرا من مياه العيون ينعقد حجارة صلدة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العناصر تتركّب المركّبات المعدنيّة و النّباتيّة و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إذا امتزجت انكسرت صرافة كلّ كيفيّة؛</w:t>
      </w:r>
      <w:r>
        <w:rPr>
          <w:rStyle w:val="FootnoteAnchor"/>
          <w:rtl w:val="true"/>
        </w:rPr>
        <w:footnoteReference w:id="198"/>
      </w:r>
      <w:r>
        <w:rPr>
          <w:rFonts w:ascii="Amiri" w:hAnsi="Amiri" w:eastAsia="Amiri" w:cs="Amiri"/>
          <w:color w:val="111111"/>
          <w:sz w:val="28"/>
          <w:sz w:val="28"/>
          <w:szCs w:val="28"/>
          <w:rtl w:val="true"/>
          <w:lang w:bidi="ar-SA"/>
        </w:rPr>
        <w:t>فإنّ النّار لا تبقى على صرافة حرارتها، و لا الماء على صرافة برودته، و لا الهواء على صرافة لطافته، و لا الأرض على صرافة يبسها، بل تحدث كيفيّة متوسّطة بين هذه الكيفيّات على النّسبة و هي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فإنّ الكاسر و المنكسر إن اقترن فعلا هما كان المغلوب حال كونه مقهورا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فإن تقدّم فعل أحدهما كان المغلوب بعد انكساره غالبا،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أجابوا بأنّ الفاعل، الصّورة و المنفعل، الكيفيّة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الصّورة إنّما تفعل بواسطة الكيفيّة و ينتقض أيضا بالماء الحارّ الممتزج بالبارد</w:t>
      </w:r>
      <w:r>
        <w:rPr>
          <w:rFonts w:eastAsia="Amiri" w:cs="Amiri" w:ascii="Amiri" w:hAnsi="Amiri"/>
          <w:color w:val="111111"/>
          <w:sz w:val="28"/>
          <w:szCs w:val="28"/>
          <w:rtl w:val="true"/>
          <w:lang w:bidi="ar-SA"/>
        </w:rPr>
        <w:t xml:space="preserve">. </w:t>
      </w:r>
      <w:bookmarkStart w:id="259" w:name="pg9140_71215"/>
    </w:p>
    <w:p>
      <w:pPr>
        <w:pStyle w:val="Heading4"/>
        <w:numPr>
          <w:ilvl w:val="3"/>
          <w:numId w:val="1"/>
        </w:numPr>
        <w:rPr/>
      </w:pPr>
      <w:bookmarkStart w:id="260" w:name="__RefHeading___Toc3242289_2870459653"/>
      <w:bookmarkStart w:id="261" w:name="_Toc95"/>
      <w:bookmarkEnd w:id="259"/>
      <w:bookmarkEnd w:id="260"/>
      <w:r>
        <w:rPr>
          <w:rtl w:val="true"/>
        </w:rPr>
        <w:t>الفصل الثالث في أحكام الجواهر المجرّدة</w:t>
      </w:r>
      <w:bookmarkEnd w:id="26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نفاها أكثر المتكلّمين و إلاّ لشاركت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 و 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المساواة في الصّفات الثّبوتيّة لا تقتضي المساواة في الذّات؛ فكيف السّلبيّة؟</w:t>
      </w:r>
    </w:p>
    <w:p>
      <w:pPr>
        <w:pStyle w:val="BookText"/>
        <w:rPr/>
      </w:pPr>
      <w:r>
        <w:rPr>
          <w:rFonts w:ascii="Amiri" w:hAnsi="Amiri" w:eastAsia="Amiri" w:cs="Amiri"/>
          <w:color w:val="111111"/>
          <w:sz w:val="28"/>
          <w:sz w:val="28"/>
          <w:szCs w:val="28"/>
          <w:rtl w:val="true"/>
          <w:lang w:bidi="ar-SA"/>
        </w:rPr>
        <w:t>نعم أدلّة ثبوتها ضعيفة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النّفس، فاستدلّوا على ثبوتها بأن هنا معلومات غير منقسمة، كواجب الوجود و الوحدة و النّقطة؛ فالعلم بها غير منقسم، و إلاّ فجزؤه إمّا أن يكون علما بكلّ المعلوم فيتساوى الجزء و الكلّ في الحقيقة، أو ببعضه، فينقسم البسيط؛ أو لا يكون علما، فعند الاجتماع إن لم يحصل زائد، فالعلم غير علم؛ أو يحصل، فيكون هو العلم، فالتّركيب في فاعله أو قابله، لا فيه، فمحلّ العلم غير منقسم؛ و إلاّ فإن قام بكلّ جزء منه جزء من العلم انقسم و قد فرضناه غير منقسم و إن قام ببعض الأجزاء نقلنا الكلام فيه، و إن لم يقم بشيء منه لم يكن محلاّ؛ فكلّ جسم و جسمانيّ منقسم، فمحلّ العلم الّذي هو النّفس شيء مجرّد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ضعيف، لأنّ التّساوي في المتعلّق</w:t>
      </w:r>
      <w:r>
        <w:rPr>
          <w:rStyle w:val="FootnoteAnchor"/>
          <w:rtl w:val="true"/>
        </w:rPr>
        <w:footnoteReference w:id="199"/>
      </w:r>
      <w:r>
        <w:rPr>
          <w:rFonts w:ascii="Amiri" w:hAnsi="Amiri" w:eastAsia="Amiri" w:cs="Amiri"/>
          <w:color w:val="111111"/>
          <w:sz w:val="28"/>
          <w:sz w:val="28"/>
          <w:szCs w:val="28"/>
          <w:rtl w:val="true"/>
          <w:lang w:bidi="ar-SA"/>
        </w:rPr>
        <w:t>بالمعلوم لا يستلزم التّساوي في الماهيّة، لأنّها نسبة خارجة عن الماهيّة و إذا حصل زائد عند الاجتماع لم يحصل</w:t>
      </w:r>
      <w:r>
        <w:rPr>
          <w:rStyle w:val="FootnoteAnchor"/>
          <w:rtl w:val="true"/>
        </w:rPr>
        <w:footnoteReference w:id="200"/>
      </w:r>
      <w:r>
        <w:rPr>
          <w:rFonts w:ascii="Amiri" w:hAnsi="Amiri" w:eastAsia="Amiri" w:cs="Amiri"/>
          <w:color w:val="111111"/>
          <w:sz w:val="28"/>
          <w:sz w:val="28"/>
          <w:szCs w:val="28"/>
          <w:rtl w:val="true"/>
          <w:lang w:bidi="ar-SA"/>
        </w:rPr>
        <w:t>انتفاء التّركيب عنه، لعوده في كلّ مركّب و لا يلزم من انقسام المحلّ انقسام الحالّ، كما يذهبون إليه في الوحدة و النقطة و غيرهما؛ و نمنع انقسام الجسم إلى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فاستدلّوا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لا يصدر عنه أكثر من واحد؛ و لا يجوز أن يكون جسما، لتركّبه و لا مادّة، لامتناع كون القابل فاعلا، و لا صورة و إلاّ كانت مستغنية في فاعليّتها عن المادّة، فتكون مستغنية في وجودها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نفسا، و إلاّ لاستغنت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لإمكان صدور أكثر من واحد عن البسيط، على ما تقدّم؛ ثمّ هذا في الموجب، أمّا المختار فلا، و نمنع تركّب الجسم، و قد أبطلنا الهيولى؛ و القابل جاز أن يكون فاعلا، كما تقدّم، سلّمنا، لكن بالاستقبال أو مطلقا، ممنوع و كذا الصّورة جاز أن تكون متوسّطة بذاتها و كذا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أبطلنا دليل النّفس النّاطقة و لم يقم برهان على استحالتها بقي القول بالجواز، فإن قلنا بها، فالإنسان المكلّف هو هي، و إلاّ فهو أجزاء أصليّة في هذا البدن، لا يتطرّق إليها التّغيّر و لا الفناء، باقية من أوّل العمر الى آخره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التّغذية و التّنمية و التّحلّل في الأجزاء الفاضلة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مثبتو النّفس في أنّها واحدة بالنّوع أو لا، فبعضهم على الأوّل، لاتّفاقها في حدّ؛ و هو ضعيف إذ التّحديد راجع إلى التّصوّر، و بعضهم على الثّاني لاختلافها في الذّكاء و الرّحمة و ضدّهما، و لا يلزم من اختلاف الصّفات اختلاف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إن قلنا بها فهي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أكثر الأوائل، لأنّ الأبدان حادثة بالضّرورة، فلو كانت سابقة عليها لكانت إمّا واحدة أو كثيرة، و القسمان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فلأنّها إن بقيت واحدة بعد التّعلّق اتّحدت الأشخاص البشريّة بالشّخص، و هو باطل بالضّرورة، و إن تكثّرت كانت جسما، إذ المنقسم هو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فلامتناع تكثّرها بالذّاتيّات و اللّوازم، لاتّحادها في النّوع، و بالعوارض، لأنّ اختصاص بعض جزئيّات النّوع بعارض دون غيره إنّما هو بسبب المادّة، و مادّة النّفس، البدن، فقبله لا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التّناسخ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عندنا، فظاهر، لحدوث النّفس إن أثبتناها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الأوائل، فلأنّ الحادث ينتهي إلى مبدأ قديم عامّ الفيض و الحدوث إنّما هو بواسطة استعداد القابل، و قابل النّفس البدن فحدوثه يوجب فيضان نفس متعلّقة به؛ فلو انتقلت إليه نفس اخرى اجتمع نفسان على بدن واحد، و هو محال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الأوائل، النّفس لا تفنى بفناء البدن، و إلاّ لكان إمكان العدم مفتقرا إلى المحلّ، و ليس هو النّفس، لامتناع كون الشّيء محلاّ لإمكان </w:t>
      </w:r>
    </w:p>
    <w:p>
      <w:pPr>
        <w:pStyle w:val="BookText"/>
        <w:rPr/>
      </w:pPr>
      <w:r>
        <w:rPr>
          <w:rFonts w:ascii="Amiri" w:hAnsi="Amiri" w:eastAsia="Amiri" w:cs="Amiri"/>
          <w:color w:val="111111"/>
          <w:sz w:val="28"/>
          <w:sz w:val="28"/>
          <w:szCs w:val="28"/>
          <w:rtl w:val="true"/>
          <w:lang w:bidi="ar-SA"/>
        </w:rPr>
        <w:t>عدمه، لوجوب اجتماع القابل و المقبول، فلا بدّ من شيء آخر هو المادّة، فتكون ماديّة، فتكون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افتقار الإمكان إلى محلّ؛ سلّمنا، لكنّ القبول صفة القابل فلا يحلّ في غيره، و إلاّ لزم نفي الإمكان مطلقا، و لا يلزم من كونها مادّية كونها جسما، خصوصا، و عندكم، أنّها مندرجة تحت جنس الجوهر، فتكون لها فصل، فتكون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تدرك الكلّيّات بذاتها، أمّا الجزئيّات فمنع الأوائل منه إلاّ بواسطة القوى الجسمانيّة، فإنّا إذا تخيّلنا مربّعا مجنّحا بمربّعين فلا بدّ من مائز بينهما، و ليس بالذّاتيّات و اللّوازم، لتساويهما نوعا، و لا بالعوارض و ليس في الخارج، لفرضهما ذهنيّتين، فليس إلاّ مغايرة المحلّين ذهنا، و نمنع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الأوائل قوى حسّاسة باطنة، و هي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 المشترك، و هي قوّة مرتبة في مقدّم البطن الأوّل من الدّماغ، يؤدّي إليها جميع الحواسّ ما أدركته، للحكم بأنّ صاحب هذا اللّون هو صاحب هذا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وحدة القوّة لما أمكن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للنّفس باعتبار الحواسّ و ينتقض بالحكم بالكلّيّ على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الخيال، و هو خزانة الحسّ المشترك، و هو حافظ، لا مدرك، للمغايرة بين الحافظ و القابل، كالماء و لا يوجب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الحفظ لا بدّ فيه من القبول فيتّصف بهما القوّة الواحدة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المتخيّلة، و تسمّى المفكّرة، لكن باعتبارين، و شأنها التّركيب </w:t>
      </w:r>
    </w:p>
    <w:p>
      <w:pPr>
        <w:pStyle w:val="BookText"/>
        <w:rPr/>
      </w:pPr>
      <w:r>
        <w:rPr>
          <w:rFonts w:ascii="Amiri" w:hAnsi="Amiri" w:eastAsia="Amiri" w:cs="Amiri"/>
          <w:color w:val="111111"/>
          <w:sz w:val="28"/>
          <w:sz w:val="28"/>
          <w:szCs w:val="28"/>
          <w:rtl w:val="true"/>
          <w:lang w:bidi="ar-SA"/>
        </w:rPr>
        <w:t>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للقوى المدركة، لأنّ الواحد لا يكون علّة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w:t>
      </w:r>
      <w:r>
        <w:rPr>
          <w:rStyle w:val="FootnoteAnchor"/>
          <w:rtl w:val="true"/>
        </w:rPr>
        <w:footnoteReference w:id="201"/>
      </w:r>
      <w:r>
        <w:rPr>
          <w:rFonts w:ascii="Amiri" w:hAnsi="Amiri" w:eastAsia="Amiri" w:cs="Amiri"/>
          <w:color w:val="111111"/>
          <w:sz w:val="28"/>
          <w:sz w:val="28"/>
          <w:szCs w:val="28"/>
          <w:rtl w:val="true"/>
          <w:lang w:bidi="ar-SA"/>
        </w:rPr>
        <w:t>يستدعي العلم، و الوهميّة و هي مدركة المعاني الجزئيّة، كالصّداقة و العداوة الجزئيّتين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الأفعال البشريّة مستندة إليها، و هي مغايرة للقوى الّتي لا يدرك المعاني، و للنّفس الّتي لا تدرك الجزئيّات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العداوة المتعلّقة بهذا الشّخص لا تعقل إلاّ متعلّقة به، فالمدرك 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الحافظة، و هي خزانة الوهم و يسمّى متذكّرة، لقوّتها على الاسترجاع بعد الغيبوبة، و الكلام فيه كالخيال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الأوائل للنّفس النّباتيّة ثلاث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الغاذية، و هي قوّة حالة في المغتذي، تحيل الغذاء إلى مشابهه ليخلف بدل ما يتحلّل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النّامية، و هي الّتي تزيد في أقطار الجسم على تناسب طبيعيّ ليبلغ إلى تمام النّشو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المولّدة، و هي الّتي تفصل جزءا من فضل الهضم الأخير للمغتذي و تودعه قوّة من مشيجه</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فالغاذية تخدمها أربع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الجاذبة للغذاء، و الماسكة له حتى تهضمه، الهاضمة، و الدّافعة </w:t>
      </w:r>
    </w:p>
    <w:p>
      <w:pPr>
        <w:pStyle w:val="BookText"/>
        <w:rPr/>
      </w:pPr>
      <w:r>
        <w:rPr>
          <w:rFonts w:ascii="Amiri" w:hAnsi="Amiri" w:eastAsia="Amiri" w:cs="Amiri"/>
          <w:color w:val="111111"/>
          <w:sz w:val="28"/>
          <w:sz w:val="28"/>
          <w:szCs w:val="28"/>
          <w:rtl w:val="true"/>
          <w:lang w:bidi="ar-SA"/>
        </w:rPr>
        <w:t>و فعل الغاذية يتمّ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الخلط المشابه للمغتذي بالقوّة و تصييره جزءا للعضو، و تشبيهه به في قوامه و لونه، فإذا انتقصت الرّطوبة الغريزيّة بعد سنّ الوقوف انحلّت، فانطفت الحرارة الغريزيّة و بطل عملها</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المحتاج إلى البدل ليس مجموع الزّائل</w:t>
      </w:r>
      <w:r>
        <w:rPr>
          <w:rStyle w:val="FootnoteAnchor"/>
          <w:rtl w:val="true"/>
        </w:rPr>
        <w:footnoteReference w:id="203"/>
      </w:r>
      <w:r>
        <w:rPr>
          <w:rFonts w:ascii="Amiri" w:hAnsi="Amiri" w:eastAsia="Amiri" w:cs="Amiri"/>
          <w:color w:val="111111"/>
          <w:sz w:val="28"/>
          <w:sz w:val="28"/>
          <w:szCs w:val="28"/>
          <w:rtl w:val="true"/>
          <w:lang w:bidi="ar-SA"/>
        </w:rPr>
        <w:t>و الباقي، لأنّه غير موجود بعد زوال الزّائل، و لا الزّائل وحده، و لا مجموع الباقي و الآتي، و لا الآتي؛ بل إن كان فالباقي، و هو مساو للآتي، فلا يصحّ احتياجه إليه، و لأن مداخلة الغذاء، توجب التّفريق الموجب للألم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الباقي فلا بدّ من بقاء شيء فيه</w:t>
      </w:r>
      <w:r>
        <w:rPr>
          <w:rStyle w:val="FootnoteAnchor"/>
          <w:rtl w:val="true"/>
        </w:rPr>
        <w:footnoteReference w:id="204"/>
      </w:r>
      <w:r>
        <w:rPr>
          <w:rFonts w:ascii="Amiri" w:hAnsi="Amiri" w:eastAsia="Amiri" w:cs="Amiri"/>
          <w:color w:val="111111"/>
          <w:sz w:val="28"/>
          <w:sz w:val="28"/>
          <w:szCs w:val="28"/>
          <w:rtl w:val="true"/>
          <w:lang w:bidi="ar-SA"/>
        </w:rPr>
        <w:t>و ليس الصّورة و لا المادّة؛ لأنّ البدن دائما في التّحلّل، و ليس البعض أولى من الباقي، فيكون النّموّ إحداثا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المصوّرة، فالضّرورة</w:t>
      </w:r>
      <w:r>
        <w:rPr>
          <w:rStyle w:val="FootnoteAnchor"/>
          <w:rtl w:val="true"/>
        </w:rPr>
        <w:footnoteReference w:id="205"/>
      </w:r>
      <w:r>
        <w:rPr>
          <w:rFonts w:ascii="Amiri" w:hAnsi="Amiri" w:eastAsia="Amiri" w:cs="Amiri"/>
          <w:color w:val="111111"/>
          <w:sz w:val="28"/>
          <w:sz w:val="28"/>
          <w:szCs w:val="28"/>
          <w:rtl w:val="true"/>
          <w:lang w:bidi="ar-SA"/>
        </w:rPr>
        <w:t>حاكمة باسناد التّشكّلات مختلفة</w:t>
      </w:r>
      <w:r>
        <w:rPr>
          <w:rStyle w:val="FootnoteAnchor"/>
          <w:rtl w:val="true"/>
        </w:rPr>
        <w:footnoteReference w:id="206"/>
      </w:r>
      <w:r>
        <w:rPr>
          <w:rFonts w:ascii="Amiri" w:hAnsi="Amiri" w:eastAsia="Amiri" w:cs="Amiri"/>
          <w:color w:val="111111"/>
          <w:sz w:val="28"/>
          <w:sz w:val="28"/>
          <w:szCs w:val="28"/>
          <w:rtl w:val="true"/>
          <w:lang w:bidi="ar-SA"/>
        </w:rPr>
        <w:t>و الأعضاء الغريبة إلى فاعل مختار، لا إلى قوّة لا حسّ لها و لا إدراك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الجنّ و الشّياطين أجسام لطيفة قادرة على التّشكّلات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الأوائل النّفوس الفلكيّة مجرّدات هي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أوائل المعتزلة الجنّ، لأنّها إن كانت لطيفة لم تكن قادرة على شيء من الأفعال و إن كانت كثيفة وجب أن نشاهدها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لطيفة بمعنى الشّفافيّة</w:t>
      </w:r>
      <w:r>
        <w:rPr>
          <w:rFonts w:eastAsia="Amiri" w:cs="Amiri" w:ascii="Amiri" w:hAnsi="Amiri"/>
          <w:color w:val="111111"/>
          <w:sz w:val="28"/>
          <w:szCs w:val="28"/>
          <w:rtl w:val="true"/>
          <w:lang w:bidi="ar-SA"/>
        </w:rPr>
        <w:t xml:space="preserve">. </w:t>
      </w:r>
      <w:bookmarkStart w:id="262" w:name="pg9140_71221"/>
    </w:p>
    <w:p>
      <w:pPr>
        <w:pStyle w:val="Heading4"/>
        <w:numPr>
          <w:ilvl w:val="3"/>
          <w:numId w:val="1"/>
        </w:numPr>
        <w:rPr/>
      </w:pPr>
      <w:bookmarkStart w:id="263" w:name="__RefHeading___Toc3242291_2870459653"/>
      <w:bookmarkStart w:id="264" w:name="_Toc96"/>
      <w:bookmarkEnd w:id="262"/>
      <w:bookmarkEnd w:id="263"/>
      <w:r>
        <w:rPr>
          <w:rtl w:val="true"/>
        </w:rPr>
        <w:t>الفصل الرّابع في أحكام الأعراض</w:t>
      </w:r>
      <w:bookmarkEnd w:id="264"/>
    </w:p>
    <w:p>
      <w:pPr>
        <w:pStyle w:val="BookText"/>
        <w:rPr/>
      </w:pPr>
      <w:r>
        <w:rPr>
          <w:rFonts w:ascii="Amiri" w:hAnsi="Amiri" w:eastAsia="Amiri" w:cs="Amiri"/>
          <w:color w:val="111111"/>
          <w:sz w:val="28"/>
          <w:sz w:val="28"/>
          <w:szCs w:val="28"/>
          <w:rtl w:val="true"/>
          <w:lang w:bidi="ar-SA"/>
        </w:rPr>
        <w:t>و هي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لا يصحّ عليها الانتقال عند الأوائل و المتكلّمين؛ لأنّ علّة تشخّصه المحلّ، و إلاّ لكان مستغنيا بموجده و مشخّصه</w:t>
      </w:r>
      <w:r>
        <w:rPr>
          <w:rStyle w:val="FootnoteAnchor"/>
          <w:rtl w:val="true"/>
        </w:rPr>
        <w:footnoteReference w:id="207"/>
      </w:r>
      <w:r>
        <w:rPr>
          <w:rFonts w:ascii="Amiri" w:hAnsi="Amiri" w:eastAsia="Amiri" w:cs="Amiri"/>
          <w:color w:val="111111"/>
          <w:sz w:val="28"/>
          <w:sz w:val="28"/>
          <w:szCs w:val="28"/>
          <w:rtl w:val="true"/>
          <w:lang w:bidi="ar-SA"/>
        </w:rPr>
        <w:t>عن المحلّ، فلا يحلّ فيه؛ و الملازمة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قيام العرض بمثله عند المتكلّمين، خلافا للأوائل و معمّر، إذ لا بدّ من الانتهاء إلى الجوهر، فهو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لجواز اشتراط المتوسّط، كالحركة، و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القيام هنا، الاختصاص النّاعت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منها ما يصحّ عليه البقاء، خلافا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أبو الحسين الضّرورة في ذلك، فإنّا نعلم بالضّرورة بقاء السّواد في القار و البياض في القطن، كما نعلم بقاء الجسم المشاهد زمانين، و لأنّها ممكنة في الزمان الأوّل و إلاّ لما وجدت، فكذا في الثّاني، و إلاّ لزم انتقال الشّيء من الإمكان الذّاتيّ إلى الامتناع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اعترضناه في النّهاية</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إمكان البقاء مغاير لإمكان الوجود المطلق</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الثّاني ثابت دون الأوّل، و لا يلزم استحالة الممكن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البقاء عرض، فلا يقوم بالعرض، و بأنّ بقاءه يستلزم امتناع عدمه؛ إذ لا يعدم لذاته و إلاّ لصار ممتنعا؛ و لا لطريان ضدّ، لأنّ شرط طريانه عدم الأوّل، فلو علّل به دار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لا للفاعل المختار؛ لأنّ الإعدام نفي أثر، لا إيجاد، فعند ذلك النّفي إن لم يتجدد شيء لم يكن للفاعل أثر</w:t>
      </w:r>
      <w:r>
        <w:rPr>
          <w:rStyle w:val="FootnoteAnchor"/>
          <w:rtl w:val="true"/>
        </w:rPr>
        <w:footnoteReference w:id="212"/>
      </w:r>
      <w:r>
        <w:rPr>
          <w:rFonts w:ascii="Amiri" w:hAnsi="Amiri" w:eastAsia="Amiri" w:cs="Amiri"/>
          <w:color w:val="111111"/>
          <w:sz w:val="28"/>
          <w:sz w:val="28"/>
          <w:szCs w:val="28"/>
          <w:rtl w:val="true"/>
          <w:lang w:bidi="ar-SA"/>
        </w:rPr>
        <w:t>البتة، و إن تجدّد فهو وجوديّ، فيكون إيجادا، لا إعداما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لانتفاء الشّرط، لأنّ شرطه الجوهر، و هو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عدمه كالكلام في عدم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 كون البقاء عرضا، و يجوز قيام العرض بمثله، و جاز استناد عدمه إلى ذاته في الزّمن الثّالث، كما تجوّزونه</w:t>
      </w:r>
      <w:r>
        <w:rPr>
          <w:rStyle w:val="FootnoteAnchor"/>
          <w:rtl w:val="true"/>
        </w:rPr>
        <w:footnoteReference w:id="213"/>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نمنع اشتراط الطّريان بانتفاء السّابق، و يجوز استناد الإعدام إلى الفاعل، و الصّادر لا يجب أن يكون وجوديّا، و نفي الوجود أثر، كما أنّ </w:t>
      </w:r>
    </w:p>
    <w:p>
      <w:pPr>
        <w:pStyle w:val="BookText"/>
        <w:rPr/>
      </w:pPr>
      <w:r>
        <w:rPr>
          <w:rFonts w:ascii="Amiri" w:hAnsi="Amiri" w:eastAsia="Amiri" w:cs="Amiri"/>
          <w:color w:val="111111"/>
          <w:sz w:val="28"/>
          <w:sz w:val="28"/>
          <w:szCs w:val="28"/>
          <w:rtl w:val="true"/>
          <w:lang w:bidi="ar-SA"/>
        </w:rPr>
        <w:t>تحصيله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انحصار الشّرط في الجوهر، بل جاز اشتراط الباقية بأعراض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انقطع إيجادها عدمت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حلول عرض واحد في محلّين، خلافا لأبي هاشم في التّأليف و لبعض الأوائل في الإضافات المتّفقة، و إلاّ لجاز حلول الجسم في مكانين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بامتناع حلول الجسمين في مكان واحد بخلاف العرضين باطل، لأنّ الامتناع هناك للحجميّة المنفيّة</w:t>
      </w:r>
      <w:r>
        <w:rPr>
          <w:rStyle w:val="FootnoteAnchor"/>
          <w:rtl w:val="true"/>
        </w:rPr>
        <w:footnoteReference w:id="214"/>
      </w:r>
      <w:r>
        <w:rPr>
          <w:rFonts w:ascii="IRNazanin" w:hAnsi="IRNazanin" w:eastAsia="IRNazanin"/>
          <w:color w:val="111111"/>
          <w:sz w:val="28"/>
          <w:sz w:val="28"/>
          <w:szCs w:val="28"/>
          <w:rtl w:val="true"/>
          <w:lang w:bidi="fa-IR"/>
        </w:rPr>
        <w:t>عن العرض</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عرض في محلّين</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الحالّ في محلّ هو بعينه حالّ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 إلاّ لاستغنى بكلّ منهما عن الآخر، فيكون محتاجا إلى كلّ واحد منهما حال غناه عنه؛ و بمعنى حلوله في مجموع شيئين صارا باجتماعهما محلاّ واحدا له، ممكن، كالعشريّة القائمة بالآحاد لما انضمّت و قامت بها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الوحدة كالكلام في العشريّة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9140_71225"/>
      <w:bookmarkStart w:id="266" w:name="pg9140_71225"/>
      <w:bookmarkEnd w:id="266"/>
    </w:p>
    <w:p>
      <w:pPr>
        <w:pStyle w:val="Heading2"/>
        <w:numPr>
          <w:ilvl w:val="1"/>
          <w:numId w:val="1"/>
        </w:numPr>
        <w:rPr/>
      </w:pPr>
      <w:bookmarkStart w:id="267" w:name="pg9140_71225"/>
      <w:bookmarkStart w:id="268" w:name="__RefHeading___Toc3242293_2870459653"/>
      <w:bookmarkStart w:id="269" w:name="_Toc97"/>
      <w:bookmarkEnd w:id="267"/>
      <w:bookmarkEnd w:id="268"/>
      <w:r>
        <w:rPr>
          <w:rtl w:val="true"/>
        </w:rPr>
        <w:t>المرصد الخامس في إثبات واجب الوجود تعالى و صفاته و فيه مقاصد</w:t>
      </w:r>
      <w:bookmarkEnd w:id="2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3242295_2870459653"/>
      <w:bookmarkStart w:id="271" w:name="_Toc98"/>
      <w:bookmarkEnd w:id="270"/>
      <w:r>
        <w:rPr>
          <w:rtl w:val="true"/>
        </w:rPr>
        <w:t>اشارة</w:t>
      </w:r>
      <w:bookmarkEnd w:id="2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9140_71227"/>
      <w:bookmarkStart w:id="273" w:name="pg9140_71227"/>
      <w:bookmarkEnd w:id="273"/>
    </w:p>
    <w:p>
      <w:pPr>
        <w:pStyle w:val="Heading3"/>
        <w:numPr>
          <w:ilvl w:val="2"/>
          <w:numId w:val="1"/>
        </w:numPr>
        <w:rPr/>
      </w:pPr>
      <w:bookmarkStart w:id="274" w:name="pg9140_71227"/>
      <w:bookmarkStart w:id="275" w:name="__RefHeading___Toc3242297_2870459653"/>
      <w:bookmarkStart w:id="276" w:name="_Toc99"/>
      <w:bookmarkEnd w:id="274"/>
      <w:bookmarkEnd w:id="275"/>
      <w:r>
        <w:rPr>
          <w:rtl w:val="true"/>
        </w:rPr>
        <w:t>[</w:t>
      </w:r>
      <w:r>
        <w:rPr>
          <w:rtl w:val="true"/>
        </w:rPr>
        <w:t>المقصد</w:t>
      </w:r>
      <w:r>
        <w:rPr>
          <w:rtl w:val="true"/>
        </w:rPr>
        <w:t xml:space="preserve">] </w:t>
      </w:r>
      <w:r>
        <w:rPr>
          <w:rtl w:val="true"/>
        </w:rPr>
        <w:t>الأوّل في اثبات واجب الوجود تعالى</w:t>
      </w:r>
      <w:bookmarkEnd w:id="276"/>
    </w:p>
    <w:p>
      <w:pPr>
        <w:pStyle w:val="BookText"/>
        <w:rPr/>
      </w:pPr>
      <w:r>
        <w:rPr>
          <w:rFonts w:ascii="Amiri" w:hAnsi="Amiri" w:eastAsia="Amiri" w:cs="Amiri"/>
          <w:color w:val="111111"/>
          <w:sz w:val="28"/>
          <w:sz w:val="28"/>
          <w:szCs w:val="28"/>
          <w:rtl w:val="true"/>
          <w:lang w:bidi="ar-SA"/>
        </w:rPr>
        <w:t>و يستدلّ عليه إمّا بالإمكان أو الحدوث، إمّا في الذّات أو الصّفات، فلأقسام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ممكن لتغيّره و كثرته، و سيأتي أنّ الواجب واحد، باق، و كلّ ممكن فلا بدّ له من مؤثّر، فإن انتهى إلى الواجب فالمطلوب، و إلاّ تسلسل أو دار؛ و هما باطلان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متساوية في الجسميّة على ما مرّ، فاختصاص كلّ واحد منها بعرضه القائم به أمر ممكن فلا بدّ له من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حادثة، على ما تقدّم، فلا بدّ لها من محدث بالضّرورة، و هي طريقة الخليل عليه السّلام فالمحدث إن كان قديما واجبا فالمطلوب، و إلاّ تسلسل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تنقلب علقة ثمّ مضغة، ثمّ لحما و عظما و دما؛ فلا بدّ له من مؤثّر، و ليس هو الإنسان، و لا أبواه بالضّرورة، فلا بدّ من مؤثّر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يمتنع استناد هذه الآثار الغريبة إلى القوّة المولّدة، فانّه لا شعور لها و لا اختيار، </w:t>
      </w:r>
    </w:p>
    <w:p>
      <w:pPr>
        <w:pStyle w:val="BookText"/>
        <w:rPr/>
      </w:pPr>
      <w:r>
        <w:rPr>
          <w:rFonts w:ascii="Amiri" w:hAnsi="Amiri" w:eastAsia="Amiri" w:cs="Amiri"/>
          <w:color w:val="111111"/>
          <w:sz w:val="28"/>
          <w:sz w:val="28"/>
          <w:szCs w:val="28"/>
          <w:rtl w:val="true"/>
          <w:lang w:bidi="ar-SA"/>
        </w:rPr>
        <w:t>فكان يصدر عنها شيء واحد و يكون شكله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الأوّل أقواها، فإنّه كما يدلّ على إثبات الصّانع يدلّ على وجوبه، بخلاف باقي الطرق، لافتقارها في الدّلالة على الوجوب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ثبوت الواجب قريب من البديهة، لأنّ هنا موجودا بالضّرورة، فإن كان واجبا فالمطلوب، و إلاّ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تسلسل فمجموع الامور الممكنة ممكن لا بدّ له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في وجود الممكن مطلق العلّة، بل لا بدّ من علّة تامّة يصير معها واجبا، و بدونها ممتنعا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فالعلّة التّامّة لمجموع الممكنات يجب أن تكون واجبة، لأنّها لو كانت ممكنة، فان كانت علّة تامّة لكلّ واحد من الممكنات كانت علّة لنفسها، لأنّها من جملة الممكنات، و إن كانت علّة تامّة لبعض الممكنات دون بعض كانت جزءا من العلّة التامّة لمجموع الممكنات، و هي بعينها علّة لمجموع الممكنات، فيلزم كون الشّيء جزءا من نفسه، و لما تقدّم من إبطال التّسلسل و الدّور</w:t>
      </w:r>
      <w:r>
        <w:rPr>
          <w:rFonts w:eastAsia="Amiri" w:cs="Amiri" w:ascii="Amiri" w:hAnsi="Amiri"/>
          <w:color w:val="111111"/>
          <w:sz w:val="28"/>
          <w:szCs w:val="28"/>
          <w:rtl w:val="true"/>
          <w:lang w:bidi="ar-SA"/>
        </w:rPr>
        <w:t xml:space="preserve">. </w:t>
      </w:r>
      <w:bookmarkStart w:id="277" w:name="pg9140_71229"/>
    </w:p>
    <w:p>
      <w:pPr>
        <w:pStyle w:val="Heading3"/>
        <w:numPr>
          <w:ilvl w:val="2"/>
          <w:numId w:val="1"/>
        </w:numPr>
        <w:rPr/>
      </w:pPr>
      <w:bookmarkStart w:id="278" w:name="__RefHeading___Toc3242299_2870459653"/>
      <w:bookmarkStart w:id="279" w:name="_Toc100"/>
      <w:bookmarkEnd w:id="277"/>
      <w:bookmarkEnd w:id="278"/>
      <w:r>
        <w:rPr>
          <w:rtl w:val="true"/>
        </w:rPr>
        <w:t>المقصد الثّاني في صفاته تعالى</w:t>
      </w:r>
      <w:bookmarkEnd w:id="279"/>
    </w:p>
    <w:p>
      <w:pPr>
        <w:pStyle w:val="Heading4"/>
        <w:numPr>
          <w:ilvl w:val="3"/>
          <w:numId w:val="1"/>
        </w:numPr>
        <w:rPr/>
      </w:pPr>
      <w:bookmarkStart w:id="280" w:name="__RefHeading___Toc3242301_2870459653"/>
      <w:bookmarkStart w:id="281" w:name="_Toc101"/>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و فيه فصلان</w:t>
      </w:r>
    </w:p>
    <w:p>
      <w:pPr>
        <w:pStyle w:val="Heading4"/>
        <w:numPr>
          <w:ilvl w:val="3"/>
          <w:numId w:val="1"/>
        </w:numPr>
        <w:rPr/>
      </w:pPr>
      <w:bookmarkStart w:id="282" w:name="__RefHeading___Toc3242303_2870459653"/>
      <w:bookmarkStart w:id="283" w:name="_Toc102"/>
      <w:bookmarkEnd w:id="282"/>
      <w:r>
        <w:rPr>
          <w:rtl w:val="true"/>
        </w:rPr>
        <w:t>[</w:t>
      </w:r>
      <w:r>
        <w:rPr>
          <w:rtl w:val="true"/>
        </w:rPr>
        <w:t>الفصل</w:t>
      </w:r>
      <w:r>
        <w:rPr>
          <w:rtl w:val="true"/>
        </w:rPr>
        <w:t xml:space="preserve">] </w:t>
      </w:r>
      <w:r>
        <w:rPr>
          <w:rtl w:val="true"/>
        </w:rPr>
        <w:t>الأوّل في الصّفات الثّبوتيّة</w:t>
      </w:r>
      <w:bookmarkEnd w:id="283"/>
    </w:p>
    <w:p>
      <w:pPr>
        <w:pStyle w:val="Heading5"/>
        <w:numPr>
          <w:ilvl w:val="4"/>
          <w:numId w:val="1"/>
        </w:numPr>
        <w:rPr/>
      </w:pPr>
      <w:bookmarkStart w:id="284" w:name="__RefHeading___Toc3242305_2870459653"/>
      <w:bookmarkStart w:id="285" w:name="_Toc103"/>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286" w:name="__RefHeading___Toc3242307_2870459653"/>
      <w:bookmarkStart w:id="287" w:name="_Toc104"/>
      <w:bookmarkEnd w:id="286"/>
      <w:r>
        <w:rPr>
          <w:rtl w:val="true"/>
        </w:rPr>
        <w:t>[</w:t>
      </w:r>
      <w:r>
        <w:rPr>
          <w:rtl w:val="true"/>
        </w:rPr>
        <w:t>المطلب</w:t>
      </w:r>
      <w:r>
        <w:rPr>
          <w:rtl w:val="true"/>
        </w:rPr>
        <w:t xml:space="preserve">] </w:t>
      </w:r>
      <w:r>
        <w:rPr>
          <w:rtl w:val="true"/>
        </w:rPr>
        <w:t>الأوّل</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موجود</w:t>
      </w:r>
      <w:bookmarkEnd w:id="287"/>
    </w:p>
    <w:p>
      <w:pPr>
        <w:pStyle w:val="BookText"/>
        <w:rPr/>
      </w:pPr>
      <w:r>
        <w:rPr>
          <w:rFonts w:ascii="Amiri" w:hAnsi="Amiri" w:eastAsia="Amiri" w:cs="Amiri"/>
          <w:color w:val="111111"/>
          <w:sz w:val="28"/>
          <w:sz w:val="28"/>
          <w:szCs w:val="28"/>
          <w:rtl w:val="true"/>
          <w:lang w:bidi="ar-SA"/>
        </w:rPr>
        <w:t>قد تقدّم إثبات واجب الوجود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الثّبوت الوجود بالضّرورة، و لأنّه لو لم يكن موجودا لكان معدوما، إذ لا واسطة بينهما، و العدم لا يصلح للمبدئيّة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للمتقابلات، كالوجود و العدم، و الوجوب و قسيميه، و الوحدة و الكثرة؛ و مبدأ المتقابلات لا يتّصف بأحدها، فهو ليس بموجود بالمعنى المقابل للعدم، و لا بواحد</w:t>
      </w:r>
      <w:r>
        <w:rPr>
          <w:rStyle w:val="FootnoteAnchor"/>
          <w:rtl w:val="true"/>
        </w:rPr>
        <w:footnoteReference w:id="216"/>
      </w:r>
      <w:r>
        <w:rPr>
          <w:rFonts w:ascii="IRNazanin" w:hAnsi="IRNazanin" w:eastAsia="IRNazanin"/>
          <w:color w:val="111111"/>
          <w:sz w:val="28"/>
          <w:sz w:val="28"/>
          <w:szCs w:val="28"/>
          <w:rtl w:val="true"/>
          <w:lang w:bidi="fa-IR"/>
        </w:rPr>
        <w:t xml:space="preserve">بالمعنى </w:t>
      </w:r>
      <w:bookmarkStart w:id="288" w:name="pg9140_71230"/>
    </w:p>
    <w:p>
      <w:pPr>
        <w:pStyle w:val="BookText"/>
        <w:rPr/>
      </w:pPr>
      <w:bookmarkEnd w:id="288"/>
      <w:r>
        <w:rPr>
          <w:rFonts w:ascii="Amiri" w:hAnsi="Amiri" w:eastAsia="Amiri" w:cs="Amiri"/>
          <w:color w:val="111111"/>
          <w:sz w:val="28"/>
          <w:sz w:val="28"/>
          <w:szCs w:val="28"/>
          <w:rtl w:val="true"/>
          <w:lang w:bidi="ar-SA"/>
        </w:rPr>
        <w:t>المقابل للكثرة، و لا واجب بالمعنى المقابل للإمكان، بل و لا مبدأ بالمعنى المقابل لعدم المبدئيّة، و لا مبدع بالمعنى المقابل لنقيضه، و هو موجود و واحد و مبدع من حيث كونه مبدأ للوحدة و الكثرة، و مبدع للوجود و العدم المتصوّر</w:t>
      </w:r>
      <w:r>
        <w:rPr>
          <w:rStyle w:val="FootnoteAnchor"/>
          <w:rtl w:val="true"/>
        </w:rPr>
        <w:footnoteReference w:id="217"/>
      </w:r>
      <w:r>
        <w:rPr>
          <w:rFonts w:ascii="Amiri" w:hAnsi="Amiri" w:eastAsia="Amiri" w:cs="Amiri"/>
          <w:color w:val="111111"/>
          <w:sz w:val="28"/>
          <w:sz w:val="28"/>
          <w:szCs w:val="28"/>
          <w:rtl w:val="true"/>
          <w:lang w:bidi="ar-SA"/>
        </w:rPr>
        <w:t>بإزاء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لا فائدة فيه محصّلة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242309_2870459653"/>
      <w:bookmarkStart w:id="290" w:name="_Toc105"/>
      <w:bookmarkEnd w:id="289"/>
      <w:r>
        <w:rPr>
          <w:rtl w:val="true"/>
        </w:rPr>
        <w:t>المطلب الثاني</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قادر</w:t>
      </w:r>
      <w:bookmarkEnd w:id="290"/>
    </w:p>
    <w:p>
      <w:pPr>
        <w:pStyle w:val="BookText"/>
        <w:rPr/>
      </w:pPr>
      <w:r>
        <w:rPr>
          <w:rFonts w:ascii="Amiri" w:hAnsi="Amiri" w:eastAsia="Amiri" w:cs="Amiri"/>
          <w:color w:val="111111"/>
          <w:sz w:val="28"/>
          <w:sz w:val="28"/>
          <w:szCs w:val="28"/>
          <w:rtl w:val="true"/>
          <w:lang w:bidi="ar-SA"/>
        </w:rPr>
        <w:t xml:space="preserve">و المراد منه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مع جواز ألاّ يفعل، بل إذا شاء أن يفعل فعل، و إذا شاء أن يترك ترك، لأنّه لو لم يكن كذلك لكان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التّالي باطل، و إلاّ لزم قدم العالم أو حدوثه تعالى، و 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إن كان صحيح الوجود في الأزل التزمنا القدم، و إلاّ لم يجب القدرة، لتوقّف الأثر على القابل كالفاعل، و لإمكان الواسطة، و لأنّ الفاعل إن استجمع جميع جهات المؤثريّة امتنع التّرك و إلاّ امتنع الفعل، فلا قدرة، و لأنّ التّرك غير مقدور، لأنه عدم، فكذا الفعل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العالم صحيح الوجود في الأزل إن استند إلى الموجب، مستحيل إن استند إلى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استحالته مطلقا، لكن وجوده قبل أن وجد لا يخرجه عن الحدوث، فكان يجب أن يوجد قبل وجوده، لوجود العلّة التّامّة و انتفاء المانع، و الواسطة باطلة بالإجماع، و لأنّها ممكنة، فتكون من العالم، فلا تعقل واسطة بين الواجب و العالم</w:t>
      </w:r>
      <w:r>
        <w:rPr>
          <w:rFonts w:eastAsia="Amiri" w:cs="Amiri" w:ascii="Amiri" w:hAnsi="Amiri"/>
          <w:color w:val="111111"/>
          <w:sz w:val="28"/>
          <w:szCs w:val="28"/>
          <w:rtl w:val="true"/>
          <w:lang w:bidi="ar-SA"/>
        </w:rPr>
        <w:t xml:space="preserve">. </w:t>
      </w:r>
      <w:bookmarkStart w:id="291" w:name="pg9140_71231"/>
    </w:p>
    <w:p>
      <w:pPr>
        <w:pStyle w:val="BookText"/>
        <w:rPr/>
      </w:pPr>
      <w:bookmarkEnd w:id="291"/>
      <w:r>
        <w:rPr>
          <w:rFonts w:ascii="Amiri" w:hAnsi="Amiri" w:eastAsia="Amiri" w:cs="Amiri"/>
          <w:color w:val="111111"/>
          <w:sz w:val="28"/>
          <w:sz w:val="28"/>
          <w:szCs w:val="28"/>
          <w:rtl w:val="true"/>
          <w:lang w:bidi="ar-SA"/>
        </w:rPr>
        <w:t>و امتناع التّرك باعتبار استجماع الشّرائط لا تخرج الفاعل عن القدرة، لأنّ المختار إذا أخذ مع قدرته تساوى الطرفان بالنّسبة إليه، و إن ضمّ إليه الدّاعي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الاختيار استواء الطرفين بالنّسبة إلى القدرة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القادر هو الّذي يصحّ أن يفعل و أن لا يفعل، لا أن يفعل التّرك</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242311_2870459653"/>
      <w:bookmarkStart w:id="293" w:name="_Toc106"/>
      <w:bookmarkEnd w:id="292"/>
      <w:r>
        <w:rPr>
          <w:rtl w:val="true"/>
        </w:rPr>
        <w:t>المطلب الثالث</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عالم</w:t>
      </w:r>
      <w:bookmarkEnd w:id="293"/>
    </w:p>
    <w:p>
      <w:pPr>
        <w:pStyle w:val="BookText"/>
        <w:rPr/>
      </w:pPr>
      <w:r>
        <w:rPr>
          <w:rFonts w:ascii="Amiri" w:hAnsi="Amiri" w:eastAsia="Amiri" w:cs="Amiri"/>
          <w:color w:val="111111"/>
          <w:sz w:val="28"/>
          <w:sz w:val="28"/>
          <w:szCs w:val="28"/>
          <w:rtl w:val="true"/>
          <w:lang w:bidi="ar-SA"/>
        </w:rPr>
        <w:t xml:space="preserve">اتّفق العقلاء إلاّ قدماء الفلاسفة عليه؛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الأفعال المحكمة المتقنة، و كلّ من كان كذلك فهو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المقدّمتان ضروريّتان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عالما؛ لأنّ المختار هو الّذي يفعل بواسطة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قد يصدر مرّة اتفاقا عن الجاهل، فجاز التّعدد، و لأنّ كثيرا من الحيوانات تفعل أفعالا محكمة، و ليست عالمة، كالزّنبور، و المحتذى و لأنّ العلم نسبة، فتغاير الذات، فيكون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للأمور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بالفرق بين وقوع المحكم ندرة و دائما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الحيوانات عالمة بما يفعله من الامور المحكمة</w:t>
      </w:r>
      <w:r>
        <w:rPr>
          <w:rStyle w:val="FootnoteAnchor"/>
          <w:rtl w:val="true"/>
        </w:rPr>
        <w:footnoteReference w:id="218"/>
      </w:r>
      <w:r>
        <w:rPr>
          <w:rFonts w:ascii="Amiri" w:hAnsi="Amiri" w:eastAsia="Amiri" w:cs="Amiri"/>
          <w:color w:val="111111"/>
          <w:sz w:val="28"/>
          <w:sz w:val="28"/>
          <w:szCs w:val="28"/>
          <w:rtl w:val="true"/>
          <w:lang w:bidi="ar-SA"/>
        </w:rPr>
        <w:t>، و كذا المحتذى، و النّسب عدميّة و الحلول اعتباريّ</w:t>
      </w:r>
      <w:r>
        <w:rPr>
          <w:rFonts w:eastAsia="Amiri" w:cs="Amiri" w:ascii="Amiri" w:hAnsi="Amiri"/>
          <w:color w:val="111111"/>
          <w:sz w:val="28"/>
          <w:szCs w:val="28"/>
          <w:rtl w:val="true"/>
          <w:lang w:bidi="ar-SA"/>
        </w:rPr>
        <w:t xml:space="preserve">. </w:t>
      </w:r>
      <w:bookmarkStart w:id="294" w:name="pg9140_71232"/>
    </w:p>
    <w:p>
      <w:pPr>
        <w:pStyle w:val="Heading5"/>
        <w:numPr>
          <w:ilvl w:val="4"/>
          <w:numId w:val="1"/>
        </w:numPr>
        <w:rPr/>
      </w:pPr>
      <w:bookmarkStart w:id="295" w:name="__RefHeading___Toc3242313_2870459653"/>
      <w:bookmarkStart w:id="296" w:name="_Toc107"/>
      <w:bookmarkEnd w:id="294"/>
      <w:bookmarkEnd w:id="295"/>
      <w:r>
        <w:rPr>
          <w:rtl w:val="true"/>
        </w:rPr>
        <w:t>المطلب الرابع</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حيّ‌</w:t>
      </w:r>
      <w:bookmarkEnd w:id="296"/>
    </w:p>
    <w:p>
      <w:pPr>
        <w:pStyle w:val="BookText"/>
        <w:rPr/>
      </w:pPr>
      <w:r>
        <w:rPr>
          <w:rFonts w:ascii="Amiri" w:hAnsi="Amiri" w:eastAsia="Amiri" w:cs="Amiri"/>
          <w:color w:val="111111"/>
          <w:sz w:val="28"/>
          <w:sz w:val="28"/>
          <w:szCs w:val="28"/>
          <w:rtl w:val="true"/>
          <w:lang w:bidi="ar-SA"/>
        </w:rPr>
        <w:t>اتّفق العقلاء عليه، و اختلفوا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أبي الحسين و الأوائل،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يستحيل أن يقدر و يعلم، و قد ثبت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عالم، فيكون حيّا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الأشاعرة و جماعة من المعتزلة أنّه من كان على صفة لأجلها يصحّ أن يعلم و يقدر، لأنه لو لا ذلك لم يكن حصول هذه الصّحة أولى من عدم حصولها؛ و هو باطل، لأنّ المقتضي للصحّة ذاته المخالفة لغيرها من الذّوات بحقيقتها</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3242315_2870459653"/>
      <w:bookmarkStart w:id="298" w:name="_Toc108"/>
      <w:bookmarkEnd w:id="297"/>
      <w:r>
        <w:rPr>
          <w:rtl w:val="true"/>
        </w:rPr>
        <w:t>المطلب الخامس</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مريد</w:t>
      </w:r>
      <w:bookmarkEnd w:id="298"/>
    </w:p>
    <w:p>
      <w:pPr>
        <w:pStyle w:val="BookText"/>
        <w:rPr/>
      </w:pPr>
      <w:r>
        <w:rPr>
          <w:rFonts w:ascii="IRNazanin" w:hAnsi="IRNazanin" w:eastAsia="IRNazanin"/>
          <w:color w:val="111111"/>
          <w:sz w:val="28"/>
          <w:sz w:val="28"/>
          <w:szCs w:val="28"/>
          <w:rtl w:val="true"/>
          <w:lang w:bidi="fa-IR"/>
        </w:rPr>
        <w:t>اتّفق العلماء</w:t>
      </w:r>
      <w:r>
        <w:rPr>
          <w:rStyle w:val="FootnoteAnchor"/>
          <w:rtl w:val="true"/>
        </w:rPr>
        <w:footnoteReference w:id="219"/>
      </w:r>
      <w:r>
        <w:rPr>
          <w:rFonts w:ascii="Amiri" w:hAnsi="Amiri" w:eastAsia="Amiri" w:cs="Amiri"/>
          <w:color w:val="111111"/>
          <w:sz w:val="28"/>
          <w:sz w:val="28"/>
          <w:szCs w:val="28"/>
          <w:rtl w:val="true"/>
          <w:lang w:bidi="ar-SA"/>
        </w:rPr>
        <w:t xml:space="preserve">عليه و اختلفوا في معناه، فعند أبي الحسين أنّه نفس الدّاعي، و هو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الفعل من المصلحة الدّاعية إلى الايجاد أو المفسدة الدّاعية إلى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النّجار أنّه عبارة عن كونه غير مغلوب و لا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الكعبيّ أنّ معناه في أفعال نفسه كونه عالما بها، و في أفعال غيره كونه آمرا بها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الأشاعرة و أبي هاشم أنّه من كان على صفة لأجلها يصحّ منه </w:t>
      </w:r>
      <w:bookmarkStart w:id="299" w:name="pg9140_71233"/>
    </w:p>
    <w:p>
      <w:pPr>
        <w:pStyle w:val="BookText"/>
        <w:rPr/>
      </w:pPr>
      <w:bookmarkEnd w:id="299"/>
      <w:r>
        <w:rPr>
          <w:rFonts w:ascii="Amiri" w:hAnsi="Amiri" w:eastAsia="Amiri" w:cs="Amiri"/>
          <w:color w:val="111111"/>
          <w:sz w:val="28"/>
          <w:sz w:val="28"/>
          <w:szCs w:val="28"/>
          <w:rtl w:val="true"/>
          <w:lang w:bidi="ar-SA"/>
        </w:rPr>
        <w:t>تخصيص الفعل بالإيجاد في وقت دون آخر أو بإيقاعه على وجه دون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ثبوت الإرادة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المطلق أنّ العالم حادث، فتخصيص إيجاده بوقت دون ما قبله و ما بعده، مع جوازهما، يفتقر الى المخصّص، و ليس القدرة، لتساوي نسبتها، و لا العلم لتبعيته، فهو الإرادة، و لأنّ تخصيص ما وجد بالإيجاد دون غيره من المقدورات يستدعي مخصّصا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إثبات إرادة الفعل منّا أمره بالطّاعة، و نهيه عن المعصية، و هما يستلزمان الإرادة و الكراهة، خلافا للأشعريّة الّذين أثبتوا الطلب مغايرا للإرادة، لعدم تعقّله، و إلزامهم بتمهيد عذر السيّد الضّارب عبده للمخالفة إذا أمره مشترك</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242317_2870459653"/>
      <w:bookmarkStart w:id="301" w:name="_Toc109"/>
      <w:bookmarkEnd w:id="300"/>
      <w:r>
        <w:rPr>
          <w:rtl w:val="true"/>
        </w:rPr>
        <w:t>المطلب السّادس</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مدرك</w:t>
      </w:r>
      <w:bookmarkEnd w:id="301"/>
    </w:p>
    <w:p>
      <w:pPr>
        <w:pStyle w:val="BookText"/>
        <w:rPr/>
      </w:pPr>
      <w:r>
        <w:rPr>
          <w:rFonts w:ascii="Amiri" w:hAnsi="Amiri" w:eastAsia="Amiri" w:cs="Amiri"/>
          <w:color w:val="111111"/>
          <w:sz w:val="28"/>
          <w:sz w:val="28"/>
          <w:szCs w:val="28"/>
          <w:rtl w:val="true"/>
          <w:lang w:bidi="ar-SA"/>
        </w:rPr>
        <w:t xml:space="preserve">اتّفق المسلمون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 و اختلفوا، فقال أبو الحسين و الكعبيّ و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علمه بالمسموعات و المبصرات، لاستحالة أن يكون هو الإحساس بالحواس و لا ما عداه غير العلم، لأنّه غير معقول، و سيأتي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بكلّ معلوم، و للسّمع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أثبت الجبّائيّان و الأشعريّ و السّيّد المرتضى و الخوارزميّ أمرا زائدا على العلم، لأنّ إدراكنا زائد على علمنا؛ للفرق بين العلم عند المشاهدة و بينه </w:t>
      </w:r>
    </w:p>
    <w:p>
      <w:pPr>
        <w:pStyle w:val="BookText"/>
        <w:rPr/>
      </w:pPr>
      <w:r>
        <w:rPr>
          <w:rFonts w:ascii="Amiri" w:hAnsi="Amiri" w:eastAsia="Amiri" w:cs="Amiri"/>
          <w:color w:val="111111"/>
          <w:sz w:val="28"/>
          <w:sz w:val="28"/>
          <w:szCs w:val="28"/>
          <w:rtl w:val="true"/>
          <w:lang w:bidi="ar-SA"/>
        </w:rPr>
        <w:t>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المقتضي لذلك كون المدرك حيّا،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فإدراكه زائد، و المقدّمات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استدلّوا على ثبوته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فيصحّ أن يتّصف بالسّمع و البصر، و كلّ من صحّ اتّصافه بصفة وجب أن يتّصف بها أو بضدّها، و ضدّها نقص، و هو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استناد ذلك إلى النّقل، و لا يجب صحّة اتّصاف الحيّ بالسّمع و البصر، فإنّ أكثر الهوامّ و السّمك لا سمع لها، و العقرب و الخلد</w:t>
      </w:r>
      <w:r>
        <w:rPr>
          <w:rStyle w:val="FootnoteAnchor"/>
          <w:rtl w:val="true"/>
        </w:rPr>
        <w:footnoteReference w:id="220"/>
      </w:r>
      <w:r>
        <w:rPr>
          <w:rFonts w:ascii="Amiri" w:hAnsi="Amiri" w:eastAsia="Amiri" w:cs="Amiri"/>
          <w:color w:val="111111"/>
          <w:sz w:val="28"/>
          <w:sz w:val="28"/>
          <w:szCs w:val="28"/>
          <w:rtl w:val="true"/>
          <w:lang w:bidi="ar-SA"/>
        </w:rPr>
        <w:t>لا بصر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الدّيدان</w:t>
      </w:r>
      <w:r>
        <w:rPr>
          <w:rStyle w:val="FootnoteAnchor"/>
          <w:rtl w:val="true"/>
        </w:rPr>
        <w:footnoteReference w:id="221"/>
      </w:r>
      <w:r>
        <w:rPr>
          <w:rFonts w:ascii="Amiri" w:hAnsi="Amiri" w:eastAsia="Amiri" w:cs="Amiri"/>
          <w:color w:val="111111"/>
          <w:sz w:val="28"/>
          <w:sz w:val="28"/>
          <w:szCs w:val="28"/>
          <w:rtl w:val="true"/>
          <w:lang w:bidi="ar-SA"/>
        </w:rPr>
        <w:t>و كثير من الهوامّ لا سمع لها و لا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يمتنع اتّصاف تلك الأنواع بالسّمع و البصر لما خلا جميع أشخاصها منهما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إذا جاز أن يكون بعض فصول الأنواع مزيلا لتلك الصّحة بطلت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اتّصاف الشّيء بأحد الضّدّين كالشّفاف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يتصف القابل للصّفة بها أو بعدمها، و نمنع كون ضدّهما نقصا في حقّه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القياس باطل، على أنّ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العموميّة، لانتفاء القابليّة، كما أن حياتنا مصحّحة للشهوة و النّفرة دون حياته تعالى</w:t>
      </w:r>
      <w:r>
        <w:rPr>
          <w:rFonts w:eastAsia="Amiri" w:cs="Amiri" w:ascii="Amiri" w:hAnsi="Amiri"/>
          <w:color w:val="111111"/>
          <w:sz w:val="28"/>
          <w:szCs w:val="28"/>
          <w:rtl w:val="true"/>
          <w:lang w:bidi="ar-SA"/>
        </w:rPr>
        <w:t xml:space="preserve">. </w:t>
      </w:r>
      <w:bookmarkStart w:id="302" w:name="pg9140_71235"/>
    </w:p>
    <w:p>
      <w:pPr>
        <w:pStyle w:val="Heading5"/>
        <w:numPr>
          <w:ilvl w:val="4"/>
          <w:numId w:val="1"/>
        </w:numPr>
        <w:rPr/>
      </w:pPr>
      <w:bookmarkStart w:id="303" w:name="__RefHeading___Toc3242319_2870459653"/>
      <w:bookmarkStart w:id="304" w:name="_Toc110"/>
      <w:bookmarkEnd w:id="302"/>
      <w:bookmarkEnd w:id="303"/>
      <w:r>
        <w:rPr>
          <w:rtl w:val="true"/>
        </w:rPr>
        <w:t>المطلب السّابع</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متكلّم</w:t>
      </w:r>
      <w:bookmarkEnd w:id="304"/>
    </w:p>
    <w:p>
      <w:pPr>
        <w:pStyle w:val="BookText"/>
        <w:rPr/>
      </w:pPr>
      <w:r>
        <w:rPr>
          <w:rFonts w:ascii="Amiri" w:hAnsi="Amiri" w:eastAsia="Amiri" w:cs="Amiri"/>
          <w:color w:val="111111"/>
          <w:sz w:val="28"/>
          <w:sz w:val="28"/>
          <w:szCs w:val="28"/>
          <w:rtl w:val="true"/>
          <w:lang w:bidi="ar-SA"/>
        </w:rPr>
        <w:t xml:space="preserve">اتّفق المسلمون على ذلك، لقوله تعالى، وَ كَلَّمَ اَللّٰهُ مُوسىٰ تَكْلِيماً </w:t>
      </w:r>
      <w:r>
        <w:rPr>
          <w:rStyle w:val="FootnoteAnchor"/>
          <w:rtl w:val="true"/>
        </w:rPr>
        <w:footnoteReference w:id="223"/>
      </w:r>
      <w:r>
        <w:rPr>
          <w:rFonts w:ascii="Amiri" w:hAnsi="Amiri" w:eastAsia="Amiri" w:cs="Amiri"/>
          <w:color w:val="111111"/>
          <w:sz w:val="28"/>
          <w:sz w:val="28"/>
          <w:szCs w:val="28"/>
          <w:rtl w:val="true"/>
          <w:lang w:bidi="ar-SA"/>
        </w:rPr>
        <w:t xml:space="preserve">، و لا دور؛ لأنه إثبات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 الرّسول المعلوم صدقه بالمعجزة، و لأنّه قادر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فعند المعتزلة، أنّه خلق في أجسام جماديّة أصواتا دالّة على معان مخصوصة، فهو متكلّم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الأشاعرة جوّزوا ذلك، لكن اثبتوا معنى نفسانيّا قائما بذات المتكلّم مغايرا للعلم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هذه الحروف و الأصوات و أنّه قديم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ليس بأمر و لا نهي و لا خبر؛ لانّه حيّ يصحّ اتّصافه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موصوفا به كان متّصفا بضدّه، و هو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عليها التّقدّم و التّأخّر أثبتنا الإرادة المخصّصة،</w:t>
      </w:r>
      <w:r>
        <w:rPr>
          <w:rStyle w:val="FootnoteAnchor"/>
          <w:rtl w:val="true"/>
        </w:rPr>
        <w:footnoteReference w:id="224"/>
      </w:r>
      <w:r>
        <w:rPr>
          <w:rFonts w:ascii="Amiri" w:hAnsi="Amiri" w:eastAsia="Amiri" w:cs="Amiri"/>
          <w:color w:val="111111"/>
          <w:sz w:val="28"/>
          <w:sz w:val="28"/>
          <w:szCs w:val="28"/>
          <w:rtl w:val="true"/>
          <w:lang w:bidi="ar-SA"/>
        </w:rPr>
        <w:t>و أفعال العباد متردّدة بين الحظر و الإباحة و غيرهما من الأحكام فلا بدّ من مخصّص غير الإرادة، لأنّه قد يأمر بما لا يريد و بالعكس، فهو الكلام الّذي هو الطلب النّفسانيّ، و لأنّه ملك مطاع، فله الأمر و النّهي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اعترضت</w:t>
      </w:r>
      <w:r>
        <w:rPr>
          <w:rStyle w:val="FootnoteAnchor"/>
          <w:rtl w:val="true"/>
        </w:rPr>
        <w:footnoteReference w:id="225"/>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على الإثبات</w:t>
      </w:r>
      <w:r>
        <w:rPr>
          <w:rStyle w:val="FootnoteAnchor"/>
          <w:rtl w:val="true"/>
        </w:rPr>
        <w:footnoteReference w:id="226"/>
      </w:r>
      <w:r>
        <w:rPr>
          <w:rFonts w:ascii="Amiri" w:hAnsi="Amiri" w:eastAsia="Amiri" w:cs="Amiri"/>
          <w:color w:val="111111"/>
          <w:sz w:val="28"/>
          <w:sz w:val="28"/>
          <w:szCs w:val="28"/>
          <w:rtl w:val="true"/>
          <w:lang w:bidi="ar-SA"/>
        </w:rPr>
        <w:t>فرع تصوّر المستدل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ذكرتموه غير متصور و يمنع صحّه اتّصافه تعالى به، </w:t>
      </w:r>
      <w:bookmarkStart w:id="305" w:name="pg9140_71236"/>
    </w:p>
    <w:p>
      <w:pPr>
        <w:pStyle w:val="BookText"/>
        <w:rPr/>
      </w:pPr>
      <w:bookmarkEnd w:id="305"/>
      <w:r>
        <w:rPr>
          <w:rFonts w:ascii="Amiri" w:hAnsi="Amiri" w:eastAsia="Amiri" w:cs="Amiri"/>
          <w:color w:val="111111"/>
          <w:sz w:val="28"/>
          <w:sz w:val="28"/>
          <w:szCs w:val="28"/>
          <w:rtl w:val="true"/>
          <w:lang w:bidi="ar-SA"/>
        </w:rPr>
        <w:t>و يمنع وجوب الاتّصاف بأحدهما و كون الضّدّ نقصا، بل ثبوته نقص، إذ امر المعدوم و نهيه و إخباره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عقليّة لا سمعيّة فالمخصّص إمّا الصّفات أو الوجوه و الاعتبارات الّتي تقع عليها الأفعال، و يقبح الأمر بما لا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تمهيد العذر في قتل العبد بإيجاد صورة، الأمر، و هو مشترك بين الطلب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المطاع إن عنوا به نفوذ قدرته في جميع الممكنات فهو حقّ، و إن عنوا ما طلبوه منعناه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242321_2870459653"/>
      <w:bookmarkStart w:id="307" w:name="_Toc111"/>
      <w:bookmarkEnd w:id="306"/>
      <w:r>
        <w:rPr>
          <w:rtl w:val="true"/>
        </w:rPr>
        <w:t>المطلب الثّامن</w:t>
      </w:r>
      <w:r>
        <w:rPr>
          <w:rtl w:val="true"/>
        </w:rPr>
        <w:t xml:space="preserve">: </w:t>
      </w:r>
      <w:r>
        <w:rPr>
          <w:rtl w:val="true"/>
        </w:rPr>
        <w:t>في أحكام هذه الصّفات و هي إحدى عشر بحثا</w:t>
      </w:r>
      <w:bookmarkEnd w:id="307"/>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المعتزلة و الأشاعرة الى أنّ هذه الصّفات وجوديّة، و إلاّ لصحّ حملها على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ممنوعة، فإنّ كثيرا من العدميّات يمتنع حمله على المعدوم، و عند الأوائل و أبي الحسين أنّها ليست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تعدّد القدماء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الذّات في الخارج و إن كانت زائدة في التّعقّل، و هو اختيار الأوائل و أبي الحسين، لما تقدّم، و لأنّ الوجود لو كان زائدا كان ممكنا، لأنّه وصف للماهيّة، فلا يكون واجبا،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مؤثّره إمّا الماهيّة لا بشرط الوجود، فالمعدوم مؤثّر في الموجود أو بشرطه،</w:t>
      </w:r>
      <w:r>
        <w:rPr>
          <w:rStyle w:val="FootnoteAnchor"/>
          <w:rtl w:val="true"/>
        </w:rPr>
        <w:footnoteReference w:id="227"/>
      </w:r>
      <w:r>
        <w:rPr>
          <w:rFonts w:ascii="Amiri" w:hAnsi="Amiri" w:eastAsia="Amiri" w:cs="Amiri"/>
          <w:color w:val="111111"/>
          <w:sz w:val="28"/>
          <w:sz w:val="28"/>
          <w:szCs w:val="28"/>
          <w:rtl w:val="true"/>
          <w:lang w:bidi="ar-SA"/>
        </w:rPr>
        <w:t>فيتسلسل</w:t>
      </w:r>
      <w:r>
        <w:rPr>
          <w:rStyle w:val="FootnoteAnchor"/>
          <w:rtl w:val="true"/>
        </w:rPr>
        <w:footnoteReference w:id="228"/>
      </w:r>
      <w:r>
        <w:rPr>
          <w:rFonts w:ascii="Amiri" w:hAnsi="Amiri" w:eastAsia="Amiri" w:cs="Amiri"/>
          <w:color w:val="111111"/>
          <w:sz w:val="28"/>
          <w:sz w:val="28"/>
          <w:szCs w:val="28"/>
          <w:rtl w:val="true"/>
          <w:lang w:bidi="ar-SA"/>
        </w:rPr>
        <w:t>أو يدور أو غيرها، فيفتقر الى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جماعة من المعتزلة و الأشاعرة أنّها زائدة، للمغايرة بين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الوجود موجود، و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للاستفادة بكلّ منهما، بخلاف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واجب الوجود؛ و لأنّا قد نعلم الذّات و نشكّ‌</w:t>
      </w:r>
      <w:r>
        <w:rPr>
          <w:rStyle w:val="FootnoteAnchor"/>
          <w:rtl w:val="true"/>
        </w:rPr>
        <w:footnoteReference w:id="229"/>
      </w:r>
      <w:r>
        <w:rPr>
          <w:rFonts w:ascii="Amiri" w:hAnsi="Amiri" w:eastAsia="Amiri" w:cs="Amiri"/>
          <w:color w:val="111111"/>
          <w:sz w:val="28"/>
          <w:sz w:val="28"/>
          <w:szCs w:val="28"/>
          <w:rtl w:val="true"/>
          <w:lang w:bidi="ar-SA"/>
        </w:rPr>
        <w:t>في الصّفات، و كلّ ذلك يدلّ على المغايرة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أزليّة و إلاّ لافتقرت إلى مؤثّر، فإن كان ذاته دار، و إن كان غيره افتقر إلى غيره، و لأن تأثيره في غيره يستلزم ثبوتها، فهي ثابتة قبل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ذاتيّة عند المعتزلة و الأوائل، لامتناع استنادها إلى غير ذاته، لما تقدّم، و عند الأشعريّة أنّها معلّلة بالمعاني، فهو قادر بقدرة، عالم بعلم، حيّ بحياة، إلى غير ذلك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إنّ العلم نفس العالميّة، و القدرة نفس القادريّة، و هما صفتان زائدتان على الذات و قال مثبتوها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معلّلة بمعنى قائم به، و هو العلم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إمّا نفس الدّاعي، كما تقدّم، أو أمر زائد عليه مستند إلى ذاته، كاختيار النّجّار،</w:t>
      </w:r>
      <w:r>
        <w:rPr>
          <w:rStyle w:val="FootnoteAnchor"/>
          <w:rtl w:val="true"/>
        </w:rPr>
        <w:footnoteReference w:id="230"/>
      </w:r>
      <w:r>
        <w:rPr>
          <w:rFonts w:ascii="Amiri" w:hAnsi="Amiri" w:eastAsia="Amiri" w:cs="Amiri"/>
          <w:color w:val="111111"/>
          <w:sz w:val="28"/>
          <w:sz w:val="28"/>
          <w:szCs w:val="28"/>
          <w:rtl w:val="true"/>
          <w:lang w:bidi="ar-SA"/>
        </w:rPr>
        <w:t>خلافا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الجبّائيين أنّه مريد بإرادة حادثة لا في محلّ؛ إذ لو كان مريدا لذاته لعمّت إرادته، كالعلم، فيريد الضّدّين، أو لإرادة قديمة لزم ثبوت القدماء، أو لإرادة حادثة في ذاته كان محلاّ </w:t>
      </w:r>
    </w:p>
    <w:p>
      <w:pPr>
        <w:pStyle w:val="BookText"/>
        <w:rPr/>
      </w:pPr>
      <w:r>
        <w:rPr>
          <w:rFonts w:ascii="Amiri" w:hAnsi="Amiri" w:eastAsia="Amiri" w:cs="Amiri"/>
          <w:color w:val="111111"/>
          <w:sz w:val="28"/>
          <w:sz w:val="28"/>
          <w:szCs w:val="28"/>
          <w:rtl w:val="true"/>
          <w:lang w:bidi="ar-SA"/>
        </w:rPr>
        <w:t>للحوادث، 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حيّا رجع حكمها إليه، و إلاّ استحال حلولها فيه، و وجود إرادة لا في محلّ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لقبح الكذب عقلا، فلا يصدر عنه، و لأنّ الكذب إن كان قديما استحال منه الصّدق، و التّالي باطل، للعلم بإمكان صدور الصّدق من العالم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دليل الأشاعرة و لا يتمّ، لبنائه على أنّ الكلام القديم هو عين الخبر، و أنّه خبر واحد، و لعدم دلالته على صدق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بكلّ مقدور، للتّساوي في العلّة الّتي هي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الأوائل من صدور اثنين عنه، لأنّه بسيط، و لا يتأتى في القادر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الثّنويّة و المجوس من صدور الشّرّ عنه، و إلاّ كان</w:t>
      </w:r>
      <w:r>
        <w:rPr>
          <w:rStyle w:val="FootnoteAnchor"/>
          <w:rtl w:val="true"/>
        </w:rPr>
        <w:footnoteReference w:id="231"/>
      </w:r>
      <w:r>
        <w:rPr>
          <w:rFonts w:ascii="Amiri" w:hAnsi="Amiri" w:eastAsia="Amiri" w:cs="Amiri"/>
          <w:color w:val="111111"/>
          <w:sz w:val="28"/>
          <w:sz w:val="28"/>
          <w:szCs w:val="28"/>
          <w:rtl w:val="true"/>
          <w:lang w:bidi="ar-SA"/>
        </w:rPr>
        <w:t>شرّيرا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المجوس فاعل الخير يزدان و فاعل الشّرّ 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 بهما ملكا و شيطانا،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فعل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المانويّة تسند ذلك</w:t>
      </w:r>
      <w:r>
        <w:rPr>
          <w:rStyle w:val="FootnoteAnchor"/>
          <w:rtl w:val="true"/>
        </w:rPr>
        <w:footnoteReference w:id="232"/>
      </w:r>
      <w:r>
        <w:rPr>
          <w:rFonts w:ascii="Amiri" w:hAnsi="Amiri" w:eastAsia="Amiri" w:cs="Amiri"/>
          <w:color w:val="111111"/>
          <w:sz w:val="28"/>
          <w:sz w:val="28"/>
          <w:szCs w:val="28"/>
          <w:rtl w:val="true"/>
          <w:lang w:bidi="ar-SA"/>
        </w:rPr>
        <w:t>الى النّور و الظّلمة و كذا الدّيصانيّة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جميعهم أنّ الخيّر هو الّذي يكون جميع أفعاله خيرا، و الشّرّير هو الّذي يكون جميع أفعاله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و الشّرّ لا يكونان لذاتهما خيرا و شرّا، بل بالإضافة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أمكن أن يكون شيء واحد بالقياس إلى واحد خيرا و بالقياس إلى غيره شرّا أمكن أن يكون فاعل ذلك الشّيء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منع النّظام من قدرته على القبيح، لأنّه محال، لدلالته على الجهل أو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الاستحالة من جهة الدّاعي، لا من حيث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عبّاد من قدرته على ما علم وقوعه أو عدمه لوجوبه أو امتناعه و هو ينفي القدرة، و العلم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البلخيّ من قدرته على مثل مقدور العبد؛ لأنه إمّا طاعة أو سفه، و هما وصفان لا يقتضيان المخالفة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الجبّائيّان من قدرته على عين مقدور العبد، لامتناع اجتماع قدرتين على مقدور واحد؛ لأنّه إن وقع بهما استغنى بكلّ منهما عن الآخر، و إن لم يقع بهما كان المانع هو وقوعه بالآخر، فيقع بهما حال ما لا يقع بهما و إن وقع بأحدهما لم يكن الآخر قادرا، و الأخيرة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بكلّ معلوم، لأنّه حيّ، فيصحّ أن يعلم كلّ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اختصّ تعلقه بالبعض افتقر إلى مخصّص، و هو محال و لأنّه يصحّ أن يعلم كلّ معلوم، فيجب، لأنّها صفة نفسيّة متى صحّت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المقدّم، أنّه حيّ، و هو يصحّ أن يعلم كلّ معلوم، لأنّ الحيّ هو الّذي لا يستحيل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الصّحّة إلى الكلّ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الأوائل منع من علمه بذاته، لأنّه إضافة فيستدعي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بعلمنا بأنفسنا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منع علمه بغيره، لاستحالة حلول صور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ينتقض </w:t>
      </w:r>
    </w:p>
    <w:p>
      <w:pPr>
        <w:pStyle w:val="BookText"/>
        <w:rPr/>
      </w:pPr>
      <w:r>
        <w:rPr>
          <w:rFonts w:ascii="Amiri" w:hAnsi="Amiri" w:eastAsia="Amiri" w:cs="Amiri"/>
          <w:color w:val="111111"/>
          <w:sz w:val="28"/>
          <w:sz w:val="28"/>
          <w:szCs w:val="28"/>
          <w:rtl w:val="true"/>
          <w:lang w:bidi="ar-SA"/>
        </w:rPr>
        <w:t>بعلم الواحد بنفسه، و لأنّه إضافة، لا صورة، و لأنّ الصّدور</w:t>
      </w:r>
      <w:r>
        <w:rPr>
          <w:rStyle w:val="FootnoteAnchor"/>
          <w:rtl w:val="true"/>
        </w:rPr>
        <w:footnoteReference w:id="233"/>
      </w:r>
      <w:r>
        <w:rPr>
          <w:rFonts w:ascii="Amiri" w:hAnsi="Amiri" w:eastAsia="Amiri" w:cs="Amiri"/>
          <w:color w:val="111111"/>
          <w:sz w:val="28"/>
          <w:sz w:val="28"/>
          <w:szCs w:val="28"/>
          <w:rtl w:val="true"/>
          <w:lang w:bidi="ar-SA"/>
        </w:rPr>
        <w:t>عنه أبلغ في الحصول من الصّورة المنتزعة الصّادرة عن العاقل لمشاركة المعقول، ثم تلك الصّورة تعلم بذاتها،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منع من علمه بالجزئيّات من حيث هي متغيّرة إلاّ على وجه كلّيّ، فلا يعلم أنّ المتغيّر وقع أو سيقع؛ لأنّه عند عدمه إن بقى العلم لزم الجهل، و إلاّ كان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بعضهم بأنّ العلم بأنّ الشّيء سيوجد هو غير العلم بالوجود حين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غلط، لاستدعاء العلم المطابقة، بل الحقّ أنّ التّغيّر في الإضافات كتغيّر المقدور المستلزم تغيّر إضافة القدرة، لا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وجوده لذاته يقتضي امتناع عدمه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قديم أزليّ باق سرمديّ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بقاؤه لذاته لا لبقاء يقوم به، خلافا للأشعريّ، و إلاّ افتقر في وجوده إلى غيره،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بقاءه باق فيتسلسل أو يدور إن بقى بالغير أو بالذّات، و إن بقى لذاته كان أولى بالذّاتيّة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البقاء يراد به امتناع خروج الذّات الثّابتة عن ثبوتها</w:t>
      </w:r>
      <w:r>
        <w:rPr>
          <w:rStyle w:val="FootnoteAnchor"/>
          <w:rtl w:val="true"/>
        </w:rPr>
        <w:footnoteReference w:id="234"/>
      </w:r>
      <w:r>
        <w:rPr>
          <w:rFonts w:ascii="Amiri" w:hAnsi="Amiri" w:eastAsia="Amiri" w:cs="Amiri"/>
          <w:color w:val="111111"/>
          <w:sz w:val="28"/>
          <w:sz w:val="28"/>
          <w:szCs w:val="28"/>
          <w:rtl w:val="true"/>
          <w:lang w:bidi="ar-SA"/>
        </w:rPr>
        <w:t>و مفارقة الوجود لأكثر من زمان واحد بعد الزّمان الأوّل، و الأوّل ثابت في حقّه تعالى، لا زائد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منتف،</w:t>
      </w:r>
      <w:r>
        <w:rPr>
          <w:rStyle w:val="FootnoteAnchor"/>
          <w:rtl w:val="true"/>
        </w:rPr>
        <w:footnoteReference w:id="235"/>
      </w:r>
      <w:r>
        <w:rPr>
          <w:rFonts w:ascii="Amiri" w:hAnsi="Amiri" w:eastAsia="Amiri" w:cs="Amiri"/>
          <w:color w:val="111111"/>
          <w:sz w:val="28"/>
          <w:sz w:val="28"/>
          <w:szCs w:val="28"/>
          <w:rtl w:val="true"/>
          <w:lang w:bidi="ar-SA"/>
        </w:rPr>
        <w:t>لأنّه لا يعقل فيما لا يكون فانيا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كما أنّ الحكم بأنّ الكلّ أعظم من الجزء لا يمكن وقوعه في زمان أو في جميع الأزمنة، كما لا يقال إنّه واقع في مكان أو في جميع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بناء على أنّ التّغيّر يستدعي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علمه؛ و إرادته كافية في الإيجاد، لوجوبه عند اجتماعهما، خلافا لبعض الحنفيّة، حيث أثبتوا التّكوين صفة أزليّة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المكوّن محدث،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237"/>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المسمّى بالأمر، و الكلمة و التّكوين و الاختراع و الإيجاد و الخلق، و لأنّ القدرة مؤثّرة في صحّة وجود المقدور، و التّكوين مؤثّر في نفس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غلط، لأنّ التّكوين إن كان قديما لزم قدم الأثر، لأنّه نسبة، و إن كان محدثا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إثبات صفة زائدة على القدرة، و القدرة لا تأثير لها في صحّة الوجود، لأنّها ذاتيّة للممكن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وراء القدرة،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وراء الوجود،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القاضي</w:t>
      </w:r>
      <w:r>
        <w:rPr>
          <w:rStyle w:val="FootnoteAnchor"/>
          <w:rtl w:val="true"/>
        </w:rPr>
        <w:footnoteReference w:id="238"/>
      </w:r>
      <w:r>
        <w:rPr>
          <w:rFonts w:ascii="Amiri" w:hAnsi="Amiri" w:eastAsia="Amiri" w:cs="Amiri"/>
          <w:color w:val="111111"/>
          <w:sz w:val="28"/>
          <w:sz w:val="28"/>
          <w:szCs w:val="28"/>
          <w:rtl w:val="true"/>
          <w:lang w:bidi="ar-SA"/>
        </w:rPr>
        <w:t>إدراك الشّمّ و الذّوق و اللّمس ثلاث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 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مغايرة للبقاء،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غير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شيء من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جزم آخرون بنفي ما زاد على السّبعة، لأنّا كلّفنا بالمعرفة، و إنّما تحصل بمعرفة الصّفات، فلا بدّ من طريق، و ليس إلاّ الاستدلال بالآثار و التّنزيه عن النّقصان، و إنّما يدلاّن على السّبعة، و نمنع من التّكليف بكمال المعرفة</w:t>
      </w:r>
      <w:r>
        <w:rPr>
          <w:rFonts w:eastAsia="Amiri" w:cs="Amiri" w:ascii="Amiri" w:hAnsi="Amiri"/>
          <w:color w:val="111111"/>
          <w:sz w:val="28"/>
          <w:szCs w:val="28"/>
          <w:rtl w:val="true"/>
          <w:lang w:bidi="ar-SA"/>
        </w:rPr>
        <w:t xml:space="preserve">. </w:t>
      </w:r>
      <w:bookmarkStart w:id="308" w:name="pg9140_71243"/>
    </w:p>
    <w:p>
      <w:pPr>
        <w:pStyle w:val="Heading4"/>
        <w:numPr>
          <w:ilvl w:val="3"/>
          <w:numId w:val="1"/>
        </w:numPr>
        <w:rPr/>
      </w:pPr>
      <w:bookmarkStart w:id="309" w:name="__RefHeading___Toc3242323_2870459653"/>
      <w:bookmarkStart w:id="310" w:name="_Toc112"/>
      <w:bookmarkEnd w:id="308"/>
      <w:bookmarkEnd w:id="309"/>
      <w:r>
        <w:rPr>
          <w:rtl w:val="true"/>
        </w:rPr>
        <w:t>الفصل الثّاني في الصّفات السّلبيّة</w:t>
      </w:r>
      <w:bookmarkEnd w:id="310"/>
    </w:p>
    <w:p>
      <w:pPr>
        <w:pStyle w:val="Heading5"/>
        <w:numPr>
          <w:ilvl w:val="4"/>
          <w:numId w:val="1"/>
        </w:numPr>
        <w:rPr/>
      </w:pPr>
      <w:bookmarkStart w:id="311" w:name="__RefHeading___Toc3242325_2870459653"/>
      <w:bookmarkStart w:id="312" w:name="_Toc11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و فيه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242327_2870459653"/>
      <w:bookmarkStart w:id="314" w:name="_Toc114"/>
      <w:bookmarkEnd w:id="313"/>
      <w:r>
        <w:rPr>
          <w:rtl w:val="true"/>
        </w:rPr>
        <w:t>[</w:t>
      </w:r>
      <w:r>
        <w:rPr>
          <w:rtl w:val="true"/>
        </w:rPr>
        <w:t>المطلب</w:t>
      </w:r>
      <w:r>
        <w:rPr>
          <w:rtl w:val="true"/>
        </w:rPr>
        <w:t xml:space="preserve">] </w:t>
      </w:r>
      <w:r>
        <w:rPr>
          <w:rtl w:val="true"/>
        </w:rPr>
        <w:t>الأوّل</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ليس بمتحيّز</w:t>
      </w:r>
      <w:bookmarkEnd w:id="314"/>
    </w:p>
    <w:p>
      <w:pPr>
        <w:pStyle w:val="BookText"/>
        <w:rPr/>
      </w:pPr>
      <w:r>
        <w:rPr>
          <w:rFonts w:ascii="Amiri" w:hAnsi="Amiri" w:eastAsia="Amiri" w:cs="Amiri"/>
          <w:color w:val="111111"/>
          <w:sz w:val="28"/>
          <w:sz w:val="28"/>
          <w:szCs w:val="28"/>
          <w:rtl w:val="true"/>
          <w:lang w:bidi="ar-SA"/>
        </w:rPr>
        <w:t>اتّفق العقلاء عليه، خلافا للمجسّمة، لأنّ كلّ متحيّز لا ينفكّ عن الحركة أو السّكون، فيكون محدثا، و لأنّه حينئذ إمّا جسم فيكون مركّبا فيكون حادثا أو جزءا لا يتجزّأ، و هو غير معقول، لامتناع اتّصاف مثل ذلك بالقدرة و العلم غير المتناهيين، و لأنّه لو كان جسما لكان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الحاصل لأحد الجزءين ليس هو الحاصل للآخر، فيتعدد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الظواهر متأوّلة، و عجز الوهم لا يعارض القطع العقليّ</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242329_2870459653"/>
      <w:bookmarkStart w:id="316" w:name="_Toc115"/>
      <w:bookmarkEnd w:id="315"/>
      <w:r>
        <w:rPr>
          <w:rtl w:val="true"/>
        </w:rPr>
        <w:t>المطلب الثّاني</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لا يحلّ في غيره</w:t>
      </w:r>
      <w:bookmarkEnd w:id="3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المعقول من الحلول قيام موجود بموجود آخر على سبيل التّبعيّة بشرط امتناع قيامه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في حقّ واجب الوجود، و لقضاء العقل بأنّ الغنيّ عن المحلّ يستحيل حلوله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حالاّ في الأزل لزم قدم المحلّ، و إن لم يكن تجدّدت الحاجة، و لأنّ حلول الشّيء في غيره إنّما </w:t>
      </w:r>
      <w:bookmarkStart w:id="317" w:name="pg9140_71244"/>
    </w:p>
    <w:p>
      <w:pPr>
        <w:pStyle w:val="BookText"/>
        <w:rPr/>
      </w:pPr>
      <w:bookmarkEnd w:id="317"/>
      <w:r>
        <w:rPr>
          <w:rFonts w:ascii="Amiri" w:hAnsi="Amiri" w:eastAsia="Amiri" w:cs="Amiri"/>
          <w:color w:val="111111"/>
          <w:sz w:val="28"/>
          <w:sz w:val="28"/>
          <w:szCs w:val="28"/>
          <w:rtl w:val="true"/>
          <w:lang w:bidi="ar-SA"/>
        </w:rPr>
        <w:t>يتصوّر لو كان الحالّ إنّما يتعيّن بواسطة المحلّ، و واجب الوجود لا يتعيّن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بعض النّصارى،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الصّوفيّة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في</w:t>
      </w:r>
      <w:r>
        <w:rPr>
          <w:rStyle w:val="FootnoteAnchor"/>
          <w:rtl w:val="true"/>
        </w:rPr>
        <w:footnoteReference w:id="239"/>
      </w:r>
      <w:r>
        <w:rPr>
          <w:rFonts w:ascii="Amiri" w:hAnsi="Amiri" w:eastAsia="Amiri" w:cs="Amiri"/>
          <w:color w:val="111111"/>
          <w:sz w:val="28"/>
          <w:sz w:val="28"/>
          <w:szCs w:val="28"/>
          <w:rtl w:val="true"/>
          <w:lang w:bidi="ar-SA"/>
        </w:rPr>
        <w:t>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محالّ، فهو إذن ليس بعرض و لا صورة، لافتقارهما الى المحلّ</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242331_2870459653"/>
      <w:bookmarkStart w:id="319" w:name="_Toc116"/>
      <w:bookmarkEnd w:id="318"/>
      <w:r>
        <w:rPr>
          <w:rtl w:val="true"/>
        </w:rPr>
        <w:t>المطلب الثّالث</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مخالف لغيره لذاته</w:t>
      </w:r>
      <w:bookmarkEnd w:id="319"/>
    </w:p>
    <w:p>
      <w:pPr>
        <w:pStyle w:val="BookText"/>
        <w:rPr/>
      </w:pPr>
      <w:r>
        <w:rPr>
          <w:rFonts w:ascii="Amiri" w:hAnsi="Amiri" w:eastAsia="Amiri" w:cs="Amiri"/>
          <w:color w:val="111111"/>
          <w:sz w:val="28"/>
          <w:sz w:val="28"/>
          <w:szCs w:val="28"/>
          <w:rtl w:val="true"/>
          <w:lang w:bidi="ar-SA"/>
        </w:rPr>
        <w:t xml:space="preserve">ذهب أبو هاشم إلى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مساوية لسائر الذّوات في الذّاتيّة، و يخالفها بحالة توجب الأحوال الأربعة، أعني الحييّة و العالميّة و القادريّة و الموجوديّة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الحالة الإلهيّة لأنّ مفهوم الذّات هو ما يصحّ أن يعلم و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لأنّ هذا المفهوم</w:t>
      </w:r>
      <w:r>
        <w:rPr>
          <w:rStyle w:val="FootnoteAnchor"/>
          <w:rtl w:val="true"/>
        </w:rPr>
        <w:footnoteReference w:id="240"/>
      </w:r>
      <w:r>
        <w:rPr>
          <w:rFonts w:ascii="Amiri" w:hAnsi="Amiri" w:eastAsia="Amiri" w:cs="Amiri"/>
          <w:color w:val="111111"/>
          <w:sz w:val="28"/>
          <w:sz w:val="28"/>
          <w:szCs w:val="28"/>
          <w:rtl w:val="true"/>
          <w:lang w:bidi="ar-SA"/>
        </w:rPr>
        <w:t>أمر اعتباريّ ليس نفس الحقائق الثّابتة في الأعيان، بل من المعقولات الثّانية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تساوي كلّ الذّوات، لأنّ اختصاص بعضها بما يوجب المخالفة إن لم يكن لمرجّح كان ترجيحا لأحد طرفي الممكن، لا لمرجّح، و إلاّ تسلسل</w:t>
      </w:r>
      <w:r>
        <w:rPr>
          <w:rFonts w:eastAsia="Amiri" w:cs="Amiri" w:ascii="Amiri" w:hAnsi="Amiri"/>
          <w:color w:val="111111"/>
          <w:sz w:val="28"/>
          <w:szCs w:val="28"/>
          <w:rtl w:val="true"/>
          <w:lang w:bidi="ar-SA"/>
        </w:rPr>
        <w:t xml:space="preserve">. </w:t>
      </w:r>
      <w:bookmarkStart w:id="320" w:name="pg9140_71245"/>
    </w:p>
    <w:p>
      <w:pPr>
        <w:pStyle w:val="Heading5"/>
        <w:numPr>
          <w:ilvl w:val="4"/>
          <w:numId w:val="1"/>
        </w:numPr>
        <w:rPr/>
      </w:pPr>
      <w:bookmarkStart w:id="321" w:name="__RefHeading___Toc3242333_2870459653"/>
      <w:bookmarkStart w:id="322" w:name="_Toc117"/>
      <w:bookmarkEnd w:id="320"/>
      <w:bookmarkEnd w:id="321"/>
      <w:r>
        <w:rPr>
          <w:rtl w:val="true"/>
        </w:rPr>
        <w:t>المطلب الرّابع</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غير مركّب</w:t>
      </w:r>
      <w:bookmarkEnd w:id="322"/>
    </w:p>
    <w:p>
      <w:pPr>
        <w:pStyle w:val="BookText"/>
        <w:rPr/>
      </w:pPr>
      <w:r>
        <w:rPr>
          <w:rFonts w:ascii="Amiri" w:hAnsi="Amiri" w:eastAsia="Amiri" w:cs="Amiri"/>
          <w:color w:val="111111"/>
          <w:sz w:val="28"/>
          <w:sz w:val="28"/>
          <w:szCs w:val="28"/>
          <w:rtl w:val="true"/>
          <w:lang w:bidi="ar-SA"/>
        </w:rPr>
        <w:t>كلّ مركّب ممكن، لأنّه يفتقر</w:t>
      </w:r>
      <w:r>
        <w:rPr>
          <w:rStyle w:val="FootnoteAnchor"/>
          <w:rtl w:val="true"/>
        </w:rPr>
        <w:footnoteReference w:id="241"/>
      </w:r>
      <w:r>
        <w:rPr>
          <w:rFonts w:ascii="Amiri" w:hAnsi="Amiri" w:eastAsia="Amiri" w:cs="Amiri"/>
          <w:color w:val="111111"/>
          <w:sz w:val="28"/>
          <w:sz w:val="28"/>
          <w:szCs w:val="28"/>
          <w:rtl w:val="true"/>
          <w:lang w:bidi="ar-SA"/>
        </w:rPr>
        <w:t>إلى جزئه، و جزؤه غيره، و كلّ مفتقر ممكن، و واجب الوجود ليس بممكن، فليس له أجزاء ماهيّة، أعني المادّة و الصّورة، و لا عقليّة، أعني الجنس و الفصل، و لا مقداريّة؛ و لا يتركّب عنه غيره، فليس جنسا و لا فصلا و لا نوعا يندرج تحته أفراد، و لا يتركّب عنه غيره، إذ يستحيل أن ينفعل عن غيره</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242335_2870459653"/>
      <w:bookmarkStart w:id="324" w:name="_Toc118"/>
      <w:bookmarkEnd w:id="323"/>
      <w:r>
        <w:rPr>
          <w:rtl w:val="true"/>
        </w:rPr>
        <w:t>المطلب الخامس</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لا يتحد بغيره</w:t>
      </w:r>
      <w:bookmarkEnd w:id="32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العقلاء من المتكلّمين و الحكماء إلى</w:t>
      </w:r>
      <w:r>
        <w:rPr>
          <w:rStyle w:val="FootnoteAnchor"/>
          <w:rtl w:val="true"/>
        </w:rPr>
        <w:footnoteReference w:id="242"/>
      </w:r>
      <w:r>
        <w:rPr>
          <w:rFonts w:ascii="Amiri" w:hAnsi="Amiri" w:eastAsia="Amiri" w:cs="Amiri"/>
          <w:color w:val="111111"/>
          <w:sz w:val="28"/>
          <w:sz w:val="28"/>
          <w:szCs w:val="28"/>
          <w:rtl w:val="true"/>
          <w:lang w:bidi="ar-SA"/>
        </w:rPr>
        <w:t>امتناع الاتّحاد، إلاّ فرفوريوس و الرّئيس في بعض كتبه، لأنّ الشّيئين بعد الاتّحاد إن بقيا موجودين فهما اثنان 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عدما فلا اتّحاد، بل حدث ثالث، و إن عدم أحدهما لم يتّحد المعدوم بالموجود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عامّ في كلّ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بالمجاز على صيرورة شيء شيئا آخر بأن يخلع صورته و يلبس الأخرى،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الماء هواء؛ أو بأن يحدث للأجزاء مزاج</w:t>
      </w:r>
      <w:r>
        <w:rPr>
          <w:rStyle w:val="FootnoteAnchor"/>
          <w:rtl w:val="true"/>
        </w:rPr>
        <w:footnoteReference w:id="243"/>
      </w:r>
      <w:r>
        <w:rPr>
          <w:rFonts w:ascii="Amiri" w:hAnsi="Amiri" w:eastAsia="Amiri" w:cs="Amiri"/>
          <w:color w:val="111111"/>
          <w:sz w:val="28"/>
          <w:sz w:val="28"/>
          <w:szCs w:val="28"/>
          <w:rtl w:val="true"/>
          <w:lang w:bidi="ar-SA"/>
        </w:rPr>
        <w:t>و هيئة زائدة على الاخر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العفص و الزّاج حبرا، و هو منفيّ‌</w:t>
      </w:r>
      <w:r>
        <w:rPr>
          <w:rStyle w:val="FootnoteAnchor"/>
          <w:rtl w:val="true"/>
        </w:rPr>
        <w:footnoteReference w:id="244"/>
      </w:r>
      <w:r>
        <w:rPr>
          <w:rFonts w:ascii="Amiri" w:hAnsi="Amiri" w:eastAsia="Amiri" w:cs="Amiri"/>
          <w:color w:val="111111"/>
          <w:sz w:val="28"/>
          <w:sz w:val="28"/>
          <w:szCs w:val="28"/>
          <w:rtl w:val="true"/>
          <w:lang w:bidi="ar-SA"/>
        </w:rPr>
        <w:t xml:space="preserve">عن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لاستحالة خروجه عن </w:t>
      </w:r>
      <w:bookmarkStart w:id="325" w:name="pg9140_71246"/>
    </w:p>
    <w:p>
      <w:pPr>
        <w:pStyle w:val="BookText"/>
        <w:rPr/>
      </w:pPr>
      <w:bookmarkEnd w:id="325"/>
      <w:r>
        <w:rPr>
          <w:rFonts w:ascii="Amiri" w:hAnsi="Amiri" w:eastAsia="Amiri" w:cs="Amiri"/>
          <w:color w:val="111111"/>
          <w:sz w:val="28"/>
          <w:sz w:val="28"/>
          <w:szCs w:val="28"/>
          <w:rtl w:val="true"/>
          <w:lang w:bidi="ar-SA"/>
        </w:rPr>
        <w:t>حقيقته و عدم أمر زائد عليها و امتناع تركّبه من غيره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النّصارى باتّحاد الأقانيم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الابن و روح القدس، و اتّحد ناسوت المسيح باللاّهوت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بالعارفين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غير معقول</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242337_2870459653"/>
      <w:bookmarkStart w:id="327" w:name="_Toc119"/>
      <w:bookmarkEnd w:id="326"/>
      <w:r>
        <w:rPr>
          <w:rtl w:val="true"/>
        </w:rPr>
        <w:t>المطلب السادس</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ليس في جهة</w:t>
      </w:r>
      <w:bookmarkEnd w:id="327"/>
    </w:p>
    <w:p>
      <w:pPr>
        <w:pStyle w:val="BookText"/>
        <w:rPr/>
      </w:pPr>
      <w:r>
        <w:rPr>
          <w:rFonts w:ascii="Amiri" w:hAnsi="Amiri" w:eastAsia="Amiri" w:cs="Amiri"/>
          <w:color w:val="111111"/>
          <w:sz w:val="28"/>
          <w:sz w:val="28"/>
          <w:szCs w:val="28"/>
          <w:rtl w:val="true"/>
          <w:lang w:bidi="ar-SA"/>
        </w:rPr>
        <w:t>اتفق العقلاء عليه إلاّ المجسّمة و الكرّاميّة، لأنّه ليس بمتحيّز و لا حالّ في المتحيّز، فلا يكون في جهة بالضّرورة، و لأنّ الكائن في الجهة لا ينفكّ عن الأكوان بالضّرورة، فيكون محدثا، و واجب الوجود ليس بمحدث؛ و لأنّ مكانه مساو لسائر الأمكنة، فاختصاصه به ترجيح عن غير مرجّح، و يلزم قدم المكان أو حلول المجرّد في مكان بعد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أبي عبد اللّه ابن الكرّام ذهب بعضهم إلى أنّه في جهة فوق العرش لا نهاية لها، و البعد بينه و بين العرش غير متناه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خطأ، لما تقدّم، و لأنّ العالم كرة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242339_2870459653"/>
      <w:bookmarkStart w:id="329" w:name="_Toc120"/>
      <w:bookmarkEnd w:id="328"/>
      <w:r>
        <w:rPr>
          <w:rtl w:val="true"/>
        </w:rPr>
        <w:t>المطلب السابع</w:t>
      </w:r>
      <w:r>
        <w:rPr>
          <w:rtl w:val="true"/>
        </w:rPr>
        <w:t xml:space="preserve">: </w:t>
      </w:r>
      <w:r>
        <w:rPr>
          <w:rtl w:val="true"/>
        </w:rPr>
        <w:t>في استحالة الألم و اللذّة عليه تعالى</w:t>
      </w:r>
      <w:bookmarkEnd w:id="329"/>
    </w:p>
    <w:p>
      <w:pPr>
        <w:pStyle w:val="Heading6"/>
        <w:numPr>
          <w:ilvl w:val="5"/>
          <w:numId w:val="1"/>
        </w:numPr>
        <w:rPr/>
      </w:pPr>
      <w:bookmarkStart w:id="330" w:name="__RefHeading___Toc3242341_2870459653"/>
      <w:bookmarkStart w:id="331" w:name="_Toc121"/>
      <w:bookmarkEnd w:id="330"/>
      <w:r>
        <w:rPr>
          <w:rtl w:val="true"/>
        </w:rPr>
        <w:t>اشارة</w:t>
      </w:r>
      <w:bookmarkEnd w:id="33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العقلاء على استحالة الألم عليه، لأنّه إدراك مناف، و لا منافي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اللذّة فقد اتفق المسلمون على استحالتها عليه، لأنّ اللذة و الألم </w:t>
      </w:r>
      <w:bookmarkStart w:id="332" w:name="pg9140_71247"/>
    </w:p>
    <w:p>
      <w:pPr>
        <w:pStyle w:val="BookText"/>
        <w:rPr/>
      </w:pPr>
      <w:bookmarkEnd w:id="332"/>
      <w:r>
        <w:rPr>
          <w:rFonts w:ascii="Amiri" w:hAnsi="Amiri" w:eastAsia="Amiri" w:cs="Amiri"/>
          <w:color w:val="111111"/>
          <w:sz w:val="28"/>
          <w:sz w:val="28"/>
          <w:szCs w:val="28"/>
          <w:rtl w:val="true"/>
          <w:lang w:bidi="ar-SA"/>
        </w:rPr>
        <w:t xml:space="preserve">من توابع اعتدال المزاج و تنافره، و لا مزاج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اللّذّة إن كانت قديمة و هي داعية إلى فعل الملتذّ به وجب وجوده قبل وجوده لوجود الدّاعي و انتفاء المانع، و إن كانت حادثة كان محلاّ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لجواز اتّحاد داعي اللذّة و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الأوائل أثبتوا له لذّة عقليّة لا بفعله، بل باعتبار علمه بكماله، فإنّ كلّ من تصوّر في نفسه كمالا ابتهج، كما أنّ من تصوّر نقصانا في نفسه 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الكمالات، و علمه بكماله أتمّ العلوم استلزم ذلك أعظم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الصّغرى ممنوعة و القياس على الشّاهد ضعيف، و الاجماع ينفيه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242343_2870459653"/>
      <w:bookmarkStart w:id="334" w:name="_Toc122"/>
      <w:bookmarkEnd w:id="333"/>
      <w:r>
        <w:rPr>
          <w:rtl w:val="true"/>
        </w:rPr>
        <w:t>تذنيب</w:t>
      </w:r>
      <w:bookmarkEnd w:id="334"/>
    </w:p>
    <w:p>
      <w:pPr>
        <w:pStyle w:val="BookText"/>
        <w:rPr/>
      </w:pPr>
      <w:r>
        <w:rPr>
          <w:rFonts w:ascii="Amiri" w:hAnsi="Amiri" w:eastAsia="Amiri" w:cs="Amiri"/>
          <w:color w:val="111111"/>
          <w:sz w:val="28"/>
          <w:sz w:val="28"/>
          <w:szCs w:val="28"/>
          <w:rtl w:val="true"/>
          <w:lang w:bidi="ar-SA"/>
        </w:rPr>
        <w:t>يستحيل اتّصافه بكلّ كيفيّة مشروطة بالوضع، كالألوان و الطّعوم و الرّوائح و غيرها في</w:t>
      </w:r>
      <w:r>
        <w:rPr>
          <w:rStyle w:val="FootnoteAnchor"/>
          <w:rtl w:val="true"/>
        </w:rPr>
        <w:footnoteReference w:id="245"/>
      </w:r>
      <w:r>
        <w:rPr>
          <w:rFonts w:ascii="IRNazanin" w:hAnsi="IRNazanin" w:eastAsia="IRNazanin"/>
          <w:color w:val="111111"/>
          <w:sz w:val="28"/>
          <w:sz w:val="28"/>
          <w:szCs w:val="28"/>
          <w:rtl w:val="true"/>
          <w:lang w:bidi="fa-IR"/>
        </w:rPr>
        <w:t>الأعراض، لامتناع انفعاله تعالى</w:t>
      </w:r>
      <w:r>
        <w:rPr>
          <w:rFonts w:eastAsia="IRNazanin" w:cs="IRNazanin"/>
          <w:color w:val="111111"/>
          <w:sz w:val="28"/>
          <w:szCs w:val="28"/>
          <w:rtl w:val="true"/>
          <w:lang w:bidi="fa-IR"/>
        </w:rPr>
        <w:t>.</w:t>
      </w:r>
    </w:p>
    <w:p>
      <w:pPr>
        <w:pStyle w:val="Heading5"/>
        <w:numPr>
          <w:ilvl w:val="4"/>
          <w:numId w:val="1"/>
        </w:numPr>
        <w:rPr/>
      </w:pPr>
      <w:bookmarkStart w:id="335" w:name="__RefHeading___Toc3242345_2870459653"/>
      <w:bookmarkStart w:id="336" w:name="_Toc123"/>
      <w:bookmarkEnd w:id="335"/>
      <w:r>
        <w:rPr>
          <w:rtl w:val="true"/>
        </w:rPr>
        <w:t>المطلب الثّامن</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ليس محلاّ للحوادث</w:t>
      </w:r>
      <w:bookmarkEnd w:id="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الأكثر عليه، خلافا للكرّاميّة، لامتناع انفعاله في ذاته، فيمتنع التّغيّر عليه، و لأنّ الحادث إن كان صفة كمال استحال خلوّه عنها أزلا،</w:t>
      </w:r>
      <w:r>
        <w:rPr>
          <w:rStyle w:val="FootnoteAnchor"/>
          <w:rtl w:val="true"/>
        </w:rPr>
        <w:footnoteReference w:id="246"/>
      </w:r>
      <w:r>
        <w:rPr>
          <w:rFonts w:ascii="Amiri" w:hAnsi="Amiri" w:eastAsia="Amiri" w:cs="Amiri"/>
          <w:color w:val="111111"/>
          <w:sz w:val="28"/>
          <w:sz w:val="28"/>
          <w:szCs w:val="28"/>
          <w:rtl w:val="true"/>
          <w:lang w:bidi="ar-SA"/>
        </w:rPr>
        <w:t xml:space="preserve">و إلاّ </w:t>
      </w:r>
      <w:bookmarkStart w:id="337" w:name="pg9140_71248"/>
    </w:p>
    <w:p>
      <w:pPr>
        <w:pStyle w:val="BookText"/>
        <w:rPr/>
      </w:pPr>
      <w:bookmarkEnd w:id="337"/>
      <w:r>
        <w:rPr>
          <w:rFonts w:ascii="Amiri" w:hAnsi="Amiri" w:eastAsia="Amiri" w:cs="Amiri"/>
          <w:color w:val="111111"/>
          <w:sz w:val="28"/>
          <w:sz w:val="28"/>
          <w:szCs w:val="28"/>
          <w:rtl w:val="true"/>
          <w:lang w:bidi="ar-SA"/>
        </w:rPr>
        <w:t>استحال اتّصافه بها، و لأنّه لو صحّ اتّصافه به كانت تلك الصّحّة لازمة لذاته، لاستحالة عروضها،</w:t>
      </w:r>
      <w:r>
        <w:rPr>
          <w:rStyle w:val="FootnoteAnchor"/>
          <w:rtl w:val="true"/>
        </w:rPr>
        <w:footnoteReference w:id="247"/>
      </w:r>
      <w:r>
        <w:rPr>
          <w:rFonts w:ascii="Amiri" w:hAnsi="Amiri" w:eastAsia="Amiri" w:cs="Amiri"/>
          <w:color w:val="111111"/>
          <w:sz w:val="28"/>
          <w:sz w:val="28"/>
          <w:szCs w:val="28"/>
          <w:rtl w:val="true"/>
          <w:lang w:bidi="ar-SA"/>
        </w:rPr>
        <w:t>و إلاّ تسلسل، فتكون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الاتّصاف بالحادث تستدعي صحّة وجود الحادث أزلا،</w:t>
      </w:r>
      <w:r>
        <w:rPr>
          <w:rStyle w:val="FootnoteAnchor"/>
          <w:rtl w:val="true"/>
        </w:rPr>
        <w:footnoteReference w:id="248"/>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Heading5"/>
        <w:numPr>
          <w:ilvl w:val="4"/>
          <w:numId w:val="1"/>
        </w:numPr>
        <w:rPr/>
      </w:pPr>
      <w:bookmarkStart w:id="338" w:name="__RefHeading___Toc3242347_2870459653"/>
      <w:bookmarkStart w:id="339" w:name="_Toc124"/>
      <w:bookmarkEnd w:id="338"/>
      <w:r>
        <w:rPr>
          <w:rtl w:val="true"/>
        </w:rPr>
        <w:t>المطلب التاسع</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غنيّ‌</w:t>
      </w:r>
      <w:bookmarkEnd w:id="339"/>
    </w:p>
    <w:p>
      <w:pPr>
        <w:pStyle w:val="BookText"/>
        <w:rPr/>
      </w:pPr>
      <w:r>
        <w:rPr>
          <w:rFonts w:ascii="Amiri" w:hAnsi="Amiri" w:eastAsia="Amiri" w:cs="Amiri"/>
          <w:color w:val="111111"/>
          <w:sz w:val="28"/>
          <w:sz w:val="28"/>
          <w:szCs w:val="28"/>
          <w:rtl w:val="true"/>
          <w:lang w:bidi="ar-SA"/>
        </w:rPr>
        <w:t xml:space="preserve">هذا من أظهر المطالب، لأنّه واجب من جميع الجهات، و كلّ ما عداه ممكن محتاج إليه، فلا يعقل 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و لأنّ ذاته واجبة، و صفاته نفس حقيقته، فيستغني في ذاته و صفاته،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محلاّ للحوادث، و غيره حادث، و الإضافات ليست وجوديّة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242349_2870459653"/>
      <w:bookmarkStart w:id="341" w:name="_Toc125"/>
      <w:bookmarkEnd w:id="340"/>
      <w:r>
        <w:rPr>
          <w:rtl w:val="true"/>
        </w:rPr>
        <w:t>المطلب العاشر</w:t>
      </w:r>
      <w:r>
        <w:rPr>
          <w:rtl w:val="true"/>
        </w:rPr>
        <w:t xml:space="preserve">: </w:t>
      </w:r>
      <w:r>
        <w:rPr>
          <w:rtl w:val="true"/>
        </w:rPr>
        <w:t>في أنّه غير معلوم للبشر</w:t>
      </w:r>
      <w:bookmarkEnd w:id="3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ضرار و الغزاليّ‌</w:t>
      </w:r>
      <w:r>
        <w:rPr>
          <w:rStyle w:val="FootnoteAnchor"/>
          <w:rtl w:val="true"/>
        </w:rPr>
        <w:footnoteReference w:id="249"/>
      </w:r>
      <w:r>
        <w:rPr>
          <w:rFonts w:ascii="Amiri" w:hAnsi="Amiri" w:eastAsia="Amiri" w:cs="Amiri"/>
          <w:color w:val="111111"/>
          <w:sz w:val="28"/>
          <w:sz w:val="28"/>
          <w:szCs w:val="28"/>
          <w:rtl w:val="true"/>
          <w:lang w:bidi="ar-SA"/>
        </w:rPr>
        <w:t xml:space="preserve">و جميع الأوائل، لأنّ المعلوم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السّلوب، مثل أنّه ليس بجسم و لا عرض، أو الإضافات مثل أنّه قادر عالم خالق 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مغايرة لذلك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جماهير المعتزلة و الأشاعرة،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لأنّ وجوده معلوم، و هو نفس حقيقته، و نمنع الصّغرى</w:t>
      </w:r>
      <w:r>
        <w:rPr>
          <w:rFonts w:eastAsia="Amiri" w:cs="Amiri" w:ascii="Amiri" w:hAnsi="Amiri"/>
          <w:color w:val="111111"/>
          <w:sz w:val="28"/>
          <w:szCs w:val="28"/>
          <w:rtl w:val="true"/>
          <w:lang w:bidi="ar-SA"/>
        </w:rPr>
        <w:t xml:space="preserve">. </w:t>
      </w:r>
      <w:bookmarkStart w:id="342" w:name="pg9140_71249"/>
    </w:p>
    <w:p>
      <w:pPr>
        <w:pStyle w:val="Heading5"/>
        <w:numPr>
          <w:ilvl w:val="4"/>
          <w:numId w:val="1"/>
        </w:numPr>
        <w:rPr/>
      </w:pPr>
      <w:bookmarkStart w:id="343" w:name="__RefHeading___Toc3242351_2870459653"/>
      <w:bookmarkStart w:id="344" w:name="_Toc126"/>
      <w:bookmarkEnd w:id="342"/>
      <w:bookmarkEnd w:id="343"/>
      <w:r>
        <w:rPr>
          <w:rtl w:val="true"/>
        </w:rPr>
        <w:t>المطلب الحادي عشر</w:t>
      </w:r>
      <w:r>
        <w:rPr>
          <w:rtl w:val="true"/>
        </w:rPr>
        <w:t xml:space="preserve">: </w:t>
      </w:r>
      <w:r>
        <w:rPr>
          <w:rtl w:val="true"/>
        </w:rPr>
        <w:t>في استحالة الرّؤية عليه تعالى</w:t>
      </w:r>
      <w:bookmarkEnd w:id="344"/>
    </w:p>
    <w:p>
      <w:pPr>
        <w:pStyle w:val="BookText"/>
        <w:rPr/>
      </w:pPr>
      <w:r>
        <w:rPr>
          <w:rFonts w:ascii="Amiri" w:hAnsi="Amiri" w:eastAsia="Amiri" w:cs="Amiri"/>
          <w:color w:val="111111"/>
          <w:sz w:val="28"/>
          <w:sz w:val="28"/>
          <w:szCs w:val="28"/>
          <w:rtl w:val="true"/>
          <w:lang w:bidi="ar-SA"/>
        </w:rPr>
        <w:t>الأشاعرة خالفوا جميع الفرق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المعتزلة و الفلاسفة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المجسّمة، فلأنّه لو كان مجرّدا لاستحال رؤيته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 العقلاء إلاّ المجسّمة على انتفاء الرّؤية، بسبب الانطباع أو الشّعاع،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الأشاعرة قالوا، إنّا نفرق بين علمنا حالة فتح العين و تغميضها، و ليس بالانطباع و لا الشّعاع، فهو راجع إلى حالة اخرى ثابتة في حقّه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الضّرورة قاضية ببطلانه، لانتفاء الجهة، و كلّ مرئيّ‌</w:t>
      </w:r>
      <w:r>
        <w:rPr>
          <w:rStyle w:val="FootnoteAnchor"/>
          <w:rtl w:val="true"/>
        </w:rPr>
        <w:footnoteReference w:id="250"/>
      </w:r>
      <w:r>
        <w:rPr>
          <w:rFonts w:ascii="Amiri" w:hAnsi="Amiri" w:eastAsia="Amiri" w:cs="Amiri"/>
          <w:color w:val="111111"/>
          <w:sz w:val="28"/>
          <w:sz w:val="28"/>
          <w:szCs w:val="28"/>
          <w:rtl w:val="true"/>
          <w:lang w:bidi="ar-SA"/>
        </w:rPr>
        <w:t>مقابل أو في حكمه، و لأنّه لو كان مرئيّا لرأيناه الآن، لانتفاء الموانع و وجود الشّرائط، إذ ليست هنا إلاّ صحّة كونه مرئيّا و سلامة الحاسّة،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Style w:val="FootnoteAnchor"/>
          <w:rtl w:val="true"/>
        </w:rPr>
        <w:footnoteReference w:id="251"/>
      </w:r>
      <w:r>
        <w:rPr>
          <w:rFonts w:ascii="Amiri" w:hAnsi="Amiri" w:eastAsia="Amiri" w:cs="Amiri"/>
          <w:color w:val="111111"/>
          <w:sz w:val="28"/>
          <w:sz w:val="28"/>
          <w:szCs w:val="28"/>
          <w:rtl w:val="true"/>
          <w:lang w:bidi="ar-SA"/>
        </w:rPr>
        <w:t>تمدّح به، لتخلّله بين مدحين، فإثباته نقص، و هو محال عليه تعالى،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w:t>
      </w:r>
      <w:r>
        <w:rPr>
          <w:rStyle w:val="FootnoteAnchor"/>
          <w:rtl w:val="true"/>
        </w:rPr>
        <w:footnoteReference w:id="2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الأبد، و إذا انتفت في حقّ موسى عليه السّلام فكذا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احتجّوا بأنّ الجوهر و العرض مرئيّان، و الحكم المشترك لا بدّ له من علّة مشتركة، و ليس إلاّ الوجود و الحدوث، و الأخير لا يصلح للعلّيّة، لأنّ جزءه عدميّ،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w:t>
      </w:r>
      <w:r>
        <w:rPr>
          <w:rStyle w:val="FootnoteAnchor"/>
          <w:rtl w:val="true"/>
        </w:rPr>
        <w:footnoteReference w:id="253"/>
      </w:r>
      <w:r>
        <w:rPr>
          <w:rFonts w:ascii="Amiri" w:hAnsi="Amiri" w:eastAsia="Amiri" w:cs="Amiri"/>
          <w:color w:val="111111"/>
          <w:sz w:val="28"/>
          <w:sz w:val="28"/>
          <w:szCs w:val="28"/>
          <w:rtl w:val="true"/>
          <w:lang w:bidi="ar-SA"/>
        </w:rPr>
        <w:t xml:space="preserve">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على استقرار الجبل الممكن، لأنّه جسم و لأنّ موسى عليه السّلام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حقيقته، و هو مخالف لوجودنا، فلا يجب تساويهما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احتياج صحّة الرّؤية إلى علّة، إذ لو وجب تعليل كلّ حكم تسلسل، و لأنّها عدميّة، و نمنع تساوي صحّة رؤية الجوهر و صحّة رؤية العرض، و يجوز تعليل المشترك بعلّتين مختلفتين، و نمنع الحصر بوجود الإمكان، فيجوز أن يكون علّة لإمكان الرؤية و إن كان عدميّا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الحدوث هو الوجود المسبوق، و لا يلزم من وجود العلّة وجود المعلول، لجواز التّوقّف على شرط أو حصول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فيها إضمارا،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نعم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التّعليق على الاستقرار حالة الحركة، و هو محال، و السّؤال وقع لقوم موسى،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45" w:name="pg9140_71251"/>
    </w:p>
    <w:p>
      <w:pPr>
        <w:pStyle w:val="Heading5"/>
        <w:numPr>
          <w:ilvl w:val="4"/>
          <w:numId w:val="1"/>
        </w:numPr>
        <w:rPr/>
      </w:pPr>
      <w:bookmarkStart w:id="346" w:name="__RefHeading___Toc3242353_2870459653"/>
      <w:bookmarkStart w:id="347" w:name="_Toc127"/>
      <w:bookmarkEnd w:id="345"/>
      <w:bookmarkEnd w:id="346"/>
      <w:r>
        <w:rPr>
          <w:rtl w:val="true"/>
        </w:rPr>
        <w:t>المطلب الثاني عشر</w:t>
      </w:r>
      <w:r>
        <w:rPr>
          <w:rtl w:val="true"/>
        </w:rPr>
        <w:t xml:space="preserve">: </w:t>
      </w:r>
      <w:r>
        <w:rPr>
          <w:rtl w:val="true"/>
        </w:rPr>
        <w:t xml:space="preserve">في أنّه </w:t>
      </w:r>
      <w:r>
        <w:rPr>
          <w:rtl w:val="true"/>
        </w:rPr>
        <w:t xml:space="preserve">- </w:t>
      </w:r>
      <w:r>
        <w:rPr>
          <w:rtl w:val="true"/>
        </w:rPr>
        <w:t xml:space="preserve">تعالى </w:t>
      </w:r>
      <w:r>
        <w:rPr>
          <w:rtl w:val="true"/>
        </w:rPr>
        <w:t xml:space="preserve">- </w:t>
      </w:r>
      <w:r>
        <w:rPr>
          <w:rtl w:val="true"/>
        </w:rPr>
        <w:t>واحد</w:t>
      </w:r>
      <w:bookmarkEnd w:id="347"/>
    </w:p>
    <w:p>
      <w:pPr>
        <w:pStyle w:val="BookText"/>
        <w:rPr/>
      </w:pPr>
      <w:r>
        <w:rPr>
          <w:rFonts w:ascii="Amiri" w:hAnsi="Amiri" w:eastAsia="Amiri" w:cs="Amiri"/>
          <w:color w:val="111111"/>
          <w:sz w:val="28"/>
          <w:sz w:val="28"/>
          <w:szCs w:val="28"/>
          <w:rtl w:val="true"/>
          <w:lang w:bidi="ar-SA"/>
        </w:rPr>
        <w:t>لو كان في الوجود واجبا الوجود لكانا مشتركين في هذا المعنى، فإمّا أن يكون ذاتيّا لهما، أو لأحدهما، أو عارضا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يستلزم تركّب كلّ منهما، فيكون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الثالث يستلزم كلّ منهما أن لا يكون معروضه في ذاته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الواجب لذاته هو المعنى المشترك خاصّة، إذ لا وجود له في الخارج إلاّ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المخصّص سلبيّا، فإن سلب الغير لا يتحصّل إلاّ بعد حصول الغير؛ و لأنّ المخالفة ممكنة، لأنّ كلّ واحد منهما قادر على جميع المقدورات، فيصحّ أن يقصد أحدهما إلى ضدّ ما قصد</w:t>
      </w:r>
      <w:r>
        <w:rPr>
          <w:rStyle w:val="FootnoteAnchor"/>
          <w:rtl w:val="true"/>
        </w:rPr>
        <w:footnoteReference w:id="255"/>
      </w:r>
      <w:r>
        <w:rPr>
          <w:rFonts w:ascii="Amiri" w:hAnsi="Amiri" w:eastAsia="Amiri" w:cs="Amiri"/>
          <w:color w:val="111111"/>
          <w:sz w:val="28"/>
          <w:sz w:val="28"/>
          <w:szCs w:val="28"/>
          <w:rtl w:val="true"/>
          <w:lang w:bidi="ar-SA"/>
        </w:rPr>
        <w:t>الآخر، فإن حصل المرادان، اجتمع الضّدّان، و هو محال، و ان عدما كان المانع من مراد كلّ منهما وجود مراد الآخر، فيلزم وجودهما و إن وجد أحدهما فهو الإله؛ و للسّمع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الثّنويّة بقدم النّور و الظلمة و كلّ خير في العالم فمن النّور، و كلّ شر فمن الظلمة، و كلّ منهما لا نهاية له في الجهات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حيّ عالم و الظلمة حيّة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حدوث العالم اختلاط أجزاء من النّور </w:t>
      </w:r>
    </w:p>
    <w:p>
      <w:pPr>
        <w:pStyle w:val="BookText"/>
        <w:rPr/>
      </w:pPr>
      <w:r>
        <w:rPr>
          <w:rFonts w:ascii="Amiri" w:hAnsi="Amiri" w:eastAsia="Amiri" w:cs="Amiri"/>
          <w:color w:val="111111"/>
          <w:sz w:val="28"/>
          <w:sz w:val="28"/>
          <w:szCs w:val="28"/>
          <w:rtl w:val="true"/>
          <w:lang w:bidi="ar-SA"/>
        </w:rPr>
        <w:t>بأجزاء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النّور الأعظم استخلاص تلك الأجزاء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يمكنه إلاّ بخلق هذا العالم و خلق الأجسام النّيرة فيه، بحيث تستخلص بنورها تلك الأجزاء النّورانيّة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خلصت فنى</w:t>
      </w:r>
      <w:r>
        <w:rPr>
          <w:rStyle w:val="FootnoteAnchor"/>
          <w:rtl w:val="true"/>
        </w:rPr>
        <w:footnoteReference w:id="256"/>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الكلام كلّه خطأ، فإنّ النّور عرض لا يقوم بذاته، و الظلمة عدميّة، و عدم التّناهي محال،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صانعا قادرا عالما حيّا حكيما، سمّوه يزدان، و كلّ خير في العالم منه، و أنّه أفكر</w:t>
      </w:r>
      <w:r>
        <w:rPr>
          <w:rStyle w:val="FootnoteAnchor"/>
          <w:rtl w:val="true"/>
        </w:rPr>
        <w:footnoteReference w:id="257"/>
      </w:r>
      <w:r>
        <w:rPr>
          <w:rFonts w:ascii="Amiri" w:hAnsi="Amiri" w:eastAsia="Amiri" w:cs="Amiri"/>
          <w:color w:val="111111"/>
          <w:sz w:val="28"/>
          <w:sz w:val="28"/>
          <w:szCs w:val="28"/>
          <w:rtl w:val="true"/>
          <w:lang w:bidi="ar-SA"/>
        </w:rPr>
        <w:t>لو كان لي ضدّ في الملك كيف تكون حالي معه، فحدث الشّيطان من تلك الفكرة، و كلّ شرّ في العالم منه، و اسمه اهرمن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قال بقدم الشّيطان و هو ظاهر الفساد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واحد ثلاثة أقانيم، أقنوم الأب و هو وجوده، و اقنوم الابن و هو علمه، و اقنوم روح القدس، و هو حياته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أرادوا الصّفات فلا منازعة إلاّ في اللّفظ، و إلاّ فهو خطأ، لما تقدّم</w:t>
      </w:r>
      <w:r>
        <w:rPr>
          <w:rFonts w:eastAsia="Amiri" w:cs="Amiri" w:ascii="Amiri" w:hAnsi="Amiri"/>
          <w:color w:val="111111"/>
          <w:sz w:val="28"/>
          <w:szCs w:val="28"/>
          <w:rtl w:val="true"/>
          <w:lang w:bidi="ar-SA"/>
        </w:rPr>
        <w:t xml:space="preserve">. </w:t>
      </w:r>
      <w:bookmarkStart w:id="348" w:name="pg9140_71253"/>
    </w:p>
    <w:p>
      <w:pPr>
        <w:pStyle w:val="Heading2"/>
        <w:numPr>
          <w:ilvl w:val="1"/>
          <w:numId w:val="1"/>
        </w:numPr>
        <w:rPr/>
      </w:pPr>
      <w:bookmarkStart w:id="349" w:name="__RefHeading___Toc3242355_2870459653"/>
      <w:bookmarkStart w:id="350" w:name="_Toc128"/>
      <w:bookmarkEnd w:id="348"/>
      <w:bookmarkEnd w:id="349"/>
      <w:r>
        <w:rPr>
          <w:rtl w:val="true"/>
        </w:rPr>
        <w:t>المرصد السّادس في العدل و فيه مطالب</w:t>
      </w:r>
      <w:bookmarkEnd w:id="35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3242357_2870459653"/>
      <w:bookmarkStart w:id="352" w:name="_Toc129"/>
      <w:bookmarkEnd w:id="351"/>
      <w:r>
        <w:rPr>
          <w:rtl w:val="true"/>
        </w:rPr>
        <w:t>اشارة</w:t>
      </w:r>
      <w:bookmarkEnd w:id="3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9140_71255"/>
      <w:bookmarkStart w:id="354" w:name="pg9140_71255"/>
      <w:bookmarkEnd w:id="354"/>
    </w:p>
    <w:p>
      <w:pPr>
        <w:pStyle w:val="Heading3"/>
        <w:numPr>
          <w:ilvl w:val="2"/>
          <w:numId w:val="1"/>
        </w:numPr>
        <w:rPr/>
      </w:pPr>
      <w:bookmarkStart w:id="355" w:name="pg9140_71255"/>
      <w:bookmarkStart w:id="356" w:name="__RefHeading___Toc3242359_2870459653"/>
      <w:bookmarkStart w:id="357" w:name="_Toc130"/>
      <w:bookmarkEnd w:id="355"/>
      <w:bookmarkEnd w:id="356"/>
      <w:r>
        <w:rPr>
          <w:rtl w:val="true"/>
        </w:rPr>
        <w:t>[</w:t>
      </w:r>
      <w:r>
        <w:rPr>
          <w:rtl w:val="true"/>
        </w:rPr>
        <w:t>المطلب</w:t>
      </w:r>
      <w:r>
        <w:rPr>
          <w:rtl w:val="true"/>
        </w:rPr>
        <w:t xml:space="preserve">] </w:t>
      </w:r>
      <w:r>
        <w:rPr>
          <w:rtl w:val="true"/>
        </w:rPr>
        <w:t>الأوّل في الحسن و القبح العقليّين</w:t>
      </w:r>
      <w:bookmarkEnd w:id="357"/>
    </w:p>
    <w:p>
      <w:pPr>
        <w:pStyle w:val="Heading4"/>
        <w:numPr>
          <w:ilvl w:val="3"/>
          <w:numId w:val="1"/>
        </w:numPr>
        <w:rPr/>
      </w:pPr>
      <w:bookmarkStart w:id="358" w:name="__RefHeading___Toc3242361_2870459653"/>
      <w:bookmarkStart w:id="359" w:name="_Toc131"/>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الفعل إن لم يكن له صفة زائدة على حدوثه فهو كحركة السّاهي و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فهو إمّا حسن لا صفة زائدة له على حسنه، و هو المباح؛ أو له صفة زائدة، فإن أوجبت الذّمّ على التّرك فهو الواجب، و إلاّ النّدب؛ و إمّا قبيح، و هو ما يستحقّ فاعله العالم بحاله الذّمّ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اتّفقت المعتزلة على أنّ من الأشياء ما يعلم كونه حسنا و قبيحا بالضّرورة، كحسن الصّدق النافع و الإنصاف و الإحسان و شكر المنعم و قبح الكذب الضّارّ و الظلم و الفساد و تكليف ما لا يطاق؛ و منها ما يعلم حسنه و قبحه بنظر العقل، كحسن الصّدق الضّارّ و قبح الكذب النّافع، و منها ما يعلم من جهة الشّرع، لا بمعنى أنّه علّة في الحسن و القبح، بل أنّه كاشف لجزم من لم يعتقد الشّرع به، و لأنّه لولاه لجاز إظهار المعجزة</w:t>
      </w:r>
      <w:r>
        <w:rPr>
          <w:rStyle w:val="FootnoteAnchor"/>
          <w:rtl w:val="true"/>
        </w:rPr>
        <w:footnoteReference w:id="258"/>
      </w:r>
      <w:r>
        <w:rPr>
          <w:rFonts w:ascii="Amiri" w:hAnsi="Amiri" w:eastAsia="Amiri" w:cs="Amiri"/>
          <w:color w:val="111111"/>
          <w:sz w:val="28"/>
          <w:sz w:val="28"/>
          <w:szCs w:val="28"/>
          <w:rtl w:val="true"/>
          <w:lang w:bidi="ar-SA"/>
        </w:rPr>
        <w:t>على يد الكاذب، و الخلف في وعده و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التّعذيب على الطاعة و الإثابة على المعصية، فينتفي فائدة التّكليف و لأفحمت الأنبياء</w:t>
      </w:r>
      <w:r>
        <w:rPr>
          <w:rFonts w:eastAsia="Amiri" w:cs="Amiri" w:ascii="Amiri" w:hAnsi="Amiri"/>
          <w:color w:val="111111"/>
          <w:sz w:val="28"/>
          <w:szCs w:val="28"/>
          <w:rtl w:val="true"/>
          <w:lang w:bidi="ar-SA"/>
        </w:rPr>
        <w:t xml:space="preserve">. </w:t>
      </w:r>
      <w:bookmarkStart w:id="360" w:name="pg9140_71256"/>
    </w:p>
    <w:p>
      <w:pPr>
        <w:pStyle w:val="BookText"/>
        <w:rPr/>
      </w:pPr>
      <w:bookmarkEnd w:id="360"/>
      <w:r>
        <w:rPr>
          <w:rFonts w:ascii="Amiri" w:hAnsi="Amiri" w:eastAsia="Amiri" w:cs="Amiri"/>
          <w:color w:val="111111"/>
          <w:sz w:val="28"/>
          <w:sz w:val="28"/>
          <w:szCs w:val="28"/>
          <w:rtl w:val="true"/>
          <w:lang w:bidi="ar-SA"/>
        </w:rPr>
        <w:t>و 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شرعيّان، فالحسن ما أمر الشّارع به، و القبيح ما نهى عنه؛ لأنّ العلم به ليس نظريّا إجماعا و لا ضروريّا، و إلاّ لساوى العلم بأنّ 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قطعا، فكذا المقدّم، و لأنّ الكذب قد يحسن إذا اشتمل على مصلحة، كتخليص نبيّ من ظالم،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لأكذبنّ غدا،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من علم عدم إيمانه، و خلاف معلوم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و كلّف أبا لهب بالإيمان بجميع 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أخبر</w:t>
      </w:r>
      <w:r>
        <w:rPr>
          <w:rStyle w:val="FootnoteAnchor"/>
          <w:rtl w:val="true"/>
        </w:rPr>
        <w:footnoteReference w:id="259"/>
      </w:r>
      <w:r>
        <w:rPr>
          <w:rFonts w:ascii="Amiri" w:hAnsi="Amiri" w:eastAsia="Amiri" w:cs="Amiri"/>
          <w:color w:val="111111"/>
          <w:sz w:val="28"/>
          <w:sz w:val="28"/>
          <w:szCs w:val="28"/>
          <w:rtl w:val="true"/>
          <w:lang w:bidi="ar-SA"/>
        </w:rPr>
        <w:t>أنّه لا يؤمن، فقد كلّفه بأن يؤمن بأن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بين النّقيضين؛ و لأنّ أفعال العبد اضطراريّة، فلا حسن و لا قبح</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3242363_2870459653"/>
      <w:bookmarkStart w:id="362" w:name="_Toc132"/>
      <w:bookmarkEnd w:id="361"/>
      <w:r>
        <w:rPr>
          <w:rtl w:val="true"/>
        </w:rPr>
        <w:t>و الجواب</w:t>
      </w:r>
      <w:r>
        <w:rPr>
          <w:rtl w:val="true"/>
        </w:rPr>
        <w:t>:</w:t>
      </w:r>
      <w:bookmarkEnd w:id="362"/>
    </w:p>
    <w:p>
      <w:pPr>
        <w:pStyle w:val="BookText"/>
        <w:rPr/>
      </w:pPr>
      <w:r>
        <w:rPr>
          <w:rFonts w:ascii="Amiri" w:hAnsi="Amiri" w:eastAsia="Amiri" w:cs="Amiri"/>
          <w:color w:val="111111"/>
          <w:sz w:val="28"/>
          <w:sz w:val="28"/>
          <w:szCs w:val="28"/>
          <w:rtl w:val="true"/>
          <w:lang w:bidi="ar-SA"/>
        </w:rPr>
        <w:t>المنع من الملازمة فإنّ التّصديقات الضّروريّة تتفاوت بتفاوت التّصوّرات في الكمال و النّقصان، و من بطلان التّالي، و الكذب ليس بحسن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التّوراة لتخليص النّبيّ، فينتفي الكذب، أو يأتي بصورة الإخبار من غير قصد له، بل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ترك الكذب في الغد، لاشتماله على وجهي حسن، هما ترك الكذب و ترك إتمام العزم عليه و إن اشتمل على وجه قبح، و هو أولى من الكذب المشتمل على وجهي قبح هما الكذب و إتمام العزم عليه، و على وجه حسن و هو الصدق، و العلم تابع، فلا يؤثّر في المتبوع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نمنع إخباره عن أبي لهب بعدم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السّورة اشتملت</w:t>
      </w:r>
      <w:r>
        <w:rPr>
          <w:rStyle w:val="FootnoteAnchor"/>
          <w:rtl w:val="true"/>
        </w:rPr>
        <w:footnoteReference w:id="260"/>
      </w:r>
      <w:r>
        <w:rPr>
          <w:rFonts w:ascii="IRNazanin" w:hAnsi="IRNazanin" w:eastAsia="IRNazanin"/>
          <w:color w:val="111111"/>
          <w:sz w:val="28"/>
          <w:sz w:val="28"/>
          <w:szCs w:val="28"/>
          <w:rtl w:val="true"/>
          <w:lang w:bidi="fa-IR"/>
        </w:rPr>
        <w:t xml:space="preserve">على </w:t>
      </w:r>
      <w:bookmarkStart w:id="363" w:name="pg9140_71257"/>
    </w:p>
    <w:p>
      <w:pPr>
        <w:pStyle w:val="BookText"/>
        <w:rPr/>
      </w:pPr>
      <w:bookmarkEnd w:id="363"/>
      <w:r>
        <w:rPr>
          <w:rFonts w:ascii="Amiri" w:hAnsi="Amiri" w:eastAsia="Amiri" w:cs="Amiri"/>
          <w:color w:val="111111"/>
          <w:sz w:val="28"/>
          <w:sz w:val="28"/>
          <w:szCs w:val="28"/>
          <w:rtl w:val="true"/>
          <w:lang w:bidi="ar-SA"/>
        </w:rPr>
        <w:t>ذمّه، لا على الإخبار بعدم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نزولها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w:t>
      </w:r>
      <w:r>
        <w:rPr>
          <w:rStyle w:val="FootnoteAnchor"/>
          <w:rtl w:val="true"/>
        </w:rPr>
        <w:footnoteReference w:id="26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 أَنْذَرْتَهُمْ </w:t>
      </w:r>
      <w:r>
        <w:rPr>
          <w:rStyle w:val="FootnoteAnchor"/>
          <w:rtl w:val="true"/>
        </w:rPr>
        <w:footnoteReference w:id="262"/>
      </w:r>
      <w:r>
        <w:rPr>
          <w:rFonts w:ascii="Amiri" w:hAnsi="Amiri" w:eastAsia="Amiri" w:cs="Amiri"/>
          <w:color w:val="111111"/>
          <w:sz w:val="28"/>
          <w:sz w:val="28"/>
          <w:szCs w:val="28"/>
          <w:rtl w:val="true"/>
          <w:lang w:bidi="ar-SA"/>
        </w:rPr>
        <w:t>يحتمل نزولها بعد موتهم أو حال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الغافل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اختيار العبد</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242365_2870459653"/>
      <w:bookmarkStart w:id="365" w:name="_Toc133"/>
      <w:bookmarkEnd w:id="364"/>
      <w:r>
        <w:rPr>
          <w:rtl w:val="true"/>
        </w:rPr>
        <w:t>تذنيب</w:t>
      </w:r>
      <w:bookmarkEnd w:id="365"/>
    </w:p>
    <w:p>
      <w:pPr>
        <w:pStyle w:val="BookText"/>
        <w:rPr/>
      </w:pPr>
      <w:r>
        <w:rPr>
          <w:rFonts w:ascii="Amiri" w:hAnsi="Amiri" w:eastAsia="Amiri" w:cs="Amiri"/>
          <w:color w:val="111111"/>
          <w:sz w:val="28"/>
          <w:sz w:val="28"/>
          <w:szCs w:val="28"/>
          <w:rtl w:val="true"/>
          <w:lang w:bidi="ar-SA"/>
        </w:rPr>
        <w:t>القبائح إنّما قبحت لما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الواجبات، فإنّ العقلاء متى علموا الظلم، أو منع ردّ الوديعة، أو ترك شكر المنعم،</w:t>
      </w:r>
      <w:r>
        <w:rPr>
          <w:rStyle w:val="FootnoteAnchor"/>
          <w:rtl w:val="true"/>
        </w:rPr>
        <w:footnoteReference w:id="263"/>
      </w:r>
      <w:r>
        <w:rPr>
          <w:rFonts w:ascii="Amiri" w:hAnsi="Amiri" w:eastAsia="Amiri" w:cs="Amiri"/>
          <w:color w:val="111111"/>
          <w:sz w:val="28"/>
          <w:sz w:val="28"/>
          <w:szCs w:val="28"/>
          <w:rtl w:val="true"/>
          <w:lang w:bidi="ar-SA"/>
        </w:rPr>
        <w:t>ذمّوا فاعل ذلك، و متى علموا ردّ الوديعة أو شكر النّعمة مدحوا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طلب منهم العلّة بادروا إلى ذكر الظّلم أو منع الوديعة أو كفران النّعمة أو فعل الشّكر أو الرّدّ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علمهم الضّروريّ بالعلم لما بادروا إليها و للدوران، فإنّ الضّرر متى كان ظلما كان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انتفى الظلم انتفى قبحه فكان علّة</w:t>
      </w:r>
      <w:r>
        <w:rPr>
          <w:rFonts w:eastAsia="Amiri" w:cs="Amiri" w:ascii="Amiri" w:hAnsi="Amiri"/>
          <w:color w:val="111111"/>
          <w:sz w:val="28"/>
          <w:szCs w:val="28"/>
          <w:rtl w:val="true"/>
          <w:lang w:bidi="ar-SA"/>
        </w:rPr>
        <w:t xml:space="preserve">. </w:t>
      </w:r>
      <w:bookmarkStart w:id="366" w:name="pg9140_71258"/>
    </w:p>
    <w:p>
      <w:pPr>
        <w:pStyle w:val="Heading3"/>
        <w:numPr>
          <w:ilvl w:val="2"/>
          <w:numId w:val="1"/>
        </w:numPr>
        <w:rPr/>
      </w:pPr>
      <w:bookmarkStart w:id="367" w:name="__RefHeading___Toc3242367_2870459653"/>
      <w:bookmarkStart w:id="368" w:name="_Toc134"/>
      <w:bookmarkEnd w:id="366"/>
      <w:bookmarkEnd w:id="367"/>
      <w:r>
        <w:rPr>
          <w:rtl w:val="true"/>
        </w:rPr>
        <w:t xml:space="preserve">المطلب الثاني في أنّه </w:t>
      </w:r>
      <w:r>
        <w:rPr>
          <w:rtl w:val="true"/>
        </w:rPr>
        <w:t xml:space="preserve">- </w:t>
      </w:r>
      <w:r>
        <w:rPr>
          <w:rtl w:val="true"/>
        </w:rPr>
        <w:t xml:space="preserve">تعالى </w:t>
      </w:r>
      <w:r>
        <w:rPr>
          <w:rtl w:val="true"/>
        </w:rPr>
        <w:t xml:space="preserve">- </w:t>
      </w:r>
      <w:r>
        <w:rPr>
          <w:rtl w:val="true"/>
        </w:rPr>
        <w:t>لا يفعل القبيح و لا يخلّ بالواجب</w:t>
      </w:r>
      <w:bookmarkEnd w:id="368"/>
    </w:p>
    <w:p>
      <w:pPr>
        <w:pStyle w:val="BookText"/>
        <w:rPr/>
      </w:pPr>
      <w:r>
        <w:rPr>
          <w:rFonts w:ascii="Amiri" w:hAnsi="Amiri" w:eastAsia="Amiri" w:cs="Amiri"/>
          <w:color w:val="111111"/>
          <w:sz w:val="28"/>
          <w:sz w:val="28"/>
          <w:szCs w:val="28"/>
          <w:rtl w:val="true"/>
          <w:lang w:bidi="ar-SA"/>
        </w:rPr>
        <w:t>يدلّ عليه أنّ له صارفا عن القبيح، لأنّه غنيّ عنه و عالم بقبحه، و لا داعي له إليه، لانتفاء داعي الحاجة و الحكمة، فلا يصدر الفعل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الأشاعرة أسندوا القبائح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كلّف الكافر مع علمه بامتناع الإيمان منه، و تكليف ما لا يطاق قبيح عندكم،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الرّجال و النّساء في الدّنيا و مكّن بعضهم من بعض، و جعل لهم ميلا إلى الاجتماع و حرّمه، و ذلك قبيح، كما يقبح منّا جمع العبيد و الإماء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أنّ العلم تابع، و الغرض في التّكليف هو التّعريض على معنى أنّه يجعله بحيث يتمكن من الوصول إلى النّفع و قد حصل الغرض، و الجامع بين العبيد و الإماء إذا نهاهم عن وصول بعضهم إلى بعض و توعّدهم عليه بعظيم الضّرر، و فعل بهم ما يقرّبهم من الامتثال و يبعّدهم عن المخالفة، و نصب لهم من يؤدّبهم إذا أخلّوا بما امروا به عاجلا و وعدهم على الامتثال بعظيم النّفع الّذي لا يمكن الوصول إليه إلاّ به لم يكن قبيحا</w:t>
      </w:r>
      <w:r>
        <w:rPr>
          <w:rFonts w:eastAsia="Amiri" w:cs="Amiri" w:ascii="Amiri" w:hAnsi="Amiri"/>
          <w:color w:val="111111"/>
          <w:sz w:val="28"/>
          <w:szCs w:val="28"/>
          <w:rtl w:val="true"/>
          <w:lang w:bidi="ar-SA"/>
        </w:rPr>
        <w:t xml:space="preserve">. </w:t>
      </w:r>
      <w:bookmarkStart w:id="369" w:name="pg9140_71259"/>
    </w:p>
    <w:p>
      <w:pPr>
        <w:pStyle w:val="Heading3"/>
        <w:numPr>
          <w:ilvl w:val="2"/>
          <w:numId w:val="1"/>
        </w:numPr>
        <w:rPr/>
      </w:pPr>
      <w:bookmarkStart w:id="370" w:name="__RefHeading___Toc3242369_2870459653"/>
      <w:bookmarkStart w:id="371" w:name="_Toc135"/>
      <w:bookmarkEnd w:id="369"/>
      <w:bookmarkEnd w:id="370"/>
      <w:r>
        <w:rPr>
          <w:rtl w:val="true"/>
        </w:rPr>
        <w:t>المطلب الثّالث في خلق الأعمال</w:t>
      </w:r>
      <w:bookmarkEnd w:id="371"/>
    </w:p>
    <w:p>
      <w:pPr>
        <w:pStyle w:val="BookText"/>
        <w:rPr/>
      </w:pPr>
      <w:r>
        <w:rPr>
          <w:rFonts w:ascii="Amiri" w:hAnsi="Amiri" w:eastAsia="Amiri" w:cs="Amiri"/>
          <w:color w:val="111111"/>
          <w:sz w:val="28"/>
          <w:sz w:val="28"/>
          <w:szCs w:val="28"/>
          <w:rtl w:val="true"/>
          <w:lang w:bidi="ar-SA"/>
        </w:rPr>
        <w:t xml:space="preserve">ذهب جهم بن صفوان إلى أن لا فاعل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الأشاعرة و النّجّاريّة، إنّ المحدث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مكتسب،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قدرة للعبد و الفعل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الكسب، فقال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إجراء العادة بإيجاد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 القدرة معا عند اختيار العبد، و لا أثر لقدرة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أصحابه، معناه تأثير قدرة العبد في كون الفعل طاعة أو معصية أو عبثا و غيرها من صفات الفعل الّتي يتناولها التّكليف و بها يستحقّ المدح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أهل العدل إلى أنّ للحيوان أفعالا تقع بقدرتهم</w:t>
      </w:r>
      <w:r>
        <w:rPr>
          <w:rStyle w:val="FootnoteAnchor"/>
          <w:rtl w:val="true"/>
        </w:rPr>
        <w:footnoteReference w:id="264"/>
      </w:r>
      <w:r>
        <w:rPr>
          <w:rFonts w:ascii="Amiri" w:hAnsi="Amiri" w:eastAsia="Amiri" w:cs="Amiri"/>
          <w:color w:val="111111"/>
          <w:sz w:val="28"/>
          <w:sz w:val="28"/>
          <w:szCs w:val="28"/>
          <w:rtl w:val="true"/>
          <w:lang w:bidi="ar-SA"/>
        </w:rPr>
        <w:t>و اختيارهم، فعند أبي الحسين و من تابعه أنّ العلم به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باقي مشايخ المعتزلة و من تابعهم من شيوخ الإماميّة أنّه كسبيّ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أنّ كلّ عاقل يعلم بالضّرورة حسن المدح على الإحسان و الذّمّ على الإساءة، و هو يتوقف على كون الممدوح و المذموم فاعلا، و لأنّ أفعالنا </w:t>
      </w:r>
    </w:p>
    <w:p>
      <w:pPr>
        <w:pStyle w:val="BookText"/>
        <w:rPr/>
      </w:pPr>
      <w:r>
        <w:rPr>
          <w:rFonts w:ascii="Amiri" w:hAnsi="Amiri" w:eastAsia="Amiri" w:cs="Amiri"/>
          <w:color w:val="111111"/>
          <w:sz w:val="28"/>
          <w:sz w:val="28"/>
          <w:szCs w:val="28"/>
          <w:rtl w:val="true"/>
          <w:lang w:bidi="ar-SA"/>
        </w:rPr>
        <w:t>واقعة بحسب قصودنا و منتفية بحسب صوارفنا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الضّرورة قاضية بالفرق بين حركاتنا الاختياريّة و الاضطراريّة، و لقبح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النّهي كما يقبح أمر الجماد و نهيه؛ و للسّمع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بأنّ العبد حال الفعل إن لم يمكنه التّرك فهو الجبر؛ و إن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يتوقّف التّرجيح على مرجّح لزم ترجيح الممكن من غير مرجّح، و إن توقّف، فإن كان منه عاد البحث، و إلاّ لزم الجبر، لامتناع الفعل من دونه و وجوبه عنده، و لأنّه لو كان موجدا لفعله لكان عالما بتفاصيله، فإنّ القصد</w:t>
      </w:r>
      <w:r>
        <w:rPr>
          <w:rStyle w:val="FootnoteAnchor"/>
          <w:rtl w:val="true"/>
        </w:rPr>
        <w:footnoteReference w:id="265"/>
      </w:r>
      <w:r>
        <w:rPr>
          <w:rFonts w:ascii="Amiri" w:hAnsi="Amiri" w:eastAsia="Amiri" w:cs="Amiri"/>
          <w:color w:val="111111"/>
          <w:sz w:val="28"/>
          <w:sz w:val="28"/>
          <w:szCs w:val="28"/>
          <w:rtl w:val="true"/>
          <w:lang w:bidi="ar-SA"/>
        </w:rPr>
        <w:t>الكلّيّ لا يكفي في حصول الجزئيّ لتساوي نسبته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التّالي باطل قطعا، لعدم العلم بقدر السّكنات المتخلّلة في الحركات البطيئة، و لأنّه لو أراد العبد حركة جسم و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تسكينه، فإن وقعا أو لم يقعا لزم المحال، و إن وقع أحدهما كان ترجيحا من غير مرجّح، لاستقلال كلّ منهما؛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الوقوع وجب و إلاّ امتنع، فلا قدرة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متمكن من التّرك نظرا إلى القدرة و غير متمكّن نظرا إلى الدّاعي و لا يخرجه عن القدرة، لتساوي الطرفين بالنّسبة إلى القدرة وحدها، و هو آت في حقّ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الإجماليّ كاف في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القصد الكلّيّ قد ينبعث عنه الفعل الجزئيّ باعتبار تخصيصه </w:t>
      </w:r>
    </w:p>
    <w:p>
      <w:pPr>
        <w:pStyle w:val="BookText"/>
        <w:rPr/>
      </w:pPr>
      <w:r>
        <w:rPr>
          <w:rFonts w:ascii="Amiri" w:hAnsi="Amiri" w:eastAsia="Amiri" w:cs="Amiri"/>
          <w:color w:val="111111"/>
          <w:sz w:val="28"/>
          <w:sz w:val="28"/>
          <w:szCs w:val="28"/>
          <w:rtl w:val="true"/>
          <w:lang w:bidi="ar-SA"/>
        </w:rPr>
        <w:t xml:space="preserve">بالمحلّ و الوقت لا باعتبار القصد، و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فكان صدور فعله أولى، و الوجوب المستند إلى العلم لاحق</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فرض أحد النّقيضين يقتضي وجوبه لاحقا دون امتناع الآخر، كذا فرض العلم، لأنّه مطابق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هيئة التطابق هو المعلوم، مع أنّه آت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الكسب غير مفيد، لأنّ تجويز صدور الاختيار يقتضي تجويز صدور غيره، لعدم الأولويّة؛ و لانسحاب أدلّتهم عليه، فإنّ اختيار المعصية مغاير لاختيار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أحدهما إن لم يكن لمرجّح لزم ترجيح أحد الطرفين لا لمرجّح، و إن كان لمرجّح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باقي الأدلّة</w:t>
      </w:r>
      <w:r>
        <w:rPr>
          <w:rFonts w:eastAsia="Amiri" w:cs="Amiri" w:ascii="Amiri" w:hAnsi="Amiri"/>
          <w:color w:val="111111"/>
          <w:sz w:val="28"/>
          <w:szCs w:val="28"/>
          <w:rtl w:val="true"/>
          <w:lang w:bidi="ar-SA"/>
        </w:rPr>
        <w:t xml:space="preserve">. </w:t>
      </w:r>
      <w:bookmarkStart w:id="372" w:name="pg9140_71262"/>
    </w:p>
    <w:p>
      <w:pPr>
        <w:pStyle w:val="Heading3"/>
        <w:numPr>
          <w:ilvl w:val="2"/>
          <w:numId w:val="1"/>
        </w:numPr>
        <w:rPr/>
      </w:pPr>
      <w:bookmarkStart w:id="373" w:name="__RefHeading___Toc3242371_2870459653"/>
      <w:bookmarkStart w:id="374" w:name="_Toc136"/>
      <w:bookmarkEnd w:id="372"/>
      <w:bookmarkEnd w:id="373"/>
      <w:r>
        <w:rPr>
          <w:rtl w:val="true"/>
        </w:rPr>
        <w:t xml:space="preserve">المطلب الرّابع في أنّه </w:t>
      </w:r>
      <w:r>
        <w:rPr>
          <w:rtl w:val="true"/>
        </w:rPr>
        <w:t xml:space="preserve">- </w:t>
      </w:r>
      <w:r>
        <w:rPr>
          <w:rtl w:val="true"/>
        </w:rPr>
        <w:t xml:space="preserve">تعالى </w:t>
      </w:r>
      <w:r>
        <w:rPr>
          <w:rtl w:val="true"/>
        </w:rPr>
        <w:t xml:space="preserve">- </w:t>
      </w:r>
      <w:r>
        <w:rPr>
          <w:rtl w:val="true"/>
        </w:rPr>
        <w:t>يريد الطاعات و يكره المعاصي</w:t>
      </w:r>
      <w:bookmarkEnd w:id="3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العدليّة، خلافا للأشاعرة، لأنّ له داعيا إلى الطاعة، و لا صارف له عنها، و له صارف عن المعصية، و لا داعي له إليها، لأنّه حكيم، و الحكيم له داع إلى الحسن، و الطاعة حسنة، و له صارف عن القبيح، و المعصية قبيحة؛ و لأنّ إرادة القبيح قبيحة، لاستحسان العقلاء ذمّ مريد القبيح، و لأنّه أمر بالطاعة و نهى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يستلزمان الإرادة و الكراهة؛ فإنّ الأمر إنّما هو أمر باعتبار إرادة المأمور به؛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Style w:val="FootnoteAnchor"/>
          <w:rtl w:val="true"/>
        </w:rPr>
        <w:footnoteReference w:id="267"/>
      </w:r>
      <w:r>
        <w:rPr>
          <w:rFonts w:ascii="Amiri" w:hAnsi="Amiri" w:eastAsia="Amiri" w:cs="Amiri"/>
          <w:color w:val="111111"/>
          <w:sz w:val="28"/>
          <w:sz w:val="28"/>
          <w:szCs w:val="28"/>
          <w:rtl w:val="true"/>
          <w:lang w:bidi="ar-SA"/>
        </w:rPr>
        <w:t>و كذب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أَشْرَكْنٰا </w:t>
      </w:r>
      <w:r>
        <w:rPr>
          <w:rStyle w:val="FootnoteAnchor"/>
          <w:rtl w:val="true"/>
        </w:rPr>
        <w:footnoteReference w:id="26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لِلْعٰالَمِينَ </w:t>
      </w:r>
      <w:r>
        <w:rPr>
          <w:rStyle w:val="FootnoteAnchor"/>
          <w:rtl w:val="true"/>
        </w:rPr>
        <w:footnoteReference w:id="269"/>
      </w:r>
      <w:r>
        <w:rPr>
          <w:rFonts w:ascii="Amiri" w:hAnsi="Amiri" w:eastAsia="Amiri" w:cs="Amiri"/>
          <w:color w:val="111111"/>
          <w:sz w:val="28"/>
          <w:sz w:val="28"/>
          <w:szCs w:val="28"/>
          <w:rtl w:val="true"/>
          <w:lang w:bidi="ar-SA"/>
        </w:rPr>
        <w:t xml:space="preserve">، وَ اَللّٰهُ لاٰ يُحِبُّ اَلْفَسٰادَ </w:t>
      </w:r>
      <w:r>
        <w:rPr>
          <w:rStyle w:val="FootnoteAnchor"/>
          <w:rtl w:val="true"/>
        </w:rPr>
        <w:footnoteReference w:id="270"/>
      </w:r>
      <w:r>
        <w:rPr>
          <w:rFonts w:ascii="Amiri" w:hAnsi="Amiri" w:eastAsia="Amiri" w:cs="Amiri"/>
          <w:color w:val="111111"/>
          <w:sz w:val="28"/>
          <w:sz w:val="28"/>
          <w:szCs w:val="28"/>
          <w:rtl w:val="true"/>
          <w:lang w:bidi="ar-SA"/>
        </w:rPr>
        <w:t xml:space="preserve">، وَ لاٰ يَرْضىٰ لِعِبٰادِهِ اَلْكُفْرَ </w:t>
      </w:r>
      <w:r>
        <w:rPr>
          <w:rStyle w:val="FootnoteAnchor"/>
          <w:rtl w:val="true"/>
        </w:rPr>
        <w:footnoteReference w:id="271"/>
      </w:r>
      <w:r>
        <w:rPr>
          <w:rFonts w:ascii="Amiri" w:hAnsi="Amiri" w:eastAsia="Amiri" w:cs="Amiri"/>
          <w:color w:val="111111"/>
          <w:sz w:val="28"/>
          <w:sz w:val="28"/>
          <w:szCs w:val="28"/>
          <w:rtl w:val="true"/>
          <w:lang w:bidi="ar-SA"/>
        </w:rPr>
        <w:t xml:space="preserve">، و وَ مٰا خَلَقْتُ اَلْجِنَّ وَ اَلْإِنْسَ إِلاّٰ لِيَعْبُدُونِ </w:t>
      </w:r>
      <w:r>
        <w:rPr>
          <w:rStyle w:val="FootnoteAnchor"/>
          <w:rtl w:val="true"/>
        </w:rPr>
        <w:footnoteReference w:id="272"/>
      </w:r>
      <w:r>
        <w:rPr>
          <w:rFonts w:ascii="Amiri" w:hAnsi="Amiri" w:eastAsia="Amiri" w:cs="Amiri"/>
          <w:color w:val="111111"/>
          <w:sz w:val="28"/>
          <w:sz w:val="28"/>
          <w:szCs w:val="28"/>
          <w:rtl w:val="true"/>
          <w:lang w:bidi="ar-SA"/>
        </w:rPr>
        <w:t xml:space="preserve">، وَ مٰا أُمِرُوا إِلاّٰ لِيَعْبُدُوا اَللّٰهَ مُخْلِصِينَ لَهُ اَلدِّينَ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احتجّوا بأنّ إرادة الطاعة من الكافر تستلزم وقوعها و كراهة المعصية تستلزم عدمها؛ و لأنّ الأمر قد يوجد بدون الإرادة، كطالب العذر عن ضرب</w:t>
      </w:r>
      <w:r>
        <w:rPr>
          <w:rStyle w:val="FootnoteAnchor"/>
          <w:rtl w:val="true"/>
        </w:rPr>
        <w:footnoteReference w:id="274"/>
      </w:r>
      <w:r>
        <w:rPr>
          <w:rFonts w:ascii="Amiri" w:hAnsi="Amiri" w:eastAsia="Amiri" w:cs="Amiri"/>
          <w:color w:val="111111"/>
          <w:sz w:val="28"/>
          <w:sz w:val="28"/>
          <w:szCs w:val="28"/>
          <w:rtl w:val="true"/>
          <w:lang w:bidi="ar-SA"/>
        </w:rPr>
        <w:t>عبده بعدم قبوله منه، فيأمره و لا يريد فعله، ليظهر عذره؛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إيقاعها اختيارا و كره إيقاع المعصية اختيارا، لئلاّ يبطل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المولى يوجد صورة الأمر و لا طلب، كما لا إرادة، و الآية يدلّ على القسر</w:t>
      </w:r>
      <w:r>
        <w:rPr>
          <w:rFonts w:eastAsia="Amiri" w:cs="Amiri" w:ascii="Amiri" w:hAnsi="Amiri"/>
          <w:color w:val="111111"/>
          <w:sz w:val="28"/>
          <w:szCs w:val="28"/>
          <w:rtl w:val="true"/>
          <w:lang w:bidi="ar-SA"/>
        </w:rPr>
        <w:t>.</w:t>
      </w:r>
      <w:r>
        <w:rPr>
          <w:rStyle w:val="FootnoteAnchor"/>
          <w:rtl w:val="true"/>
        </w:rPr>
        <w:footnoteReference w:id="276"/>
      </w:r>
      <w:bookmarkStart w:id="375" w:name="pg9140_71264"/>
    </w:p>
    <w:p>
      <w:pPr>
        <w:pStyle w:val="Heading3"/>
        <w:numPr>
          <w:ilvl w:val="2"/>
          <w:numId w:val="1"/>
        </w:numPr>
        <w:rPr/>
      </w:pPr>
      <w:bookmarkStart w:id="376" w:name="__RefHeading___Toc3242373_2870459653"/>
      <w:bookmarkStart w:id="377" w:name="_Toc137"/>
      <w:bookmarkEnd w:id="375"/>
      <w:bookmarkEnd w:id="376"/>
      <w:r>
        <w:rPr>
          <w:rtl w:val="true"/>
        </w:rPr>
        <w:t>المطلب الخامس في التكليف</w:t>
      </w:r>
      <w:bookmarkEnd w:id="377"/>
    </w:p>
    <w:p>
      <w:pPr>
        <w:pStyle w:val="BookText"/>
        <w:rPr/>
      </w:pPr>
      <w:r>
        <w:rPr>
          <w:rFonts w:ascii="Amiri" w:hAnsi="Amiri" w:eastAsia="Amiri" w:cs="Amiri"/>
          <w:color w:val="111111"/>
          <w:sz w:val="28"/>
          <w:sz w:val="28"/>
          <w:szCs w:val="28"/>
          <w:rtl w:val="true"/>
          <w:lang w:bidi="ar-SA"/>
        </w:rPr>
        <w:t>و هو إرادة من يجب طاعته على جهة الابتداء ما فيه مشقّة بشرط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لأنّه من فعله تعالى، و اللّه لا يفعل القبيح؛ و لا بدّ من غرض، لقبح العبث، و ليس عائدا إليه تعالى، لاستغنائه، و لا إلى غير المكلّف، لقبح إلزام المشقّة لنفع</w:t>
      </w:r>
      <w:r>
        <w:rPr>
          <w:rStyle w:val="FootnoteAnchor"/>
          <w:rtl w:val="true"/>
        </w:rPr>
        <w:footnoteReference w:id="277"/>
      </w:r>
      <w:r>
        <w:rPr>
          <w:rFonts w:ascii="Amiri" w:hAnsi="Amiri" w:eastAsia="Amiri" w:cs="Amiri"/>
          <w:color w:val="111111"/>
          <w:sz w:val="28"/>
          <w:sz w:val="28"/>
          <w:szCs w:val="28"/>
          <w:rtl w:val="true"/>
          <w:lang w:bidi="ar-SA"/>
        </w:rPr>
        <w:t>الغير، و لا ضرر المكلّف لقبحه ابتداء، و لا نفعه، لانتقاضه بتكليف من علم كفره، و لا تعريضه للضرر لقبحه و لا لنفع يصحّ الابتداء به، لأنّه يصير عبثا، فهو التّعريض لنفع لا يمكن الابتداء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الأشاعرة نفوا الغرض في أفعاله، و إلاّ لكان ناقصا في ذاته مستكملا بذلك الغرض، إذ بحصوله يحصل له ما هو الأولى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بجيّد، و إلاّ لزم العبث و إبطال غايات المصنوعات الظاهرة حكمها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 الاستفادة باطلة، كما في الخالقيّة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واجب عند المعتزلة خلافا للأشاعرة، و إلاّ لكان مغريا بالقبيح، </w:t>
      </w:r>
    </w:p>
    <w:p>
      <w:pPr>
        <w:pStyle w:val="BookText"/>
        <w:rPr/>
      </w:pPr>
      <w:r>
        <w:rPr>
          <w:rFonts w:ascii="Amiri" w:hAnsi="Amiri" w:eastAsia="Amiri" w:cs="Amiri"/>
          <w:color w:val="111111"/>
          <w:sz w:val="28"/>
          <w:sz w:val="28"/>
          <w:szCs w:val="28"/>
          <w:rtl w:val="true"/>
          <w:lang w:bidi="ar-SA"/>
        </w:rPr>
        <w:t>لأنّ للعاقل ميلا إلى القبيح و نفورا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التّكليف الزّاجر عن القبيح لزم ارتكابه،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شرطه كون المكلّف عالما بصفة الفعل لئلاّ يكلّف بالقبيح أو المباح، و بقدر المستحقّ عليه من الثّواب ليؤمن انتفاء الظلم، و القدرة على الإيصال، و كونه منزّها عن فعل القبيح و الإخلال بالواجب، و أن يكون ما كلّف به ممكنا، لقبح التّكليف بالمحال، و كونه ممّا يستحقّ به الثّواب، كالواجب و النّدب و ترك القبيح، و قدرة المكلّف عليه، مميّزا بينه و بين ما لم يكلّفه متمكنا من الآلة و العلم بما يحتاج إليه، و العلّة في حسن تكليف المؤمن آتية في الكافر؛ فإنّ العلم غير مؤثر و التّعريض للنّفع ثابت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اختيار الكفر</w:t>
      </w:r>
      <w:r>
        <w:rPr>
          <w:rStyle w:val="FootnoteAnchor"/>
          <w:rtl w:val="true"/>
        </w:rPr>
        <w:footnoteReference w:id="279"/>
      </w:r>
      <w:r>
        <w:rPr>
          <w:rFonts w:ascii="Amiri" w:hAnsi="Amiri" w:eastAsia="Amiri" w:cs="Amiri"/>
          <w:color w:val="111111"/>
          <w:sz w:val="28"/>
          <w:sz w:val="28"/>
          <w:szCs w:val="28"/>
          <w:rtl w:val="true"/>
          <w:lang w:bidi="ar-SA"/>
        </w:rPr>
        <w:t>لا يخرج الحسن عن حسنه</w:t>
      </w:r>
      <w:r>
        <w:rPr>
          <w:rFonts w:eastAsia="Amiri" w:cs="Amiri" w:ascii="Amiri" w:hAnsi="Amiri"/>
          <w:color w:val="111111"/>
          <w:sz w:val="28"/>
          <w:szCs w:val="28"/>
          <w:rtl w:val="true"/>
          <w:lang w:bidi="ar-SA"/>
        </w:rPr>
        <w:t xml:space="preserve">. </w:t>
      </w:r>
      <w:bookmarkStart w:id="378" w:name="pg9140_71266"/>
    </w:p>
    <w:p>
      <w:pPr>
        <w:pStyle w:val="Heading3"/>
        <w:numPr>
          <w:ilvl w:val="2"/>
          <w:numId w:val="1"/>
        </w:numPr>
        <w:rPr/>
      </w:pPr>
      <w:bookmarkStart w:id="379" w:name="__RefHeading___Toc3242375_2870459653"/>
      <w:bookmarkStart w:id="380" w:name="_Toc138"/>
      <w:bookmarkEnd w:id="378"/>
      <w:bookmarkEnd w:id="379"/>
      <w:r>
        <w:rPr>
          <w:rtl w:val="true"/>
        </w:rPr>
        <w:t>المطلب السّادس في اللّطف</w:t>
      </w:r>
      <w:bookmarkEnd w:id="380"/>
    </w:p>
    <w:p>
      <w:pPr>
        <w:pStyle w:val="BookText"/>
        <w:rPr/>
      </w:pPr>
      <w:r>
        <w:rPr>
          <w:rFonts w:ascii="Amiri" w:hAnsi="Amiri" w:eastAsia="Amiri" w:cs="Amiri"/>
          <w:color w:val="111111"/>
          <w:sz w:val="28"/>
          <w:sz w:val="28"/>
          <w:szCs w:val="28"/>
          <w:rtl w:val="true"/>
          <w:lang w:bidi="ar-SA"/>
        </w:rPr>
        <w:t>و هو ما كان المكلّف معه أقرب إلى فعل الطاعة و أبعد من فعل القبيح،</w:t>
      </w:r>
      <w:r>
        <w:rPr>
          <w:rStyle w:val="FootnoteAnchor"/>
          <w:rtl w:val="true"/>
        </w:rPr>
        <w:footnoteReference w:id="280"/>
      </w:r>
      <w:r>
        <w:rPr>
          <w:rFonts w:ascii="Amiri" w:hAnsi="Amiri" w:eastAsia="Amiri" w:cs="Amiri"/>
          <w:color w:val="111111"/>
          <w:sz w:val="28"/>
          <w:sz w:val="28"/>
          <w:szCs w:val="28"/>
          <w:rtl w:val="true"/>
          <w:lang w:bidi="ar-SA"/>
        </w:rPr>
        <w:t>و لم يكن له حظّ في التّمكين و لم يبلغ إلى حدّ الإلجاء، فالآلة ليست لطفا؛ لأن لها مدخلا في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الإلجاء ينافي التّكليف، بخلاف اللّطف و هو واجب خلافا للأشعريّة، و إلاّ لزم نقض الغرض،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المكلّف لا يختار الطاعة أو لا يكون أقرب إليها إلاّ عند فعل يفعله به وجب عليه فعله، و إلاّ كان مناقضا لغرضه، كمن قدّم طعاما إلى غيره و يعلم أنّه لا يأكل</w:t>
      </w:r>
      <w:r>
        <w:rPr>
          <w:rStyle w:val="FootnoteAnchor"/>
          <w:rtl w:val="true"/>
        </w:rPr>
        <w:footnoteReference w:id="281"/>
      </w:r>
      <w:r>
        <w:rPr>
          <w:rFonts w:ascii="Amiri" w:hAnsi="Amiri" w:eastAsia="Amiri" w:cs="Amiri"/>
          <w:color w:val="111111"/>
          <w:sz w:val="28"/>
          <w:sz w:val="28"/>
          <w:szCs w:val="28"/>
          <w:rtl w:val="true"/>
          <w:lang w:bidi="ar-SA"/>
        </w:rPr>
        <w:t>إلاّ إذا فعل معه نوعا من التأدّب لا مشقّة فيه و لا غضاضة، فلو لم يفعله لم يكن مريدا لأكله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بدون اللطف إن كان ممكنا لم يتوقّف على اللّطف، و إلاّ صار من جملة التّمكين، كالقدرة، و لأنّ وجه الوجوب غير كاف فيه ما لم ينتف عنه وجوه</w:t>
      </w:r>
      <w:r>
        <w:rPr>
          <w:rStyle w:val="FootnoteAnchor"/>
          <w:rtl w:val="true"/>
        </w:rPr>
        <w:footnoteReference w:id="282"/>
      </w:r>
      <w:r>
        <w:rPr>
          <w:rFonts w:ascii="Amiri" w:hAnsi="Amiri" w:eastAsia="Amiri" w:cs="Amiri"/>
          <w:color w:val="111111"/>
          <w:sz w:val="28"/>
          <w:sz w:val="28"/>
          <w:szCs w:val="28"/>
          <w:rtl w:val="true"/>
          <w:lang w:bidi="ar-SA"/>
        </w:rPr>
        <w:t>القبح، فلم لا يجوز اشتمال اللّطف على وجه قبح، و لأنّ اللطف إن اقتضى رجحانا مانعا من النّقيض كان 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مانع لم </w:t>
      </w:r>
    </w:p>
    <w:p>
      <w:pPr>
        <w:pStyle w:val="BookText"/>
        <w:rPr/>
      </w:pPr>
      <w:r>
        <w:rPr>
          <w:rFonts w:ascii="Amiri" w:hAnsi="Amiri" w:eastAsia="Amiri" w:cs="Amiri"/>
          <w:color w:val="111111"/>
          <w:sz w:val="28"/>
          <w:sz w:val="28"/>
          <w:szCs w:val="28"/>
          <w:rtl w:val="true"/>
          <w:lang w:bidi="ar-SA"/>
        </w:rPr>
        <w:t>يكف في وجود الفعل، و إن لم يقتض رجحانا البتة انتفت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يتوقّف على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 أمّا الدّاعي أو سببه أو مقوّيه، فيتوقّف عليه الفعل و ليس تمكينا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القبح محصورة مضبوطة، لأنّا مكلّفون باجتنابها، و هي منفيّة عن اللطف، و اقتضاء الرّجحان المانع من النّقيض لا يستلزم الإلجاء، كالدّاعي الّذي يجب الفعل عنده، و إن كان غير مانع كفى مع الدّاعي و القدرة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اللطف إن كان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فعله، و إن كان من فعل المكلّف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 إيّاه و يوجبه عليه، و إن كان من فعل غيرهما لم يجز أن يكلّفه فعلا متوقّفا على ذلك اللّطف إلاّ إذا علم أن ذلك يفعله قطعا</w:t>
      </w:r>
      <w:r>
        <w:rPr>
          <w:rFonts w:eastAsia="Amiri" w:cs="Amiri" w:ascii="Amiri" w:hAnsi="Amiri"/>
          <w:color w:val="111111"/>
          <w:sz w:val="28"/>
          <w:szCs w:val="28"/>
          <w:rtl w:val="true"/>
          <w:lang w:bidi="ar-SA"/>
        </w:rPr>
        <w:t xml:space="preserve">. </w:t>
      </w:r>
      <w:bookmarkStart w:id="381" w:name="pg9140_71268"/>
    </w:p>
    <w:p>
      <w:pPr>
        <w:pStyle w:val="Heading3"/>
        <w:numPr>
          <w:ilvl w:val="2"/>
          <w:numId w:val="1"/>
        </w:numPr>
        <w:rPr/>
      </w:pPr>
      <w:bookmarkStart w:id="382" w:name="__RefHeading___Toc3242377_2870459653"/>
      <w:bookmarkStart w:id="383" w:name="_Toc139"/>
      <w:bookmarkEnd w:id="381"/>
      <w:bookmarkEnd w:id="382"/>
      <w:r>
        <w:rPr>
          <w:rtl w:val="true"/>
        </w:rPr>
        <w:t>المطلب السّابع في الآلام و الأعواض</w:t>
      </w:r>
      <w:bookmarkEnd w:id="383"/>
    </w:p>
    <w:p>
      <w:pPr>
        <w:pStyle w:val="BookText"/>
        <w:rPr/>
      </w:pPr>
      <w:r>
        <w:rPr>
          <w:rFonts w:ascii="Amiri" w:hAnsi="Amiri" w:eastAsia="Amiri" w:cs="Amiri"/>
          <w:color w:val="111111"/>
          <w:sz w:val="28"/>
          <w:sz w:val="28"/>
          <w:szCs w:val="28"/>
          <w:rtl w:val="true"/>
          <w:lang w:bidi="ar-SA"/>
        </w:rPr>
        <w:t xml:space="preserve">الألم منه قبيح، و هو صادر عنّا و العوض فيه علينا، و منه حسن، فإن كان من فعلنا، مباحا أو مندوبا أو واجبا فالعوض عليه تعالى، و إن كان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على وجه الاستحقاق بالعقاب،</w:t>
      </w:r>
      <w:r>
        <w:rPr>
          <w:rStyle w:val="FootnoteAnchor"/>
          <w:rtl w:val="true"/>
        </w:rPr>
        <w:footnoteReference w:id="283"/>
      </w:r>
      <w:r>
        <w:rPr>
          <w:rFonts w:ascii="Amiri" w:hAnsi="Amiri" w:eastAsia="Amiri" w:cs="Amiri"/>
          <w:color w:val="111111"/>
          <w:sz w:val="28"/>
          <w:sz w:val="28"/>
          <w:szCs w:val="28"/>
          <w:rtl w:val="true"/>
          <w:lang w:bidi="ar-SA"/>
        </w:rPr>
        <w:t>و إمّا على جهة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فيه، فنفاه البكريّة، و قالت الأشاعرة لا عوض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يفعله من الألم و لا في ما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التّناسخيّة،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 على وجه العقوبة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العدليّة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 ابتداء بشرط اشتماله على مصلحة لا تحصل بدونه، و هو اللّطف إمّا للمؤلم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في مقابلته عوض للمؤلم يزيد عليه أضعافا كثيرة بحيث يختار المتألم العوض و الألم؛ لأن عراءه عن العوض ظلم و عن اللّطف عبث</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العوض، هو النّفع المستحقّ الخالي من تعظيم و إجلال، فالمستحقّ علينا مساو للألم، و المستحقّ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أو إباحته أو أمره أو تمكينه لغير العاقل 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أهل العدل في الأخير، فقال بعضهم بما </w:t>
      </w:r>
    </w:p>
    <w:p>
      <w:pPr>
        <w:pStyle w:val="BookText"/>
        <w:rPr/>
      </w:pPr>
      <w:r>
        <w:rPr>
          <w:rFonts w:ascii="Amiri" w:hAnsi="Amiri" w:eastAsia="Amiri" w:cs="Amiri"/>
          <w:color w:val="111111"/>
          <w:sz w:val="28"/>
          <w:sz w:val="28"/>
          <w:szCs w:val="28"/>
          <w:rtl w:val="true"/>
          <w:lang w:bidi="ar-SA"/>
        </w:rPr>
        <w:t>تقدّم، و آخرون بأنّ العوض على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عوض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مكّنه و جعل فيه ميلا شديدا إلى الإيلام و لم يخلق له عقلا يزجره عن القبيح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ينتصف للجمّاء من القرناء</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إنّما يكون بأخذ العوض من الجاني 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الانتصاف بأخذ العوض إمّا من الجاني أو غيره، و صحّ أن يكون جبارا لانتفاء القصاص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العوض واجب، خلافا للأشاعرة، و إلاّ لزم الظلم، و اختلف الشّيوخ، فقال أبو هاشم و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يمكّن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من لا عوض له في الحال يوازي فعله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يخرج من الدّنيا و لا عوض له، و يتفضّل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بالعوض، فيدفعه إلى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أبو هاشم و أوجب التّبقية إلى أن يستحقّ عوضا موازيا، لأنّ الانتصاف واجب و التّفضّل ليس بواجب، فلا يعلّق عليه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التّبقية أيضا ليست واجبة، فلا يعلّق عليها الانتصاف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يكون له في حال ظلمه عوضا موازيا</w:t>
      </w:r>
      <w:r>
        <w:rPr>
          <w:rFonts w:eastAsia="Amiri" w:cs="Amiri" w:ascii="Amiri" w:hAnsi="Amiri"/>
          <w:color w:val="111111"/>
          <w:sz w:val="28"/>
          <w:szCs w:val="28"/>
          <w:rtl w:val="true"/>
          <w:lang w:bidi="ar-SA"/>
        </w:rPr>
        <w:t xml:space="preserve">. </w:t>
      </w:r>
      <w:bookmarkStart w:id="384" w:name="pg9140_71270"/>
    </w:p>
    <w:p>
      <w:pPr>
        <w:pStyle w:val="Heading3"/>
        <w:numPr>
          <w:ilvl w:val="2"/>
          <w:numId w:val="1"/>
        </w:numPr>
        <w:rPr/>
      </w:pPr>
      <w:bookmarkStart w:id="385" w:name="__RefHeading___Toc3242379_2870459653"/>
      <w:bookmarkStart w:id="386" w:name="_Toc140"/>
      <w:bookmarkEnd w:id="384"/>
      <w:bookmarkEnd w:id="385"/>
      <w:r>
        <w:rPr>
          <w:rtl w:val="true"/>
        </w:rPr>
        <w:t>المطلب الثّامن في الآجال و الأرزاق و الأسعار</w:t>
      </w:r>
      <w:bookmarkEnd w:id="386"/>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هو الوقت الّذي يحدث فيه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يعنى بالوقت، الحادث الّذي جعل علما لحدوث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زيد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الحياة هو الوقت الّذي يحدث فيه، و أجل الموت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ميّت مات على اختلاف أسباب الموت، فإنّ موته في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المقتول لو لم يقتل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قطعا، لأنّه لو مات قطعا لكان ذابح غنم غيره محسنا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قطعا، و إلاّ لزم انقلاب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لو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الملازمة الأولى ممنوعة، لأنّه فوّته العوض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أزيد من العوض عليه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الثّانية أيضا، لجواز تعلّق علم الموت بالقتل و الحياة لولاه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الرّزق، فعند العدليّة ما صحّ الانتفاع به و لم يكن لأحد منعه منه،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رَزَقْنٰاكُمْ </w:t>
      </w:r>
      <w:r>
        <w:rPr>
          <w:rStyle w:val="FootnoteAnchor"/>
          <w:rtl w:val="true"/>
        </w:rPr>
        <w:footnoteReference w:id="287"/>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الأشاعرة، الرّزق ما أكل و إن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طلبه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فِي اَلْأَرْضِ وَ اِبْتَغُوا مِنْ فَضْلِ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السّعر، فهو تقدير البدل فيما يباع به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البدل؛ لأنّ البدل هو الثّمن أو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أحدهما سعرا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رخص، و هو السّعر المنحطّ عمّا جرت به العادة، و الوقت و المكان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غلاء، و هو ما يقابله، و كلّ منهما إمّا من اللّه تعالى أو من العباد</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9140_71273"/>
      <w:bookmarkStart w:id="388" w:name="pg9140_71273"/>
      <w:bookmarkEnd w:id="388"/>
    </w:p>
    <w:p>
      <w:pPr>
        <w:pStyle w:val="Heading2"/>
        <w:numPr>
          <w:ilvl w:val="1"/>
          <w:numId w:val="1"/>
        </w:numPr>
        <w:rPr/>
      </w:pPr>
      <w:bookmarkStart w:id="389" w:name="pg9140_71273"/>
      <w:bookmarkStart w:id="390" w:name="__RefHeading___Toc3242381_2870459653"/>
      <w:bookmarkStart w:id="391" w:name="_Toc141"/>
      <w:bookmarkEnd w:id="389"/>
      <w:bookmarkEnd w:id="390"/>
      <w:r>
        <w:rPr>
          <w:rtl w:val="true"/>
        </w:rPr>
        <w:t>المرصد السابع في النبوة و فيه مطالب</w:t>
      </w:r>
      <w:bookmarkEnd w:id="39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3242383_2870459653"/>
      <w:bookmarkStart w:id="393" w:name="_Toc142"/>
      <w:bookmarkEnd w:id="392"/>
      <w:r>
        <w:rPr>
          <w:rtl w:val="true"/>
        </w:rPr>
        <w:t>اشارة</w:t>
      </w:r>
      <w:bookmarkEnd w:id="39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9140_71275"/>
      <w:bookmarkStart w:id="395" w:name="pg9140_71275"/>
      <w:bookmarkEnd w:id="395"/>
    </w:p>
    <w:p>
      <w:pPr>
        <w:pStyle w:val="Heading3"/>
        <w:numPr>
          <w:ilvl w:val="2"/>
          <w:numId w:val="1"/>
        </w:numPr>
        <w:rPr/>
      </w:pPr>
      <w:bookmarkStart w:id="396" w:name="pg9140_71275"/>
      <w:bookmarkStart w:id="397" w:name="__RefHeading___Toc3242385_2870459653"/>
      <w:bookmarkStart w:id="398" w:name="_Toc143"/>
      <w:bookmarkEnd w:id="396"/>
      <w:bookmarkEnd w:id="397"/>
      <w:r>
        <w:rPr>
          <w:rtl w:val="true"/>
        </w:rPr>
        <w:t xml:space="preserve">مقدمة </w:t>
      </w:r>
      <w:r>
        <w:rPr>
          <w:rtl w:val="true"/>
        </w:rPr>
        <w:t>[</w:t>
      </w:r>
      <w:r>
        <w:rPr>
          <w:rtl w:val="true"/>
        </w:rPr>
        <w:t>من هو النّبيّ</w:t>
      </w:r>
      <w:r>
        <w:rPr>
          <w:rtl w:val="true"/>
        </w:rPr>
        <w:t>]</w:t>
      </w:r>
      <w:bookmarkEnd w:id="398"/>
    </w:p>
    <w:p>
      <w:pPr>
        <w:pStyle w:val="BookText"/>
        <w:rPr/>
      </w:pPr>
      <w:r>
        <w:rPr>
          <w:rFonts w:ascii="Amiri" w:hAnsi="Amiri" w:eastAsia="Amiri" w:cs="Amiri"/>
          <w:color w:val="111111"/>
          <w:sz w:val="28"/>
          <w:sz w:val="28"/>
          <w:szCs w:val="28"/>
          <w:rtl w:val="true"/>
          <w:lang w:bidi="ar-SA"/>
        </w:rPr>
        <w:t>مقدمة</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النّبيّ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هو الإنسان المخبر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واسطة أحد من البشر، فخرجت الملائكة و المخبر عن غير اللّه تعالى، و العالم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لا بدّ من اختصاصه بظهور المعجزة على يده تدلّ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المعجزة</w:t>
      </w:r>
      <w:r>
        <w:rPr>
          <w:rStyle w:val="FootnoteAnchor"/>
          <w:rtl w:val="true"/>
        </w:rPr>
        <w:footnoteReference w:id="291"/>
      </w:r>
      <w:r>
        <w:rPr>
          <w:rFonts w:ascii="Amiri" w:hAnsi="Amiri" w:eastAsia="Amiri" w:cs="Amiri"/>
          <w:color w:val="111111"/>
          <w:sz w:val="28"/>
          <w:sz w:val="28"/>
          <w:szCs w:val="28"/>
          <w:rtl w:val="true"/>
          <w:lang w:bidi="ar-SA"/>
        </w:rPr>
        <w:t>ما خرق العادة، من ثبوت ما ليس بمعتاد أو نفي ما هو معتاد مع مطابقته للدّعوى و يعدده</w:t>
      </w:r>
      <w:r>
        <w:rPr>
          <w:rStyle w:val="FootnoteAnchor"/>
          <w:rtl w:val="true"/>
        </w:rPr>
        <w:footnoteReference w:id="292"/>
      </w:r>
      <w:r>
        <w:rPr>
          <w:rFonts w:ascii="Amiri" w:hAnsi="Amiri" w:eastAsia="Amiri" w:cs="Amiri"/>
          <w:color w:val="111111"/>
          <w:sz w:val="28"/>
          <w:sz w:val="28"/>
          <w:szCs w:val="28"/>
          <w:rtl w:val="true"/>
          <w:lang w:bidi="ar-SA"/>
        </w:rPr>
        <w:t>في جنسه و صفته</w:t>
      </w:r>
      <w:r>
        <w:rPr>
          <w:rFonts w:eastAsia="Amiri" w:cs="Amiri" w:ascii="Amiri" w:hAnsi="Amiri"/>
          <w:color w:val="111111"/>
          <w:sz w:val="28"/>
          <w:szCs w:val="28"/>
          <w:rtl w:val="true"/>
          <w:lang w:bidi="ar-SA"/>
        </w:rPr>
        <w:t xml:space="preserve">. </w:t>
      </w:r>
      <w:bookmarkStart w:id="399" w:name="pg9140_71276"/>
    </w:p>
    <w:p>
      <w:pPr>
        <w:pStyle w:val="Heading3"/>
        <w:numPr>
          <w:ilvl w:val="2"/>
          <w:numId w:val="1"/>
        </w:numPr>
        <w:rPr/>
      </w:pPr>
      <w:bookmarkStart w:id="400" w:name="__RefHeading___Toc3242387_2870459653"/>
      <w:bookmarkStart w:id="401" w:name="_Toc144"/>
      <w:bookmarkEnd w:id="399"/>
      <w:bookmarkEnd w:id="400"/>
      <w:r>
        <w:rPr>
          <w:rtl w:val="true"/>
        </w:rPr>
        <w:t>المطلب الأوّل في إمكان البعثة</w:t>
      </w:r>
      <w:bookmarkEnd w:id="401"/>
    </w:p>
    <w:p>
      <w:pPr>
        <w:pStyle w:val="BookText"/>
        <w:rPr/>
      </w:pPr>
      <w:r>
        <w:rPr>
          <w:rFonts w:ascii="IRNazanin" w:hAnsi="IRNazanin" w:eastAsia="IRNazanin"/>
          <w:color w:val="111111"/>
          <w:sz w:val="28"/>
          <w:sz w:val="28"/>
          <w:szCs w:val="28"/>
          <w:rtl w:val="true"/>
          <w:lang w:bidi="fa-IR"/>
        </w:rPr>
        <w:t>المطلب الأوّل</w:t>
      </w:r>
      <w:r>
        <w:rPr>
          <w:rStyle w:val="FootnoteAnchor"/>
          <w:rtl w:val="true"/>
        </w:rPr>
        <w:footnoteReference w:id="293"/>
      </w:r>
      <w:r>
        <w:rPr>
          <w:rFonts w:ascii="Amiri" w:hAnsi="Amiri" w:eastAsia="Amiri" w:cs="Amiri"/>
          <w:color w:val="111111"/>
          <w:sz w:val="28"/>
          <w:sz w:val="28"/>
          <w:szCs w:val="28"/>
          <w:rtl w:val="true"/>
          <w:lang w:bidi="ar-SA"/>
        </w:rPr>
        <w:t>في إمكان البعثة</w:t>
      </w:r>
    </w:p>
    <w:p>
      <w:pPr>
        <w:pStyle w:val="BookText"/>
        <w:rPr/>
      </w:pPr>
      <w:r>
        <w:rPr>
          <w:rFonts w:ascii="Amiri" w:hAnsi="Amiri" w:eastAsia="Amiri" w:cs="Amiri"/>
          <w:color w:val="111111"/>
          <w:sz w:val="28"/>
          <w:sz w:val="28"/>
          <w:szCs w:val="28"/>
          <w:rtl w:val="true"/>
          <w:lang w:bidi="ar-SA"/>
        </w:rPr>
        <w:t>اتّفق العقلاء عليه، إلاّ البراهمة و الصّابئة، لأنّ فيها مصلحة للعالم، و لا مفسدة فيها، و ما كان كذلك فهو واقع، فيكون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الرّسول عليه السّلام إنّما جاء بما يوافق العقل، فلا حاجة إليه، لانتفاء الفائدة و إلاّ كان</w:t>
      </w:r>
      <w:r>
        <w:rPr>
          <w:rStyle w:val="FootnoteAnchor"/>
          <w:rtl w:val="true"/>
        </w:rPr>
        <w:footnoteReference w:id="294"/>
      </w:r>
      <w:r>
        <w:rPr>
          <w:rFonts w:ascii="IRNazanin" w:hAnsi="IRNazanin" w:eastAsia="IRNazanin"/>
          <w:color w:val="111111"/>
          <w:sz w:val="28"/>
          <w:sz w:val="28"/>
          <w:szCs w:val="28"/>
          <w:rtl w:val="true"/>
          <w:lang w:bidi="fa-IR"/>
        </w:rPr>
        <w:t>مردودا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الفائدة ظاهرة في ما يوافق العقل، و هو تأكيد العقليّ بالنقليّ، و قطع عذر المكلّف،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tl w:val="true"/>
        </w:rPr>
        <w:footnoteReference w:id="295"/>
      </w:r>
      <w:r>
        <w:rPr>
          <w:rFonts w:ascii="Amiri" w:hAnsi="Amiri" w:eastAsia="Amiri" w:cs="Amiri"/>
          <w:color w:val="111111"/>
          <w:sz w:val="28"/>
          <w:sz w:val="28"/>
          <w:szCs w:val="28"/>
          <w:rtl w:val="true"/>
          <w:lang w:bidi="ar-SA"/>
        </w:rPr>
        <w:t>و لأنّ العقل قد يعجز عن إدراك الحقّ فيحتاج إلى كاشف، كالصّفات المستفادة من السّمع، و كالقبائح المستندة إليه و المنافع المعلومة منه، كالصّنائع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يوافق العقل لا يكون مردودا إذا لم يقتض العقل نقيضه</w:t>
      </w:r>
      <w:r>
        <w:rPr>
          <w:rFonts w:eastAsia="Amiri" w:cs="Amiri" w:ascii="Amiri" w:hAnsi="Amiri"/>
          <w:color w:val="111111"/>
          <w:sz w:val="28"/>
          <w:szCs w:val="28"/>
          <w:rtl w:val="true"/>
          <w:lang w:bidi="ar-SA"/>
        </w:rPr>
        <w:t xml:space="preserve">. </w:t>
      </w:r>
      <w:bookmarkStart w:id="402" w:name="pg9140_71277"/>
    </w:p>
    <w:p>
      <w:pPr>
        <w:pStyle w:val="Heading3"/>
        <w:numPr>
          <w:ilvl w:val="2"/>
          <w:numId w:val="1"/>
        </w:numPr>
        <w:rPr/>
      </w:pPr>
      <w:bookmarkStart w:id="403" w:name="__RefHeading___Toc3242389_2870459653"/>
      <w:bookmarkStart w:id="404" w:name="_Toc145"/>
      <w:bookmarkEnd w:id="402"/>
      <w:bookmarkEnd w:id="403"/>
      <w:r>
        <w:rPr>
          <w:rtl w:val="true"/>
        </w:rPr>
        <w:t>المطلب الثّاني في وجوب البعثة</w:t>
      </w:r>
      <w:bookmarkEnd w:id="404"/>
    </w:p>
    <w:p>
      <w:pPr>
        <w:pStyle w:val="BookText"/>
        <w:rPr/>
      </w:pPr>
      <w:r>
        <w:rPr>
          <w:rFonts w:ascii="Amiri" w:hAnsi="Amiri" w:eastAsia="Amiri" w:cs="Amiri"/>
          <w:color w:val="111111"/>
          <w:sz w:val="28"/>
          <w:sz w:val="28"/>
          <w:szCs w:val="28"/>
          <w:rtl w:val="true"/>
          <w:lang w:bidi="ar-SA"/>
        </w:rPr>
        <w:t>اتّفقت العدليّة عليه، خلافا للأشاعرة، لأنّ السّمعيّات واجبة إجماعا و هي ألطاف في العقليّات، للعلم الضّروريّ، بأنّ المواظب على فعل الواجبات السمعيّة</w:t>
      </w:r>
      <w:r>
        <w:rPr>
          <w:rStyle w:val="FootnoteAnchor"/>
          <w:rtl w:val="true"/>
        </w:rPr>
        <w:footnoteReference w:id="296"/>
      </w:r>
      <w:r>
        <w:rPr>
          <w:rFonts w:ascii="Amiri" w:hAnsi="Amiri" w:eastAsia="Amiri" w:cs="Amiri"/>
          <w:color w:val="111111"/>
          <w:sz w:val="28"/>
          <w:sz w:val="28"/>
          <w:szCs w:val="28"/>
          <w:rtl w:val="true"/>
          <w:lang w:bidi="ar-SA"/>
        </w:rPr>
        <w:t xml:space="preserve">أقرب إلى فعل الواجبات العقليّة؛ و قد نبّه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 واجب، و لا يمكن معرفة السّمعيات إلاّ بالبعثة؛ و لأنّ العلم بالعقاب و دوامه، و دوام الثّواب ألطاف في التّكليف قطعا، و اللّطف واجب و لا يمكن معرفة ذلك إلاّ بالسّمع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للأوائل في هذا الباب طريق آخر، و هو أنّ الإنسان مدنيّ بالطبع، لافتقاره في انتظام أحواله إلى معاون و مشارك بحيث يفرغ كلّ منهم لبعض مصالح الآخر، فيحصل من المجموع لكلّ واحد ما يحتاج إليه في امور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الاجتماع مظنّة التّنازع و التغالب، فلا يستمر</w:t>
      </w:r>
      <w:r>
        <w:rPr>
          <w:rStyle w:val="FootnoteAnchor"/>
          <w:rtl w:val="true"/>
        </w:rPr>
        <w:footnoteReference w:id="298"/>
      </w:r>
      <w:r>
        <w:rPr>
          <w:rFonts w:ascii="Amiri" w:hAnsi="Amiri" w:eastAsia="Amiri" w:cs="Amiri"/>
          <w:color w:val="111111"/>
          <w:sz w:val="28"/>
          <w:sz w:val="28"/>
          <w:szCs w:val="28"/>
          <w:rtl w:val="true"/>
          <w:lang w:bidi="ar-SA"/>
        </w:rPr>
        <w:t>فائدته إلاّ بسنّة و عدل ينتظم باعتبار استعمالهما</w:t>
      </w:r>
      <w:r>
        <w:rPr>
          <w:rStyle w:val="FootnoteAnchor"/>
          <w:rtl w:val="true"/>
        </w:rPr>
        <w:footnoteReference w:id="299"/>
      </w:r>
      <w:r>
        <w:rPr>
          <w:rFonts w:ascii="Amiri" w:hAnsi="Amiri" w:eastAsia="Amiri" w:cs="Amiri"/>
          <w:color w:val="111111"/>
          <w:sz w:val="28"/>
          <w:sz w:val="28"/>
          <w:szCs w:val="28"/>
          <w:rtl w:val="true"/>
          <w:lang w:bidi="ar-SA"/>
        </w:rPr>
        <w:t>أحوال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السّنّة </w:t>
      </w:r>
    </w:p>
    <w:p>
      <w:pPr>
        <w:pStyle w:val="BookText"/>
        <w:rPr/>
      </w:pPr>
      <w:r>
        <w:rPr>
          <w:rFonts w:ascii="Amiri" w:hAnsi="Amiri" w:eastAsia="Amiri" w:cs="Amiri"/>
          <w:color w:val="111111"/>
          <w:sz w:val="28"/>
          <w:sz w:val="28"/>
          <w:szCs w:val="28"/>
          <w:rtl w:val="true"/>
          <w:lang w:bidi="ar-SA"/>
        </w:rPr>
        <w:t>و العدل لا بدّ لها من ناصب متميّز عن بني النّوع لعدم الأولويّة في الواضع و كان يفضي إلى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الامتياز، إنّما هو بفعل لا يتمكن غيره من الاتيان بمثله، و هو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النّاس من يستحقر اختلال</w:t>
      </w:r>
      <w:r>
        <w:rPr>
          <w:rStyle w:val="FootnoteAnchor"/>
          <w:rtl w:val="true"/>
        </w:rPr>
        <w:footnoteReference w:id="300"/>
      </w:r>
      <w:r>
        <w:rPr>
          <w:rFonts w:ascii="Amiri" w:hAnsi="Amiri" w:eastAsia="Amiri" w:cs="Amiri"/>
          <w:color w:val="111111"/>
          <w:sz w:val="28"/>
          <w:sz w:val="28"/>
          <w:szCs w:val="28"/>
          <w:rtl w:val="true"/>
          <w:lang w:bidi="ar-SA"/>
        </w:rPr>
        <w:t>حال النّوع بوصول ما يحتاج إليه بحسب الشّخص، فيحتاج إلى تخويف و وعد بوصول ثواب و عقاب إليه اخرويّين عند المخالفة أو الموافقة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الإنسان في معرض النّسيان احتاج في تذكار ذلك إلى تكرير ذكر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 و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باستعمال التكاليف الشّرعيّة، فوجب في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منذر</w:t>
      </w:r>
      <w:r>
        <w:rPr>
          <w:rStyle w:val="FootnoteAnchor"/>
          <w:rtl w:val="true"/>
        </w:rPr>
        <w:footnoteReference w:id="301"/>
      </w:r>
      <w:r>
        <w:rPr>
          <w:rFonts w:ascii="Amiri" w:hAnsi="Amiri" w:eastAsia="Amiri" w:cs="Amiri"/>
          <w:color w:val="111111"/>
          <w:sz w:val="28"/>
          <w:sz w:val="28"/>
          <w:szCs w:val="28"/>
          <w:rtl w:val="true"/>
          <w:lang w:bidi="ar-SA"/>
        </w:rPr>
        <w:t>بثواب و عقاب، شارع للتكاليف السّمعيّة المتكرّرة، بحسب مقتضى الحكمة الإلهيّة</w:t>
      </w:r>
      <w:r>
        <w:rPr>
          <w:rFonts w:eastAsia="Amiri" w:cs="Amiri" w:ascii="Amiri" w:hAnsi="Amiri"/>
          <w:color w:val="111111"/>
          <w:sz w:val="28"/>
          <w:szCs w:val="28"/>
          <w:rtl w:val="true"/>
          <w:lang w:bidi="ar-SA"/>
        </w:rPr>
        <w:t xml:space="preserve">. </w:t>
      </w:r>
      <w:bookmarkStart w:id="405" w:name="pg9140_71279"/>
    </w:p>
    <w:p>
      <w:pPr>
        <w:pStyle w:val="Heading3"/>
        <w:numPr>
          <w:ilvl w:val="2"/>
          <w:numId w:val="1"/>
        </w:numPr>
        <w:rPr/>
      </w:pPr>
      <w:bookmarkStart w:id="406" w:name="__RefHeading___Toc3242391_2870459653"/>
      <w:bookmarkStart w:id="407" w:name="_Toc146"/>
      <w:bookmarkEnd w:id="405"/>
      <w:bookmarkEnd w:id="406"/>
      <w:r>
        <w:rPr>
          <w:rtl w:val="true"/>
        </w:rPr>
        <w:t>المطلب الثّالث في وجوب العصمة</w:t>
      </w:r>
      <w:bookmarkEnd w:id="407"/>
    </w:p>
    <w:p>
      <w:pPr>
        <w:pStyle w:val="BookText"/>
        <w:rPr/>
      </w:pPr>
      <w:r>
        <w:rPr>
          <w:rFonts w:ascii="Amiri" w:hAnsi="Amiri" w:eastAsia="Amiri" w:cs="Amiri"/>
          <w:color w:val="111111"/>
          <w:sz w:val="28"/>
          <w:sz w:val="28"/>
          <w:szCs w:val="28"/>
          <w:rtl w:val="true"/>
          <w:lang w:bidi="ar-SA"/>
        </w:rPr>
        <w:t>ذهب الإماميّة خاصّة إلى وجوب عصمة النّبيّ عن فعل قبيح أو إخلال بواجب، خلافا لجميع الفرق؛ فإنّ جمهور الأشاعرة و الحشويّة جوّزوا جميع المعاصي عليهم إلاّ الكفر و الكذب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المعتزلة إنّما يجوز عليهم الصّغائر سهوا، و بعضهم عمدا على سبيل التّأويل، و بعضهم على سبيل القصد إلاّ أنّها تقع مكفّرة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العصمة يستلزم نقض الغرض بالبعثة، و هو القبول منهم و الامتثال لأوامرهم و نواهيهم، فإنّه لو جوّز المكلّف المعصية عنهم جوّز كون ما أمروا به معصية، و لأنّه يجوز أن يؤدّي بعض ما امر بأدائه و أن يؤدّي غير ما أمر به، فينتفي فائدة البعثة، و لأنّه إذا فعل المعصية وجب الإنكار عليه، فيسقط محلّه من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لأنا لو جوّزنا المعصية عليه لم يجب علينا امتثال قوله إلاّ بعد العلم بصدقه، و يلزم الدّور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يكون معصوما من السّهو في ما يؤدّيه، خلافا لجميع الفرق، و إلاّ لزم نقض غرض البعثة، و أن يكون منزّها عن دناءة الآباء و عهر الأمّهات، و إلاّ لزم التّنفير عنه و سقوط محلّه من القلب</w:t>
      </w:r>
      <w:r>
        <w:rPr>
          <w:rFonts w:eastAsia="Amiri" w:cs="Amiri" w:ascii="Amiri" w:hAnsi="Amiri"/>
          <w:color w:val="111111"/>
          <w:sz w:val="28"/>
          <w:szCs w:val="28"/>
          <w:rtl w:val="true"/>
          <w:lang w:bidi="ar-SA"/>
        </w:rPr>
        <w:t>.</w:t>
      </w:r>
      <w:r>
        <w:rPr>
          <w:rStyle w:val="FootnoteAnchor"/>
          <w:rtl w:val="true"/>
        </w:rPr>
        <w:footnoteReference w:id="302"/>
      </w:r>
      <w:bookmarkStart w:id="408" w:name="pg9140_71280"/>
    </w:p>
    <w:p>
      <w:pPr>
        <w:pStyle w:val="Heading3"/>
        <w:numPr>
          <w:ilvl w:val="2"/>
          <w:numId w:val="1"/>
        </w:numPr>
        <w:rPr/>
      </w:pPr>
      <w:bookmarkStart w:id="409" w:name="__RefHeading___Toc3242393_2870459653"/>
      <w:bookmarkStart w:id="410" w:name="_Toc147"/>
      <w:bookmarkEnd w:id="408"/>
      <w:bookmarkEnd w:id="409"/>
      <w:r>
        <w:rPr>
          <w:rtl w:val="true"/>
        </w:rPr>
        <w:t>المطلب الرّابع في نبوّة محمّد صلّى اللّه عليه و آله و سلم</w:t>
      </w:r>
      <w:bookmarkEnd w:id="410"/>
    </w:p>
    <w:p>
      <w:pPr>
        <w:pStyle w:val="BookText"/>
        <w:rPr/>
      </w:pPr>
      <w:r>
        <w:rPr>
          <w:rFonts w:ascii="Amiri" w:hAnsi="Amiri" w:eastAsia="Amiri" w:cs="Amiri"/>
          <w:color w:val="111111"/>
          <w:sz w:val="28"/>
          <w:sz w:val="28"/>
          <w:szCs w:val="28"/>
          <w:rtl w:val="true"/>
          <w:lang w:bidi="ar-SA"/>
        </w:rPr>
        <w:t>لأنّه ادّعى النّبوّة و ظهرت المعجزة على يده، فيكون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فلأنّه ظهر على يده القرآن، و هو معجز، لأنّه تحدّى به فصحاء العرب و عجزوا عن الإتيان بمثله، لأنّه سألهم المعارضة بمثله أو الحرب، فاختاروا الحرب؛ و معلوم أنّه لو تمكّنوا من المعارضة لم يلجئوا إلى أشقّ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ظهر على يده معجزات كثيرة، كانشقاق القمر، و نبوع الماء من بين أصابعه، و إشباع الخلق الكثير من الطعام القليل،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كلّ واحد منها متواترا، فإنّها متواترة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فضروريّة، فإنّ من ادّعى رسالة ملك و قال بحضور جمع عظيم، أيّها الملك إن كنت صادقا فخالف عادتك، ففعل الملك ذلك مرّة بعد اخرى جزم الحاضرون بصدقه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النّسخ باطل، و إلاّ لزم الأمر بالقبيح أو النّهي عن الحسن؛ و لأنّ موسى عليه السّلام إن بيّن دوام شرعه بطل النّسخ لصدقه، و إن بيّن </w:t>
      </w:r>
    </w:p>
    <w:p>
      <w:pPr>
        <w:pStyle w:val="BookText"/>
        <w:rPr/>
      </w:pPr>
      <w:r>
        <w:rPr>
          <w:rFonts w:ascii="IRNazanin" w:hAnsi="IRNazanin" w:eastAsia="IRNazanin"/>
          <w:color w:val="111111"/>
          <w:sz w:val="28"/>
          <w:sz w:val="28"/>
          <w:szCs w:val="28"/>
          <w:rtl w:val="true"/>
          <w:lang w:bidi="fa-IR"/>
        </w:rPr>
        <w:t>انقطاعه وجب تواتره، لتواتر</w:t>
      </w:r>
      <w:r>
        <w:rPr>
          <w:rStyle w:val="FootnoteAnchor"/>
          <w:rtl w:val="true"/>
        </w:rPr>
        <w:footnoteReference w:id="303"/>
      </w:r>
      <w:r>
        <w:rPr>
          <w:rFonts w:ascii="Amiri" w:hAnsi="Amiri" w:eastAsia="Amiri" w:cs="Amiri"/>
          <w:color w:val="111111"/>
          <w:sz w:val="28"/>
          <w:sz w:val="28"/>
          <w:szCs w:val="28"/>
          <w:rtl w:val="true"/>
          <w:lang w:bidi="ar-SA"/>
        </w:rPr>
        <w:t>أصل شرعه، و إن لم يبيّن شيئا اقتضى الفعل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بالسّبت أبدا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 و القبيح يختلف باختلاف المصالح و المفاسد المختلفة باختلاف الأزمان، و تواتر اليهود انقطع، و التأبيد لا يدلّ‌</w:t>
      </w:r>
      <w:r>
        <w:rPr>
          <w:rStyle w:val="FootnoteAnchor"/>
          <w:rtl w:val="true"/>
        </w:rPr>
        <w:footnoteReference w:id="305"/>
      </w:r>
      <w:r>
        <w:rPr>
          <w:rFonts w:ascii="Amiri" w:hAnsi="Amiri" w:eastAsia="Amiri" w:cs="Amiri"/>
          <w:color w:val="111111"/>
          <w:sz w:val="28"/>
          <w:sz w:val="28"/>
          <w:szCs w:val="28"/>
          <w:rtl w:val="true"/>
          <w:lang w:bidi="ar-SA"/>
        </w:rPr>
        <w:t>على الدّوام، لقوله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لنوح عليه السّلام عند خروجه من الفلك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كلّ دابّة حيّة مأكلا لك و لذرّيّتك و أطلقت ذلك لكم كنبات العشب أبدا ما خلا الدّم فلا تأكلوه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ثمّ حرّم على لسان موسى عليه السّلام كثيرا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قرّبوا إليّ كلّ يوم خروفين، خروف غدوة و خروف عشيّة بين المغارب قربانا دائما لاحقا بكم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ثمّ انقطع ذلك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يستخدم العبد ستّ سنين، ثمّ يعرض عليه العتق، فإن لم يقبل ثقب اذنه و استخدم أبدا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يستخدم خمسين سنة، ثمّ يعتق في تلك السّنة</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 xml:space="preserve">. </w:t>
      </w:r>
      <w:bookmarkStart w:id="411" w:name="pg9140_71282"/>
    </w:p>
    <w:p>
      <w:pPr>
        <w:pStyle w:val="Heading3"/>
        <w:numPr>
          <w:ilvl w:val="2"/>
          <w:numId w:val="1"/>
        </w:numPr>
        <w:rPr/>
      </w:pPr>
      <w:bookmarkStart w:id="412" w:name="__RefHeading___Toc3242395_2870459653"/>
      <w:bookmarkStart w:id="413" w:name="_Toc148"/>
      <w:bookmarkEnd w:id="411"/>
      <w:bookmarkEnd w:id="412"/>
      <w:r>
        <w:rPr>
          <w:rtl w:val="true"/>
        </w:rPr>
        <w:t>المطلب الخامس في وجه إعجاز القرآن</w:t>
      </w:r>
      <w:bookmarkEnd w:id="413"/>
    </w:p>
    <w:p>
      <w:pPr>
        <w:pStyle w:val="BookText"/>
        <w:rPr/>
      </w:pPr>
      <w:r>
        <w:rPr>
          <w:rFonts w:ascii="Amiri" w:hAnsi="Amiri" w:eastAsia="Amiri" w:cs="Amiri"/>
          <w:color w:val="111111"/>
          <w:sz w:val="28"/>
          <w:sz w:val="28"/>
          <w:szCs w:val="28"/>
          <w:rtl w:val="true"/>
          <w:lang w:bidi="ar-SA"/>
        </w:rPr>
        <w:t>ذهب الجبّائيّان إلى أنّه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جنس القرآن غير مقدور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الجوينيّ‌</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الفصاحة و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المرتضى و النّظّام</w:t>
      </w:r>
      <w:r>
        <w:rPr>
          <w:rStyle w:val="FootnoteAnchor"/>
          <w:rtl w:val="true"/>
        </w:rPr>
        <w:footnoteReference w:id="311"/>
      </w:r>
      <w:r>
        <w:rPr>
          <w:rFonts w:ascii="Amiri" w:hAnsi="Amiri" w:eastAsia="Amiri" w:cs="Amiri"/>
          <w:color w:val="111111"/>
          <w:sz w:val="28"/>
          <w:sz w:val="28"/>
          <w:szCs w:val="28"/>
          <w:rtl w:val="true"/>
          <w:lang w:bidi="ar-SA"/>
        </w:rPr>
        <w:t xml:space="preserve">إلى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العرب و منعهم عن المعارضة مع تمكّنهم؛ لأنّ العرب كانوا</w:t>
      </w:r>
      <w:r>
        <w:rPr>
          <w:rStyle w:val="FootnoteAnchor"/>
          <w:rtl w:val="true"/>
        </w:rPr>
        <w:footnoteReference w:id="312"/>
      </w:r>
      <w:r>
        <w:rPr>
          <w:rFonts w:ascii="Amiri" w:hAnsi="Amiri" w:eastAsia="Amiri" w:cs="Amiri"/>
          <w:color w:val="111111"/>
          <w:sz w:val="28"/>
          <w:sz w:val="28"/>
          <w:szCs w:val="28"/>
          <w:rtl w:val="true"/>
          <w:lang w:bidi="ar-SA"/>
        </w:rPr>
        <w:t>متمكّنين من المفردات و التّركيب، فكانوا قادرين على الجميع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الأوّلون بأنّ الاعجاز لو كان للصّرفة لوجب أن يكون في غاية الرّكاكة، و القدرة على مطلق التّأليف مسلّم، أمّا على تأليف القرآن فإنّه ممنوع، و الملازمة ممنوعة</w:t>
      </w:r>
      <w:r>
        <w:rPr>
          <w:rFonts w:eastAsia="Amiri" w:cs="Amiri" w:ascii="Amiri" w:hAnsi="Amiri"/>
          <w:color w:val="111111"/>
          <w:sz w:val="28"/>
          <w:szCs w:val="28"/>
          <w:rtl w:val="true"/>
          <w:lang w:bidi="ar-SA"/>
        </w:rPr>
        <w:t xml:space="preserve">. </w:t>
      </w:r>
      <w:bookmarkStart w:id="414" w:name="pg9140_71283"/>
    </w:p>
    <w:p>
      <w:pPr>
        <w:pStyle w:val="Heading3"/>
        <w:numPr>
          <w:ilvl w:val="2"/>
          <w:numId w:val="1"/>
        </w:numPr>
        <w:rPr/>
      </w:pPr>
      <w:bookmarkStart w:id="415" w:name="__RefHeading___Toc3242397_2870459653"/>
      <w:bookmarkStart w:id="416" w:name="_Toc149"/>
      <w:bookmarkEnd w:id="414"/>
      <w:bookmarkEnd w:id="415"/>
      <w:r>
        <w:rPr>
          <w:rtl w:val="true"/>
        </w:rPr>
        <w:t>المطلب السّادس في تحقيق العصمة</w:t>
      </w:r>
      <w:bookmarkEnd w:id="416"/>
    </w:p>
    <w:p>
      <w:pPr>
        <w:pStyle w:val="BookText"/>
        <w:rPr/>
      </w:pPr>
      <w:r>
        <w:rPr>
          <w:rFonts w:ascii="Amiri" w:hAnsi="Amiri" w:eastAsia="Amiri" w:cs="Amiri"/>
          <w:color w:val="111111"/>
          <w:sz w:val="28"/>
          <w:sz w:val="28"/>
          <w:szCs w:val="28"/>
          <w:rtl w:val="true"/>
          <w:lang w:bidi="ar-SA"/>
        </w:rPr>
        <w:t>من النّاس من سلب القدرة على المعاصي عن المعصوم، إمّا مع مساواة الغير في الخواصّ البدنيّة، لكن العصمة هي القدرة على الطاعة، أو عدم القدرة على المعصية، و هو قول أبي الحسن الأشعريّ أو مع اختصاصه في نفسه أو بدنه بخاصيّة تقتضي امتناع إقدامه على المعاصي، كما ذهب إليه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أثبت القدرة و فسّر العصمة بانه امر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بالعبد بحيث لا يقدم معه على المعصية بشرط أن لا ينتهي إلى الإلجاء، و إلاّ لما استحقّ المدح و لبطل التّكليف؛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مِثْلُكُمْ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أسباب العصمة عندهم امور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خاصيّة لنفسه أو بدنه تقتضي ملكة مانعة من الفجور، و حصول العلم بالمدح على الطاعة و الذّمّ على المعصية؛ و تأكيد تلك العلوم بترادف الوحي و ترك اهمال معاتبته عند 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اشتراط ترادف الوحي نظر؛ فإنّ الأئمّة و مريم و فاطمة عليهم السّلام معصومون من غير وحي، و التّحقيق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لطفا ينتفي معه داعي المعصية مع قدرته عليها</w:t>
      </w:r>
      <w:r>
        <w:rPr>
          <w:rFonts w:eastAsia="Amiri" w:cs="Amiri" w:ascii="Amiri" w:hAnsi="Amiri"/>
          <w:color w:val="111111"/>
          <w:sz w:val="28"/>
          <w:szCs w:val="28"/>
          <w:rtl w:val="true"/>
          <w:lang w:bidi="ar-SA"/>
        </w:rPr>
        <w:t xml:space="preserve">. </w:t>
      </w:r>
      <w:bookmarkStart w:id="417" w:name="pg9140_71284"/>
    </w:p>
    <w:p>
      <w:pPr>
        <w:pStyle w:val="Heading3"/>
        <w:numPr>
          <w:ilvl w:val="2"/>
          <w:numId w:val="1"/>
        </w:numPr>
        <w:rPr/>
      </w:pPr>
      <w:bookmarkStart w:id="418" w:name="__RefHeading___Toc3242399_2870459653"/>
      <w:bookmarkStart w:id="419" w:name="_Toc150"/>
      <w:bookmarkEnd w:id="417"/>
      <w:bookmarkEnd w:id="418"/>
      <w:r>
        <w:rPr>
          <w:rtl w:val="true"/>
        </w:rPr>
        <w:t>المطلب السّابع في وقت العصمة</w:t>
      </w:r>
      <w:bookmarkEnd w:id="419"/>
    </w:p>
    <w:p>
      <w:pPr>
        <w:pStyle w:val="BookText"/>
        <w:rPr/>
      </w:pPr>
      <w:r>
        <w:rPr>
          <w:rFonts w:ascii="Amiri" w:hAnsi="Amiri" w:eastAsia="Amiri" w:cs="Amiri"/>
          <w:color w:val="111111"/>
          <w:sz w:val="28"/>
          <w:sz w:val="28"/>
          <w:szCs w:val="28"/>
          <w:rtl w:val="true"/>
          <w:lang w:bidi="ar-SA"/>
        </w:rPr>
        <w:t>اتّفقت الإماميّة على عصمتهم قبل النّبوة و بعدها عن الصّغائر و الكبائر عمدا و سهوا، و إلاّ لزم نقض الغرض من الانقياد إليهم و التّعظيم لهم لسقوط محلّ من كان عاصيا، و جوّزت الفضليّة</w:t>
      </w:r>
      <w:r>
        <w:rPr>
          <w:rStyle w:val="FootnoteAnchor"/>
          <w:rtl w:val="true"/>
        </w:rPr>
        <w:footnoteReference w:id="314"/>
      </w:r>
      <w:r>
        <w:rPr>
          <w:rFonts w:ascii="Amiri" w:hAnsi="Amiri" w:eastAsia="Amiri" w:cs="Amiri"/>
          <w:color w:val="111111"/>
          <w:sz w:val="28"/>
          <w:sz w:val="28"/>
          <w:szCs w:val="28"/>
          <w:rtl w:val="true"/>
          <w:lang w:bidi="ar-SA"/>
        </w:rPr>
        <w:t xml:space="preserve">من الخوارج بعثة من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أنّه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فورك</w:t>
      </w:r>
      <w:r>
        <w:rPr>
          <w:rStyle w:val="FootnoteAnchor"/>
          <w:rtl w:val="true"/>
        </w:rPr>
        <w:footnoteReference w:id="315"/>
      </w:r>
      <w:r>
        <w:rPr>
          <w:rFonts w:ascii="Amiri" w:hAnsi="Amiri" w:eastAsia="Amiri" w:cs="Amiri"/>
          <w:color w:val="111111"/>
          <w:sz w:val="28"/>
          <w:sz w:val="28"/>
          <w:szCs w:val="28"/>
          <w:rtl w:val="true"/>
          <w:lang w:bidi="ar-SA"/>
        </w:rPr>
        <w:t>جوّز بعثة من كان كافرا، و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الحشوية زعم أن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كافرا قبل البعثة،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Style w:val="FootnoteAnchor"/>
          <w:rtl w:val="true"/>
        </w:rPr>
        <w:footnoteReference w:id="316"/>
      </w:r>
      <w:r>
        <w:rPr>
          <w:rFonts w:ascii="IRNazanin" w:hAnsi="IRNazanin" w:eastAsia="IRNazanin"/>
          <w:color w:val="111111"/>
          <w:sz w:val="28"/>
          <w:sz w:val="28"/>
          <w:szCs w:val="28"/>
          <w:rtl w:val="true"/>
          <w:lang w:bidi="fa-IR"/>
        </w:rPr>
        <w:t>، و أطبق المحققون على بطلانه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الأشاعرة جوّزوا الكبيرة على الأنبياء قبل البعثة، لقصّة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الباقون من نبوّتهم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من عدا الإماميّة على جواز الصّغائر منهم قبل البعثة، لكنّ النّظّام و الأصمّ جوّزه على سبيل السّهو</w:t>
      </w:r>
      <w:r>
        <w:rPr>
          <w:rFonts w:eastAsia="Amiri" w:cs="Amiri" w:ascii="Amiri" w:hAnsi="Amiri"/>
          <w:color w:val="111111"/>
          <w:sz w:val="28"/>
          <w:szCs w:val="28"/>
          <w:rtl w:val="true"/>
          <w:lang w:bidi="ar-SA"/>
        </w:rPr>
        <w:t xml:space="preserve">. </w:t>
      </w:r>
      <w:bookmarkStart w:id="420" w:name="pg9140_71285"/>
    </w:p>
    <w:p>
      <w:pPr>
        <w:pStyle w:val="Heading3"/>
        <w:numPr>
          <w:ilvl w:val="2"/>
          <w:numId w:val="1"/>
        </w:numPr>
        <w:rPr/>
      </w:pPr>
      <w:bookmarkStart w:id="421" w:name="__RefHeading___Toc3242401_2870459653"/>
      <w:bookmarkStart w:id="422" w:name="_Toc151"/>
      <w:bookmarkEnd w:id="420"/>
      <w:bookmarkEnd w:id="421"/>
      <w:r>
        <w:rPr>
          <w:rtl w:val="true"/>
        </w:rPr>
        <w:t>المطلب الثّامن في الكرامات</w:t>
      </w:r>
      <w:bookmarkEnd w:id="4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الأشاعرة على جوازها، و هو الحقّ عندي؛ لقصّة مريم و آصف و ما نقل متواترا عن الأئمّة عليهم السّلام من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منه المعتزلة، لامتناع</w:t>
      </w:r>
      <w:r>
        <w:rPr>
          <w:rStyle w:val="FootnoteAnchor"/>
          <w:rtl w:val="true"/>
        </w:rPr>
        <w:footnoteReference w:id="317"/>
      </w:r>
      <w:r>
        <w:rPr>
          <w:rFonts w:ascii="Amiri" w:hAnsi="Amiri" w:eastAsia="Amiri" w:cs="Amiri"/>
          <w:color w:val="111111"/>
          <w:sz w:val="28"/>
          <w:sz w:val="28"/>
          <w:szCs w:val="28"/>
          <w:rtl w:val="true"/>
          <w:lang w:bidi="ar-SA"/>
        </w:rPr>
        <w:t>الاستدلال به على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يتميّز عن المعجزة بالتّحدّي</w:t>
      </w:r>
      <w:r>
        <w:rPr>
          <w:rFonts w:eastAsia="Amiri" w:cs="Amiri" w:ascii="Amiri" w:hAnsi="Amiri"/>
          <w:color w:val="111111"/>
          <w:sz w:val="28"/>
          <w:szCs w:val="28"/>
          <w:rtl w:val="true"/>
          <w:lang w:bidi="ar-SA"/>
        </w:rPr>
        <w:t xml:space="preserve">. </w:t>
      </w:r>
      <w:bookmarkStart w:id="423" w:name="pg9140_71286"/>
    </w:p>
    <w:p>
      <w:pPr>
        <w:pStyle w:val="Heading3"/>
        <w:numPr>
          <w:ilvl w:val="2"/>
          <w:numId w:val="1"/>
        </w:numPr>
        <w:rPr/>
      </w:pPr>
      <w:bookmarkStart w:id="424" w:name="__RefHeading___Toc3242403_2870459653"/>
      <w:bookmarkStart w:id="425" w:name="_Toc152"/>
      <w:bookmarkEnd w:id="423"/>
      <w:bookmarkEnd w:id="424"/>
      <w:r>
        <w:rPr>
          <w:rtl w:val="true"/>
        </w:rPr>
        <w:t>المطلب التّاسع في أنّ الأنبياء أفضل من الملائكة</w:t>
      </w:r>
      <w:bookmarkEnd w:id="4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الأشاعرة عليه إلاّ القاضي،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318"/>
      </w:r>
      <w:r>
        <w:rPr>
          <w:rFonts w:ascii="Amiri" w:hAnsi="Amiri" w:eastAsia="Amiri" w:cs="Amiri"/>
          <w:color w:val="111111"/>
          <w:sz w:val="28"/>
          <w:sz w:val="28"/>
          <w:szCs w:val="28"/>
          <w:rtl w:val="true"/>
          <w:lang w:bidi="ar-SA"/>
        </w:rPr>
        <w:t>و هو يتناول الملائكة؛ و لاشتغالهم بالعبادة مع جواذب الشّهوة و الغضب و الموانع الخارجيّة، فتكون عبادتهم أشقّ،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 قالت المعتزلة و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أفضل، لقوله تعالى مٰا نَهٰاكُمٰا رَبُّكُمٰا عَنْ هٰذِهِ اَلشَّجَرَةِ إِلاّٰ أَنْ تَكُونٰا مَلَكَيْنِ أَوْ تَكُونٰا مِنَ اَلْخٰالِدِينَ </w:t>
      </w:r>
      <w:r>
        <w:rPr>
          <w:rStyle w:val="FootnoteAnchor"/>
          <w:rtl w:val="true"/>
        </w:rPr>
        <w:footnoteReference w:id="32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w:t>
      </w:r>
      <w:r>
        <w:rPr>
          <w:rStyle w:val="FootnoteAnchor"/>
          <w:rtl w:val="true"/>
        </w:rPr>
        <w:footnoteReference w:id="321"/>
      </w:r>
      <w:r>
        <w:rPr>
          <w:rFonts w:ascii="Amiri" w:hAnsi="Amiri" w:eastAsia="Amiri" w:cs="Amiri"/>
          <w:color w:val="111111"/>
          <w:sz w:val="28"/>
          <w:sz w:val="28"/>
          <w:szCs w:val="28"/>
          <w:rtl w:val="true"/>
          <w:lang w:bidi="ar-SA"/>
        </w:rPr>
        <w:t xml:space="preserve">، مٰا هٰذٰا بَشَراً إِنْ هٰذٰا إِلاّٰ مَلَكٌ كَرِيمٌ </w:t>
      </w:r>
      <w:r>
        <w:rPr>
          <w:rStyle w:val="FootnoteAnchor"/>
          <w:rtl w:val="true"/>
        </w:rPr>
        <w:footnoteReference w:id="322"/>
      </w:r>
      <w:r>
        <w:rPr>
          <w:rFonts w:ascii="Amiri" w:hAnsi="Amiri" w:eastAsia="Amiri" w:cs="Amiri"/>
          <w:color w:val="111111"/>
          <w:sz w:val="28"/>
          <w:sz w:val="28"/>
          <w:szCs w:val="28"/>
          <w:rtl w:val="true"/>
          <w:lang w:bidi="ar-SA"/>
        </w:rPr>
        <w:t>، و لأنّ الملائكة جواهر مجرّدة، فتكون أشرف من البشر</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تفضيل الملك على آدم وقت مخاطبته إبليس، لا بعد الاجتباء، أو أنّ القصد إلاّ أن تكونا ملكين لا يأكلان الطعام و نفي الاستنكاف عن الملائكة لا يدلّ على تفضيلهم على المسيح، بل إنّما ذكرهم بعد المسيح الّذي</w:t>
      </w:r>
      <w:r>
        <w:rPr>
          <w:rStyle w:val="FootnoteAnchor"/>
          <w:rtl w:val="true"/>
        </w:rPr>
        <w:footnoteReference w:id="323"/>
      </w:r>
      <w:r>
        <w:rPr>
          <w:rFonts w:ascii="Amiri" w:hAnsi="Amiri" w:eastAsia="Amiri" w:cs="Amiri"/>
          <w:color w:val="111111"/>
          <w:sz w:val="28"/>
          <w:sz w:val="28"/>
          <w:szCs w:val="28"/>
          <w:rtl w:val="true"/>
          <w:lang w:bidi="ar-SA"/>
        </w:rPr>
        <w:t>قالت النّصارى إنّه ابن اللّه، كقول المشركين إنّهم بنات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 النّساء أنّ جمال الملك أكثر من جمال البشر لا يدلّ على تفضيل الملك عليه</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9140_71289"/>
      <w:bookmarkStart w:id="427" w:name="pg9140_71289"/>
      <w:bookmarkEnd w:id="427"/>
    </w:p>
    <w:p>
      <w:pPr>
        <w:pStyle w:val="Heading2"/>
        <w:numPr>
          <w:ilvl w:val="1"/>
          <w:numId w:val="1"/>
        </w:numPr>
        <w:rPr/>
      </w:pPr>
      <w:bookmarkStart w:id="428" w:name="pg9140_71289"/>
      <w:bookmarkStart w:id="429" w:name="__RefHeading___Toc3242405_2870459653"/>
      <w:bookmarkStart w:id="430" w:name="_Toc153"/>
      <w:bookmarkEnd w:id="428"/>
      <w:bookmarkEnd w:id="429"/>
      <w:r>
        <w:rPr>
          <w:rtl w:val="true"/>
        </w:rPr>
        <w:t>المرصد الثّامن في الإمامة و فيه مطالب</w:t>
      </w:r>
      <w:bookmarkEnd w:id="4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3242407_2870459653"/>
      <w:bookmarkStart w:id="432" w:name="_Toc154"/>
      <w:bookmarkEnd w:id="431"/>
      <w:r>
        <w:rPr>
          <w:rtl w:val="true"/>
        </w:rPr>
        <w:t>اشارة</w:t>
      </w:r>
      <w:bookmarkEnd w:id="43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9140_71291"/>
      <w:bookmarkStart w:id="434" w:name="pg9140_71291"/>
      <w:bookmarkEnd w:id="434"/>
    </w:p>
    <w:p>
      <w:pPr>
        <w:pStyle w:val="Heading3"/>
        <w:numPr>
          <w:ilvl w:val="2"/>
          <w:numId w:val="1"/>
        </w:numPr>
        <w:rPr/>
      </w:pPr>
      <w:bookmarkStart w:id="435" w:name="pg9140_71291"/>
      <w:bookmarkStart w:id="436" w:name="__RefHeading___Toc3242409_2870459653"/>
      <w:bookmarkStart w:id="437" w:name="_Toc155"/>
      <w:bookmarkEnd w:id="435"/>
      <w:bookmarkEnd w:id="436"/>
      <w:r>
        <w:rPr>
          <w:rtl w:val="true"/>
        </w:rPr>
        <w:t>[</w:t>
      </w:r>
      <w:r>
        <w:rPr>
          <w:rtl w:val="true"/>
        </w:rPr>
        <w:t>المطلب</w:t>
      </w:r>
      <w:r>
        <w:rPr>
          <w:rtl w:val="true"/>
        </w:rPr>
        <w:t xml:space="preserve">] </w:t>
      </w:r>
      <w:r>
        <w:rPr>
          <w:rtl w:val="true"/>
        </w:rPr>
        <w:t>الأوّل في وجوبها</w:t>
      </w:r>
      <w:bookmarkEnd w:id="437"/>
    </w:p>
    <w:p>
      <w:pPr>
        <w:pStyle w:val="BookText"/>
        <w:rPr/>
      </w:pPr>
      <w:r>
        <w:rPr>
          <w:rFonts w:ascii="Amiri" w:hAnsi="Amiri" w:eastAsia="Amiri" w:cs="Amiri"/>
          <w:color w:val="111111"/>
          <w:sz w:val="28"/>
          <w:sz w:val="28"/>
          <w:szCs w:val="28"/>
          <w:rtl w:val="true"/>
          <w:lang w:bidi="ar-SA"/>
        </w:rPr>
        <w:t>الإمامة رئاسة عامّة في امور الدّين و الدّنيا لشخص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منه الأصمّ و الفوطيّ، و ذهب الباقون إلى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الإماميّة و أبي الحسين البصريّ و البغداديّين أنّ طريق وجوبها، العقل؛ لكن الإماميّة أوجبوها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لطفا بالضّرورة، فإنّ النّاس متى كان لهم رئيس ينتصف للمظلوم و يردع الظالم، كانوا من الصّلاح أقرب و عن الفساد أبعد؛ و اللّطف واجب،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الإمامة لطفا يقوم غيرها مقامها فلا يجب عينا، فإنّ من اللّطف ما لا يقوم غيره مقامه، كالعلم باستحقاق الثّواب و العقاب، و منه ما يقوم غيره، كالتّكاليف السّمعيّة، و إلاّ لم يخل مكلّف من التّكليف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يجوز اشتمالها على وجه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في الوجوب ثبوت وجهه</w:t>
      </w:r>
      <w:r>
        <w:rPr>
          <w:rStyle w:val="FootnoteAnchor"/>
          <w:rtl w:val="true"/>
        </w:rPr>
        <w:footnoteReference w:id="324"/>
      </w:r>
      <w:r>
        <w:rPr>
          <w:rFonts w:ascii="Amiri" w:hAnsi="Amiri" w:eastAsia="Amiri" w:cs="Amiri"/>
          <w:color w:val="111111"/>
          <w:sz w:val="28"/>
          <w:sz w:val="28"/>
          <w:szCs w:val="28"/>
          <w:rtl w:val="true"/>
          <w:lang w:bidi="ar-SA"/>
        </w:rPr>
        <w:t>ما لم ينتف عنه وجوه المفاسد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العقلاء في كلّ مكان و زمان على نصب الرّؤساء دليل </w:t>
      </w:r>
    </w:p>
    <w:p>
      <w:pPr>
        <w:pStyle w:val="BookText"/>
        <w:rPr/>
      </w:pPr>
      <w:r>
        <w:rPr>
          <w:rFonts w:ascii="Amiri" w:hAnsi="Amiri" w:eastAsia="Amiri" w:cs="Amiri"/>
          <w:color w:val="111111"/>
          <w:sz w:val="28"/>
          <w:sz w:val="28"/>
          <w:szCs w:val="28"/>
          <w:rtl w:val="true"/>
          <w:lang w:bidi="ar-SA"/>
        </w:rPr>
        <w:t>على انتفاء غيرها من الألطاف، و وجوه القبح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منفيّة هنا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الحسين و 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على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لما فيه من التّنازع المؤدّي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الجبّائيّان و الأشاعرة إلى أنّها واجبة سمعا</w:t>
      </w:r>
      <w:r>
        <w:rPr>
          <w:rFonts w:eastAsia="Amiri" w:cs="Amiri" w:ascii="Amiri" w:hAnsi="Amiri"/>
          <w:color w:val="111111"/>
          <w:sz w:val="28"/>
          <w:szCs w:val="28"/>
          <w:rtl w:val="true"/>
          <w:lang w:bidi="ar-SA"/>
        </w:rPr>
        <w:t xml:space="preserve">. </w:t>
      </w:r>
      <w:bookmarkStart w:id="438" w:name="pg9140_71293"/>
    </w:p>
    <w:p>
      <w:pPr>
        <w:pStyle w:val="Heading3"/>
        <w:numPr>
          <w:ilvl w:val="2"/>
          <w:numId w:val="1"/>
        </w:numPr>
        <w:rPr/>
      </w:pPr>
      <w:bookmarkStart w:id="439" w:name="__RefHeading___Toc3242411_2870459653"/>
      <w:bookmarkStart w:id="440" w:name="_Toc156"/>
      <w:bookmarkEnd w:id="438"/>
      <w:bookmarkEnd w:id="439"/>
      <w:r>
        <w:rPr>
          <w:rtl w:val="true"/>
        </w:rPr>
        <w:t>المطلب الثّاني في وجوب عصمة الإمام</w:t>
      </w:r>
      <w:bookmarkEnd w:id="440"/>
    </w:p>
    <w:p>
      <w:pPr>
        <w:pStyle w:val="BookText"/>
        <w:rPr/>
      </w:pPr>
      <w:r>
        <w:rPr>
          <w:rFonts w:ascii="Amiri" w:hAnsi="Amiri" w:eastAsia="Amiri" w:cs="Amiri"/>
          <w:color w:val="111111"/>
          <w:sz w:val="28"/>
          <w:sz w:val="28"/>
          <w:szCs w:val="28"/>
          <w:rtl w:val="true"/>
          <w:lang w:bidi="ar-SA"/>
        </w:rPr>
        <w:t>ذهب إليه الإماميّة و الإسماعيليّة، خلافا لباقي الفرق، و إلاّ لزم التّسلسل؛ إذ وجه الوجوب جواز الخطأ 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الرّئيس كذلك افتقر إلى رئيس آخر، و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حافظ للشّرع، فيجب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فلأنّ الكتاب و السّنة غير وافيين بالأحكام الشّرعيّة و لوقوع النّزاع فيهما و تناهيهما و عدم تناهي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الإجماع، لجواز الخطأ، على كلّ واحد، فكذا المجموع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القياس، لأنّه ليس حجّة، إذ مبنى شرعنا على اتّفاق المختلفات، كاتّحاد البول و النّوم في الحكم، و اختلاف المتّفقات، كإيجاب صوم آخر رمضان و إفطار أوّل شوّال، فلم يبق سوى الإمام؛ فلو جاز الخطأ عليه لم يبق وثوق بقوله، لجواز خطائه و سهوه</w:t>
      </w:r>
      <w:r>
        <w:rPr>
          <w:rFonts w:eastAsia="Amiri" w:cs="Amiri" w:ascii="Amiri" w:hAnsi="Amiri"/>
          <w:color w:val="111111"/>
          <w:sz w:val="28"/>
          <w:szCs w:val="28"/>
          <w:rtl w:val="true"/>
          <w:lang w:bidi="ar-SA"/>
        </w:rPr>
        <w:t xml:space="preserve">. </w:t>
      </w:r>
      <w:bookmarkStart w:id="441" w:name="pg9140_71294"/>
    </w:p>
    <w:p>
      <w:pPr>
        <w:pStyle w:val="Heading3"/>
        <w:numPr>
          <w:ilvl w:val="2"/>
          <w:numId w:val="1"/>
        </w:numPr>
        <w:rPr/>
      </w:pPr>
      <w:bookmarkStart w:id="442" w:name="__RefHeading___Toc3242413_2870459653"/>
      <w:bookmarkStart w:id="443" w:name="_Toc157"/>
      <w:bookmarkEnd w:id="441"/>
      <w:bookmarkEnd w:id="442"/>
      <w:r>
        <w:rPr>
          <w:rtl w:val="true"/>
        </w:rPr>
        <w:t xml:space="preserve">المطلب الثالث في أنّه يجب أن يكون أفضل </w:t>
      </w:r>
      <w:r>
        <w:rPr>
          <w:rtl w:val="true"/>
        </w:rPr>
        <w:t>[</w:t>
      </w:r>
      <w:r>
        <w:rPr>
          <w:rtl w:val="true"/>
        </w:rPr>
        <w:t>و منصوصا</w:t>
      </w:r>
      <w:r>
        <w:rPr>
          <w:rtl w:val="true"/>
        </w:rPr>
        <w:t>]</w:t>
      </w:r>
      <w:bookmarkEnd w:id="443"/>
    </w:p>
    <w:p>
      <w:pPr>
        <w:pStyle w:val="BookText"/>
        <w:rPr/>
      </w:pPr>
      <w:r>
        <w:rPr>
          <w:rFonts w:ascii="Amiri" w:hAnsi="Amiri" w:eastAsia="Amiri" w:cs="Amiri"/>
          <w:color w:val="111111"/>
          <w:sz w:val="28"/>
          <w:sz w:val="28"/>
          <w:szCs w:val="28"/>
          <w:rtl w:val="true"/>
          <w:lang w:bidi="ar-SA"/>
        </w:rPr>
        <w:t>لأنّه لو كان مساويا لم يكن أولى بالرّئاسة، و لو كان أنقص قبح تقديمه على الفاضل عقلا،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325"/>
      </w:r>
      <w:r>
        <w:rPr>
          <w:rFonts w:ascii="Amiri" w:hAnsi="Amiri" w:eastAsia="Amiri" w:cs="Amiri"/>
          <w:color w:val="111111"/>
          <w:sz w:val="28"/>
          <w:sz w:val="28"/>
          <w:szCs w:val="28"/>
          <w:rtl w:val="true"/>
          <w:lang w:bidi="ar-SA"/>
        </w:rPr>
        <w:t>فيكون أعلم و أشجع و أكرم و أزهد و أورع و أحلم، إلى غير ذلك من صفات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منزّها عن دناءة الآباء و عهر الأمّهات، لئلا يسقط محلّه من القلب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يكون منصوصا عليه، لأنّ العصمة من امور الباطنة الّتي لا يعلمها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إمّا بخلق معجز على يده عقيب ادّعاء الإمامة، أو بتعيين المعصوم عليه، كنبيّ أو إمام</w:t>
      </w:r>
      <w:r>
        <w:rPr>
          <w:rFonts w:eastAsia="Amiri" w:cs="Amiri" w:ascii="Amiri" w:hAnsi="Amiri"/>
          <w:color w:val="111111"/>
          <w:sz w:val="28"/>
          <w:szCs w:val="28"/>
          <w:rtl w:val="true"/>
          <w:lang w:bidi="ar-SA"/>
        </w:rPr>
        <w:t xml:space="preserve">. </w:t>
      </w:r>
      <w:bookmarkStart w:id="444" w:name="pg9140_71295"/>
    </w:p>
    <w:p>
      <w:pPr>
        <w:pStyle w:val="Heading3"/>
        <w:numPr>
          <w:ilvl w:val="2"/>
          <w:numId w:val="1"/>
        </w:numPr>
        <w:rPr/>
      </w:pPr>
      <w:bookmarkStart w:id="445" w:name="__RefHeading___Toc3242415_2870459653"/>
      <w:bookmarkStart w:id="446" w:name="_Toc158"/>
      <w:bookmarkEnd w:id="444"/>
      <w:bookmarkEnd w:id="445"/>
      <w:r>
        <w:rPr>
          <w:rtl w:val="true"/>
        </w:rPr>
        <w:t>المطلب الرّابع في أنّ الإمام بعد النبيّ صلّى اللّه عليه و آله و سلّم هو عليّ عليه السّلام</w:t>
      </w:r>
      <w:bookmarkEnd w:id="446"/>
    </w:p>
    <w:p>
      <w:pPr>
        <w:pStyle w:val="BookText"/>
        <w:rPr/>
      </w:pPr>
      <w:r>
        <w:rPr>
          <w:rFonts w:ascii="Amiri" w:hAnsi="Amiri" w:eastAsia="Amiri" w:cs="Amiri"/>
          <w:color w:val="111111"/>
          <w:sz w:val="28"/>
          <w:sz w:val="28"/>
          <w:szCs w:val="28"/>
          <w:rtl w:val="true"/>
          <w:lang w:bidi="ar-SA"/>
        </w:rPr>
        <w:t>ذهبت الشّيعة إلى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الإمام يجب أن يكون معصوما فهو عليّ عليه السّلام، لكنّ المقدّم حقّ، لما سبق، فالتّالي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الشّرطيّة، الإجماع؛ إذ لا قائل بعصمة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النّصّ من النّبيّ صلّى اللّه عليه و آله و سلّم تنقله الشّيعة 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عليه بإمرة المؤمنين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 له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من بعدي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الآية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بالنّقل، و لبقاء الوضع و امتناع توارد النّقيضين على محلّ واحد، و ورود النّفي على المذكور فتعيّن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بالتّصرّف عرفا و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لاتّصافه بوصف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عليه السّلام لانتفاء الوصف عن غيره، و ثبوته فيه لمّا تصدّق بخاتمه</w:t>
      </w:r>
      <w:r>
        <w:rPr>
          <w:rStyle w:val="FootnoteAnchor"/>
          <w:rtl w:val="true"/>
        </w:rPr>
        <w:footnoteReference w:id="330"/>
      </w:r>
      <w:r>
        <w:rPr>
          <w:rFonts w:ascii="Amiri" w:hAnsi="Amiri" w:eastAsia="Amiri" w:cs="Amiri"/>
          <w:color w:val="111111"/>
          <w:sz w:val="28"/>
          <w:sz w:val="28"/>
          <w:szCs w:val="28"/>
          <w:rtl w:val="true"/>
          <w:lang w:bidi="ar-SA"/>
        </w:rPr>
        <w:t>حال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النّقل عنه صلّى اللّه عليه و آله و سلّم يوم الغدير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منكم بأنفسكم،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و المراد بالمولى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لسبق تمهيد القاعدة به و لامتناع إرادة غيره من معانيها، لاستحالة أن يجمع النّبيّ صلّى اللّه عليه و آله و سلّم الامّة وقت الهجّير و ينصب شبه المنبر و يأخذ بعضد عليّ عليه السّلام 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فهذا عليّ ابن عمّه؛ أو من كنت خليفته فهذا خليفته، أو من كنت ناصره فهذا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إنّه لا نبيّ بعدي</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 الاستثناء يقتضي التّعميم</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منازله أنّه لو عاش بعده لكان باقيا على الخلافة، و إلاّ لزم هبوط منزلته، و لأنّه معصوم يستحقّ خلافته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أفضل، فهو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فلما تقدّم من قبح تقديم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فلانتساب العلماء بأسرهم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و هو مشروط بالعلم و الزّهد، و لرجوع الصّحابة في وقائعهم إليه؛ و قول عمر في عدّة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لقضاياه الغريبة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كوزن قيد</w:t>
      </w:r>
      <w:r>
        <w:rPr>
          <w:rStyle w:val="FootnoteAnchor"/>
          <w:rtl w:val="true"/>
        </w:rPr>
        <w:footnoteReference w:id="337"/>
      </w:r>
      <w:r>
        <w:rPr>
          <w:rFonts w:ascii="IRNazanin" w:hAnsi="IRNazanin" w:eastAsia="IRNazanin"/>
          <w:color w:val="111111"/>
          <w:sz w:val="28"/>
          <w:sz w:val="28"/>
          <w:szCs w:val="28"/>
          <w:rtl w:val="true"/>
          <w:lang w:bidi="fa-IR"/>
        </w:rPr>
        <w:t>العبد بالماء</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 xml:space="preserve">و قسمة ثمانية دراهم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الأرغفة الثّمانية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 إعطاء صاحب الثّلاثة درهما و الباقي للآخر، و غير ذلك من غرائب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لإجماع المفسّرين على أنّ المراد بقوله وَ أَنْفُسَنٰا </w:t>
      </w:r>
      <w:r>
        <w:rPr>
          <w:rStyle w:val="FootnoteAnchor"/>
          <w:rtl w:val="true"/>
        </w:rPr>
        <w:footnoteReference w:id="340"/>
      </w:r>
      <w:r>
        <w:rPr>
          <w:rFonts w:ascii="Amiri" w:hAnsi="Amiri" w:eastAsia="Amiri" w:cs="Amiri"/>
          <w:color w:val="111111"/>
          <w:sz w:val="28"/>
          <w:sz w:val="28"/>
          <w:szCs w:val="28"/>
          <w:rtl w:val="true"/>
          <w:lang w:bidi="ar-SA"/>
        </w:rPr>
        <w:t>عليّ عليه السّلام؛ و الاتّحاد محال، فالمراد، المساوي؛ و لخبر الطائر حين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 بأحبّ خلقك إليك يأكل معي من هذا الطائر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اتّخذه أخا لنفسه دون 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 إلى يوشع</w:t>
      </w:r>
      <w:r>
        <w:rPr>
          <w:rStyle w:val="FootnoteAnchor"/>
          <w:rtl w:val="true"/>
        </w:rPr>
        <w:footnoteReference w:id="342"/>
      </w:r>
      <w:r>
        <w:rPr>
          <w:rFonts w:ascii="Amiri" w:hAnsi="Amiri" w:eastAsia="Amiri" w:cs="Amiri"/>
          <w:color w:val="111111"/>
          <w:sz w:val="28"/>
          <w:sz w:val="28"/>
          <w:szCs w:val="28"/>
          <w:rtl w:val="true"/>
          <w:lang w:bidi="ar-SA"/>
        </w:rPr>
        <w:t xml:space="preserve">في تقواه و إلى إبراهيم في </w:t>
      </w:r>
    </w:p>
    <w:p>
      <w:pPr>
        <w:pStyle w:val="BookText"/>
        <w:rPr/>
      </w:pPr>
      <w:r>
        <w:rPr>
          <w:rFonts w:ascii="IRNazanin" w:hAnsi="IRNazanin" w:eastAsia="IRNazanin"/>
          <w:color w:val="111111"/>
          <w:sz w:val="28"/>
          <w:sz w:val="28"/>
          <w:szCs w:val="28"/>
          <w:rtl w:val="true"/>
          <w:lang w:bidi="fa-IR"/>
        </w:rPr>
        <w:t>حلمه</w:t>
      </w:r>
      <w:r>
        <w:rPr>
          <w:rStyle w:val="FootnoteAnchor"/>
          <w:rtl w:val="true"/>
        </w:rPr>
        <w:footnoteReference w:id="343"/>
      </w:r>
      <w:r>
        <w:rPr>
          <w:rFonts w:ascii="Amiri" w:hAnsi="Amiri" w:eastAsia="Amiri" w:cs="Amiri"/>
          <w:color w:val="111111"/>
          <w:sz w:val="28"/>
          <w:sz w:val="28"/>
          <w:szCs w:val="28"/>
          <w:rtl w:val="true"/>
          <w:lang w:bidi="ar-SA"/>
        </w:rPr>
        <w:t>و إلى عيسى في عبادته، فلينظر إلى عليّ بن أبي طالب</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 غير ذلك من الآثار و الآيات مذكور في كتاب النّهاية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أبا بكر و العبّاس كانا كافرين، فلا يصلحان للإمامة،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346"/>
      </w:r>
      <w:r>
        <w:rPr>
          <w:rFonts w:ascii="Amiri" w:hAnsi="Amiri" w:eastAsia="Amiri" w:cs="Amiri"/>
          <w:color w:val="111111"/>
          <w:sz w:val="28"/>
          <w:sz w:val="28"/>
          <w:szCs w:val="28"/>
          <w:rtl w:val="true"/>
          <w:lang w:bidi="ar-SA"/>
        </w:rPr>
        <w:t>و عليّ عليه السّلام لم يسبق له كفر، فتعيّن للإمامة</w:t>
      </w:r>
      <w:r>
        <w:rPr>
          <w:rFonts w:eastAsia="Amiri" w:cs="Amiri" w:ascii="Amiri" w:hAnsi="Amiri"/>
          <w:color w:val="111111"/>
          <w:sz w:val="28"/>
          <w:szCs w:val="28"/>
          <w:rtl w:val="true"/>
          <w:lang w:bidi="ar-SA"/>
        </w:rPr>
        <w:t xml:space="preserve">. </w:t>
      </w:r>
      <w:bookmarkStart w:id="447" w:name="pg9140_71299"/>
    </w:p>
    <w:p>
      <w:pPr>
        <w:pStyle w:val="Heading3"/>
        <w:numPr>
          <w:ilvl w:val="2"/>
          <w:numId w:val="1"/>
        </w:numPr>
        <w:rPr/>
      </w:pPr>
      <w:bookmarkStart w:id="448" w:name="__RefHeading___Toc3242417_2870459653"/>
      <w:bookmarkStart w:id="449" w:name="_Toc159"/>
      <w:bookmarkEnd w:id="447"/>
      <w:bookmarkEnd w:id="448"/>
      <w:r>
        <w:rPr>
          <w:rtl w:val="true"/>
        </w:rPr>
        <w:t>المطلب الخامس في إمامة باقي الأئمّة الاثني عشر عليهم السّلام</w:t>
      </w:r>
      <w:bookmarkEnd w:id="449"/>
    </w:p>
    <w:p>
      <w:pPr>
        <w:pStyle w:val="BookText"/>
        <w:rPr/>
      </w:pPr>
      <w:r>
        <w:rPr>
          <w:rFonts w:ascii="Amiri" w:hAnsi="Amiri" w:eastAsia="Amiri" w:cs="Amiri"/>
          <w:color w:val="111111"/>
          <w:sz w:val="28"/>
          <w:sz w:val="28"/>
          <w:szCs w:val="28"/>
          <w:rtl w:val="true"/>
          <w:lang w:bidi="ar-SA"/>
        </w:rPr>
        <w:t>يدلّ عليه ما سبق في إمامة عليّ عليه السّلام من وجوب العصمة و النّصّ و النّقل المتواتر</w:t>
      </w:r>
      <w:r>
        <w:rPr>
          <w:rStyle w:val="FootnoteAnchor"/>
          <w:rtl w:val="true"/>
        </w:rPr>
        <w:footnoteReference w:id="347"/>
      </w:r>
      <w:r>
        <w:rPr>
          <w:rFonts w:ascii="Amiri" w:hAnsi="Amiri" w:eastAsia="Amiri" w:cs="Amiri"/>
          <w:color w:val="111111"/>
          <w:sz w:val="28"/>
          <w:sz w:val="28"/>
          <w:szCs w:val="28"/>
          <w:rtl w:val="true"/>
          <w:lang w:bidi="ar-SA"/>
        </w:rPr>
        <w:t xml:space="preserve">خلفا عن سلف بأنّ كلّ واحد منهم نصّ على من بعده، و تواتر النّقل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إمام، ابن إمام، أخو إمام، أبو أئمّة تسعة، تاسعهم قائمهم</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الإمام عليه السّلام مستندة إلى منع المكلّفين أنفسهم اللّطف أو لمصلحة خفيّة</w:t>
      </w:r>
      <w:r>
        <w:rPr>
          <w:rStyle w:val="FootnoteAnchor"/>
          <w:rtl w:val="true"/>
        </w:rPr>
        <w:footnoteReference w:id="349"/>
      </w:r>
      <w:r>
        <w:rPr>
          <w:rFonts w:ascii="Amiri" w:hAnsi="Amiri" w:eastAsia="Amiri" w:cs="Amiri"/>
          <w:color w:val="111111"/>
          <w:sz w:val="28"/>
          <w:sz w:val="28"/>
          <w:szCs w:val="28"/>
          <w:rtl w:val="true"/>
          <w:lang w:bidi="ar-SA"/>
        </w:rPr>
        <w:t xml:space="preserve">استأثر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بعلمها؛ و لا ينافي اللّطف، لأنّ تجويز ظهوره في كلّ آن زاجر عن القبائح</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3242419_2870459653"/>
      <w:bookmarkStart w:id="451" w:name="_Toc160"/>
      <w:bookmarkEnd w:id="450"/>
      <w:r>
        <w:rPr>
          <w:rtl w:val="true"/>
        </w:rPr>
        <w:t>خاتمة</w:t>
      </w:r>
      <w:bookmarkEnd w:id="45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الأمر بالمعروف و النّهي عن المنكر إجماعا، سمعا على الأشهر، و إلاّ لما ارتفع معروف و لما وقع منكر، أو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 بالواجب، لأنّ الأمر بالمعروف هو الحمل عليه، و النّهي هو المنع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وجبا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بالعقل لوجبا على اللّه تعالى، لأنّ كلّ واجب عقليّ فهو واجب على من حصل له</w:t>
      </w:r>
      <w:r>
        <w:rPr>
          <w:rStyle w:val="FootnoteAnchor"/>
          <w:rtl w:val="true"/>
        </w:rPr>
        <w:footnoteReference w:id="350"/>
      </w:r>
      <w:r>
        <w:rPr>
          <w:rFonts w:ascii="Amiri" w:hAnsi="Amiri" w:eastAsia="Amiri" w:cs="Amiri"/>
          <w:color w:val="111111"/>
          <w:sz w:val="28"/>
          <w:sz w:val="28"/>
          <w:szCs w:val="28"/>
          <w:rtl w:val="true"/>
          <w:lang w:bidi="ar-SA"/>
        </w:rPr>
        <w:t>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المعروف معروفا و المنكر منكرا، و تجويز تأثير الإنكار و انتفاء المفاسد عنه و عن بعض المؤمنين</w:t>
      </w:r>
      <w:r>
        <w:rPr>
          <w:rFonts w:eastAsia="Amiri" w:cs="Amiri" w:ascii="Amiri" w:hAnsi="Amiri"/>
          <w:color w:val="111111"/>
          <w:sz w:val="28"/>
          <w:szCs w:val="28"/>
          <w:rtl w:val="true"/>
          <w:lang w:bidi="ar-SA"/>
        </w:rPr>
        <w:t xml:space="preserve">. </w:t>
      </w:r>
      <w:bookmarkStart w:id="452" w:name="pg9140_71301"/>
    </w:p>
    <w:p>
      <w:pPr>
        <w:pStyle w:val="Heading2"/>
        <w:numPr>
          <w:ilvl w:val="1"/>
          <w:numId w:val="1"/>
        </w:numPr>
        <w:rPr/>
      </w:pPr>
      <w:bookmarkStart w:id="453" w:name="__RefHeading___Toc3242421_2870459653"/>
      <w:bookmarkStart w:id="454" w:name="_Toc161"/>
      <w:bookmarkEnd w:id="452"/>
      <w:bookmarkEnd w:id="453"/>
      <w:r>
        <w:rPr>
          <w:rtl w:val="true"/>
        </w:rPr>
        <w:t>المرصد التّاسع في المعاد و فيه مطالب</w:t>
      </w:r>
      <w:bookmarkEnd w:id="4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3242423_2870459653"/>
      <w:bookmarkStart w:id="456" w:name="_Toc162"/>
      <w:bookmarkEnd w:id="455"/>
      <w:r>
        <w:rPr>
          <w:rtl w:val="true"/>
        </w:rPr>
        <w:t>اشارة</w:t>
      </w:r>
      <w:bookmarkEnd w:id="45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9140_71303"/>
      <w:bookmarkStart w:id="458" w:name="pg9140_71303"/>
      <w:bookmarkEnd w:id="458"/>
    </w:p>
    <w:p>
      <w:pPr>
        <w:pStyle w:val="Heading3"/>
        <w:numPr>
          <w:ilvl w:val="2"/>
          <w:numId w:val="1"/>
        </w:numPr>
        <w:rPr/>
      </w:pPr>
      <w:bookmarkStart w:id="459" w:name="pg9140_71303"/>
      <w:bookmarkStart w:id="460" w:name="__RefHeading___Toc3242425_2870459653"/>
      <w:bookmarkStart w:id="461" w:name="_Toc163"/>
      <w:bookmarkEnd w:id="459"/>
      <w:bookmarkEnd w:id="460"/>
      <w:r>
        <w:rPr>
          <w:rtl w:val="true"/>
        </w:rPr>
        <w:t>[</w:t>
      </w:r>
      <w:r>
        <w:rPr>
          <w:rtl w:val="true"/>
        </w:rPr>
        <w:t>المطلب</w:t>
      </w:r>
      <w:r>
        <w:rPr>
          <w:rtl w:val="true"/>
        </w:rPr>
        <w:t xml:space="preserve">] </w:t>
      </w:r>
      <w:r>
        <w:rPr>
          <w:rtl w:val="true"/>
        </w:rPr>
        <w:t>الأوّل في إمكان خلق عالم آخر</w:t>
      </w:r>
      <w:bookmarkEnd w:id="461"/>
    </w:p>
    <w:p>
      <w:pPr>
        <w:pStyle w:val="BookText"/>
        <w:rPr/>
      </w:pPr>
      <w:r>
        <w:rPr>
          <w:rFonts w:ascii="Amiri" w:hAnsi="Amiri" w:eastAsia="Amiri" w:cs="Amiri"/>
          <w:color w:val="111111"/>
          <w:sz w:val="28"/>
          <w:sz w:val="28"/>
          <w:szCs w:val="28"/>
          <w:rtl w:val="true"/>
          <w:lang w:bidi="ar-SA"/>
        </w:rPr>
        <w:t>اتّفق المليّون</w:t>
      </w:r>
      <w:r>
        <w:rPr>
          <w:rStyle w:val="FootnoteAnchor"/>
          <w:rtl w:val="true"/>
        </w:rPr>
        <w:footnoteReference w:id="351"/>
      </w:r>
      <w:r>
        <w:rPr>
          <w:rFonts w:ascii="Amiri" w:hAnsi="Amiri" w:eastAsia="Amiri" w:cs="Amiri"/>
          <w:color w:val="111111"/>
          <w:sz w:val="28"/>
          <w:sz w:val="28"/>
          <w:szCs w:val="28"/>
          <w:rtl w:val="true"/>
          <w:lang w:bidi="ar-SA"/>
        </w:rPr>
        <w:t>عليه، خلافا للفلاسفة، لتساوي المثلين</w:t>
      </w:r>
      <w:r>
        <w:rPr>
          <w:rStyle w:val="FootnoteAnchor"/>
          <w:rtl w:val="true"/>
        </w:rPr>
        <w:footnoteReference w:id="352"/>
      </w:r>
      <w:r>
        <w:rPr>
          <w:rFonts w:ascii="Amiri" w:hAnsi="Amiri" w:eastAsia="Amiri" w:cs="Amiri"/>
          <w:color w:val="111111"/>
          <w:sz w:val="28"/>
          <w:sz w:val="28"/>
          <w:szCs w:val="28"/>
          <w:rtl w:val="true"/>
          <w:lang w:bidi="ar-SA"/>
        </w:rPr>
        <w:t>في الأحكام، و الإمكان من لوازم الماهيّة و للإجماع،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w:t>
      </w:r>
      <w:r>
        <w:rPr>
          <w:rStyle w:val="FootnoteAnchor"/>
          <w:rtl w:val="true"/>
        </w:rPr>
        <w:footnoteReference w:id="3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العالم كرة، و يلزم الخلأ من وجود اخرى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الصّغرى ممنوعة و نمنع استحالة الخلأ و لزومه</w:t>
      </w:r>
      <w:r>
        <w:rPr>
          <w:rFonts w:eastAsia="Amiri" w:cs="Amiri" w:ascii="Amiri" w:hAnsi="Amiri"/>
          <w:color w:val="111111"/>
          <w:sz w:val="28"/>
          <w:szCs w:val="28"/>
          <w:rtl w:val="true"/>
          <w:lang w:bidi="ar-SA"/>
        </w:rPr>
        <w:t xml:space="preserve">. </w:t>
      </w:r>
      <w:bookmarkStart w:id="462" w:name="pg9140_71304"/>
    </w:p>
    <w:p>
      <w:pPr>
        <w:pStyle w:val="Heading3"/>
        <w:numPr>
          <w:ilvl w:val="2"/>
          <w:numId w:val="1"/>
        </w:numPr>
        <w:rPr/>
      </w:pPr>
      <w:bookmarkStart w:id="463" w:name="__RefHeading___Toc3242427_2870459653"/>
      <w:bookmarkStart w:id="464" w:name="_Toc164"/>
      <w:bookmarkEnd w:id="462"/>
      <w:bookmarkEnd w:id="463"/>
      <w:r>
        <w:rPr>
          <w:rtl w:val="true"/>
        </w:rPr>
        <w:t>المطلب الثّاني في إمكان عدم العالم</w:t>
      </w:r>
      <w:bookmarkEnd w:id="464"/>
    </w:p>
    <w:p>
      <w:pPr>
        <w:pStyle w:val="Heading4"/>
        <w:numPr>
          <w:ilvl w:val="3"/>
          <w:numId w:val="1"/>
        </w:numPr>
        <w:rPr/>
      </w:pPr>
      <w:bookmarkStart w:id="465" w:name="__RefHeading___Toc3242429_2870459653"/>
      <w:bookmarkStart w:id="466" w:name="_Toc165"/>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اتفق المليّون</w:t>
      </w:r>
      <w:r>
        <w:rPr>
          <w:rStyle w:val="FootnoteAnchor"/>
          <w:rtl w:val="true"/>
        </w:rPr>
        <w:footnoteReference w:id="354"/>
      </w:r>
      <w:r>
        <w:rPr>
          <w:rFonts w:ascii="Amiri" w:hAnsi="Amiri" w:eastAsia="Amiri" w:cs="Amiri"/>
          <w:color w:val="111111"/>
          <w:sz w:val="28"/>
          <w:sz w:val="28"/>
          <w:szCs w:val="28"/>
          <w:rtl w:val="true"/>
          <w:lang w:bidi="ar-SA"/>
        </w:rPr>
        <w:t>إلاّ الكراميّة عليه، خلافا للفلاسفة، لأنّه ممكن و محدث فجاز عدمه، و يجوز عدم الزّمان و لا يفتقر إلى زمان، كما في تقدّم بعض أجزائه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احتجاج الكراميّة بأنّ عدمه ليس بالفاعل، لأنّ الأعدام إن كان وجوديّا لم يكن عين عدم العالم، بل مفضيا له، فيكون أعداما بالضّدّ، و إن لم يكن وجوديّا امتنع إسناده إلى المؤثّر، إذ لا فرق بين لا أثر له و بين أثر العدم، و لا بالضّد، لأنّ حدوثه متوقف على انتفاء الضّدّ الآخر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علّل انتفاء الضّدّ بحدوث هذا دار، و لأنّه ليس انتفاء أحدهما بالآخر أولى من العكس، و قوّة الحادث لتعلّق السّبب مشتركة، و لا بعدم</w:t>
      </w:r>
      <w:r>
        <w:rPr>
          <w:rStyle w:val="FootnoteAnchor"/>
          <w:rtl w:val="true"/>
        </w:rPr>
        <w:footnoteReference w:id="355"/>
      </w:r>
      <w:r>
        <w:rPr>
          <w:rFonts w:ascii="Amiri" w:hAnsi="Amiri" w:eastAsia="Amiri" w:cs="Amiri"/>
          <w:color w:val="111111"/>
          <w:sz w:val="28"/>
          <w:sz w:val="28"/>
          <w:szCs w:val="28"/>
          <w:rtl w:val="true"/>
          <w:lang w:bidi="ar-SA"/>
        </w:rPr>
        <w:t>الشّرط إذ ليس إلاّ العرض، فيكون الجوهر محتاجا إلى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دور باطل؛ لأنّ الاعدام ليس وجوديّا</w:t>
      </w:r>
      <w:r>
        <w:rPr>
          <w:rFonts w:eastAsia="Amiri" w:cs="Amiri" w:ascii="Amiri" w:hAnsi="Amiri"/>
          <w:color w:val="111111"/>
          <w:sz w:val="28"/>
          <w:szCs w:val="28"/>
          <w:rtl w:val="true"/>
          <w:lang w:bidi="ar-SA"/>
        </w:rPr>
        <w:t xml:space="preserve">. </w:t>
      </w:r>
      <w:bookmarkStart w:id="467" w:name="pg9140_71305"/>
    </w:p>
    <w:p>
      <w:pPr>
        <w:pStyle w:val="BookText"/>
        <w:rPr/>
      </w:pPr>
      <w:bookmarkEnd w:id="467"/>
      <w:r>
        <w:rPr>
          <w:rFonts w:ascii="Amiri" w:hAnsi="Amiri" w:eastAsia="Amiri" w:cs="Amiri"/>
          <w:color w:val="111111"/>
          <w:sz w:val="28"/>
          <w:sz w:val="28"/>
          <w:szCs w:val="28"/>
          <w:rtl w:val="true"/>
          <w:lang w:bidi="ar-SA"/>
        </w:rPr>
        <w:t>و الفرق بين نفي الفعل و فعل العدم ظاهر، فإنّ الأوّل حكم بعدم صدور شيء البتة، و أنّ الحال مستمرّ على ما كان، و الثّاني حكم بصدوره عن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بتجدد العدم بعد أن لم يكن و العدمان يتمايزان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بالانتساب إلى وجودين أو بانتساب 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الحادث لا يتوقف على عدم الباقي، بل عدم الباقي معلول الحادث و الحاجة، و إن اشتركت إلاّ أنّ الموجد أقوى من المبقيّ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الإيجاد إعطاء الوجود الّذي لم يكن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التّبقية حفظ الوجود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 أقوى يترجّح الحادث و يعدم المرجوح و يمنع انحصار الشّرط في العرض،</w:t>
      </w:r>
      <w:r>
        <w:rPr>
          <w:rStyle w:val="FootnoteAnchor"/>
          <w:rtl w:val="true"/>
        </w:rPr>
        <w:footnoteReference w:id="356"/>
      </w:r>
      <w:r>
        <w:rPr>
          <w:rFonts w:ascii="Amiri" w:hAnsi="Amiri" w:eastAsia="Amiri" w:cs="Amiri"/>
          <w:color w:val="111111"/>
          <w:sz w:val="28"/>
          <w:sz w:val="28"/>
          <w:szCs w:val="28"/>
          <w:rtl w:val="true"/>
          <w:lang w:bidi="ar-SA"/>
        </w:rPr>
        <w:t>لجواز أن يكون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جهة الاحتياج مختلفة، فإنّ الجوهر المعيّن</w:t>
      </w:r>
      <w:r>
        <w:rPr>
          <w:rStyle w:val="FootnoteAnchor"/>
          <w:rtl w:val="true"/>
        </w:rPr>
        <w:footnoteReference w:id="357"/>
      </w:r>
      <w:r>
        <w:rPr>
          <w:rFonts w:ascii="Amiri" w:hAnsi="Amiri" w:eastAsia="Amiri" w:cs="Amiri"/>
          <w:color w:val="111111"/>
          <w:sz w:val="28"/>
          <w:sz w:val="28"/>
          <w:szCs w:val="28"/>
          <w:rtl w:val="true"/>
          <w:lang w:bidi="ar-SA"/>
        </w:rPr>
        <w:t>محتاج إلى عرض ما، لا بعينه، و العرض المعيّن محتاج إلى جوهر معيّن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242431_2870459653"/>
      <w:bookmarkStart w:id="469" w:name="_Toc166"/>
      <w:bookmarkEnd w:id="468"/>
      <w:r>
        <w:rPr>
          <w:rtl w:val="true"/>
        </w:rPr>
        <w:t>تذنيب</w:t>
      </w:r>
      <w:bookmarkEnd w:id="46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جمهور المتكلّمين إلى أنّ العالم يعدم،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Style w:val="FootnoteAnchor"/>
          <w:rtl w:val="true"/>
        </w:rPr>
        <w:footnoteReference w:id="358"/>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359"/>
      </w:r>
      <w:r>
        <w:rPr>
          <w:rFonts w:ascii="Amiri" w:hAnsi="Amiri" w:eastAsia="Amiri" w:cs="Amiri"/>
          <w:color w:val="111111"/>
          <w:sz w:val="28"/>
          <w:sz w:val="28"/>
          <w:szCs w:val="28"/>
          <w:rtl w:val="true"/>
          <w:lang w:bidi="ar-SA"/>
        </w:rPr>
        <w:t xml:space="preserve">، هُوَ اَلْأَوَّلُ </w:t>
      </w:r>
    </w:p>
    <w:p>
      <w:pPr>
        <w:pStyle w:val="BookText"/>
        <w:rPr/>
      </w:pPr>
      <w:r>
        <w:rPr>
          <w:rFonts w:ascii="Amiri" w:hAnsi="Amiri" w:eastAsia="Amiri" w:cs="Amiri"/>
          <w:color w:val="111111"/>
          <w:sz w:val="28"/>
          <w:sz w:val="28"/>
          <w:szCs w:val="28"/>
          <w:rtl w:val="true"/>
          <w:lang w:bidi="ar-SA"/>
        </w:rPr>
        <w:t xml:space="preserve">وَ اَلْآخِرُ </w:t>
      </w:r>
      <w:r>
        <w:rPr>
          <w:rStyle w:val="FootnoteAnchor"/>
          <w:rtl w:val="true"/>
        </w:rPr>
        <w:footnoteReference w:id="360"/>
      </w:r>
      <w:r>
        <w:rPr>
          <w:rFonts w:ascii="Amiri" w:hAnsi="Amiri" w:eastAsia="Amiri" w:cs="Amiri"/>
          <w:color w:val="111111"/>
          <w:sz w:val="28"/>
          <w:sz w:val="28"/>
          <w:szCs w:val="28"/>
          <w:rtl w:val="true"/>
          <w:lang w:bidi="ar-SA"/>
        </w:rPr>
        <w:t xml:space="preserve">، كَمٰا بَدَأْنٰا أَوَّلَ خَلْقٍ نُعِيدُهُ </w:t>
      </w:r>
      <w:r>
        <w:rPr>
          <w:rStyle w:val="FootnoteAnchor"/>
          <w:rtl w:val="true"/>
        </w:rPr>
        <w:footnoteReference w:id="361"/>
      </w:r>
      <w:r>
        <w:rPr>
          <w:rFonts w:ascii="Amiri" w:hAnsi="Amiri" w:eastAsia="Amiri" w:cs="Amiri"/>
          <w:color w:val="111111"/>
          <w:sz w:val="28"/>
          <w:sz w:val="28"/>
          <w:szCs w:val="28"/>
          <w:rtl w:val="true"/>
          <w:lang w:bidi="ar-SA"/>
        </w:rPr>
        <w:t>و لمّا كان الابتداء عن عدم فكذا الإعادة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يعدم بل يتفرق أجزاؤه؛ لأنّه</w:t>
      </w:r>
      <w:r>
        <w:rPr>
          <w:rStyle w:val="FootnoteAnchor"/>
          <w:rtl w:val="true"/>
        </w:rPr>
        <w:footnoteReference w:id="362"/>
      </w:r>
      <w:r>
        <w:rPr>
          <w:rFonts w:ascii="Amiri" w:hAnsi="Amiri" w:eastAsia="Amiri" w:cs="Amiri"/>
          <w:color w:val="111111"/>
          <w:sz w:val="28"/>
          <w:sz w:val="28"/>
          <w:szCs w:val="28"/>
          <w:rtl w:val="true"/>
          <w:lang w:bidi="ar-SA"/>
        </w:rPr>
        <w:t>لو عدم لم يعد، و 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الشّرطيّة، فلما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اللازم؛ فلأنّ المكلّف يستحقّ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يعد لزم الظلم، و للعلم الضّروريّ من دين محمّد صلّى اللّه عليه و آله و سلّم، و تواتر الآيات الدّالّة عليه</w:t>
      </w:r>
      <w:r>
        <w:rPr>
          <w:rFonts w:eastAsia="Amiri" w:cs="Amiri" w:ascii="Amiri" w:hAnsi="Amiri"/>
          <w:color w:val="111111"/>
          <w:sz w:val="28"/>
          <w:szCs w:val="28"/>
          <w:rtl w:val="true"/>
          <w:lang w:bidi="ar-SA"/>
        </w:rPr>
        <w:t xml:space="preserve">. </w:t>
      </w:r>
      <w:bookmarkStart w:id="470" w:name="pg9140_71307"/>
    </w:p>
    <w:p>
      <w:pPr>
        <w:pStyle w:val="Heading3"/>
        <w:numPr>
          <w:ilvl w:val="2"/>
          <w:numId w:val="1"/>
        </w:numPr>
        <w:rPr/>
      </w:pPr>
      <w:bookmarkStart w:id="471" w:name="__RefHeading___Toc3242433_2870459653"/>
      <w:bookmarkStart w:id="472" w:name="_Toc167"/>
      <w:bookmarkEnd w:id="470"/>
      <w:bookmarkEnd w:id="471"/>
      <w:r>
        <w:rPr>
          <w:rtl w:val="true"/>
        </w:rPr>
        <w:t>المطلب الثّالث في إمكان إعادة المعدوم</w:t>
      </w:r>
      <w:bookmarkEnd w:id="472"/>
    </w:p>
    <w:p>
      <w:pPr>
        <w:pStyle w:val="Heading4"/>
        <w:numPr>
          <w:ilvl w:val="3"/>
          <w:numId w:val="1"/>
        </w:numPr>
        <w:rPr/>
      </w:pPr>
      <w:bookmarkStart w:id="473" w:name="__RefHeading___Toc3242435_2870459653"/>
      <w:bookmarkStart w:id="474" w:name="_Toc168"/>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اختلف النّاس في ذلك، فذهب الجمهور إليه؛ لأنّ ماهيّته قابلة للوجود و العدم، فأمكن تعاقبهما</w:t>
      </w:r>
      <w:r>
        <w:rPr>
          <w:rStyle w:val="FootnoteAnchor"/>
          <w:rtl w:val="true"/>
        </w:rPr>
        <w:footnoteReference w:id="363"/>
      </w:r>
      <w:r>
        <w:rPr>
          <w:rFonts w:ascii="Amiri" w:hAnsi="Amiri" w:eastAsia="Amiri" w:cs="Amiri"/>
          <w:color w:val="111111"/>
          <w:sz w:val="28"/>
          <w:sz w:val="28"/>
          <w:szCs w:val="28"/>
          <w:rtl w:val="true"/>
          <w:lang w:bidi="ar-SA"/>
        </w:rPr>
        <w:t>عليه، و إلاّ لانقلب</w:t>
      </w:r>
      <w:r>
        <w:rPr>
          <w:rStyle w:val="FootnoteAnchor"/>
          <w:rtl w:val="true"/>
        </w:rPr>
        <w:footnoteReference w:id="364"/>
      </w:r>
      <w:r>
        <w:rPr>
          <w:rFonts w:ascii="Amiri" w:hAnsi="Amiri" w:eastAsia="Amiri" w:cs="Amiri"/>
          <w:color w:val="111111"/>
          <w:sz w:val="28"/>
          <w:sz w:val="28"/>
          <w:szCs w:val="28"/>
          <w:rtl w:val="true"/>
          <w:lang w:bidi="ar-SA"/>
        </w:rPr>
        <w:t>الإمكان الصّرف إلى أحد قسيميه، و 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الفلاسفة و أبو الحسين البصريّ و الكراميّة إلى امتناع إعادته لانّه نفي محض، فلا يصحّ الحكم عليه بصحّة العود، و لأنّه لو وجد لم يتميّز عن مثله، و لأنّه لو أعيد لأعيد وقته، فيكون مبتدأ معادا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3242437_2870459653"/>
      <w:bookmarkStart w:id="476" w:name="_Toc169"/>
      <w:bookmarkEnd w:id="475"/>
      <w:r>
        <w:rPr>
          <w:rtl w:val="true"/>
        </w:rPr>
        <w:t>و الجواب</w:t>
      </w:r>
      <w:r>
        <w:rPr>
          <w:rtl w:val="true"/>
        </w:rPr>
        <w:t>:</w:t>
      </w:r>
      <w:bookmarkEnd w:id="4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يصح الحكم عليه بامكان العود لامتنع الحكم عليه بامتناعه، و لأنّ الحكم يستدعي الثّبوت الذّهنيّ، و عدم الامتياز عندنا لا يقتضي عدمه في نفس الأمر، و يصحّ الحكم عليه بالإعادة و الابتداء باعتبارين</w:t>
      </w:r>
      <w:r>
        <w:rPr>
          <w:rFonts w:eastAsia="Amiri" w:cs="Amiri" w:ascii="Amiri" w:hAnsi="Amiri"/>
          <w:color w:val="111111"/>
          <w:sz w:val="28"/>
          <w:szCs w:val="28"/>
          <w:rtl w:val="true"/>
          <w:lang w:bidi="ar-SA"/>
        </w:rPr>
        <w:t xml:space="preserve">. </w:t>
      </w:r>
      <w:bookmarkStart w:id="477" w:name="pg9140_71308"/>
    </w:p>
    <w:p>
      <w:pPr>
        <w:pStyle w:val="Heading3"/>
        <w:numPr>
          <w:ilvl w:val="2"/>
          <w:numId w:val="1"/>
        </w:numPr>
        <w:rPr/>
      </w:pPr>
      <w:bookmarkStart w:id="478" w:name="__RefHeading___Toc3242439_2870459653"/>
      <w:bookmarkStart w:id="479" w:name="_Toc170"/>
      <w:bookmarkEnd w:id="477"/>
      <w:bookmarkEnd w:id="478"/>
      <w:r>
        <w:rPr>
          <w:rtl w:val="true"/>
        </w:rPr>
        <w:t>المطلب الرّابع في ثبوت المعاد</w:t>
      </w:r>
      <w:bookmarkEnd w:id="479"/>
    </w:p>
    <w:p>
      <w:pPr>
        <w:pStyle w:val="Heading4"/>
        <w:numPr>
          <w:ilvl w:val="3"/>
          <w:numId w:val="1"/>
        </w:numPr>
        <w:rPr/>
      </w:pPr>
      <w:bookmarkStart w:id="480" w:name="__RefHeading___Toc3242441_2870459653"/>
      <w:bookmarkStart w:id="481" w:name="_Toc171"/>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اتفق المسلمون كافّة على إثبات المعاد البدنيّ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جوّز إعادة المعدوم فظاهر؛ لأنّه ممكن،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منع من إعادة المعدوم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بمعنى جمع الأجزاء بعد تفريقها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نفسه ممكن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بالنّظر إلى القابل، فلأنّ الجسم قابل للأعراض القائمة به، و هذا القبول</w:t>
      </w:r>
      <w:r>
        <w:rPr>
          <w:rStyle w:val="FootnoteAnchor"/>
          <w:rtl w:val="true"/>
        </w:rPr>
        <w:footnoteReference w:id="365"/>
      </w:r>
      <w:r>
        <w:rPr>
          <w:rFonts w:ascii="Amiri" w:hAnsi="Amiri" w:eastAsia="Amiri" w:cs="Amiri"/>
          <w:color w:val="111111"/>
          <w:sz w:val="28"/>
          <w:sz w:val="28"/>
          <w:szCs w:val="28"/>
          <w:rtl w:val="true"/>
          <w:lang w:bidi="ar-SA"/>
        </w:rPr>
        <w:t xml:space="preserve">ذاتيّ؛ و أمّا بالنّظر إلى الفاعل، 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بكلّ المعلومات، فيعلم أجزاء كلّ شخص، و هو قادر على جميع المقدورات، فيجمع أجزاء كل بدن، و يخلق فيها</w:t>
      </w:r>
      <w:r>
        <w:rPr>
          <w:rStyle w:val="FootnoteAnchor"/>
          <w:rtl w:val="true"/>
        </w:rPr>
        <w:footnoteReference w:id="366"/>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الأوائل من المعاد البدنيّ، لأنّ حدوث المزاج يقتضي حدوث نفس، فيتعلق نفسان ببدن واحد، و لأنّ إنسانا لو أكل آخر ضاع أحدهما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ما تقدّم من المنع من وجود النّفس و من تعلّقها ببدن مستعدّ لنفس ثانية، و المأكول أجزاء فاضلة</w:t>
      </w:r>
      <w:r>
        <w:rPr>
          <w:rStyle w:val="FootnoteAnchor"/>
          <w:rtl w:val="true"/>
        </w:rPr>
        <w:footnoteReference w:id="367"/>
      </w:r>
      <w:r>
        <w:rPr>
          <w:rFonts w:ascii="Amiri" w:hAnsi="Amiri" w:eastAsia="Amiri" w:cs="Amiri"/>
          <w:color w:val="111111"/>
          <w:sz w:val="28"/>
          <w:sz w:val="28"/>
          <w:szCs w:val="28"/>
          <w:rtl w:val="true"/>
          <w:lang w:bidi="ar-SA"/>
        </w:rPr>
        <w:t>بالنّسبة إلى الآكل</w:t>
      </w:r>
      <w:r>
        <w:rPr>
          <w:rFonts w:eastAsia="Amiri" w:cs="Amiri" w:ascii="Amiri" w:hAnsi="Amiri"/>
          <w:color w:val="111111"/>
          <w:sz w:val="28"/>
          <w:szCs w:val="28"/>
          <w:rtl w:val="true"/>
          <w:lang w:bidi="ar-SA"/>
        </w:rPr>
        <w:t xml:space="preserve">. </w:t>
      </w:r>
      <w:bookmarkStart w:id="482" w:name="pg9140_71309"/>
    </w:p>
    <w:p>
      <w:pPr>
        <w:pStyle w:val="Heading4"/>
        <w:numPr>
          <w:ilvl w:val="3"/>
          <w:numId w:val="1"/>
        </w:numPr>
        <w:rPr/>
      </w:pPr>
      <w:bookmarkStart w:id="483" w:name="__RefHeading___Toc3242443_2870459653"/>
      <w:bookmarkStart w:id="484" w:name="_Toc172"/>
      <w:bookmarkEnd w:id="482"/>
      <w:bookmarkEnd w:id="483"/>
      <w:r>
        <w:rPr>
          <w:rtl w:val="true"/>
        </w:rPr>
        <w:t>تنبيه</w:t>
      </w:r>
      <w:bookmarkEnd w:id="484"/>
    </w:p>
    <w:p>
      <w:pPr>
        <w:pStyle w:val="BookText"/>
        <w:rPr/>
      </w:pPr>
      <w:r>
        <w:rPr>
          <w:rFonts w:ascii="Amiri" w:hAnsi="Amiri" w:eastAsia="Amiri" w:cs="Amiri"/>
          <w:color w:val="111111"/>
          <w:sz w:val="28"/>
          <w:sz w:val="28"/>
          <w:szCs w:val="28"/>
          <w:rtl w:val="true"/>
          <w:lang w:bidi="ar-SA"/>
        </w:rPr>
        <w:t xml:space="preserve">كلّ من له حقّ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غيره يجب إعادته للانتصاف منه، و قد أجمع المسلمون على إعادة الكفّار و أطفال المؤمنين و إن لم يستحقّوا عوضا و لا يستحقّ عليهم عوض</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242445_2870459653"/>
      <w:bookmarkStart w:id="486" w:name="_Toc173"/>
      <w:bookmarkEnd w:id="485"/>
      <w:r>
        <w:rPr>
          <w:rtl w:val="true"/>
        </w:rPr>
        <w:t>تذنيب</w:t>
      </w:r>
      <w:bookmarkEnd w:id="4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سائر السّمعيات من عذاب القبر، و الصّراط، و الميزان، و تطاير الكتب، و إنطاق الجوارح، و أحوال الجنّة و النّار، امور ممكنة، و قد أخبر الصّادق بوقوعها، فتقع</w:t>
      </w:r>
      <w:r>
        <w:rPr>
          <w:rFonts w:eastAsia="Amiri" w:cs="Amiri" w:ascii="Amiri" w:hAnsi="Amiri"/>
          <w:color w:val="111111"/>
          <w:sz w:val="28"/>
          <w:szCs w:val="28"/>
          <w:rtl w:val="true"/>
          <w:lang w:bidi="ar-SA"/>
        </w:rPr>
        <w:t xml:space="preserve">. </w:t>
      </w:r>
      <w:bookmarkStart w:id="487" w:name="pg9140_71310"/>
    </w:p>
    <w:p>
      <w:pPr>
        <w:pStyle w:val="Heading3"/>
        <w:numPr>
          <w:ilvl w:val="2"/>
          <w:numId w:val="1"/>
        </w:numPr>
        <w:rPr/>
      </w:pPr>
      <w:bookmarkStart w:id="488" w:name="__RefHeading___Toc3242447_2870459653"/>
      <w:bookmarkStart w:id="489" w:name="_Toc174"/>
      <w:bookmarkEnd w:id="487"/>
      <w:bookmarkEnd w:id="488"/>
      <w:r>
        <w:rPr>
          <w:rtl w:val="true"/>
        </w:rPr>
        <w:t>المطلب الخامس في الوعد و الوعيد</w:t>
      </w:r>
      <w:bookmarkEnd w:id="489"/>
    </w:p>
    <w:p>
      <w:pPr>
        <w:pStyle w:val="Heading4"/>
        <w:numPr>
          <w:ilvl w:val="3"/>
          <w:numId w:val="1"/>
        </w:numPr>
        <w:rPr/>
      </w:pPr>
      <w:bookmarkStart w:id="490" w:name="__RefHeading___Toc3242449_2870459653"/>
      <w:bookmarkStart w:id="491" w:name="_Toc175"/>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اتّفق أهل العدل إلاّ الكعبيّ على أنّ المطيع يستحقّ بطاعته الثّواب، خلافا للأشعريّة، و إلاّ لكان التّكليف قبيحا، لما مرّ</w:t>
      </w:r>
      <w:r>
        <w:rPr>
          <w:rStyle w:val="FootnoteAnchor"/>
          <w:rtl w:val="true"/>
        </w:rPr>
        <w:footnoteReference w:id="368"/>
      </w:r>
      <w:r>
        <w:rPr>
          <w:rFonts w:ascii="Amiri" w:hAnsi="Amiri" w:eastAsia="Amiri" w:cs="Amiri"/>
          <w:color w:val="111111"/>
          <w:sz w:val="28"/>
          <w:sz w:val="28"/>
          <w:szCs w:val="28"/>
          <w:rtl w:val="true"/>
          <w:lang w:bidi="ar-SA"/>
        </w:rPr>
        <w:t>من المشقّة 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العوض إن صحّ الابتداء بمثله كان التّكليف عبثا، فهو ممّا لا يصحّ الابتداء به، و هو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الطاعة لو أوجبت الثّواب لأثيب المرتدّ لو</w:t>
      </w:r>
      <w:r>
        <w:rPr>
          <w:rStyle w:val="FootnoteAnchor"/>
          <w:rtl w:val="true"/>
        </w:rPr>
        <w:footnoteReference w:id="369"/>
      </w:r>
      <w:r>
        <w:rPr>
          <w:rFonts w:ascii="Amiri" w:hAnsi="Amiri" w:eastAsia="Amiri" w:cs="Amiri"/>
          <w:color w:val="111111"/>
          <w:sz w:val="28"/>
          <w:sz w:val="28"/>
          <w:szCs w:val="28"/>
          <w:rtl w:val="true"/>
          <w:lang w:bidi="ar-SA"/>
        </w:rPr>
        <w:t>مات على ردّته ثواب المؤمن، و التّالي باطل إجماعا،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بإيمانه يستحقّ الثّواب، فلا بدّ من إيصاله إليه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3242451_2870459653"/>
      <w:bookmarkStart w:id="493" w:name="_Toc176"/>
      <w:bookmarkEnd w:id="492"/>
      <w:r>
        <w:rPr>
          <w:rtl w:val="true"/>
        </w:rPr>
        <w:t>و الجواب</w:t>
      </w:r>
      <w:r>
        <w:rPr>
          <w:rtl w:val="true"/>
        </w:rPr>
        <w:t>:</w:t>
      </w:r>
      <w:bookmarkEnd w:id="4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استحقاق الثّواب يتوقّف على الموافاة، و اتّفق أهل العدل على أنّ العاصي يستحقّ بمعصيته العقاب، خلافا للأشعريّة، فعند المرجئة و بعض الإماميّة أنّ العلم به مستفاد من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المعتزلة و بعض الإماميّة أنّه مستفاد من العقل، لما فيه من اللّطف، لأنّ العلم بالعقاب </w:t>
      </w:r>
      <w:bookmarkStart w:id="494" w:name="pg9140_71311"/>
    </w:p>
    <w:p>
      <w:pPr>
        <w:pStyle w:val="BookText"/>
        <w:rPr/>
      </w:pPr>
      <w:bookmarkEnd w:id="494"/>
      <w:r>
        <w:rPr>
          <w:rFonts w:ascii="Amiri" w:hAnsi="Amiri" w:eastAsia="Amiri" w:cs="Amiri"/>
          <w:color w:val="111111"/>
          <w:sz w:val="28"/>
          <w:sz w:val="28"/>
          <w:szCs w:val="28"/>
          <w:rtl w:val="true"/>
          <w:lang w:bidi="ar-SA"/>
        </w:rPr>
        <w:t xml:space="preserve">على ترك الطاعة و فعل المعصية يقرّب إلى فعل الطاعة و ترك المعصية، فلا بدّ من العلم بالعقاب؛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أفعالا فإمّا لما فيها من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باطل بالنّوافل أو لما في تركها من الضّرر، و هو المطلوب</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3242453_2870459653"/>
      <w:bookmarkStart w:id="496" w:name="_Toc177"/>
      <w:bookmarkEnd w:id="495"/>
      <w:r>
        <w:rPr>
          <w:rtl w:val="true"/>
        </w:rPr>
        <w:t>فائدة</w:t>
      </w:r>
      <w:bookmarkEnd w:id="496"/>
    </w:p>
    <w:p>
      <w:pPr>
        <w:pStyle w:val="BookText"/>
        <w:rPr/>
      </w:pPr>
      <w:r>
        <w:rPr>
          <w:rFonts w:ascii="Amiri" w:hAnsi="Amiri" w:eastAsia="Amiri" w:cs="Amiri"/>
          <w:color w:val="111111"/>
          <w:sz w:val="28"/>
          <w:sz w:val="28"/>
          <w:szCs w:val="28"/>
          <w:rtl w:val="true"/>
          <w:lang w:bidi="ar-SA"/>
        </w:rPr>
        <w:t>ذهبت المعتزلة و من وافقها من الاماميّة إلى أنّ العلم بدوام الثّواب و العقاب عقليّ، لأنّ المكلّف معه يكون أقرب إلى فعل الطاعة و ترك القبيح، فيكون أدخل في باب اللّطف، فيكون أدخل في باب الوجوب، و لأنّ المقتضي للثّواب و العقاب و المدح و الذّمّ هو الطاعة و المعصية، فلمّا كان المدح و الذّمّ دائمين وجب دوام الآخرين، لاستلزام دوام المعلول دوام علّتها المستلزم لدوام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المرجئة و من وافقها من الإماميّة إلى أنّه سمعيّ</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242455_2870459653"/>
      <w:bookmarkStart w:id="498" w:name="_Toc178"/>
      <w:bookmarkEnd w:id="497"/>
      <w:r>
        <w:rPr>
          <w:rtl w:val="true"/>
        </w:rPr>
        <w:t>تنبيه</w:t>
      </w:r>
      <w:bookmarkEnd w:id="498"/>
    </w:p>
    <w:p>
      <w:pPr>
        <w:pStyle w:val="BookText"/>
        <w:rPr/>
      </w:pPr>
      <w:r>
        <w:rPr>
          <w:rFonts w:ascii="Amiri" w:hAnsi="Amiri" w:eastAsia="Amiri" w:cs="Amiri"/>
          <w:color w:val="111111"/>
          <w:sz w:val="28"/>
          <w:sz w:val="28"/>
          <w:szCs w:val="28"/>
          <w:rtl w:val="true"/>
          <w:lang w:bidi="ar-SA"/>
        </w:rPr>
        <w:t>يجوز توقّف الثّواب على شرط، و إلاّ لكان من عرف اللّه تعالى، و لم ينظر في امر النبيّ فلم يعرفه، مستحقّا للثّواب، و التّالي باطل إجماعا، فالمقدّم مثله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مستقلّة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الاستحقاق مشروطا لزم إثابة المكذّب للنّبيّ، و هو باطل</w:t>
      </w:r>
      <w:r>
        <w:rPr>
          <w:rFonts w:eastAsia="Amiri" w:cs="Amiri" w:ascii="Amiri" w:hAnsi="Amiri"/>
          <w:color w:val="111111"/>
          <w:sz w:val="28"/>
          <w:szCs w:val="28"/>
          <w:rtl w:val="true"/>
          <w:lang w:bidi="ar-SA"/>
        </w:rPr>
        <w:t xml:space="preserve">. </w:t>
      </w:r>
      <w:bookmarkStart w:id="499" w:name="pg9140_71312"/>
    </w:p>
    <w:p>
      <w:pPr>
        <w:pStyle w:val="Heading4"/>
        <w:numPr>
          <w:ilvl w:val="3"/>
          <w:numId w:val="1"/>
        </w:numPr>
        <w:rPr/>
      </w:pPr>
      <w:bookmarkStart w:id="500" w:name="__RefHeading___Toc3242457_2870459653"/>
      <w:bookmarkStart w:id="501" w:name="_Toc179"/>
      <w:bookmarkEnd w:id="499"/>
      <w:bookmarkEnd w:id="500"/>
      <w:r>
        <w:rPr>
          <w:rtl w:val="true"/>
        </w:rPr>
        <w:t>تذنيب</w:t>
      </w:r>
      <w:bookmarkEnd w:id="501"/>
    </w:p>
    <w:p>
      <w:pPr>
        <w:pStyle w:val="BookText"/>
        <w:rPr/>
      </w:pPr>
      <w:r>
        <w:rPr>
          <w:rFonts w:ascii="Amiri" w:hAnsi="Amiri" w:eastAsia="Amiri" w:cs="Amiri"/>
          <w:color w:val="111111"/>
          <w:sz w:val="28"/>
          <w:sz w:val="28"/>
          <w:szCs w:val="28"/>
          <w:rtl w:val="true"/>
          <w:lang w:bidi="ar-SA"/>
        </w:rPr>
        <w:t>استحقاق الثّواب مشروط بالموافاة أو ساقط بالعقاب، لقوله تعالى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أَشْرَكْتَ لَيَحْبَطَنَّ عَمَلُكَ ،</w:t>
      </w:r>
      <w:r>
        <w:rPr>
          <w:rStyle w:val="FootnoteAnchor"/>
          <w:rtl w:val="true"/>
        </w:rPr>
        <w:footnoteReference w:id="370"/>
      </w:r>
      <w:r>
        <w:rPr>
          <w:rFonts w:ascii="Amiri" w:hAnsi="Amiri" w:eastAsia="Amiri" w:cs="Amiri"/>
          <w:color w:val="111111"/>
          <w:sz w:val="28"/>
          <w:sz w:val="28"/>
          <w:szCs w:val="28"/>
          <w:rtl w:val="true"/>
          <w:lang w:bidi="ar-SA"/>
        </w:rPr>
        <w:t>و ليس لأنّ العمل وقع باطلا لتعليق البطلان بالشّرك، فإن كان الاستحقاق ثابتا كان معنى البطلان سقوط الثّواب المستحقّ بالشّرك المتجدّد، و إن لم يكن كان معنى بطلان العمل عدم الاتيان بشرط الاستحقاق الّذي هو الموافاة، فلم يستحقّ الثّواب، فيكون العمل باطلا</w:t>
      </w:r>
      <w:r>
        <w:rPr>
          <w:rFonts w:eastAsia="Amiri" w:cs="Amiri" w:ascii="Amiri" w:hAnsi="Amiri"/>
          <w:color w:val="111111"/>
          <w:sz w:val="28"/>
          <w:szCs w:val="28"/>
          <w:rtl w:val="true"/>
          <w:lang w:bidi="ar-SA"/>
        </w:rPr>
        <w:t xml:space="preserve">. </w:t>
      </w:r>
      <w:bookmarkStart w:id="502" w:name="pg9140_71313"/>
    </w:p>
    <w:p>
      <w:pPr>
        <w:pStyle w:val="Heading3"/>
        <w:numPr>
          <w:ilvl w:val="2"/>
          <w:numId w:val="1"/>
        </w:numPr>
        <w:rPr/>
      </w:pPr>
      <w:bookmarkStart w:id="503" w:name="__RefHeading___Toc3242459_2870459653"/>
      <w:bookmarkStart w:id="504" w:name="_Toc180"/>
      <w:bookmarkEnd w:id="502"/>
      <w:bookmarkEnd w:id="503"/>
      <w:r>
        <w:rPr>
          <w:rtl w:val="true"/>
        </w:rPr>
        <w:t>المطلب السّادس في الإحباط و التكفير</w:t>
      </w:r>
      <w:bookmarkEnd w:id="504"/>
    </w:p>
    <w:p>
      <w:pPr>
        <w:pStyle w:val="BookText"/>
        <w:rPr/>
      </w:pPr>
      <w:r>
        <w:rPr>
          <w:rFonts w:ascii="Amiri" w:hAnsi="Amiri" w:eastAsia="Amiri" w:cs="Amiri"/>
          <w:color w:val="111111"/>
          <w:sz w:val="28"/>
          <w:sz w:val="28"/>
          <w:szCs w:val="28"/>
          <w:rtl w:val="true"/>
          <w:lang w:bidi="ar-SA"/>
        </w:rPr>
        <w:t>ذهبت الإماميّة و الأشعريّة و المرجئة إلى نفيهما؛ لأنّ الثّواب و العقاب إن لم يتنافيا فالمطلوب، و إن تنافيا لم يكن الطارئ بإزالة الباقي أولى من منع الباقي الطارئ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الطارئ إن اعتبر فيه الزّيادة، كما يقوله أبو هاشم في الموازنة، فإن لم يسقط النّاقص منه شيئا كان وجود النّاقص و عدمه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w:t>
      </w:r>
      <w:r>
        <w:rPr>
          <w:rStyle w:val="FootnoteAnchor"/>
          <w:rtl w:val="true"/>
        </w:rPr>
        <w:footnoteReference w:id="371"/>
      </w:r>
      <w:r>
        <w:rPr>
          <w:rFonts w:ascii="Amiri" w:hAnsi="Amiri" w:eastAsia="Amiri" w:cs="Amiri"/>
          <w:color w:val="111111"/>
          <w:sz w:val="28"/>
          <w:sz w:val="28"/>
          <w:szCs w:val="28"/>
          <w:rtl w:val="true"/>
          <w:lang w:bidi="ar-SA"/>
        </w:rPr>
        <w:t>و إن سقط بإزائه لم يكن بعض الآحاد أولى بالسّقوط، و إن سقط الجميع لزم خلاف الموازنة، و إن لم يعتبر فيه الزّيادة، بل يكفي في كونه نافيا تأخّره، سواء زاد أو نقص، لزم أن يكون من عبد اللّه</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عمره ثمّ عزم في آخره على معصية، مساويا لمن لم يعبد البتة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ذهبت المعتزلة إلى إثباتهما؛ لأنّ كلّ واحد من الثّواب و العقاب لو لم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يحبط الآخر عند زيادته أو تأخّره لوصلا إلى المكلّف، لبقاء الاستحقاق، و لا يمكن الجمع، فإنّ شرط الثواب خلوصه من الشّوائب،</w:t>
      </w:r>
      <w:r>
        <w:rPr>
          <w:rStyle w:val="FootnoteAnchor"/>
          <w:rtl w:val="true"/>
        </w:rPr>
        <w:footnoteReference w:id="373"/>
      </w:r>
      <w:r>
        <w:rPr>
          <w:rFonts w:ascii="Amiri" w:hAnsi="Amiri" w:eastAsia="Amiri" w:cs="Amiri"/>
          <w:color w:val="111111"/>
          <w:sz w:val="28"/>
          <w:sz w:val="28"/>
          <w:szCs w:val="28"/>
          <w:rtl w:val="true"/>
          <w:lang w:bidi="ar-SA"/>
        </w:rPr>
        <w:t>و مقارنة التّعظيم و الإجلال له، و لا سبق أحدهما لوجوب دوامهما، و هو ممنوع لما يأتي</w:t>
      </w:r>
      <w:r>
        <w:rPr>
          <w:rFonts w:eastAsia="Amiri" w:cs="Amiri" w:ascii="Amiri" w:hAnsi="Amiri"/>
          <w:color w:val="111111"/>
          <w:sz w:val="28"/>
          <w:szCs w:val="28"/>
          <w:rtl w:val="true"/>
          <w:lang w:bidi="ar-SA"/>
        </w:rPr>
        <w:t xml:space="preserve">. </w:t>
      </w:r>
      <w:bookmarkStart w:id="505" w:name="pg9140_71315"/>
    </w:p>
    <w:p>
      <w:pPr>
        <w:pStyle w:val="Heading3"/>
        <w:numPr>
          <w:ilvl w:val="2"/>
          <w:numId w:val="1"/>
        </w:numPr>
        <w:rPr/>
      </w:pPr>
      <w:bookmarkStart w:id="506" w:name="__RefHeading___Toc3242461_2870459653"/>
      <w:bookmarkStart w:id="507" w:name="_Toc181"/>
      <w:bookmarkEnd w:id="505"/>
      <w:bookmarkEnd w:id="506"/>
      <w:r>
        <w:rPr>
          <w:rtl w:val="true"/>
        </w:rPr>
        <w:t>المطلب السّابع في التّوبة</w:t>
      </w:r>
      <w:bookmarkEnd w:id="507"/>
    </w:p>
    <w:p>
      <w:pPr>
        <w:pStyle w:val="Heading4"/>
        <w:numPr>
          <w:ilvl w:val="3"/>
          <w:numId w:val="1"/>
        </w:numPr>
        <w:rPr/>
      </w:pPr>
      <w:bookmarkStart w:id="508" w:name="__RefHeading___Toc3242463_2870459653"/>
      <w:bookmarkStart w:id="509" w:name="_Toc182"/>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قالت البهشميّة إنّها النّدم على المعصية و العزم على ترك المعاودة، و لم يجعل الخوارزميّ الأخير شرطا و لا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واجبة، لأنّها دافعة لضرر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من فعل قبيح تتضمّن إيصال ضرر إلى الغير، كالظلم و القذف، لم تصحّ إلاّ بعد الخروج إلى المظلوم أو ورثته من حقّه إن أمكن و العزم على الأداء إن لم يكن؛ و إن كان إضلالا لم يصحّ إلاّ بعد أن يبيّن للضّال بطلان قوله و رجوعه منه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تتضمّن إيصال ضرر إلى الغير، كالزّنا و شرب الخمر، كفى النّدم و العزم على ترك المعاودة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من إخلال بواجب يمكن فعله في كلّ وقت، كالزّكاة، لم يصحّ إلاّ بعد أدائه إن أمكن، و إن اختصّ بوقت، كالصّلاة، افتقر إلى الاشتغال في القضاء إن أمكن</w:t>
      </w:r>
      <w:r>
        <w:rPr>
          <w:rFonts w:eastAsia="Amiri" w:cs="Amiri" w:ascii="Amiri" w:hAnsi="Amiri"/>
          <w:color w:val="111111"/>
          <w:sz w:val="28"/>
          <w:szCs w:val="28"/>
          <w:rtl w:val="true"/>
          <w:lang w:bidi="ar-SA"/>
        </w:rPr>
        <w:t xml:space="preserve">. </w:t>
      </w:r>
      <w:bookmarkStart w:id="510" w:name="pg9140_71316"/>
    </w:p>
    <w:p>
      <w:pPr>
        <w:pStyle w:val="Heading4"/>
        <w:numPr>
          <w:ilvl w:val="3"/>
          <w:numId w:val="1"/>
        </w:numPr>
        <w:rPr/>
      </w:pPr>
      <w:bookmarkStart w:id="511" w:name="__RefHeading___Toc3242465_2870459653"/>
      <w:bookmarkStart w:id="512" w:name="_Toc183"/>
      <w:bookmarkEnd w:id="510"/>
      <w:bookmarkEnd w:id="511"/>
      <w:r>
        <w:rPr>
          <w:rtl w:val="true"/>
        </w:rPr>
        <w:t>تنبيه</w:t>
      </w:r>
      <w:bookmarkEnd w:id="512"/>
    </w:p>
    <w:p>
      <w:pPr>
        <w:pStyle w:val="BookText"/>
        <w:rPr/>
      </w:pPr>
      <w:r>
        <w:rPr>
          <w:rFonts w:ascii="Amiri" w:hAnsi="Amiri" w:eastAsia="Amiri" w:cs="Amiri"/>
          <w:color w:val="111111"/>
          <w:sz w:val="28"/>
          <w:sz w:val="28"/>
          <w:szCs w:val="28"/>
          <w:rtl w:val="true"/>
          <w:lang w:bidi="ar-SA"/>
        </w:rPr>
        <w:t>ذهبت المعتزلة إلى وجوب سقوط العقاب عندها، و إلاّ لقبح تكليف العاصي بعد عصيانه، إذ لم يبق له طريق إلى الخروج من العقاب، فلم يبق له طريق إلى الثّواب، و هو مبنيّ على دوام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المرجئة إلى أنّه تفضّل، و إلاّ لوجب قبول عذر من أساء إلينا بأعظم الإساءة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242467_2870459653"/>
      <w:bookmarkStart w:id="514" w:name="_Toc184"/>
      <w:bookmarkEnd w:id="513"/>
      <w:r>
        <w:rPr>
          <w:rtl w:val="true"/>
        </w:rPr>
        <w:t>تذنيب</w:t>
      </w:r>
      <w:bookmarkEnd w:id="514"/>
    </w:p>
    <w:p>
      <w:pPr>
        <w:pStyle w:val="BookText"/>
        <w:rPr/>
      </w:pPr>
      <w:r>
        <w:rPr>
          <w:rFonts w:ascii="Amiri" w:hAnsi="Amiri" w:eastAsia="Amiri" w:cs="Amiri"/>
          <w:color w:val="111111"/>
          <w:sz w:val="28"/>
          <w:sz w:val="28"/>
          <w:szCs w:val="28"/>
          <w:rtl w:val="true"/>
          <w:lang w:bidi="ar-SA"/>
        </w:rPr>
        <w:t>ذهب أبو هاشم إلى أنّها لا تصحّ من قبيح دون آخر، لأن التّوبة من القبيح يجب أن تكون لقبحه، و إلاّ لم تكن توبة مقبولة أو لم تكن مقبولة، و القبح حاصل في الجميع، فلو تاب من بعضه لكشف غيره أنّ توبته لا للقبح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 إلاّ لما صحّ الإتيان بواجب دون واجب؛ لأنّ التّوبة كما يجب من القبيح لقبحه، كذا فعل الواجب إنّما يجب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اقتضى الاشتراك في الأوّل المنع من التّخصيص فكذا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ظاهر بين الفعل و التّرك</w:t>
      </w:r>
      <w:r>
        <w:rPr>
          <w:rFonts w:eastAsia="Amiri" w:cs="Amiri" w:ascii="Amiri" w:hAnsi="Amiri"/>
          <w:color w:val="111111"/>
          <w:sz w:val="28"/>
          <w:szCs w:val="28"/>
          <w:rtl w:val="true"/>
          <w:lang w:bidi="ar-SA"/>
        </w:rPr>
        <w:t xml:space="preserve">. </w:t>
      </w:r>
      <w:bookmarkStart w:id="515" w:name="pg9140_71317"/>
    </w:p>
    <w:p>
      <w:pPr>
        <w:pStyle w:val="Heading3"/>
        <w:numPr>
          <w:ilvl w:val="2"/>
          <w:numId w:val="1"/>
        </w:numPr>
        <w:rPr/>
      </w:pPr>
      <w:bookmarkStart w:id="516" w:name="__RefHeading___Toc3242469_2870459653"/>
      <w:bookmarkStart w:id="517" w:name="_Toc185"/>
      <w:bookmarkEnd w:id="515"/>
      <w:bookmarkEnd w:id="516"/>
      <w:r>
        <w:rPr>
          <w:rtl w:val="true"/>
        </w:rPr>
        <w:t>المطلب الثّامن في جواز العفو</w:t>
      </w:r>
      <w:bookmarkEnd w:id="517"/>
    </w:p>
    <w:p>
      <w:pPr>
        <w:pStyle w:val="BookText"/>
        <w:rPr/>
      </w:pPr>
      <w:r>
        <w:rPr>
          <w:rFonts w:ascii="Amiri" w:hAnsi="Amiri" w:eastAsia="Amiri" w:cs="Amiri"/>
          <w:color w:val="111111"/>
          <w:sz w:val="28"/>
          <w:sz w:val="28"/>
          <w:szCs w:val="28"/>
          <w:rtl w:val="true"/>
          <w:lang w:bidi="ar-SA"/>
        </w:rPr>
        <w:t>منع المعتزلة منه سمعا، فالبصريّون على جوازه عقلا، و البغداديّون على منعه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جوازه سمعا و عقلا، لأنّه إحسان، فيكون حسنا و لأنّه حقّ اللّه تعالى، فجاز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مَغْفِرَةٍ لِلنّٰاسِ عَلىٰ ظُلْمِهِمْ </w:t>
      </w:r>
      <w:r>
        <w:rPr>
          <w:rStyle w:val="FootnoteAnchor"/>
          <w:rtl w:val="true"/>
        </w:rPr>
        <w:footnoteReference w:id="37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375"/>
      </w:r>
      <w:r>
        <w:rPr>
          <w:rFonts w:ascii="Amiri" w:hAnsi="Amiri" w:eastAsia="Amiri" w:cs="Amiri"/>
          <w:color w:val="111111"/>
          <w:sz w:val="28"/>
          <w:sz w:val="28"/>
          <w:szCs w:val="28"/>
          <w:rtl w:val="true"/>
          <w:lang w:bidi="ar-SA"/>
        </w:rPr>
        <w:t>و للإجماع على ثبوت الشّفاعة للنبيّ صلّى اللّه عليه و آله و سلّم، و ليست في زيادة المنافع، و إلاّ لكنّا شافعين في النبيّ صلّى اللّه عليه و آله و سلّم، فهي من</w:t>
      </w:r>
      <w:r>
        <w:rPr>
          <w:rStyle w:val="FootnoteAnchor"/>
          <w:rtl w:val="true"/>
        </w:rPr>
        <w:footnoteReference w:id="376"/>
      </w:r>
      <w:r>
        <w:rPr>
          <w:rFonts w:ascii="IRNazanin" w:hAnsi="IRNazanin" w:eastAsia="IRNazanin"/>
          <w:color w:val="111111"/>
          <w:sz w:val="28"/>
          <w:sz w:val="28"/>
          <w:szCs w:val="28"/>
          <w:rtl w:val="true"/>
          <w:lang w:bidi="fa-IR"/>
        </w:rPr>
        <w:t>إسقاط المضارّ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نفي شفيع يطاع لا يستلزم نفي مطلق الشّفيع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إغراء بالقبيح، فإنّ العاقل متى علم العفو أقدم، و لاستلزامه الكذب في آيات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ينتقض الأوّل بسقوط العقاب بالتّوبة، و تجويز عدمها كتجويز عدم العفو، و آيات الوعيد مشروطة بعدم العفو</w:t>
      </w:r>
      <w:r>
        <w:rPr>
          <w:rFonts w:eastAsia="Amiri" w:cs="Amiri" w:ascii="Amiri" w:hAnsi="Amiri"/>
          <w:color w:val="111111"/>
          <w:sz w:val="28"/>
          <w:szCs w:val="28"/>
          <w:rtl w:val="true"/>
          <w:lang w:bidi="ar-SA"/>
        </w:rPr>
        <w:t xml:space="preserve">. </w:t>
      </w:r>
      <w:bookmarkStart w:id="518" w:name="pg9140_71318"/>
    </w:p>
    <w:p>
      <w:pPr>
        <w:pStyle w:val="Heading3"/>
        <w:numPr>
          <w:ilvl w:val="2"/>
          <w:numId w:val="1"/>
        </w:numPr>
        <w:rPr/>
      </w:pPr>
      <w:bookmarkStart w:id="519" w:name="__RefHeading___Toc3242471_2870459653"/>
      <w:bookmarkStart w:id="520" w:name="_Toc186"/>
      <w:bookmarkEnd w:id="518"/>
      <w:bookmarkEnd w:id="519"/>
      <w:r>
        <w:rPr>
          <w:rtl w:val="true"/>
        </w:rPr>
        <w:t>المطلب التّاسع في أنّ عذاب الفاسق منقطع</w:t>
      </w:r>
      <w:bookmarkEnd w:id="520"/>
    </w:p>
    <w:p>
      <w:pPr>
        <w:pStyle w:val="BookText"/>
        <w:rPr/>
      </w:pPr>
      <w:r>
        <w:rPr>
          <w:rFonts w:ascii="Amiri" w:hAnsi="Amiri" w:eastAsia="Amiri" w:cs="Amiri"/>
          <w:color w:val="111111"/>
          <w:sz w:val="28"/>
          <w:sz w:val="28"/>
          <w:szCs w:val="28"/>
          <w:rtl w:val="true"/>
          <w:lang w:bidi="ar-SA"/>
        </w:rPr>
        <w:t>خلافا للوعيديّة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Style w:val="FootnoteAnchor"/>
          <w:rtl w:val="true"/>
        </w:rPr>
        <w:footnoteReference w:id="377"/>
      </w:r>
      <w:r>
        <w:rPr>
          <w:rFonts w:ascii="Amiri" w:hAnsi="Amiri" w:eastAsia="Amiri" w:cs="Amiri"/>
          <w:color w:val="111111"/>
          <w:sz w:val="28"/>
          <w:sz w:val="28"/>
          <w:szCs w:val="28"/>
          <w:rtl w:val="true"/>
          <w:lang w:bidi="ar-SA"/>
        </w:rPr>
        <w:t>، و هو مستحقّ للثّواب بإيمانه، فلا بدّ من إيصاله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يكون قبل العقاب إجماعا، و لعدم خلوصه من الشّوائب، فيتعيّن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بالآيات الدّالّة على الخلود،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يَخْلُدْ فِيهِ مُهٰاناً </w:t>
      </w:r>
      <w:r>
        <w:rPr>
          <w:rStyle w:val="FootnoteAnchor"/>
          <w:rtl w:val="true"/>
        </w:rPr>
        <w:footnoteReference w:id="378"/>
      </w:r>
      <w:r>
        <w:rPr>
          <w:rFonts w:ascii="Amiri" w:hAnsi="Amiri" w:eastAsia="Amiri" w:cs="Amiri"/>
          <w:color w:val="111111"/>
          <w:sz w:val="28"/>
          <w:sz w:val="28"/>
          <w:szCs w:val="28"/>
          <w:rtl w:val="true"/>
          <w:lang w:bidi="ar-SA"/>
        </w:rPr>
        <w:t xml:space="preserve">وَ مَنْ يَقْتُلْ مُؤْمِناً مُتَعَمِّداً فَجَزٰاؤُهُ جَهَنَّمُ خٰالِداً فِيهٰا </w:t>
      </w:r>
      <w:r>
        <w:rPr>
          <w:rStyle w:val="FootnoteAnchor"/>
          <w:rtl w:val="true"/>
        </w:rPr>
        <w:footnoteReference w:id="37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يخصّ بالكفّار أوان الخلود للزمان المتطاول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الكفّار،</w:t>
      </w:r>
      <w:r>
        <w:rPr>
          <w:rStyle w:val="FootnoteAnchor"/>
          <w:rtl w:val="true"/>
        </w:rPr>
        <w:footnoteReference w:id="380"/>
      </w:r>
      <w:r>
        <w:rPr>
          <w:rFonts w:ascii="Amiri" w:hAnsi="Amiri" w:eastAsia="Amiri" w:cs="Amiri"/>
          <w:color w:val="111111"/>
          <w:sz w:val="28"/>
          <w:sz w:val="28"/>
          <w:szCs w:val="28"/>
          <w:rtl w:val="true"/>
          <w:lang w:bidi="ar-SA"/>
        </w:rPr>
        <w:t>فقد أجمع المسلمون كافّة على خلودهم في النّار</w:t>
      </w:r>
      <w:r>
        <w:rPr>
          <w:rFonts w:eastAsia="Amiri" w:cs="Amiri" w:ascii="Amiri" w:hAnsi="Amiri"/>
          <w:color w:val="111111"/>
          <w:sz w:val="28"/>
          <w:szCs w:val="28"/>
          <w:rtl w:val="true"/>
          <w:lang w:bidi="ar-SA"/>
        </w:rPr>
        <w:t xml:space="preserve">. </w:t>
      </w:r>
      <w:bookmarkStart w:id="521" w:name="pg9140_71319"/>
    </w:p>
    <w:p>
      <w:pPr>
        <w:pStyle w:val="Heading3"/>
        <w:numPr>
          <w:ilvl w:val="2"/>
          <w:numId w:val="1"/>
        </w:numPr>
        <w:rPr/>
      </w:pPr>
      <w:bookmarkStart w:id="522" w:name="__RefHeading___Toc3242473_2870459653"/>
      <w:bookmarkStart w:id="523" w:name="_Toc187"/>
      <w:bookmarkEnd w:id="521"/>
      <w:bookmarkEnd w:id="522"/>
      <w:r>
        <w:rPr>
          <w:rtl w:val="true"/>
        </w:rPr>
        <w:t>المطلب العاشر في الأسماء و الأحكام</w:t>
      </w:r>
      <w:bookmarkEnd w:id="523"/>
    </w:p>
    <w:p>
      <w:pPr>
        <w:pStyle w:val="BookText"/>
        <w:rPr/>
      </w:pPr>
      <w:r>
        <w:rPr>
          <w:rFonts w:ascii="Amiri" w:hAnsi="Amiri" w:eastAsia="Amiri" w:cs="Amiri"/>
          <w:color w:val="111111"/>
          <w:sz w:val="28"/>
          <w:sz w:val="28"/>
          <w:szCs w:val="28"/>
          <w:rtl w:val="true"/>
          <w:lang w:bidi="ar-SA"/>
        </w:rPr>
        <w:t>الإيمان لغة التّصديق، و شرعا تصديق الرّسول صلّى اللّه عليه و آله و سلّم في كلّ ما علم مجيئه به ضرورة، و لا يكفي التّصديق بالقلب عن التّصديق باللّسان و بالعكس،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Style w:val="FootnoteAnchor"/>
          <w:rtl w:val="true"/>
        </w:rPr>
        <w:footnoteReference w:id="381"/>
      </w:r>
      <w:r>
        <w:rPr>
          <w:rFonts w:ascii="Amiri" w:hAnsi="Amiri" w:eastAsia="Amiri" w:cs="Amiri"/>
          <w:color w:val="111111"/>
          <w:sz w:val="28"/>
          <w:sz w:val="28"/>
          <w:szCs w:val="28"/>
          <w:rtl w:val="true"/>
          <w:lang w:bidi="ar-SA"/>
        </w:rPr>
        <w:t xml:space="preserve">فأثبت المعرفة و الكفر، وَ جَحَدُوا بِهٰا وَ اِسْتَيْقَنَتْهٰا أَنْفُسُهُمْ </w:t>
      </w:r>
      <w:r>
        <w:rPr>
          <w:rStyle w:val="FootnoteAnchor"/>
          <w:rtl w:val="true"/>
        </w:rPr>
        <w:footnoteReference w:id="38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Style w:val="FootnoteAnchor"/>
          <w:rtl w:val="true"/>
        </w:rPr>
        <w:footnoteReference w:id="383"/>
      </w:r>
      <w:r>
        <w:rPr>
          <w:rFonts w:ascii="IRNazanin" w:hAnsi="IRNazanin" w:eastAsia="IRNazanin"/>
          <w:color w:val="111111"/>
          <w:sz w:val="28"/>
          <w:sz w:val="28"/>
          <w:szCs w:val="28"/>
          <w:rtl w:val="true"/>
          <w:lang w:bidi="fa-IR"/>
        </w:rPr>
        <w:t>فأثبت الإقرار باللّسان دون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التّصديق النّفسانيّ و عند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الإقرار بالشّهادتين، و عند قدماء المعتزلة و القاضي عبد الجبّار، أنّه فعل الجوارح من الطاعات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الكفر، فهو عدم الإيمان إمّا بضدّ اعتقاد علمه أو لا بضدّ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الفسق </w:t>
      </w:r>
    </w:p>
    <w:p>
      <w:pPr>
        <w:pStyle w:val="BookText"/>
        <w:rPr/>
      </w:pPr>
      <w:r>
        <w:rPr>
          <w:rFonts w:ascii="Amiri" w:hAnsi="Amiri" w:eastAsia="Amiri" w:cs="Amiri"/>
          <w:color w:val="111111"/>
          <w:sz w:val="28"/>
          <w:sz w:val="28"/>
          <w:szCs w:val="28"/>
          <w:rtl w:val="true"/>
          <w:lang w:bidi="ar-SA"/>
        </w:rPr>
        <w:t>الخروج عن الشّيء، و النّفاق إن يبطن خلاف ما يظهر، و هو في الشّرع إظهار الإيمان و إبطان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الفاسق، فعند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مؤمن و لا كافر، بل هو منزلة بين المنزلتين، لأنّ الإيمان فعل الواجبات و الامتناع عن المحظورات، فلا يكون مؤمنا و لا كافرا، لأنّه يغسّل و يكفّن و يدفن في مقابر المسلمين، و يصلّى عليه، و ينكح و يقاد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الحسن البصريّ أنّه منافق، لأنّ من يعتقد الضّرر في فعل يمتنع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اعتقد الفاسق العقاب لم 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الخوارج أنّه كافر و عند الأزارقة منهم أنّه مشرك، و عند المرجئة و الإماميّة و الأشعريّة أنّه مؤمن، لأنه يصدّق</w:t>
      </w:r>
      <w:r>
        <w:rPr>
          <w:rStyle w:val="FootnoteAnchor"/>
          <w:rtl w:val="true"/>
        </w:rPr>
        <w:footnoteReference w:id="384"/>
      </w:r>
      <w:r>
        <w:rPr>
          <w:rFonts w:ascii="Amiri" w:hAnsi="Amiri" w:eastAsia="Amiri" w:cs="Amiri"/>
          <w:color w:val="111111"/>
          <w:sz w:val="28"/>
          <w:sz w:val="28"/>
          <w:szCs w:val="28"/>
          <w:rtl w:val="true"/>
          <w:lang w:bidi="ar-SA"/>
        </w:rPr>
        <w:t>للنّبيّ صلّى اللّه عليه و آله و سلّم، في جميع ما جاء به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الإيمان لمّا كان هو التّصديق لم يقبل الشّدّة و الضّعف و لا الزّيادة و النّقصان، و عند المعتزلة أنّه اسم لفعل الطاعات فكان قابلا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الإيمان التّصديق باللّه و بتوحيده و بعدله و بالنّبوّة و بالإمامة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الإيمان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النّبوّة و الأمر بالمعروف و النّهي عن المنكر و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يقرّ ببعض هذه لم </w:t>
      </w:r>
    </w:p>
    <w:p>
      <w:pPr>
        <w:pStyle w:val="BookText"/>
        <w:rPr/>
      </w:pPr>
      <w:r>
        <w:rPr>
          <w:rFonts w:ascii="Amiri" w:hAnsi="Amiri" w:eastAsia="Amiri" w:cs="Amiri"/>
          <w:color w:val="111111"/>
          <w:sz w:val="28"/>
          <w:sz w:val="28"/>
          <w:szCs w:val="28"/>
          <w:rtl w:val="true"/>
          <w:lang w:bidi="ar-SA"/>
        </w:rPr>
        <w:t>يكن مسلما، و من أقرّ بذلك و فعل كبيرة لم يكن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التّكليف ساقط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الثّواب فلوجوب خلوصه من المشاقّ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المعاقب، فلأنّه نوع إلجاء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هذا آخر ما قصدنا إثباته</w:t>
      </w:r>
      <w:r>
        <w:rPr>
          <w:rStyle w:val="FootnoteAnchor"/>
          <w:rtl w:val="true"/>
        </w:rPr>
        <w:footnoteReference w:id="385"/>
      </w:r>
      <w:r>
        <w:rPr>
          <w:rFonts w:ascii="Amiri" w:hAnsi="Amiri" w:eastAsia="Amiri" w:cs="Amiri"/>
          <w:color w:val="111111"/>
          <w:sz w:val="28"/>
          <w:sz w:val="28"/>
          <w:szCs w:val="28"/>
          <w:rtl w:val="true"/>
          <w:lang w:bidi="ar-SA"/>
        </w:rPr>
        <w:t>في هذا الكتاب، و اللّه الموفّق للصّواب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 و الحمد للّه رب العالمين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9140_71323"/>
      <w:bookmarkStart w:id="525" w:name="pg9140_71323"/>
      <w:bookmarkEnd w:id="525"/>
    </w:p>
    <w:p>
      <w:pPr>
        <w:pStyle w:val="Heading2"/>
        <w:numPr>
          <w:ilvl w:val="1"/>
          <w:numId w:val="1"/>
        </w:numPr>
        <w:rPr/>
      </w:pPr>
      <w:bookmarkStart w:id="526" w:name="pg9140_71323"/>
      <w:bookmarkStart w:id="527" w:name="__RefHeading___Toc3242475_2870459653"/>
      <w:bookmarkStart w:id="528" w:name="_Toc188"/>
      <w:bookmarkEnd w:id="526"/>
      <w:bookmarkEnd w:id="527"/>
      <w:r>
        <w:rPr>
          <w:rtl w:val="true"/>
        </w:rPr>
        <w:t>الفهارس</w:t>
      </w:r>
      <w:bookmarkEnd w:id="528"/>
    </w:p>
    <w:p>
      <w:pPr>
        <w:pStyle w:val="Heading3"/>
        <w:numPr>
          <w:ilvl w:val="2"/>
          <w:numId w:val="1"/>
        </w:numPr>
        <w:rPr/>
      </w:pPr>
      <w:bookmarkStart w:id="529" w:name="__RefHeading___Toc3242477_2870459653"/>
      <w:bookmarkStart w:id="530" w:name="_Toc189"/>
      <w:bookmarkEnd w:id="529"/>
      <w:r>
        <w:rPr>
          <w:rtl w:val="true"/>
        </w:rPr>
        <w:t>اشارة</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و الروايات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الأعلام و الرواة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اسماء الكتب الواردة في المتن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الفرق و المذاهب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9140_71325"/>
      <w:bookmarkStart w:id="532" w:name="pg9140_71325"/>
      <w:bookmarkEnd w:id="532"/>
    </w:p>
    <w:p>
      <w:pPr>
        <w:pStyle w:val="Heading3"/>
        <w:numPr>
          <w:ilvl w:val="2"/>
          <w:numId w:val="1"/>
        </w:numPr>
        <w:rPr/>
      </w:pPr>
      <w:bookmarkStart w:id="533" w:name="pg9140_71325"/>
      <w:bookmarkStart w:id="534" w:name="__RefHeading___Toc3242479_2870459653"/>
      <w:bookmarkStart w:id="535" w:name="_Toc190"/>
      <w:bookmarkEnd w:id="533"/>
      <w:bookmarkEnd w:id="534"/>
      <w:r>
        <w:rPr>
          <w:rtl w:val="true"/>
        </w:rPr>
        <w:t>فهرس الآيات</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رَبِّهٰا نٰاظِرَةٌ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خَلَقَ اَلْمَوْتَ وَ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لَيْسَ اَلَّذِي خَلَقَ اَلسَّمٰاوٰاتِ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عَلَيْهِمْ أَ أَنْذَرْتَهُمْ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فَانْتَشِرُوا فِي اَلْأَرْضِ وَ اِبْتَغُوا مِنْ 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جٰاءَهُمْ مٰا عَرَفُوا كَفَرُوا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يَعْمَلْ مِثْقٰالَ 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بَدَأْنٰا أَوَّلَ خَلْقٍ نُعِيدُهُ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يَسْتَنْكِفَ اَلْمَسِيحُ أَنْ يَكُونَ عَبْداً لِلّٰهِ وَ لاَ اَلْمَلاٰئِكَةُ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شٰاءَ اَللّٰهُ مٰا أَشْرَكْنٰا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أَغْنىٰ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رَبَّكَ لَذُو مَغْفِرَةٍ لِلنّٰاسِ عَلىٰ ظُلْمِهِمْ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أَنْفُسَنٰا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أَنْفِقُوا مِنْ مٰا رَزَقْنٰاكُمْ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يَرْضىٰ لِعِبٰادِهِ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كُنّٰا 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اَلْأَوَّلُ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536" w:name="pg9140_71329"/>
    </w:p>
    <w:p>
      <w:pPr>
        <w:pStyle w:val="Heading3"/>
        <w:numPr>
          <w:ilvl w:val="2"/>
          <w:numId w:val="1"/>
        </w:numPr>
        <w:rPr/>
      </w:pPr>
      <w:bookmarkStart w:id="537" w:name="__RefHeading___Toc3242481_2870459653"/>
      <w:bookmarkStart w:id="538" w:name="_Toc191"/>
      <w:bookmarkEnd w:id="536"/>
      <w:bookmarkEnd w:id="537"/>
      <w:r>
        <w:rPr>
          <w:rtl w:val="true"/>
        </w:rPr>
        <w:t>فهرس الأحاديث و الروايات</w:t>
      </w:r>
      <w:bookmarkEnd w:id="538"/>
    </w:p>
    <w:p>
      <w:pPr>
        <w:pStyle w:val="BookText"/>
        <w:rPr/>
      </w:pPr>
      <w:r>
        <w:rPr>
          <w:rFonts w:ascii="IRNazanin" w:hAnsi="IRNazanin" w:eastAsia="IRNazanin"/>
          <w:color w:val="111111"/>
          <w:sz w:val="28"/>
          <w:sz w:val="28"/>
          <w:szCs w:val="28"/>
          <w:rtl w:val="true"/>
          <w:lang w:bidi="fa-IR"/>
        </w:rPr>
        <w:t xml:space="preserve">افضل الاعمال أحمزها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اقضاكم عليّ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الست اولى منكم بانفسكم،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انت الخليفة من بعدي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انّي جعلت كل دابة حيّة مأكلا لك و لذريتك و اطلقت ذلك لكم كنبات العشب ابدا ما خلا الدّم فلا تأكلوه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تمسّكوا بالسّبت ابدا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جرح العجماء جبار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lang w:bidi="ar-SA"/>
        </w:rPr>
        <w:t>203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خير البشر، فمن أبى فقد كفر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قرّبوا إليّ كل يوم خروفين، خروف غدوة و خروف عشية بين المغارب قربانا دائما لاحقا بكم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لا علي لهلك عمر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 أراد أن ينظر إلى آدم في علمه و إلى نوح في تقواه و إلى إبراهيم في حلمه و الى عيسى في عبادته فلينظر الى عليّ بن أبي طالب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اسمعوا و اطيعوا له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هذا ابني إمام ابن إمام اخو إمام أبو أئمة تسعة تاسعهم قائمهم افضلهم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يستخدم العبد ستّ سنين، ثمّ يعرض عليه العتق، فان لم يقبل العتق ثقب اذنه و استخدم أبدا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يستخدم خمسين سنة، ثم يعتق في تلك السنة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ينتصف للجمّاء من القرناء </w:t>
      </w:r>
      <w:r>
        <w:rPr>
          <w:rFonts w:eastAsia="Amiri" w:cs="Amiri" w:ascii="Amiri" w:hAnsi="Amiri"/>
          <w:color w:val="111111"/>
          <w:sz w:val="28"/>
          <w:szCs w:val="28"/>
          <w:lang w:bidi="ar-SA"/>
        </w:rPr>
        <w:t>177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وزن قيد العبد بالماء المشهورة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قضية في زمن عمر بن الخطّاب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اجتاز عبد مقيّد على جماعة،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قيده كذا و كذا فامرأته طالق ثلاثا،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كما قلت فامرأته طالق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فذهبا مع العبد إلى مولاه،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حلفنا بالطّلاق ثلاثا على قيد هذا العبد، فحلّه نزنه، فقال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حلّ قيده، فطلق الثلاثة نساءهم، فارتفعوا إلى عمر بن الخطّاب و قصّوا عليه القصّة،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أحقّ به، فاعتزلوا </w:t>
      </w:r>
    </w:p>
    <w:p>
      <w:pPr>
        <w:pStyle w:val="BookText"/>
        <w:rPr/>
      </w:pPr>
      <w:r>
        <w:rPr>
          <w:rFonts w:ascii="Amiri" w:hAnsi="Amiri" w:eastAsia="Amiri" w:cs="Amiri"/>
          <w:color w:val="111111"/>
          <w:sz w:val="28"/>
          <w:sz w:val="28"/>
          <w:szCs w:val="28"/>
          <w:rtl w:val="true"/>
          <w:lang w:bidi="ar-SA"/>
        </w:rPr>
        <w:t>نساءهم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 قد وقعوا في حيرة،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أبي الحسن عليه السّلام لعلّه أن يكون عنده شيء في هذا، فأتوه فقصّوا عليه القصّة،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اخرج جفنة و امر أن يحطّ العبد رجله في الجفنة و أن يصبّ الماء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قيده من الماء فرفع قيده و هبط الماء فأرسل عوضه زبرا من الحديد و زنوه، فإنّه وزن القيد،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فعلوا ذلك و انفصلوا و حلّت نساؤهم عليهم خرجوا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عيبة علم النبوة و باب مدينة علمه، فعلى من جحد حقّك لعنة اللّه و الملائكة و الناس اجمعين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قضية صاحب الأرغفة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رجلان يتغذيان، مع أحدهما خمسة أرغفة و مع الآخر ثلاثة أرغفة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وضعا الغذاء بين ايديهما مرّ بهما رجل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للغذاء فجلس و اكل معهما و استوفوا في اكلهم الارغفة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 طرح إليهما ثمانية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هذا، عوضا مما اكلت، لكما و نلته من طعامكما، فتنازعا و قال صاحب الخمسة الارغفة لي خمسة دراهم و 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الثلاثة الارغفة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ارضى إلاّ أن تكون الدّراهم بيننا نصفين و ارتفعا الى امير المؤمنين علي بن أبي طالب رضى اللّه عنه و قصّا عليه قصّتهما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لصاحب الثلاثة الارغفة قد عرض عليك صاحبك ما عرض و خبزه اكثر من خبزك فارض بالثلاثة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رضيت منه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بمرّ الحقّ 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في مرّ الحقّ الاّ درهم واحد و له سبعة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امير المؤمنين هو يعرض عليّ ثلاثة فلم أرض و اشرت عليّ بأخذها فلم أرض، و تقول لي الآن أنه لا يجب في مرّ الحقّ إلاّ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بالوجه في مرّ الحقّ حتّى أقبله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للثّمانية الارغفة أربعة و عشرين ثلثا، اكلتموها و انتم ثلاثة أنفس، و لا يعلم الاكثر منكم اكلا و لا الأقلّ فتحملون في اكلكم على السّواء؟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فاكلت انت ثمانية أثلاث و إنّما لك تسعة اثلاث، و أكل صاحبك ثمانية أثلاث و له خمسة عشر ثلثا، اكل منها ثمانية و يبقى له سبعة و اكل لك واحدة من تسعة فلك واحد بواحدك و له سبعة بسبعته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539" w:name="pg9140_71333"/>
    </w:p>
    <w:p>
      <w:pPr>
        <w:pStyle w:val="Heading3"/>
        <w:numPr>
          <w:ilvl w:val="2"/>
          <w:numId w:val="1"/>
        </w:numPr>
        <w:rPr/>
      </w:pPr>
      <w:bookmarkStart w:id="540" w:name="__RefHeading___Toc3242483_2870459653"/>
      <w:bookmarkStart w:id="541" w:name="_Toc192"/>
      <w:bookmarkEnd w:id="539"/>
      <w:bookmarkEnd w:id="540"/>
      <w:r>
        <w:rPr>
          <w:rtl w:val="true"/>
        </w:rPr>
        <w:t>فهرس الأعلام و الرواة</w:t>
      </w:r>
      <w:bookmarkEnd w:id="541"/>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إبراهيم النّظّام،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ابن الإخشيد،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ابن زكريّا،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ابن فورك،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أبو الحسين البصريّ،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أبو الهذيل العلاّف،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الجبّائيّان،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الجوينيّ،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الرّئيس،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الفوطي،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القاضي أبو بكر،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بشر بن المعتمر،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حفص الفرد،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ضرار بن عمرو،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فرفوريوس،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محمّد صلّى اللّه عليه و آله و سلّم،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عليها السّلام،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هارون عليه السّلام،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lang w:bidi="ar-SA"/>
        </w:rPr>
        <w:t>192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يوشع عليه السّلام،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542" w:name="pg9140_71336"/>
    </w:p>
    <w:p>
      <w:pPr>
        <w:pStyle w:val="Heading3"/>
        <w:numPr>
          <w:ilvl w:val="2"/>
          <w:numId w:val="1"/>
        </w:numPr>
        <w:rPr/>
      </w:pPr>
      <w:bookmarkStart w:id="543" w:name="__RefHeading___Toc3242485_2870459653"/>
      <w:bookmarkStart w:id="544" w:name="_Toc193"/>
      <w:bookmarkEnd w:id="542"/>
      <w:bookmarkEnd w:id="543"/>
      <w:r>
        <w:rPr>
          <w:rtl w:val="true"/>
        </w:rPr>
        <w:t>فهرس أسماء الكتب الواردة في المتن</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545" w:name="pg9140_71337"/>
    </w:p>
    <w:p>
      <w:pPr>
        <w:pStyle w:val="Heading3"/>
        <w:numPr>
          <w:ilvl w:val="2"/>
          <w:numId w:val="1"/>
        </w:numPr>
        <w:rPr/>
      </w:pPr>
      <w:bookmarkStart w:id="546" w:name="__RefHeading___Toc3242487_2870459653"/>
      <w:bookmarkStart w:id="547" w:name="_Toc194"/>
      <w:bookmarkEnd w:id="545"/>
      <w:bookmarkEnd w:id="546"/>
      <w:r>
        <w:rPr>
          <w:rtl w:val="true"/>
        </w:rPr>
        <w:t>فهرس الفرق و المذاهب و الديانات</w:t>
      </w:r>
      <w:bookmarkEnd w:id="547"/>
    </w:p>
    <w:p>
      <w:pPr>
        <w:pStyle w:val="BookText"/>
        <w:rPr/>
      </w:pPr>
      <w:r>
        <w:rPr>
          <w:rFonts w:ascii="Amiri" w:hAnsi="Amiri" w:eastAsia="Amiri" w:cs="Amiri"/>
          <w:color w:val="111111"/>
          <w:sz w:val="28"/>
          <w:sz w:val="28"/>
          <w:szCs w:val="28"/>
          <w:rtl w:val="true"/>
          <w:lang w:bidi="ar-SA"/>
        </w:rPr>
        <w:t xml:space="preserve">الأزارقة،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الأشعريّة،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أصحاب الاكسير،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أهل العدل،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البصريّون، </w:t>
      </w:r>
      <w:r>
        <w:rPr>
          <w:rFonts w:eastAsia="Amiri" w:cs="Amiri" w:ascii="Amiri" w:hAnsi="Amiri"/>
          <w:color w:val="111111"/>
          <w:sz w:val="28"/>
          <w:szCs w:val="28"/>
          <w:lang w:bidi="ar-SA"/>
        </w:rPr>
        <w:t>225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البغداديّون،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البكريّة،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البهشميّة،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التّناسخيّة،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حكماء الهند،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الدّيصانيّة،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فصحاء العرب،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الفضليّة،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الكلابيّة،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المحقّقون،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المليّون،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النّجّاريّة،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الوعيديّة، </w:t>
      </w:r>
      <w:r>
        <w:rPr>
          <w:rFonts w:eastAsia="Amiri" w:cs="Amiri" w:ascii="Amiri" w:hAnsi="Amiri"/>
          <w:color w:val="111111"/>
          <w:sz w:val="28"/>
          <w:szCs w:val="28"/>
          <w:lang w:bidi="ar-SA"/>
        </w:rPr>
        <w:t>226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9140_71341"/>
      <w:bookmarkStart w:id="549" w:name="pg9140_71341"/>
      <w:bookmarkEnd w:id="549"/>
    </w:p>
    <w:p>
      <w:pPr>
        <w:pStyle w:val="Heading3"/>
        <w:numPr>
          <w:ilvl w:val="2"/>
          <w:numId w:val="1"/>
        </w:numPr>
        <w:rPr/>
      </w:pPr>
      <w:bookmarkStart w:id="550" w:name="pg9140_71341"/>
      <w:bookmarkStart w:id="551" w:name="__RefHeading___Toc3242489_2870459653"/>
      <w:bookmarkStart w:id="552" w:name="_Toc195"/>
      <w:bookmarkEnd w:id="550"/>
      <w:bookmarkEnd w:id="551"/>
      <w:r>
        <w:rPr>
          <w:rtl w:val="true"/>
        </w:rPr>
        <w:t>فهرس مصادر التحقيق</w:t>
      </w:r>
      <w:bookmarkEnd w:id="552"/>
    </w:p>
    <w:p>
      <w:pPr>
        <w:pStyle w:val="BookText"/>
        <w:rPr/>
      </w:pPr>
      <w:r>
        <w:rPr>
          <w:rFonts w:ascii="IRNazanin" w:hAnsi="IRNazanin" w:eastAsia="IRNazanin"/>
          <w:color w:val="111111"/>
          <w:sz w:val="28"/>
          <w:sz w:val="28"/>
          <w:szCs w:val="28"/>
          <w:rtl w:val="true"/>
          <w:lang w:bidi="fa-IR"/>
        </w:rPr>
        <w:t xml:space="preserve">آذرنوش، آذرتاش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عربى به فارسى، الطبعة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آقابزرگ الطهراني، محمد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طهران،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اعلام الشيعة، بيروت، دار الكتاب العربي،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المطبعة الميمنية،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الأفندي، عبد اللّه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باهتمام احمد الحسيني من مخطوطات مكتبة آية اللّه المرعشي العامة، 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قم، خيام </w:t>
      </w:r>
      <w:r>
        <w:rPr>
          <w:rFonts w:eastAsia="Amiri" w:cs="Amiri" w:ascii="Amiri" w:hAnsi="Amiri"/>
          <w:color w:val="111111"/>
          <w:sz w:val="28"/>
          <w:szCs w:val="28"/>
          <w:lang w:bidi="ar-SA"/>
        </w:rPr>
        <w:t>1981/1401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الطبري، محب الدين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مكتبة القدسي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تحقيق مؤسسة البعثة، الطبعة الأولى،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الفتّال النيسابوري،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منشورات الرضي،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 السنّة و الأدب، الطبعة الخامسة،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الأنوار، 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 خطى، كتابخانه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جمهورى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الحائري، عبد الحسين، 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كتابخانه مجلس شوراى ملى، طهران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الحجتي، السيد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 هاى خطى كتابخانه، كلية الإلهيات، جامعة طهران،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الإشكوري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 هاى خطى، مركز إحياء التراث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السيد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 هاى خطى كتابخانه عمومى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مرعشى،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العلاّمة 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النظر في القضاء و القدر، باهتمام علي الخاقاني النجفي، </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الملكوت في شرح الياقوت، باهتمام محمد الزنجاني، منشورات جامعة طهران، رقم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ط، طهران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الحادي عشر، مع النافع يوم الحشر، المقداد السيوري و مفتاح الباب، أبو الفتح بن مخدوم الحسيني، باهتمام مهدي محقق، سلسلة دانش ايراني 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ط، جامعة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العلامة، باهتمام محمد صادق بحر العلوم، مكتبة الخيام،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سؤالين سأل عنهما الخواجة رشيد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عزيز اللّه العطاردي القوچاني،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ايران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في شرح تجريد الاعتقاد، تصحيح حسن زادة الآملي، الطبعة السابعة،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 كشف الصدق،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الحسني الارموي، الطبعة الرابعة، دار الهجرة،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المسترشدين، باهتمام مهدي الرجائي، من مخطوطات مكتبة آية اللّه المرعشي، 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قم، مكتبة سيد 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الخوانساري،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احوال العلماء و السادات، اعداد اسد اللّه اسماعيليان،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دانش پژوه،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مركزى دانشگاه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زابينه اشميتكه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هاى كلامى علامه حلى، ترجمة احمد القاسمي، مؤسسة القدس الرضوي، مشهد،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المرتضى، ابو القاسم علي بن الحسين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انتشارات دار القرآن،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ابو الفتح 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دار المعرفة بيروت، 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الطوسي، ابو جعفر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الهادي الى طريق الرشاد، باهتمام حسن سعيد الطهراني، قم، 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الطبعة الثانية،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اعداد سيد حسن الأمين، طهران،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الباقي، محمد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لالفاظ القرآن الكريم، دار الكتب المصرية، القاهرة،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الصاحب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الاصول، منشورات الهادي، الطبعة الثانية،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لويس معلوف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و الأعلام، الطبعة العاشرة، دار المشرق،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مادلونگ، ويلفرد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مكتبها و فرقه هاى اسلامى در سده هاى ميانه، ترجمة جواد القاسمي، مؤسسة القدس الرضوي، الطبعة الأولى،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مؤسسة الوفاء، الطبعة الثانية،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المدرسي التبريزي، ميرزا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الادب، انتشارات شفق، الطبعة الثانية، تبريز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المطهري،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علوم اسلامى، كلام اسلامى، انتشارات صدرا، الطبعة الثامنة عشرة،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 الاعتقادية، دار المفيد، الطبعة الثانية،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53" w:name="pg9140_71347"/>
    </w:p>
    <w:p>
      <w:pPr>
        <w:pStyle w:val="Heading3"/>
        <w:numPr>
          <w:ilvl w:val="2"/>
          <w:numId w:val="1"/>
        </w:numPr>
        <w:rPr/>
      </w:pPr>
      <w:bookmarkStart w:id="554" w:name="__RefHeading___Toc3242491_2870459653"/>
      <w:bookmarkStart w:id="555" w:name="_Toc196"/>
      <w:bookmarkEnd w:id="553"/>
      <w:bookmarkEnd w:id="554"/>
      <w:r>
        <w:rPr>
          <w:rtl w:val="true"/>
        </w:rPr>
        <w:t>فهرس الموضوعات</w:t>
      </w:r>
      <w:bookmarkEnd w:id="55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آية اللّه جعفر السبحاني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العباقرة في مرآة التاريخ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كلمات في حقّ المؤلّف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تسليك النفس إلى حظيرة القدس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المرصد الأوّل في الأمور العامّة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lang w:bidi="ar-SA"/>
        </w:rPr>
        <w:t>23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التّصور و التّصديق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القياس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مواد الأقيسة و صورها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الوجود و العدم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الوجود و العدم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الوجود معنى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المعدوم؟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واسطة بين الموجود و المعدوم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الوجوب و قسيميه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الامكان و الامتناع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خواص الواجب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عروض الامكان للماهيّة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المرصد الثّاني في تقسيم الموجودات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التّقسيم على رأي المتكلّمين </w:t>
      </w:r>
      <w:r>
        <w:rPr>
          <w:rFonts w:eastAsia="Amiri" w:cs="Amiri" w:ascii="Amiri" w:hAnsi="Amiri"/>
          <w:color w:val="111111"/>
          <w:sz w:val="28"/>
          <w:szCs w:val="28"/>
          <w:lang w:bidi="ar-SA"/>
        </w:rPr>
        <w:t>39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القديم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خواصّ القديم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خواصّ المحدث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التّقسيم على رأي الأوائل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المرصد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أقسام الموجودات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ماهيّة الجسم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حجّة الحكماء في المادّة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الاعراض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المبصرات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الأصوات و الحروف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الطعوم و الرّوائح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الحرارة و البرودة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الرّطوبة و اليبوسة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الاعتماد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الأكوان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المشترك بين الأربعة </w:t>
      </w:r>
      <w:r>
        <w:rPr>
          <w:rFonts w:eastAsia="Amiri" w:cs="Amiri" w:ascii="Amiri" w:hAnsi="Amiri"/>
          <w:color w:val="111111"/>
          <w:sz w:val="28"/>
          <w:szCs w:val="28"/>
          <w:lang w:bidi="ar-SA"/>
        </w:rPr>
        <w:t>66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التّفريع على قول البهشميّة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الحركة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النّظر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الأكوان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المطلب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المطلب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المطلب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المطلب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المطلب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الإرادة و الكراهة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المطلب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الشّهوة و النّفار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المطلب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اللّذّة و الألم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المطلب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الإدراك </w:t>
      </w:r>
      <w:r>
        <w:rPr>
          <w:rFonts w:eastAsia="Amiri" w:cs="Amiri" w:ascii="Amiri" w:hAnsi="Amiri"/>
          <w:color w:val="111111"/>
          <w:sz w:val="28"/>
          <w:szCs w:val="28"/>
          <w:lang w:bidi="ar-SA"/>
        </w:rPr>
        <w:t>93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أعراض وقع فيها الخلاف بين المتكلّمين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المرصد الرّابع في أحكام الموجودات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العامّة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الواحد و مقابله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التّماثل و مقابله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و المعلول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الخاصّة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الجواهر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الأجسام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الجواهر المجرّدة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الأعراض </w:t>
      </w:r>
      <w:r>
        <w:rPr>
          <w:rFonts w:eastAsia="Amiri" w:cs="Amiri" w:ascii="Amiri" w:hAnsi="Amiri"/>
          <w:color w:val="111111"/>
          <w:sz w:val="28"/>
          <w:szCs w:val="28"/>
          <w:lang w:bidi="ar-SA"/>
        </w:rPr>
        <w:t>129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المرصد الخامس في إثبات واجب الوجود تعالى و صفاته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واجب الوجود تعالى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تعالى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الثّبوتيّة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هذه الصّفات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السّلبيّة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بمتحيّز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في غيره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لغيره لذاته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مركّب </w:t>
      </w:r>
      <w:r>
        <w:rPr>
          <w:rFonts w:eastAsia="Amiri" w:cs="Amiri" w:ascii="Amiri" w:hAnsi="Amiri"/>
          <w:color w:val="111111"/>
          <w:sz w:val="28"/>
          <w:szCs w:val="28"/>
          <w:lang w:bidi="ar-SA"/>
        </w:rPr>
        <w:t>153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يتحد بغيره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جهة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الألم و اللذّة عليه تعالى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محلاّ للحوادث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المطلب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المطلب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غير معلوم للبشر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المطلب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الرّؤية عليه تعالى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المطلب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المرصد السّادس في العدل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 القبح العقليّين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القبيح و لا يخلّ بالواجب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الأعمال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الطاعات و يكره المعاصي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w:t>
      </w:r>
      <w:r>
        <w:rPr>
          <w:rFonts w:eastAsia="Amiri" w:cs="Amiri" w:ascii="Amiri" w:hAnsi="Amiri"/>
          <w:color w:val="111111"/>
          <w:sz w:val="28"/>
          <w:szCs w:val="28"/>
          <w:lang w:bidi="ar-SA"/>
        </w:rPr>
        <w:t>172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اللّطف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الآلام و الأعواض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الآجال و الأرزاق و الأسعار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المرصد السابع في النبوة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النّبيّ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البعثة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البعثة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العصمة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نبوّة محمّد صلّى اللّه عليه و آله و سلّم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إعجاز القرآن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العصمة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العصمة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الكرامات </w:t>
      </w:r>
      <w:r>
        <w:rPr>
          <w:rFonts w:eastAsia="Amiri" w:cs="Amiri" w:ascii="Amiri" w:hAnsi="Amiri"/>
          <w:color w:val="111111"/>
          <w:sz w:val="28"/>
          <w:szCs w:val="28"/>
          <w:lang w:bidi="ar-SA"/>
        </w:rPr>
        <w:t>193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الأنبياء أفضل من الملائكة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المرصد الثّامن في الإمامة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عصمة الإمام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يجب أن يكون أفضل و منصوصا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الإمام بعد النبيّ صلّى اللّه عليه و آله و سلّم هو عليّ عليه 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باقي الأئمّة الاثني عشر عليهم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المرصد التّاسع في المعاد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خلق عالم آخر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عدم العالم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إعادة المعدوم </w:t>
      </w:r>
      <w:r>
        <w:rPr>
          <w:rFonts w:eastAsia="Amiri" w:cs="Amiri" w:ascii="Amiri" w:hAnsi="Amiri"/>
          <w:color w:val="111111"/>
          <w:sz w:val="28"/>
          <w:szCs w:val="28"/>
          <w:lang w:bidi="ar-SA"/>
        </w:rPr>
        <w:t>215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المعاد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الوعد و الوعيد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الإحباط و التكفير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التّوبة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العفو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المطلب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عذاب الفاسق منقطع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المطلب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و الأحكام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الفهارس فهرس الآيات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فهرس الأحاديث و الروايات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فهرس الأعلام و الرواة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فهرس أسماء الكتب الواردة في المتن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فهرس الفرق و المذاهب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249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طبقات المتكلمين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قسما منها غير موجود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يتربّت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جزءين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الحيثيتين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الاخس من المقدّمتين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النتيجة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محمد بن علي بن الطيب البصري المعتزلي، المتوفّى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كتاب المعتمد في أصول الفقه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إسماعيل شيخ أهل السنّة و الجماعة إمام الأشاعرة، كان معتزليا و تاب من ذلك بعد أن أقام على عقيدتهم أربعين سنة، توفّي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 الاجزاء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فالمعدوم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فالوجوب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انعكاس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منقسم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كملت دورتها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فانقسمت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الأسرار الخفية في العلوم العقلية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الفصل الأوّل من النوع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انقسام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ماهيتهما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اللّه بن أحمد بن محمود الكعبي البلخي الخراساني، أحد أئمة المعتزلة، توفّي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يتحصّل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نسمعه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علي بن إبراهيم الملقب بالجعل، من شيوخ المعتزلة، ولد في البصرة و مات في بغداد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الخفّة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النفسانيّة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الهذيل محمد بن الهذيل بن عبد اللّه بن مكحول العبدي، مولى عبد القيس، المعروف بالعلاّف، من شيوخ المعتزلة، كفّ بصره في آخر عمره، 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الرطوبة و اليبوسة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الهشاسة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التّشكل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لتكافؤ</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ليفي تدارك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علّة غير المفارقة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للقدرة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محمد بن إبراهيم الأسفراييني، توفّي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المعلوم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مضادّ للعلم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الطيب المعروف بالباقلاني، المتوفّى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التزموا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فيتأخر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فيتأخر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يمانعان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عدميّا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الشمّ بالتبخير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تراها الكبرى مما شيء عليه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فكمنا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لذلك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لثبوتها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معدوم فعدم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كان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تراقي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لماهيتها معلولة في وجودها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السطحين متلاصقين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فيسبب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التقلّد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المحركة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يتساويان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فيه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يستحاب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لمشاركة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إلهيات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المقالة السادسة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المصنّف بقاء الاعراض عن الكرّامية، 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بمحيطه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صرافتها إلى كيفيّة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يلزم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تشخّصه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للأشاعرة كما في النهاية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إليه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يجوّزونه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واجب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المتصرر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المحكم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إرادة مخصوصة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ممنوع و ما التزموه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لشرطه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فتسلسل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كاختيار المختار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يستندونهما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يستند و كذا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زمانيا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عبد الجبار بن أحمد المعروف بقاضي القضاة، من أئمة المعتزلة،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تنزيه القرآن من المطاعن، المغني، مات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في الابدان العارفين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المفهوم ليس امر اعتباري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امتزاجا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حامد محمد بن محمد المعروف بالغزالي، المتوفّى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مراى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اجزائه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اشتملت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بضرب العبد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التخيير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اختياره الكفر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المعصية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يأكله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القبح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كالعقاب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ماتت الغنم استحق مالكها عوضا زائدا على اللّه فقال، فبذبحه فوت عليه الاعواض الزائدة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الأوّل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العالم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تعليم الواجبات الشرعية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منذر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كتواتر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نقلا عن سفر الخروج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طبع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السفر الأوّل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السفر الثاني؛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المعالي عبد الملك بن عبد اللّه المعروف بإمام الحرمين و الجويني، توفّي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كتابه البرهان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سيار بن هانئ البصري، أبو إسحاق النظام المعتزلي، 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فورك الأنصاري الاصبهاني الشافعي، درس ببغداد و البصرة، توفّي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امتناع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229/79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نفيا للّذي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كوزن المقيدة الماء و ضمّ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 المنزلة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المصلحة خيفيّة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قصده 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يعاقها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لانتقل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لقبول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الشوائر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37046</Words>
  <Characters>152613</Characters>
  <CharactersWithSpaces>187976</CharactersWithSpaces>
  <Paragraphs>2486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2026-08-20T09:57:44Z</dcterms:created>
  <dc:creator>ghaemiyeh.com</dc:creator>
  <dc:description/>
  <dc:language>en-US</dc:language>
  <cp:lastModifiedBy/>
  <dcterms:modified xsi:type="dcterms:W3CDTF">2026-08-20T13:27:51Z</dcterms:modified>
  <cp:revision>1</cp:revision>
  <dc:subject/>
  <dc:title>تسلیک النفس إلی حظیرة القدس</dc:title>
</cp:coreProperties>
</file>

<file path=docProps/custom.xml><?xml version="1.0" encoding="utf-8"?>
<Properties xmlns="http://schemas.openxmlformats.org/officeDocument/2006/custom-properties" xmlns:vt="http://schemas.openxmlformats.org/officeDocument/2006/docPropsVTypes"/>
</file>