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52.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دراسات علمیة </w:t>
      </w:r>
      <w:r>
        <w:rPr>
          <w:rtl w:val="true"/>
        </w:rPr>
        <w:t xml:space="preserve">- </w:t>
      </w:r>
      <w:r>
        <w:rPr/>
        <w:t>9</w:t>
      </w:r>
      <w:r>
        <w:rPr>
          <w:rtl w:val="true"/>
        </w:rPr>
        <w:t xml:space="preserve"> </w:t>
      </w:r>
      <w:r>
        <w:rPr>
          <w:rtl w:val="true"/>
        </w:rPr>
        <w:t xml:space="preserve">و </w:t>
      </w:r>
      <w:r>
        <w:rPr/>
        <w:t>10</w:t>
      </w:r>
      <w:r>
        <w:rPr>
          <w:rtl w:val="true"/>
        </w:rPr>
        <w:t xml:space="preserve"> </w:t>
      </w:r>
      <w:r>
        <w:rPr>
          <w:rtl w:val="true"/>
        </w:rPr>
        <w:t>مجلة نصف سنویة تعنى بالأبحاث التخصصیة فی الحوزة العلمیة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33058_2870459653">
            <w:r>
              <w:rPr>
                <w:webHidden/>
                <w:rStyle w:val="IndexLink"/>
                <w:rtl w:val="true"/>
              </w:rPr>
              <w:t>هویة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2933060_2870459653">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2933062_2870459653">
            <w:r>
              <w:rPr>
                <w:webHidden/>
                <w:rStyle w:val="IndexLink"/>
                <w:rtl w:val="true"/>
              </w:rPr>
              <w:t>الأسس المعتمدة للنشر</w:t>
            </w:r>
            <w:r>
              <w:rPr>
                <w:rStyle w:val="IndexLink"/>
                <w:rtl w:val="true"/>
              </w:rPr>
              <w:tab/>
            </w:r>
            <w:r>
              <w:rPr>
                <w:rStyle w:val="IndexLink"/>
              </w:rPr>
              <w:t>16</w:t>
            </w:r>
          </w:hyperlink>
        </w:p>
        <w:p>
          <w:pPr>
            <w:pStyle w:val="Contents2"/>
            <w:tabs>
              <w:tab w:val="clear" w:pos="8743"/>
              <w:tab w:val="right" w:pos="9026" w:leader="dot"/>
            </w:tabs>
            <w:rPr/>
          </w:pPr>
          <w:hyperlink w:anchor="__RefHeading___Toc2933064_2870459653">
            <w:r>
              <w:rPr>
                <w:webHidden/>
                <w:rStyle w:val="IndexLink"/>
                <w:rtl w:val="true"/>
              </w:rPr>
              <w:t>محتويات العدد</w:t>
            </w:r>
            <w:r>
              <w:rPr>
                <w:rStyle w:val="IndexLink"/>
                <w:rtl w:val="true"/>
              </w:rPr>
              <w:tab/>
            </w:r>
            <w:r>
              <w:rPr>
                <w:rStyle w:val="IndexLink"/>
              </w:rPr>
              <w:t>17</w:t>
            </w:r>
          </w:hyperlink>
        </w:p>
        <w:p>
          <w:pPr>
            <w:pStyle w:val="Contents2"/>
            <w:tabs>
              <w:tab w:val="clear" w:pos="8743"/>
              <w:tab w:val="right" w:pos="9026" w:leader="dot"/>
            </w:tabs>
            <w:rPr/>
          </w:pPr>
          <w:hyperlink w:anchor="__RefHeading___Toc2933066_2870459653">
            <w:r>
              <w:rPr>
                <w:webHidden/>
                <w:rStyle w:val="IndexLink"/>
                <w:rtl w:val="true"/>
              </w:rPr>
              <w:t>الافتتاحية</w:t>
            </w:r>
            <w:r>
              <w:rPr>
                <w:rStyle w:val="IndexLink"/>
                <w:rtl w:val="true"/>
              </w:rPr>
              <w:tab/>
            </w:r>
            <w:r>
              <w:rPr>
                <w:rStyle w:val="IndexLink"/>
              </w:rPr>
              <w:t>19</w:t>
            </w:r>
          </w:hyperlink>
        </w:p>
        <w:p>
          <w:pPr>
            <w:pStyle w:val="Contents2"/>
            <w:tabs>
              <w:tab w:val="clear" w:pos="8743"/>
              <w:tab w:val="right" w:pos="9026" w:leader="dot"/>
            </w:tabs>
            <w:rPr/>
          </w:pPr>
          <w:hyperlink w:anchor="__RefHeading___Toc2933068_2870459653">
            <w:r>
              <w:rPr>
                <w:webHidden/>
                <w:rStyle w:val="IndexLink"/>
                <w:rtl w:val="true"/>
              </w:rPr>
              <w:t xml:space="preserve">ظاهرة استعمال جموع تكسير مختلفة في القرآن الكريم لمفرد واحد </w:t>
            </w:r>
            <w:r>
              <w:rPr>
                <w:rStyle w:val="IndexLink"/>
                <w:rtl w:val="true"/>
              </w:rPr>
              <w:t xml:space="preserve">- </w:t>
            </w:r>
            <w:r>
              <w:rPr>
                <w:rStyle w:val="IndexLink"/>
                <w:rtl w:val="true"/>
              </w:rPr>
              <w:t xml:space="preserve">بعضُ أساتذة الحوزة العلمية </w:t>
            </w:r>
            <w:r>
              <w:rPr>
                <w:rStyle w:val="IndexLink"/>
                <w:rtl w:val="true"/>
              </w:rPr>
              <w:t>(</w:t>
            </w:r>
            <w:r>
              <w:rPr>
                <w:rStyle w:val="IndexLink"/>
                <w:rtl w:val="true"/>
              </w:rPr>
              <w:t>دامت افاداته</w:t>
            </w:r>
            <w:r>
              <w:rPr>
                <w:rStyle w:val="IndexLink"/>
                <w:rtl w:val="true"/>
              </w:rPr>
              <w:t>)</w:t>
              <w:tab/>
            </w:r>
            <w:r>
              <w:rPr>
                <w:rStyle w:val="IndexLink"/>
              </w:rPr>
              <w:t>23</w:t>
            </w:r>
          </w:hyperlink>
        </w:p>
        <w:p>
          <w:pPr>
            <w:pStyle w:val="Contents3"/>
            <w:tabs>
              <w:tab w:val="clear" w:pos="8459"/>
              <w:tab w:val="right" w:pos="9026" w:leader="dot"/>
            </w:tabs>
            <w:rPr/>
          </w:pPr>
          <w:hyperlink w:anchor="__RefHeading___Toc2933070_2870459653">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2933072_2870459653">
            <w:r>
              <w:rPr>
                <w:webHidden/>
                <w:rStyle w:val="IndexLink"/>
                <w:rtl w:val="true"/>
              </w:rPr>
              <w:t>الفصل الأوَّل</w:t>
            </w:r>
            <w:r>
              <w:rPr>
                <w:rStyle w:val="IndexLink"/>
                <w:rtl w:val="true"/>
              </w:rPr>
              <w:t xml:space="preserve">: </w:t>
            </w:r>
            <w:r>
              <w:rPr>
                <w:rStyle w:val="IndexLink"/>
                <w:rtl w:val="true"/>
              </w:rPr>
              <w:t>إعجاز القرآن الكريم</w:t>
            </w:r>
            <w:r>
              <w:rPr>
                <w:rStyle w:val="IndexLink"/>
                <w:rtl w:val="true"/>
              </w:rPr>
              <w:tab/>
            </w:r>
            <w:r>
              <w:rPr>
                <w:rStyle w:val="IndexLink"/>
              </w:rPr>
              <w:t>27</w:t>
            </w:r>
          </w:hyperlink>
        </w:p>
        <w:p>
          <w:pPr>
            <w:pStyle w:val="Contents4"/>
            <w:tabs>
              <w:tab w:val="clear" w:pos="8176"/>
              <w:tab w:val="right" w:pos="9026" w:leader="dot"/>
            </w:tabs>
            <w:rPr/>
          </w:pPr>
          <w:hyperlink w:anchor="__RefHeading___Toc2933074_2870459653">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2933076_2870459653">
            <w:r>
              <w:rPr>
                <w:webHidden/>
                <w:rStyle w:val="IndexLink"/>
                <w:rtl w:val="true"/>
              </w:rPr>
              <w:t>محاور إعجازه</w:t>
            </w:r>
            <w:r>
              <w:rPr>
                <w:rStyle w:val="IndexLink"/>
                <w:rtl w:val="true"/>
              </w:rPr>
              <w:tab/>
            </w:r>
            <w:r>
              <w:rPr>
                <w:rStyle w:val="IndexLink"/>
              </w:rPr>
              <w:t>28</w:t>
            </w:r>
          </w:hyperlink>
        </w:p>
        <w:p>
          <w:pPr>
            <w:pStyle w:val="Contents4"/>
            <w:tabs>
              <w:tab w:val="clear" w:pos="8176"/>
              <w:tab w:val="right" w:pos="9026" w:leader="dot"/>
            </w:tabs>
            <w:rPr/>
          </w:pPr>
          <w:hyperlink w:anchor="__RefHeading___Toc2933078_2870459653">
            <w:r>
              <w:rPr>
                <w:webHidden/>
                <w:rStyle w:val="IndexLink"/>
                <w:rtl w:val="true"/>
              </w:rPr>
              <w:t>ظاهرة التّحديد الكمّي وفروعها</w:t>
            </w:r>
            <w:r>
              <w:rPr>
                <w:rStyle w:val="IndexLink"/>
                <w:rtl w:val="true"/>
              </w:rPr>
              <w:tab/>
            </w:r>
            <w:r>
              <w:rPr>
                <w:rStyle w:val="IndexLink"/>
              </w:rPr>
              <w:t>28</w:t>
            </w:r>
          </w:hyperlink>
        </w:p>
        <w:p>
          <w:pPr>
            <w:pStyle w:val="Contents4"/>
            <w:tabs>
              <w:tab w:val="clear" w:pos="8176"/>
              <w:tab w:val="right" w:pos="9026" w:leader="dot"/>
            </w:tabs>
            <w:rPr/>
          </w:pPr>
          <w:hyperlink w:anchor="__RefHeading___Toc2933080_2870459653">
            <w:r>
              <w:rPr>
                <w:webHidden/>
                <w:rStyle w:val="IndexLink"/>
                <w:rtl w:val="true"/>
              </w:rPr>
              <w:t>ظاهرة التّحديد الكيفيّ وفروعها</w:t>
            </w:r>
            <w:r>
              <w:rPr>
                <w:rStyle w:val="IndexLink"/>
                <w:rtl w:val="true"/>
              </w:rPr>
              <w:tab/>
            </w:r>
            <w:r>
              <w:rPr>
                <w:rStyle w:val="IndexLink"/>
              </w:rPr>
              <w:t>29</w:t>
            </w:r>
          </w:hyperlink>
        </w:p>
        <w:p>
          <w:pPr>
            <w:pStyle w:val="Contents3"/>
            <w:tabs>
              <w:tab w:val="clear" w:pos="8459"/>
              <w:tab w:val="right" w:pos="9026" w:leader="dot"/>
            </w:tabs>
            <w:rPr/>
          </w:pPr>
          <w:hyperlink w:anchor="__RefHeading___Toc2933082_2870459653">
            <w:r>
              <w:rPr>
                <w:webHidden/>
                <w:rStyle w:val="IndexLink"/>
                <w:rtl w:val="true"/>
              </w:rPr>
              <w:t>الفصل الثّاني</w:t>
            </w:r>
            <w:r>
              <w:rPr>
                <w:rStyle w:val="IndexLink"/>
                <w:rtl w:val="true"/>
              </w:rPr>
              <w:t xml:space="preserve">: </w:t>
            </w:r>
            <w:r>
              <w:rPr>
                <w:rStyle w:val="IndexLink"/>
                <w:rtl w:val="true"/>
              </w:rPr>
              <w:t>في طرق الاهتداء إلى تشخيص المزايا المعنويّة واللّفظيّة للألفاظ</w:t>
            </w:r>
            <w:r>
              <w:rPr>
                <w:rStyle w:val="IndexLink"/>
                <w:rtl w:val="true"/>
              </w:rPr>
              <w:tab/>
            </w:r>
            <w:r>
              <w:rPr>
                <w:rStyle w:val="IndexLink"/>
              </w:rPr>
              <w:t>36</w:t>
            </w:r>
          </w:hyperlink>
        </w:p>
        <w:p>
          <w:pPr>
            <w:pStyle w:val="Contents4"/>
            <w:tabs>
              <w:tab w:val="clear" w:pos="8176"/>
              <w:tab w:val="right" w:pos="9026" w:leader="dot"/>
            </w:tabs>
            <w:rPr/>
          </w:pPr>
          <w:hyperlink w:anchor="__RefHeading___Toc2933084_2870459653">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2933086_2870459653">
            <w:r>
              <w:rPr>
                <w:webHidden/>
                <w:rStyle w:val="IndexLink"/>
                <w:rtl w:val="true"/>
              </w:rPr>
              <w:t>الطريق الأوَّل</w:t>
            </w:r>
            <w:r>
              <w:rPr>
                <w:rStyle w:val="IndexLink"/>
                <w:rtl w:val="true"/>
              </w:rPr>
              <w:t xml:space="preserve">: </w:t>
            </w:r>
            <w:r>
              <w:rPr>
                <w:rStyle w:val="IndexLink"/>
                <w:rtl w:val="true"/>
              </w:rPr>
              <w:t>الذّوق الأدبيّ</w:t>
            </w:r>
            <w:r>
              <w:rPr>
                <w:rStyle w:val="IndexLink"/>
                <w:rtl w:val="true"/>
              </w:rPr>
              <w:tab/>
            </w:r>
            <w:r>
              <w:rPr>
                <w:rStyle w:val="IndexLink"/>
              </w:rPr>
              <w:t>37</w:t>
            </w:r>
          </w:hyperlink>
        </w:p>
        <w:p>
          <w:pPr>
            <w:pStyle w:val="Contents5"/>
            <w:tabs>
              <w:tab w:val="clear" w:pos="7892"/>
              <w:tab w:val="right" w:pos="9026" w:leader="dot"/>
            </w:tabs>
            <w:rPr/>
          </w:pPr>
          <w:hyperlink w:anchor="__RefHeading___Toc2933088_2870459653">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2933090_2870459653">
            <w:r>
              <w:rPr>
                <w:webHidden/>
                <w:rStyle w:val="IndexLink"/>
              </w:rPr>
              <w:t>1</w:t>
            </w:r>
            <w:r>
              <w:rPr>
                <w:rStyle w:val="IndexLink"/>
                <w:rtl w:val="true"/>
              </w:rPr>
              <w:t xml:space="preserve">. </w:t>
            </w:r>
            <w:r>
              <w:rPr>
                <w:rStyle w:val="IndexLink"/>
                <w:rtl w:val="true"/>
              </w:rPr>
              <w:t>الذّوق وأنواعه</w:t>
            </w:r>
            <w:r>
              <w:rPr>
                <w:rStyle w:val="IndexLink"/>
                <w:rtl w:val="true"/>
              </w:rPr>
              <w:tab/>
            </w:r>
            <w:r>
              <w:rPr>
                <w:rStyle w:val="IndexLink"/>
              </w:rPr>
              <w:t>37</w:t>
            </w:r>
          </w:hyperlink>
        </w:p>
        <w:p>
          <w:pPr>
            <w:pStyle w:val="Contents5"/>
            <w:tabs>
              <w:tab w:val="clear" w:pos="7892"/>
              <w:tab w:val="right" w:pos="9026" w:leader="dot"/>
            </w:tabs>
            <w:rPr/>
          </w:pPr>
          <w:hyperlink w:anchor="__RefHeading___Toc2933092_2870459653">
            <w:r>
              <w:rPr>
                <w:webHidden/>
                <w:rStyle w:val="IndexLink"/>
              </w:rPr>
              <w:t>2</w:t>
            </w:r>
            <w:r>
              <w:rPr>
                <w:rStyle w:val="IndexLink"/>
                <w:rtl w:val="true"/>
              </w:rPr>
              <w:t xml:space="preserve">. </w:t>
            </w:r>
            <w:r>
              <w:rPr>
                <w:rStyle w:val="IndexLink"/>
                <w:rtl w:val="true"/>
              </w:rPr>
              <w:t>نوع الذّوق الأدبيّ</w:t>
            </w:r>
            <w:r>
              <w:rPr>
                <w:rStyle w:val="IndexLink"/>
                <w:rtl w:val="true"/>
              </w:rPr>
              <w:tab/>
            </w:r>
            <w:r>
              <w:rPr>
                <w:rStyle w:val="IndexLink"/>
              </w:rPr>
              <w:t>39</w:t>
            </w:r>
          </w:hyperlink>
        </w:p>
        <w:p>
          <w:pPr>
            <w:pStyle w:val="Contents5"/>
            <w:tabs>
              <w:tab w:val="clear" w:pos="7892"/>
              <w:tab w:val="right" w:pos="9026" w:leader="dot"/>
            </w:tabs>
            <w:rPr/>
          </w:pPr>
          <w:hyperlink w:anchor="__RefHeading___Toc2933094_2870459653">
            <w:r>
              <w:rPr>
                <w:webHidden/>
                <w:rStyle w:val="IndexLink"/>
              </w:rPr>
              <w:t>3</w:t>
            </w:r>
            <w:r>
              <w:rPr>
                <w:rStyle w:val="IndexLink"/>
                <w:rtl w:val="true"/>
              </w:rPr>
              <w:t xml:space="preserve">. </w:t>
            </w:r>
            <w:r>
              <w:rPr>
                <w:rStyle w:val="IndexLink"/>
                <w:rtl w:val="true"/>
              </w:rPr>
              <w:t>بين الذّوق الأدبيّ والوجدان اللّغويّ</w:t>
            </w:r>
            <w:r>
              <w:rPr>
                <w:rStyle w:val="IndexLink"/>
                <w:rtl w:val="true"/>
              </w:rPr>
              <w:tab/>
            </w:r>
            <w:r>
              <w:rPr>
                <w:rStyle w:val="IndexLink"/>
              </w:rPr>
              <w:t>39</w:t>
            </w:r>
          </w:hyperlink>
        </w:p>
        <w:p>
          <w:pPr>
            <w:pStyle w:val="Contents5"/>
            <w:tabs>
              <w:tab w:val="clear" w:pos="7892"/>
              <w:tab w:val="right" w:pos="9026" w:leader="dot"/>
            </w:tabs>
            <w:rPr/>
          </w:pPr>
          <w:hyperlink w:anchor="__RefHeading___Toc2933096_2870459653">
            <w:r>
              <w:rPr>
                <w:webHidden/>
                <w:rStyle w:val="IndexLink"/>
              </w:rPr>
              <w:t>4</w:t>
            </w:r>
            <w:r>
              <w:rPr>
                <w:rStyle w:val="IndexLink"/>
                <w:rtl w:val="true"/>
              </w:rPr>
              <w:t xml:space="preserve">. </w:t>
            </w:r>
            <w:r>
              <w:rPr>
                <w:rStyle w:val="IndexLink"/>
                <w:rtl w:val="true"/>
              </w:rPr>
              <w:t>الذّوق الأدبيّ إحساس صادق</w:t>
            </w:r>
            <w:r>
              <w:rPr>
                <w:rStyle w:val="IndexLink"/>
                <w:rtl w:val="true"/>
              </w:rPr>
              <w:tab/>
            </w:r>
            <w:r>
              <w:rPr>
                <w:rStyle w:val="IndexLink"/>
              </w:rPr>
              <w:t>40</w:t>
            </w:r>
          </w:hyperlink>
        </w:p>
        <w:p>
          <w:pPr>
            <w:pStyle w:val="Contents5"/>
            <w:tabs>
              <w:tab w:val="clear" w:pos="7892"/>
              <w:tab w:val="right" w:pos="9026" w:leader="dot"/>
            </w:tabs>
            <w:rPr/>
          </w:pPr>
          <w:hyperlink w:anchor="__RefHeading___Toc2933098_2870459653">
            <w:r>
              <w:rPr>
                <w:webHidden/>
                <w:rStyle w:val="IndexLink"/>
              </w:rPr>
              <w:t>5</w:t>
            </w:r>
            <w:r>
              <w:rPr>
                <w:rStyle w:val="IndexLink"/>
                <w:rtl w:val="true"/>
              </w:rPr>
              <w:t xml:space="preserve">. </w:t>
            </w:r>
            <w:r>
              <w:rPr>
                <w:rStyle w:val="IndexLink"/>
                <w:rtl w:val="true"/>
              </w:rPr>
              <w:t>مجالات الذّوق الأدبيّ</w:t>
            </w:r>
            <w:r>
              <w:rPr>
                <w:rStyle w:val="IndexLink"/>
                <w:rtl w:val="true"/>
              </w:rPr>
              <w:tab/>
            </w:r>
            <w:r>
              <w:rPr>
                <w:rStyle w:val="IndexLink"/>
              </w:rPr>
              <w:t>41</w:t>
            </w:r>
          </w:hyperlink>
        </w:p>
        <w:p>
          <w:pPr>
            <w:pStyle w:val="Contents5"/>
            <w:tabs>
              <w:tab w:val="clear" w:pos="7892"/>
              <w:tab w:val="right" w:pos="9026" w:leader="dot"/>
            </w:tabs>
            <w:rPr/>
          </w:pPr>
          <w:hyperlink w:anchor="__RefHeading___Toc2933100_2870459653">
            <w:r>
              <w:rPr>
                <w:webHidden/>
                <w:rStyle w:val="IndexLink"/>
              </w:rPr>
              <w:t>6</w:t>
            </w:r>
            <w:r>
              <w:rPr>
                <w:rStyle w:val="IndexLink"/>
                <w:rtl w:val="true"/>
              </w:rPr>
              <w:t xml:space="preserve">. </w:t>
            </w:r>
            <w:r>
              <w:rPr>
                <w:rStyle w:val="IndexLink"/>
                <w:rtl w:val="true"/>
              </w:rPr>
              <w:t>مراتب الذّوق الأدبيّ</w:t>
            </w:r>
            <w:r>
              <w:rPr>
                <w:rStyle w:val="IndexLink"/>
                <w:rtl w:val="true"/>
              </w:rPr>
              <w:tab/>
            </w:r>
            <w:r>
              <w:rPr>
                <w:rStyle w:val="IndexLink"/>
              </w:rPr>
              <w:t>41</w:t>
            </w:r>
          </w:hyperlink>
        </w:p>
        <w:p>
          <w:pPr>
            <w:pStyle w:val="Contents5"/>
            <w:tabs>
              <w:tab w:val="clear" w:pos="7892"/>
              <w:tab w:val="right" w:pos="9026" w:leader="dot"/>
            </w:tabs>
            <w:rPr/>
          </w:pPr>
          <w:hyperlink w:anchor="__RefHeading___Toc2933102_2870459653">
            <w:r>
              <w:rPr>
                <w:webHidden/>
                <w:rStyle w:val="IndexLink"/>
              </w:rPr>
              <w:t>7</w:t>
            </w:r>
            <w:r>
              <w:rPr>
                <w:rStyle w:val="IndexLink"/>
                <w:rtl w:val="true"/>
              </w:rPr>
              <w:t xml:space="preserve">. </w:t>
            </w:r>
            <w:r>
              <w:rPr>
                <w:rStyle w:val="IndexLink"/>
                <w:rtl w:val="true"/>
              </w:rPr>
              <w:t>انحراف الذّوق الأدبيّ</w:t>
            </w:r>
            <w:r>
              <w:rPr>
                <w:rStyle w:val="IndexLink"/>
                <w:rtl w:val="true"/>
              </w:rPr>
              <w:tab/>
            </w:r>
            <w:r>
              <w:rPr>
                <w:rStyle w:val="IndexLink"/>
              </w:rPr>
              <w:t>43</w:t>
            </w:r>
          </w:hyperlink>
        </w:p>
        <w:p>
          <w:pPr>
            <w:pStyle w:val="Contents5"/>
            <w:tabs>
              <w:tab w:val="clear" w:pos="7892"/>
              <w:tab w:val="right" w:pos="9026" w:leader="dot"/>
            </w:tabs>
            <w:rPr/>
          </w:pPr>
          <w:hyperlink w:anchor="__RefHeading___Toc2933104_2870459653">
            <w:r>
              <w:rPr>
                <w:webHidden/>
                <w:rStyle w:val="IndexLink"/>
              </w:rPr>
              <w:t>8</w:t>
            </w:r>
            <w:r>
              <w:rPr>
                <w:rStyle w:val="IndexLink"/>
                <w:rtl w:val="true"/>
              </w:rPr>
              <w:t xml:space="preserve">. </w:t>
            </w:r>
            <w:r>
              <w:rPr>
                <w:rStyle w:val="IndexLink"/>
                <w:rtl w:val="true"/>
              </w:rPr>
              <w:t>علوّ أذواق العرب في الجاهلية وصدر الإسلام وبعض مظاهر ذلك</w:t>
            </w:r>
            <w:r>
              <w:rPr>
                <w:rStyle w:val="IndexLink"/>
                <w:rtl w:val="true"/>
              </w:rPr>
              <w:tab/>
            </w:r>
            <w:r>
              <w:rPr>
                <w:rStyle w:val="IndexLink"/>
              </w:rPr>
              <w:t>44</w:t>
            </w:r>
          </w:hyperlink>
        </w:p>
        <w:p>
          <w:pPr>
            <w:pStyle w:val="Contents5"/>
            <w:tabs>
              <w:tab w:val="clear" w:pos="7892"/>
              <w:tab w:val="right" w:pos="9026" w:leader="dot"/>
            </w:tabs>
            <w:rPr/>
          </w:pPr>
          <w:hyperlink w:anchor="__RefHeading___Toc2933106_2870459653">
            <w:r>
              <w:rPr>
                <w:webHidden/>
                <w:rStyle w:val="IndexLink"/>
              </w:rPr>
              <w:t>9</w:t>
            </w:r>
            <w:r>
              <w:rPr>
                <w:rStyle w:val="IndexLink"/>
                <w:rtl w:val="true"/>
              </w:rPr>
              <w:t xml:space="preserve">. </w:t>
            </w:r>
            <w:r>
              <w:rPr>
                <w:rStyle w:val="IndexLink"/>
                <w:rtl w:val="true"/>
              </w:rPr>
              <w:t>هبوط مستوى الذّوق العربيّ بعد ذلك وآثاره في العلوم الأدبيّة</w:t>
            </w:r>
            <w:r>
              <w:rPr>
                <w:rStyle w:val="IndexLink"/>
                <w:rtl w:val="true"/>
              </w:rPr>
              <w:tab/>
            </w:r>
            <w:r>
              <w:rPr>
                <w:rStyle w:val="IndexLink"/>
              </w:rPr>
              <w:t>45</w:t>
            </w:r>
          </w:hyperlink>
        </w:p>
        <w:p>
          <w:pPr>
            <w:pStyle w:val="Contents5"/>
            <w:tabs>
              <w:tab w:val="clear" w:pos="7892"/>
              <w:tab w:val="right" w:pos="9026" w:leader="dot"/>
            </w:tabs>
            <w:rPr/>
          </w:pPr>
          <w:hyperlink w:anchor="__RefHeading___Toc2933108_2870459653">
            <w:r>
              <w:rPr>
                <w:webHidden/>
                <w:rStyle w:val="IndexLink"/>
              </w:rPr>
              <w:t>10</w:t>
            </w:r>
            <w:r>
              <w:rPr>
                <w:rStyle w:val="IndexLink"/>
                <w:rtl w:val="true"/>
              </w:rPr>
              <w:t xml:space="preserve">. </w:t>
            </w:r>
            <w:r>
              <w:rPr>
                <w:rStyle w:val="IndexLink"/>
                <w:rtl w:val="true"/>
              </w:rPr>
              <w:t>اختلاف مدركات الذّوق الأدبيّ في مدى قبولها للبيان التّحليلي</w:t>
            </w:r>
            <w:r>
              <w:rPr>
                <w:rStyle w:val="IndexLink"/>
                <w:rtl w:val="true"/>
              </w:rPr>
              <w:tab/>
            </w:r>
            <w:r>
              <w:rPr>
                <w:rStyle w:val="IndexLink"/>
              </w:rPr>
              <w:t>46</w:t>
            </w:r>
          </w:hyperlink>
        </w:p>
        <w:p>
          <w:pPr>
            <w:pStyle w:val="Contents5"/>
            <w:tabs>
              <w:tab w:val="clear" w:pos="7892"/>
              <w:tab w:val="right" w:pos="9026" w:leader="dot"/>
            </w:tabs>
            <w:rPr/>
          </w:pPr>
          <w:hyperlink w:anchor="__RefHeading___Toc2933110_2870459653">
            <w:r>
              <w:rPr>
                <w:webHidden/>
                <w:rStyle w:val="IndexLink"/>
              </w:rPr>
              <w:t>11</w:t>
            </w:r>
            <w:r>
              <w:rPr>
                <w:rStyle w:val="IndexLink"/>
                <w:rtl w:val="true"/>
              </w:rPr>
              <w:t xml:space="preserve">. </w:t>
            </w:r>
            <w:r>
              <w:rPr>
                <w:rStyle w:val="IndexLink"/>
                <w:rtl w:val="true"/>
              </w:rPr>
              <w:t>عدم كفاية التّدقيق النّظري عن الذّوق الأدبيّ</w:t>
            </w:r>
            <w:r>
              <w:rPr>
                <w:rStyle w:val="IndexLink"/>
                <w:rtl w:val="true"/>
              </w:rPr>
              <w:tab/>
            </w:r>
            <w:r>
              <w:rPr>
                <w:rStyle w:val="IndexLink"/>
              </w:rPr>
              <w:t>49</w:t>
            </w:r>
          </w:hyperlink>
        </w:p>
        <w:p>
          <w:pPr>
            <w:pStyle w:val="Contents4"/>
            <w:tabs>
              <w:tab w:val="clear" w:pos="8176"/>
              <w:tab w:val="right" w:pos="9026" w:leader="dot"/>
            </w:tabs>
            <w:rPr/>
          </w:pPr>
          <w:hyperlink w:anchor="__RefHeading___Toc2933112_2870459653">
            <w:r>
              <w:rPr>
                <w:webHidden/>
                <w:rStyle w:val="IndexLink"/>
                <w:rtl w:val="true"/>
              </w:rPr>
              <w:t>الطريق الثّاني</w:t>
            </w:r>
            <w:r>
              <w:rPr>
                <w:rStyle w:val="IndexLink"/>
                <w:rtl w:val="true"/>
              </w:rPr>
              <w:t xml:space="preserve">: </w:t>
            </w:r>
            <w:r>
              <w:rPr>
                <w:rStyle w:val="IndexLink"/>
                <w:rtl w:val="true"/>
              </w:rPr>
              <w:t>الضّوابط الأدبيّة</w:t>
            </w:r>
            <w:r>
              <w:rPr>
                <w:rStyle w:val="IndexLink"/>
                <w:rtl w:val="true"/>
              </w:rPr>
              <w:tab/>
            </w:r>
            <w:r>
              <w:rPr>
                <w:rStyle w:val="IndexLink"/>
              </w:rPr>
              <w:t>49</w:t>
            </w:r>
          </w:hyperlink>
        </w:p>
        <w:p>
          <w:pPr>
            <w:pStyle w:val="Contents5"/>
            <w:tabs>
              <w:tab w:val="clear" w:pos="7892"/>
              <w:tab w:val="right" w:pos="9026" w:leader="dot"/>
            </w:tabs>
            <w:rPr/>
          </w:pPr>
          <w:hyperlink w:anchor="__RefHeading___Toc2933114_2870459653">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2933116_2870459653">
            <w:r>
              <w:rPr>
                <w:webHidden/>
                <w:rStyle w:val="IndexLink"/>
              </w:rPr>
              <w:t>1</w:t>
            </w:r>
            <w:r>
              <w:rPr>
                <w:rStyle w:val="IndexLink"/>
                <w:rtl w:val="true"/>
              </w:rPr>
              <w:t xml:space="preserve">. </w:t>
            </w:r>
            <w:r>
              <w:rPr>
                <w:rStyle w:val="IndexLink"/>
                <w:rtl w:val="true"/>
              </w:rPr>
              <w:t>انقسام المزايا إلى ما يقبل الضّابط وما لا يقبله</w:t>
            </w:r>
            <w:r>
              <w:rPr>
                <w:rStyle w:val="IndexLink"/>
                <w:rtl w:val="true"/>
              </w:rPr>
              <w:tab/>
            </w:r>
            <w:r>
              <w:rPr>
                <w:rStyle w:val="IndexLink"/>
              </w:rPr>
              <w:t>49</w:t>
            </w:r>
          </w:hyperlink>
        </w:p>
        <w:p>
          <w:pPr>
            <w:pStyle w:val="Contents5"/>
            <w:tabs>
              <w:tab w:val="clear" w:pos="7892"/>
              <w:tab w:val="right" w:pos="9026" w:leader="dot"/>
            </w:tabs>
            <w:rPr/>
          </w:pPr>
          <w:hyperlink w:anchor="__RefHeading___Toc2933118_2870459653">
            <w:r>
              <w:rPr>
                <w:webHidden/>
                <w:rStyle w:val="IndexLink"/>
              </w:rPr>
              <w:t>2</w:t>
            </w:r>
            <w:r>
              <w:rPr>
                <w:rStyle w:val="IndexLink"/>
                <w:rtl w:val="true"/>
              </w:rPr>
              <w:t xml:space="preserve">. </w:t>
            </w:r>
            <w:r>
              <w:rPr>
                <w:rStyle w:val="IndexLink"/>
                <w:rtl w:val="true"/>
              </w:rPr>
              <w:t>بعض المزايا المعنويّة واللّفظيّة العامّة</w:t>
            </w:r>
            <w:r>
              <w:rPr>
                <w:rStyle w:val="IndexLink"/>
                <w:rtl w:val="true"/>
              </w:rPr>
              <w:tab/>
            </w:r>
            <w:r>
              <w:rPr>
                <w:rStyle w:val="IndexLink"/>
              </w:rPr>
              <w:t>50</w:t>
            </w:r>
          </w:hyperlink>
        </w:p>
        <w:p>
          <w:pPr>
            <w:pStyle w:val="Contents5"/>
            <w:tabs>
              <w:tab w:val="clear" w:pos="7892"/>
              <w:tab w:val="right" w:pos="9026" w:leader="dot"/>
            </w:tabs>
            <w:rPr/>
          </w:pPr>
          <w:hyperlink w:anchor="__RefHeading___Toc2933120_2870459653">
            <w:r>
              <w:rPr>
                <w:webHidden/>
                <w:rStyle w:val="IndexLink"/>
              </w:rPr>
              <w:t>3</w:t>
            </w:r>
            <w:r>
              <w:rPr>
                <w:rStyle w:val="IndexLink"/>
                <w:rtl w:val="true"/>
              </w:rPr>
              <w:t xml:space="preserve">. </w:t>
            </w:r>
            <w:r>
              <w:rPr>
                <w:rStyle w:val="IndexLink"/>
                <w:rtl w:val="true"/>
              </w:rPr>
              <w:t>عدم استيعاب علماء البلاغة للمزايا اللّفظيّة</w:t>
            </w:r>
            <w:r>
              <w:rPr>
                <w:rStyle w:val="IndexLink"/>
                <w:rtl w:val="true"/>
              </w:rPr>
              <w:tab/>
            </w:r>
            <w:r>
              <w:rPr>
                <w:rStyle w:val="IndexLink"/>
              </w:rPr>
              <w:t>53</w:t>
            </w:r>
          </w:hyperlink>
        </w:p>
        <w:p>
          <w:pPr>
            <w:pStyle w:val="Contents4"/>
            <w:tabs>
              <w:tab w:val="clear" w:pos="8176"/>
              <w:tab w:val="right" w:pos="9026" w:leader="dot"/>
            </w:tabs>
            <w:rPr/>
          </w:pPr>
          <w:hyperlink w:anchor="__RefHeading___Toc2933122_2870459653">
            <w:r>
              <w:rPr>
                <w:webHidden/>
                <w:rStyle w:val="IndexLink"/>
                <w:rtl w:val="true"/>
              </w:rPr>
              <w:t>الطريق الثّالث</w:t>
            </w:r>
            <w:r>
              <w:rPr>
                <w:rStyle w:val="IndexLink"/>
                <w:rtl w:val="true"/>
              </w:rPr>
              <w:t xml:space="preserve">: </w:t>
            </w:r>
            <w:r>
              <w:rPr>
                <w:rStyle w:val="IndexLink"/>
                <w:rtl w:val="true"/>
              </w:rPr>
              <w:t>بعض العلامات الخارجية</w:t>
            </w:r>
            <w:r>
              <w:rPr>
                <w:rStyle w:val="IndexLink"/>
                <w:rtl w:val="true"/>
              </w:rPr>
              <w:tab/>
            </w:r>
            <w:r>
              <w:rPr>
                <w:rStyle w:val="IndexLink"/>
              </w:rPr>
              <w:t>53</w:t>
            </w:r>
          </w:hyperlink>
        </w:p>
        <w:p>
          <w:pPr>
            <w:pStyle w:val="Contents3"/>
            <w:tabs>
              <w:tab w:val="clear" w:pos="8459"/>
              <w:tab w:val="right" w:pos="9026" w:leader="dot"/>
            </w:tabs>
            <w:rPr/>
          </w:pPr>
          <w:hyperlink w:anchor="__RefHeading___Toc2933124_2870459653">
            <w:r>
              <w:rPr>
                <w:webHidden/>
                <w:rStyle w:val="IndexLink"/>
                <w:rtl w:val="true"/>
              </w:rPr>
              <w:t>الفصل الثّالث</w:t>
            </w:r>
            <w:r>
              <w:rPr>
                <w:rStyle w:val="IndexLink"/>
                <w:rtl w:val="true"/>
              </w:rPr>
              <w:t xml:space="preserve">: </w:t>
            </w:r>
            <w:r>
              <w:rPr>
                <w:rStyle w:val="IndexLink"/>
                <w:rtl w:val="true"/>
              </w:rPr>
              <w:t>في تفسير ظاهرة استعمال جموع تكسير مختلفة لمفرد واحد في القرآن الكريم</w:t>
            </w:r>
            <w:r>
              <w:rPr>
                <w:rStyle w:val="IndexLink"/>
                <w:rtl w:val="true"/>
              </w:rPr>
              <w:tab/>
            </w:r>
            <w:r>
              <w:rPr>
                <w:rStyle w:val="IndexLink"/>
              </w:rPr>
              <w:t>54</w:t>
            </w:r>
          </w:hyperlink>
        </w:p>
        <w:p>
          <w:pPr>
            <w:pStyle w:val="Contents4"/>
            <w:tabs>
              <w:tab w:val="clear" w:pos="8176"/>
              <w:tab w:val="right" w:pos="9026" w:leader="dot"/>
            </w:tabs>
            <w:rPr/>
          </w:pPr>
          <w:hyperlink w:anchor="__RefHeading___Toc2933126_2870459653">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2933128_2870459653">
            <w:r>
              <w:rPr>
                <w:webHidden/>
                <w:rStyle w:val="IndexLink"/>
                <w:rtl w:val="true"/>
              </w:rPr>
              <w:t>الأمر الأوَّل</w:t>
            </w:r>
            <w:r>
              <w:rPr>
                <w:rStyle w:val="IndexLink"/>
                <w:rtl w:val="true"/>
              </w:rPr>
              <w:t xml:space="preserve">: </w:t>
            </w:r>
            <w:r>
              <w:rPr>
                <w:rStyle w:val="IndexLink"/>
                <w:rtl w:val="true"/>
              </w:rPr>
              <w:t>انتساب هذه الظّاهرة</w:t>
            </w:r>
            <w:r>
              <w:rPr>
                <w:rStyle w:val="IndexLink"/>
                <w:rtl w:val="true"/>
              </w:rPr>
              <w:tab/>
            </w:r>
            <w:r>
              <w:rPr>
                <w:rStyle w:val="IndexLink"/>
              </w:rPr>
              <w:t>54</w:t>
            </w:r>
          </w:hyperlink>
        </w:p>
        <w:p>
          <w:pPr>
            <w:pStyle w:val="Contents4"/>
            <w:tabs>
              <w:tab w:val="clear" w:pos="8176"/>
              <w:tab w:val="right" w:pos="9026" w:leader="dot"/>
            </w:tabs>
            <w:rPr/>
          </w:pPr>
          <w:hyperlink w:anchor="__RefHeading___Toc2933130_2870459653">
            <w:r>
              <w:rPr>
                <w:webHidden/>
                <w:rStyle w:val="IndexLink"/>
                <w:rtl w:val="true"/>
              </w:rPr>
              <w:t>الأمر الثّاني</w:t>
            </w:r>
            <w:r>
              <w:rPr>
                <w:rStyle w:val="IndexLink"/>
                <w:rtl w:val="true"/>
              </w:rPr>
              <w:t xml:space="preserve">: </w:t>
            </w:r>
            <w:r>
              <w:rPr>
                <w:rStyle w:val="IndexLink"/>
                <w:rtl w:val="true"/>
              </w:rPr>
              <w:t>أمثلة هذه الظّاهرة</w:t>
            </w:r>
            <w:r>
              <w:rPr>
                <w:rStyle w:val="IndexLink"/>
                <w:rtl w:val="true"/>
              </w:rPr>
              <w:tab/>
            </w:r>
            <w:r>
              <w:rPr>
                <w:rStyle w:val="IndexLink"/>
              </w:rPr>
              <w:t>55</w:t>
            </w:r>
          </w:hyperlink>
        </w:p>
        <w:p>
          <w:pPr>
            <w:pStyle w:val="Contents4"/>
            <w:tabs>
              <w:tab w:val="clear" w:pos="8176"/>
              <w:tab w:val="right" w:pos="9026" w:leader="dot"/>
            </w:tabs>
            <w:rPr/>
          </w:pPr>
          <w:hyperlink w:anchor="__RefHeading___Toc2933132_2870459653">
            <w:r>
              <w:rPr>
                <w:webHidden/>
                <w:rStyle w:val="IndexLink"/>
                <w:rtl w:val="true"/>
              </w:rPr>
              <w:t>الأمر الثّالث</w:t>
            </w:r>
            <w:r>
              <w:rPr>
                <w:rStyle w:val="IndexLink"/>
                <w:rtl w:val="true"/>
              </w:rPr>
              <w:t xml:space="preserve">: </w:t>
            </w:r>
            <w:r>
              <w:rPr>
                <w:rStyle w:val="IndexLink"/>
                <w:rtl w:val="true"/>
              </w:rPr>
              <w:t>ملاحظات على كلام السّائل</w:t>
            </w:r>
            <w:r>
              <w:rPr>
                <w:rStyle w:val="IndexLink"/>
                <w:rtl w:val="true"/>
              </w:rPr>
              <w:tab/>
            </w:r>
            <w:r>
              <w:rPr>
                <w:rStyle w:val="IndexLink"/>
              </w:rPr>
              <w:t>57</w:t>
            </w:r>
          </w:hyperlink>
        </w:p>
        <w:p>
          <w:pPr>
            <w:pStyle w:val="Contents5"/>
            <w:tabs>
              <w:tab w:val="clear" w:pos="7892"/>
              <w:tab w:val="right" w:pos="9026" w:leader="dot"/>
            </w:tabs>
            <w:rPr/>
          </w:pPr>
          <w:hyperlink w:anchor="__RefHeading___Toc2933134_2870459653">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2933136_2870459653">
            <w:r>
              <w:rPr>
                <w:webHidden/>
                <w:rStyle w:val="IndexLink"/>
                <w:rtl w:val="true"/>
              </w:rPr>
              <w:t>الملاحظة الأُولى</w:t>
            </w:r>
            <w:r>
              <w:rPr>
                <w:rStyle w:val="IndexLink"/>
                <w:rtl w:val="true"/>
              </w:rPr>
              <w:tab/>
            </w:r>
            <w:r>
              <w:rPr>
                <w:rStyle w:val="IndexLink"/>
              </w:rPr>
              <w:t>57</w:t>
            </w:r>
          </w:hyperlink>
        </w:p>
        <w:p>
          <w:pPr>
            <w:pStyle w:val="Contents5"/>
            <w:tabs>
              <w:tab w:val="clear" w:pos="7892"/>
              <w:tab w:val="right" w:pos="9026" w:leader="dot"/>
            </w:tabs>
            <w:rPr/>
          </w:pPr>
          <w:hyperlink w:anchor="__RefHeading___Toc2933138_2870459653">
            <w:r>
              <w:rPr>
                <w:webHidden/>
                <w:rStyle w:val="IndexLink"/>
                <w:rtl w:val="true"/>
              </w:rPr>
              <w:t>الملاحظة الثّانية</w:t>
            </w:r>
            <w:r>
              <w:rPr>
                <w:rStyle w:val="IndexLink"/>
                <w:rtl w:val="true"/>
              </w:rPr>
              <w:tab/>
            </w:r>
            <w:r>
              <w:rPr>
                <w:rStyle w:val="IndexLink"/>
              </w:rPr>
              <w:t>58</w:t>
            </w:r>
          </w:hyperlink>
        </w:p>
        <w:p>
          <w:pPr>
            <w:pStyle w:val="Contents5"/>
            <w:tabs>
              <w:tab w:val="clear" w:pos="7892"/>
              <w:tab w:val="right" w:pos="9026" w:leader="dot"/>
            </w:tabs>
            <w:rPr/>
          </w:pPr>
          <w:hyperlink w:anchor="__RefHeading___Toc2933140_2870459653">
            <w:r>
              <w:rPr>
                <w:webHidden/>
                <w:rStyle w:val="IndexLink"/>
                <w:rtl w:val="true"/>
              </w:rPr>
              <w:t>الملاحظة الثّالثة</w:t>
            </w:r>
            <w:r>
              <w:rPr>
                <w:rStyle w:val="IndexLink"/>
                <w:rtl w:val="true"/>
              </w:rPr>
              <w:tab/>
            </w:r>
            <w:r>
              <w:rPr>
                <w:rStyle w:val="IndexLink"/>
              </w:rPr>
              <w:t>59</w:t>
            </w:r>
          </w:hyperlink>
        </w:p>
        <w:p>
          <w:pPr>
            <w:pStyle w:val="Contents4"/>
            <w:tabs>
              <w:tab w:val="clear" w:pos="8176"/>
              <w:tab w:val="right" w:pos="9026" w:leader="dot"/>
            </w:tabs>
            <w:rPr/>
          </w:pPr>
          <w:hyperlink w:anchor="__RefHeading___Toc2933142_2870459653">
            <w:r>
              <w:rPr>
                <w:webHidden/>
                <w:rStyle w:val="IndexLink"/>
                <w:rtl w:val="true"/>
              </w:rPr>
              <w:t>تفسير هذه الظّاهرة وذكر أسبابها</w:t>
            </w:r>
            <w:r>
              <w:rPr>
                <w:rStyle w:val="IndexLink"/>
                <w:rtl w:val="true"/>
              </w:rPr>
              <w:tab/>
            </w:r>
            <w:r>
              <w:rPr>
                <w:rStyle w:val="IndexLink"/>
              </w:rPr>
              <w:t>62</w:t>
            </w:r>
          </w:hyperlink>
        </w:p>
        <w:p>
          <w:pPr>
            <w:pStyle w:val="Contents5"/>
            <w:tabs>
              <w:tab w:val="clear" w:pos="7892"/>
              <w:tab w:val="right" w:pos="9026" w:leader="dot"/>
            </w:tabs>
            <w:rPr/>
          </w:pPr>
          <w:hyperlink w:anchor="__RefHeading___Toc2933144_2870459653">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2933146_2870459653">
            <w:r>
              <w:rPr>
                <w:webHidden/>
                <w:rStyle w:val="IndexLink"/>
                <w:rtl w:val="true"/>
              </w:rPr>
              <w:t>السّبب الأوَّل</w:t>
            </w:r>
            <w:r>
              <w:rPr>
                <w:rStyle w:val="IndexLink"/>
                <w:rtl w:val="true"/>
              </w:rPr>
              <w:t xml:space="preserve">: </w:t>
            </w:r>
            <w:r>
              <w:rPr>
                <w:rStyle w:val="IndexLink"/>
                <w:rtl w:val="true"/>
              </w:rPr>
              <w:t>تكافؤ الألفاظ معنىً ولفظاً</w:t>
            </w:r>
            <w:r>
              <w:rPr>
                <w:rStyle w:val="IndexLink"/>
                <w:rtl w:val="true"/>
              </w:rPr>
              <w:tab/>
            </w:r>
            <w:r>
              <w:rPr>
                <w:rStyle w:val="IndexLink"/>
              </w:rPr>
              <w:t>62</w:t>
            </w:r>
          </w:hyperlink>
        </w:p>
        <w:p>
          <w:pPr>
            <w:pStyle w:val="Contents6"/>
            <w:tabs>
              <w:tab w:val="clear" w:pos="7609"/>
              <w:tab w:val="right" w:pos="9026" w:leader="dot"/>
            </w:tabs>
            <w:rPr/>
          </w:pPr>
          <w:hyperlink w:anchor="__RefHeading___Toc2933148_2870459653">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2933150_2870459653">
            <w:r>
              <w:rPr>
                <w:webHidden/>
                <w:rStyle w:val="IndexLink"/>
                <w:rtl w:val="true"/>
              </w:rPr>
              <w:t>من أمثلة هذه الحالة</w:t>
            </w:r>
            <w:r>
              <w:rPr>
                <w:rStyle w:val="IndexLink"/>
                <w:rtl w:val="true"/>
              </w:rPr>
              <w:tab/>
            </w:r>
            <w:r>
              <w:rPr>
                <w:rStyle w:val="IndexLink"/>
              </w:rPr>
              <w:t>63</w:t>
            </w:r>
          </w:hyperlink>
        </w:p>
        <w:p>
          <w:pPr>
            <w:pStyle w:val="Contents5"/>
            <w:tabs>
              <w:tab w:val="clear" w:pos="7892"/>
              <w:tab w:val="right" w:pos="9026" w:leader="dot"/>
            </w:tabs>
            <w:rPr/>
          </w:pPr>
          <w:hyperlink w:anchor="__RefHeading___Toc2933152_2870459653">
            <w:r>
              <w:rPr>
                <w:webHidden/>
                <w:rStyle w:val="IndexLink"/>
                <w:rtl w:val="true"/>
              </w:rPr>
              <w:t>السّبب الثّاني</w:t>
            </w:r>
            <w:r>
              <w:rPr>
                <w:rStyle w:val="IndexLink"/>
                <w:rtl w:val="true"/>
              </w:rPr>
              <w:t xml:space="preserve">: </w:t>
            </w:r>
            <w:r>
              <w:rPr>
                <w:rStyle w:val="IndexLink"/>
                <w:rtl w:val="true"/>
              </w:rPr>
              <w:t>اختلاف الجمعين في نوع المعنى مع اتّحاد معنى المفرد</w:t>
            </w:r>
            <w:r>
              <w:rPr>
                <w:rStyle w:val="IndexLink"/>
                <w:rtl w:val="true"/>
              </w:rPr>
              <w:tab/>
            </w:r>
            <w:r>
              <w:rPr>
                <w:rStyle w:val="IndexLink"/>
              </w:rPr>
              <w:t>66</w:t>
            </w:r>
          </w:hyperlink>
        </w:p>
        <w:p>
          <w:pPr>
            <w:pStyle w:val="Contents6"/>
            <w:tabs>
              <w:tab w:val="clear" w:pos="7609"/>
              <w:tab w:val="right" w:pos="9026" w:leader="dot"/>
            </w:tabs>
            <w:rPr/>
          </w:pPr>
          <w:hyperlink w:anchor="__RefHeading___Toc2933154_2870459653">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2933156_2870459653">
            <w:r>
              <w:rPr>
                <w:webHidden/>
                <w:rStyle w:val="IndexLink"/>
                <w:rtl w:val="true"/>
              </w:rPr>
              <w:t>من أمثلة هذه الحالة</w:t>
            </w:r>
            <w:r>
              <w:rPr>
                <w:rStyle w:val="IndexLink"/>
                <w:rtl w:val="true"/>
              </w:rPr>
              <w:t>..</w:t>
              <w:tab/>
            </w:r>
            <w:r>
              <w:rPr>
                <w:rStyle w:val="IndexLink"/>
              </w:rPr>
              <w:t>68</w:t>
            </w:r>
          </w:hyperlink>
        </w:p>
        <w:p>
          <w:pPr>
            <w:pStyle w:val="Contents5"/>
            <w:tabs>
              <w:tab w:val="clear" w:pos="7892"/>
              <w:tab w:val="right" w:pos="9026" w:leader="dot"/>
            </w:tabs>
            <w:rPr/>
          </w:pPr>
          <w:hyperlink w:anchor="__RefHeading___Toc2933158_2870459653">
            <w:r>
              <w:rPr>
                <w:webHidden/>
                <w:rStyle w:val="IndexLink"/>
                <w:rtl w:val="true"/>
              </w:rPr>
              <w:t>السّبب الثّالث</w:t>
            </w:r>
            <w:r>
              <w:rPr>
                <w:rStyle w:val="IndexLink"/>
                <w:rtl w:val="true"/>
              </w:rPr>
              <w:t xml:space="preserve">: </w:t>
            </w:r>
            <w:r>
              <w:rPr>
                <w:rStyle w:val="IndexLink"/>
                <w:rtl w:val="true"/>
              </w:rPr>
              <w:t>اختلاف الجمعين في الدّلالة على مراتب الجمع، بكون أحدهما جمع قلّة والآخر جمع كثرة</w:t>
            </w:r>
            <w:r>
              <w:rPr>
                <w:rStyle w:val="IndexLink"/>
                <w:rtl w:val="true"/>
              </w:rPr>
              <w:tab/>
            </w:r>
            <w:r>
              <w:rPr>
                <w:rStyle w:val="IndexLink"/>
              </w:rPr>
              <w:t>77</w:t>
            </w:r>
          </w:hyperlink>
        </w:p>
        <w:p>
          <w:pPr>
            <w:pStyle w:val="Contents6"/>
            <w:tabs>
              <w:tab w:val="clear" w:pos="7609"/>
              <w:tab w:val="right" w:pos="9026" w:leader="dot"/>
            </w:tabs>
            <w:rPr/>
          </w:pPr>
          <w:hyperlink w:anchor="__RefHeading___Toc2933160_2870459653">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2933162_2870459653">
            <w:r>
              <w:rPr>
                <w:webHidden/>
                <w:rStyle w:val="IndexLink"/>
                <w:rtl w:val="true"/>
              </w:rPr>
              <w:t>إنكار انقسام الجمع إلى قلّة وكثرة</w:t>
            </w:r>
            <w:r>
              <w:rPr>
                <w:rStyle w:val="IndexLink"/>
                <w:rtl w:val="true"/>
              </w:rPr>
              <w:tab/>
            </w:r>
            <w:r>
              <w:rPr>
                <w:rStyle w:val="IndexLink"/>
              </w:rPr>
              <w:t>79</w:t>
            </w:r>
          </w:hyperlink>
        </w:p>
        <w:p>
          <w:pPr>
            <w:pStyle w:val="Contents6"/>
            <w:tabs>
              <w:tab w:val="clear" w:pos="7609"/>
              <w:tab w:val="right" w:pos="9026" w:leader="dot"/>
            </w:tabs>
            <w:rPr/>
          </w:pPr>
          <w:hyperlink w:anchor="__RefHeading___Toc2933164_2870459653">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2933166_2870459653">
            <w:r>
              <w:rPr>
                <w:webHidden/>
                <w:rStyle w:val="IndexLink"/>
                <w:rtl w:val="true"/>
              </w:rPr>
              <w:t>الأمر الأوَّل</w:t>
            </w:r>
            <w:r>
              <w:rPr>
                <w:rStyle w:val="IndexLink"/>
                <w:rtl w:val="true"/>
              </w:rPr>
              <w:tab/>
            </w:r>
            <w:r>
              <w:rPr>
                <w:rStyle w:val="IndexLink"/>
              </w:rPr>
              <w:t>79</w:t>
            </w:r>
          </w:hyperlink>
        </w:p>
        <w:p>
          <w:pPr>
            <w:pStyle w:val="Contents6"/>
            <w:tabs>
              <w:tab w:val="clear" w:pos="7609"/>
              <w:tab w:val="right" w:pos="9026" w:leader="dot"/>
            </w:tabs>
            <w:rPr/>
          </w:pPr>
          <w:hyperlink w:anchor="__RefHeading___Toc2933168_2870459653">
            <w:r>
              <w:rPr>
                <w:webHidden/>
                <w:rStyle w:val="IndexLink"/>
                <w:rtl w:val="true"/>
              </w:rPr>
              <w:t>الأمر الثّاني</w:t>
            </w:r>
            <w:r>
              <w:rPr>
                <w:rStyle w:val="IndexLink"/>
                <w:rtl w:val="true"/>
              </w:rPr>
              <w:tab/>
            </w:r>
            <w:r>
              <w:rPr>
                <w:rStyle w:val="IndexLink"/>
              </w:rPr>
              <w:t>80</w:t>
            </w:r>
          </w:hyperlink>
        </w:p>
        <w:p>
          <w:pPr>
            <w:pStyle w:val="Contents6"/>
            <w:tabs>
              <w:tab w:val="clear" w:pos="7609"/>
              <w:tab w:val="right" w:pos="9026" w:leader="dot"/>
            </w:tabs>
            <w:rPr/>
          </w:pPr>
          <w:hyperlink w:anchor="__RefHeading___Toc2933170_2870459653">
            <w:r>
              <w:rPr>
                <w:webHidden/>
                <w:rStyle w:val="IndexLink"/>
                <w:rtl w:val="true"/>
              </w:rPr>
              <w:t>الأمر الثّالث</w:t>
            </w:r>
            <w:r>
              <w:rPr>
                <w:rStyle w:val="IndexLink"/>
                <w:rtl w:val="true"/>
              </w:rPr>
              <w:tab/>
            </w:r>
            <w:r>
              <w:rPr>
                <w:rStyle w:val="IndexLink"/>
              </w:rPr>
              <w:t>80</w:t>
            </w:r>
          </w:hyperlink>
        </w:p>
        <w:p>
          <w:pPr>
            <w:pStyle w:val="Contents6"/>
            <w:tabs>
              <w:tab w:val="clear" w:pos="7609"/>
              <w:tab w:val="right" w:pos="9026" w:leader="dot"/>
            </w:tabs>
            <w:rPr/>
          </w:pPr>
          <w:hyperlink w:anchor="__RefHeading___Toc2933172_2870459653">
            <w:r>
              <w:rPr>
                <w:webHidden/>
                <w:rStyle w:val="IndexLink"/>
                <w:rtl w:val="true"/>
              </w:rPr>
              <w:t>الأمر الرّابع</w:t>
            </w:r>
            <w:r>
              <w:rPr>
                <w:rStyle w:val="IndexLink"/>
                <w:rtl w:val="true"/>
              </w:rPr>
              <w:tab/>
            </w:r>
            <w:r>
              <w:rPr>
                <w:rStyle w:val="IndexLink"/>
              </w:rPr>
              <w:t>81</w:t>
            </w:r>
          </w:hyperlink>
        </w:p>
        <w:p>
          <w:pPr>
            <w:pStyle w:val="Contents6"/>
            <w:tabs>
              <w:tab w:val="clear" w:pos="7609"/>
              <w:tab w:val="right" w:pos="9026" w:leader="dot"/>
            </w:tabs>
            <w:rPr/>
          </w:pPr>
          <w:hyperlink w:anchor="__RefHeading___Toc2933174_2870459653">
            <w:r>
              <w:rPr>
                <w:webHidden/>
                <w:rStyle w:val="IndexLink"/>
                <w:rtl w:val="true"/>
              </w:rPr>
              <w:t>الأمر الخامس</w:t>
            </w:r>
            <w:r>
              <w:rPr>
                <w:rStyle w:val="IndexLink"/>
                <w:rtl w:val="true"/>
              </w:rPr>
              <w:tab/>
            </w:r>
            <w:r>
              <w:rPr>
                <w:rStyle w:val="IndexLink"/>
              </w:rPr>
              <w:t>82</w:t>
            </w:r>
          </w:hyperlink>
        </w:p>
        <w:p>
          <w:pPr>
            <w:pStyle w:val="Contents6"/>
            <w:tabs>
              <w:tab w:val="clear" w:pos="7609"/>
              <w:tab w:val="right" w:pos="9026" w:leader="dot"/>
            </w:tabs>
            <w:rPr/>
          </w:pPr>
          <w:hyperlink w:anchor="__RefHeading___Toc2933176_2870459653">
            <w:r>
              <w:rPr>
                <w:webHidden/>
                <w:rStyle w:val="IndexLink"/>
                <w:rtl w:val="true"/>
              </w:rPr>
              <w:t>الأمر السّادس</w:t>
            </w:r>
            <w:r>
              <w:rPr>
                <w:rStyle w:val="IndexLink"/>
                <w:rtl w:val="true"/>
              </w:rPr>
              <w:tab/>
            </w:r>
            <w:r>
              <w:rPr>
                <w:rStyle w:val="IndexLink"/>
              </w:rPr>
              <w:t>82</w:t>
            </w:r>
          </w:hyperlink>
        </w:p>
        <w:p>
          <w:pPr>
            <w:pStyle w:val="Contents6"/>
            <w:tabs>
              <w:tab w:val="clear" w:pos="7609"/>
              <w:tab w:val="right" w:pos="9026" w:leader="dot"/>
            </w:tabs>
            <w:rPr/>
          </w:pPr>
          <w:hyperlink w:anchor="__RefHeading___Toc2933178_2870459653">
            <w:r>
              <w:rPr>
                <w:webHidden/>
                <w:rStyle w:val="IndexLink"/>
                <w:rtl w:val="true"/>
              </w:rPr>
              <w:t>الأمر السّابع</w:t>
            </w:r>
            <w:r>
              <w:rPr>
                <w:rStyle w:val="IndexLink"/>
                <w:rtl w:val="true"/>
              </w:rPr>
              <w:tab/>
            </w:r>
            <w:r>
              <w:rPr>
                <w:rStyle w:val="IndexLink"/>
              </w:rPr>
              <w:t>83</w:t>
            </w:r>
          </w:hyperlink>
        </w:p>
        <w:p>
          <w:pPr>
            <w:pStyle w:val="Contents6"/>
            <w:tabs>
              <w:tab w:val="clear" w:pos="7609"/>
              <w:tab w:val="right" w:pos="9026" w:leader="dot"/>
            </w:tabs>
            <w:rPr/>
          </w:pPr>
          <w:hyperlink w:anchor="__RefHeading___Toc2933180_2870459653">
            <w:r>
              <w:rPr>
                <w:webHidden/>
                <w:rStyle w:val="IndexLink"/>
                <w:rtl w:val="true"/>
              </w:rPr>
              <w:t>عدم جدوى التّقسيم المذكور لتفسير هذه الظّاهرة</w:t>
            </w:r>
            <w:r>
              <w:rPr>
                <w:rStyle w:val="IndexLink"/>
                <w:rtl w:val="true"/>
              </w:rPr>
              <w:tab/>
            </w:r>
            <w:r>
              <w:rPr>
                <w:rStyle w:val="IndexLink"/>
              </w:rPr>
              <w:t>86</w:t>
            </w:r>
          </w:hyperlink>
        </w:p>
        <w:p>
          <w:pPr>
            <w:pStyle w:val="Contents5"/>
            <w:tabs>
              <w:tab w:val="clear" w:pos="7892"/>
              <w:tab w:val="right" w:pos="9026" w:leader="dot"/>
            </w:tabs>
            <w:rPr/>
          </w:pPr>
          <w:hyperlink w:anchor="__RefHeading___Toc2933182_2870459653">
            <w:r>
              <w:rPr>
                <w:webHidden/>
                <w:rStyle w:val="IndexLink"/>
                <w:rtl w:val="true"/>
              </w:rPr>
              <w:t>السّبب الرّابع</w:t>
            </w:r>
            <w:r>
              <w:rPr>
                <w:rStyle w:val="IndexLink"/>
                <w:rtl w:val="true"/>
              </w:rPr>
              <w:t xml:space="preserve">: </w:t>
            </w:r>
            <w:r>
              <w:rPr>
                <w:rStyle w:val="IndexLink"/>
                <w:rtl w:val="true"/>
              </w:rPr>
              <w:t>اختلاف معنى الجمعين من جهة اختلاف معنى مفردهما بالدّقة</w:t>
            </w:r>
            <w:r>
              <w:rPr>
                <w:rStyle w:val="IndexLink"/>
                <w:rtl w:val="true"/>
              </w:rPr>
              <w:tab/>
            </w:r>
            <w:r>
              <w:rPr>
                <w:rStyle w:val="IndexLink"/>
              </w:rPr>
              <w:t>86</w:t>
            </w:r>
          </w:hyperlink>
        </w:p>
        <w:p>
          <w:pPr>
            <w:pStyle w:val="Contents6"/>
            <w:tabs>
              <w:tab w:val="clear" w:pos="7609"/>
              <w:tab w:val="right" w:pos="9026" w:leader="dot"/>
            </w:tabs>
            <w:rPr/>
          </w:pPr>
          <w:hyperlink w:anchor="__RefHeading___Toc2933184_2870459653">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2933186_2870459653">
            <w:r>
              <w:rPr>
                <w:webHidden/>
                <w:rStyle w:val="IndexLink"/>
                <w:rtl w:val="true"/>
              </w:rPr>
              <w:t>الجهة الأُولى</w:t>
            </w:r>
            <w:r>
              <w:rPr>
                <w:rStyle w:val="IndexLink"/>
                <w:rtl w:val="true"/>
              </w:rPr>
              <w:tab/>
            </w:r>
            <w:r>
              <w:rPr>
                <w:rStyle w:val="IndexLink"/>
              </w:rPr>
              <w:t>93</w:t>
            </w:r>
          </w:hyperlink>
        </w:p>
        <w:p>
          <w:pPr>
            <w:pStyle w:val="Contents6"/>
            <w:tabs>
              <w:tab w:val="clear" w:pos="7609"/>
              <w:tab w:val="right" w:pos="9026" w:leader="dot"/>
            </w:tabs>
            <w:rPr/>
          </w:pPr>
          <w:hyperlink w:anchor="__RefHeading___Toc2933188_2870459653">
            <w:r>
              <w:rPr>
                <w:webHidden/>
                <w:rStyle w:val="IndexLink"/>
                <w:rtl w:val="true"/>
              </w:rPr>
              <w:t>الجهة الثّانية</w:t>
            </w:r>
            <w:r>
              <w:rPr>
                <w:rStyle w:val="IndexLink"/>
                <w:rtl w:val="true"/>
              </w:rPr>
              <w:tab/>
            </w:r>
            <w:r>
              <w:rPr>
                <w:rStyle w:val="IndexLink"/>
              </w:rPr>
              <w:t>93</w:t>
            </w:r>
          </w:hyperlink>
        </w:p>
        <w:p>
          <w:pPr>
            <w:pStyle w:val="Contents6"/>
            <w:tabs>
              <w:tab w:val="clear" w:pos="7609"/>
              <w:tab w:val="right" w:pos="9026" w:leader="dot"/>
            </w:tabs>
            <w:rPr/>
          </w:pPr>
          <w:hyperlink w:anchor="__RefHeading___Toc2933190_2870459653">
            <w:r>
              <w:rPr>
                <w:webHidden/>
                <w:rStyle w:val="IndexLink"/>
                <w:rtl w:val="true"/>
              </w:rPr>
              <w:t>الجهة الثّالثة</w:t>
            </w:r>
            <w:r>
              <w:rPr>
                <w:rStyle w:val="IndexLink"/>
                <w:rtl w:val="true"/>
              </w:rPr>
              <w:tab/>
            </w:r>
            <w:r>
              <w:rPr>
                <w:rStyle w:val="IndexLink"/>
              </w:rPr>
              <w:t>93</w:t>
            </w:r>
          </w:hyperlink>
        </w:p>
        <w:p>
          <w:pPr>
            <w:pStyle w:val="Contents6"/>
            <w:tabs>
              <w:tab w:val="clear" w:pos="7609"/>
              <w:tab w:val="right" w:pos="9026" w:leader="dot"/>
            </w:tabs>
            <w:rPr/>
          </w:pPr>
          <w:hyperlink w:anchor="__RefHeading___Toc2933192_2870459653">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2933194_2870459653">
            <w:r>
              <w:rPr>
                <w:webHidden/>
                <w:rStyle w:val="IndexLink"/>
                <w:rtl w:val="true"/>
              </w:rPr>
              <w:t>الجهة الأولى</w:t>
            </w:r>
            <w:r>
              <w:rPr>
                <w:rStyle w:val="IndexLink"/>
                <w:rtl w:val="true"/>
              </w:rPr>
              <w:tab/>
            </w:r>
            <w:r>
              <w:rPr>
                <w:rStyle w:val="IndexLink"/>
              </w:rPr>
              <w:t>94</w:t>
            </w:r>
          </w:hyperlink>
        </w:p>
        <w:p>
          <w:pPr>
            <w:pStyle w:val="Contents6"/>
            <w:tabs>
              <w:tab w:val="clear" w:pos="7609"/>
              <w:tab w:val="right" w:pos="9026" w:leader="dot"/>
            </w:tabs>
            <w:rPr/>
          </w:pPr>
          <w:hyperlink w:anchor="__RefHeading___Toc2933196_2870459653">
            <w:r>
              <w:rPr>
                <w:webHidden/>
                <w:rStyle w:val="IndexLink"/>
                <w:rtl w:val="true"/>
              </w:rPr>
              <w:t>الجهة الثّانية</w:t>
            </w:r>
            <w:r>
              <w:rPr>
                <w:rStyle w:val="IndexLink"/>
                <w:rtl w:val="true"/>
              </w:rPr>
              <w:tab/>
            </w:r>
            <w:r>
              <w:rPr>
                <w:rStyle w:val="IndexLink"/>
              </w:rPr>
              <w:t>95</w:t>
            </w:r>
          </w:hyperlink>
        </w:p>
        <w:p>
          <w:pPr>
            <w:pStyle w:val="Contents6"/>
            <w:tabs>
              <w:tab w:val="clear" w:pos="7609"/>
              <w:tab w:val="right" w:pos="9026" w:leader="dot"/>
            </w:tabs>
            <w:rPr/>
          </w:pPr>
          <w:hyperlink w:anchor="__RefHeading___Toc2933198_2870459653">
            <w:r>
              <w:rPr>
                <w:webHidden/>
                <w:rStyle w:val="IndexLink"/>
                <w:rtl w:val="true"/>
              </w:rPr>
              <w:t>الجهة الثّالثة</w:t>
            </w:r>
            <w:r>
              <w:rPr>
                <w:rStyle w:val="IndexLink"/>
                <w:rtl w:val="true"/>
              </w:rPr>
              <w:tab/>
            </w:r>
            <w:r>
              <w:rPr>
                <w:rStyle w:val="IndexLink"/>
              </w:rPr>
              <w:t>95</w:t>
            </w:r>
          </w:hyperlink>
        </w:p>
        <w:p>
          <w:pPr>
            <w:pStyle w:val="Contents6"/>
            <w:tabs>
              <w:tab w:val="clear" w:pos="7609"/>
              <w:tab w:val="right" w:pos="9026" w:leader="dot"/>
            </w:tabs>
            <w:rPr/>
          </w:pPr>
          <w:hyperlink w:anchor="__RefHeading___Toc2933200_2870459653">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2933202_2870459653">
            <w:r>
              <w:rPr>
                <w:webHidden/>
                <w:rStyle w:val="IndexLink"/>
                <w:rtl w:val="true"/>
              </w:rPr>
              <w:t>الأمر الأوَّل</w:t>
            </w:r>
            <w:r>
              <w:rPr>
                <w:rStyle w:val="IndexLink"/>
                <w:rtl w:val="true"/>
              </w:rPr>
              <w:tab/>
            </w:r>
            <w:r>
              <w:rPr>
                <w:rStyle w:val="IndexLink"/>
              </w:rPr>
              <w:t>96</w:t>
            </w:r>
          </w:hyperlink>
        </w:p>
        <w:p>
          <w:pPr>
            <w:pStyle w:val="Contents6"/>
            <w:tabs>
              <w:tab w:val="clear" w:pos="7609"/>
              <w:tab w:val="right" w:pos="9026" w:leader="dot"/>
            </w:tabs>
            <w:rPr/>
          </w:pPr>
          <w:hyperlink w:anchor="__RefHeading___Toc2933204_2870459653">
            <w:r>
              <w:rPr>
                <w:webHidden/>
                <w:rStyle w:val="IndexLink"/>
                <w:rtl w:val="true"/>
              </w:rPr>
              <w:t>الأمر الثّاني</w:t>
            </w:r>
            <w:r>
              <w:rPr>
                <w:rStyle w:val="IndexLink"/>
                <w:rtl w:val="true"/>
              </w:rPr>
              <w:tab/>
            </w:r>
            <w:r>
              <w:rPr>
                <w:rStyle w:val="IndexLink"/>
              </w:rPr>
              <w:t>98</w:t>
            </w:r>
          </w:hyperlink>
        </w:p>
        <w:p>
          <w:pPr>
            <w:pStyle w:val="Contents6"/>
            <w:tabs>
              <w:tab w:val="clear" w:pos="7609"/>
              <w:tab w:val="right" w:pos="9026" w:leader="dot"/>
            </w:tabs>
            <w:rPr/>
          </w:pPr>
          <w:hyperlink w:anchor="__RefHeading___Toc2933206_2870459653">
            <w:r>
              <w:rPr>
                <w:webHidden/>
                <w:rStyle w:val="IndexLink"/>
                <w:rtl w:val="true"/>
              </w:rPr>
              <w:t>الأمر الثّالث</w:t>
            </w:r>
            <w:r>
              <w:rPr>
                <w:rStyle w:val="IndexLink"/>
                <w:rtl w:val="true"/>
              </w:rPr>
              <w:tab/>
            </w:r>
            <w:r>
              <w:rPr>
                <w:rStyle w:val="IndexLink"/>
              </w:rPr>
              <w:t>100</w:t>
            </w:r>
          </w:hyperlink>
        </w:p>
        <w:p>
          <w:pPr>
            <w:pStyle w:val="Contents6"/>
            <w:tabs>
              <w:tab w:val="clear" w:pos="7609"/>
              <w:tab w:val="right" w:pos="9026" w:leader="dot"/>
            </w:tabs>
            <w:rPr/>
          </w:pPr>
          <w:hyperlink w:anchor="__RefHeading___Toc2933208_2870459653">
            <w:r>
              <w:rPr>
                <w:webHidden/>
                <w:rStyle w:val="IndexLink"/>
                <w:rtl w:val="true"/>
              </w:rPr>
              <w:t>الأمر الرّابع</w:t>
            </w:r>
            <w:r>
              <w:rPr>
                <w:rStyle w:val="IndexLink"/>
                <w:rtl w:val="true"/>
              </w:rPr>
              <w:tab/>
            </w:r>
            <w:r>
              <w:rPr>
                <w:rStyle w:val="IndexLink"/>
              </w:rPr>
              <w:t>100</w:t>
            </w:r>
          </w:hyperlink>
        </w:p>
        <w:p>
          <w:pPr>
            <w:pStyle w:val="Contents6"/>
            <w:tabs>
              <w:tab w:val="clear" w:pos="7609"/>
              <w:tab w:val="right" w:pos="9026" w:leader="dot"/>
            </w:tabs>
            <w:rPr/>
          </w:pPr>
          <w:hyperlink w:anchor="__RefHeading___Toc2933210_2870459653">
            <w:r>
              <w:rPr>
                <w:webHidden/>
                <w:rStyle w:val="IndexLink"/>
                <w:rtl w:val="true"/>
              </w:rPr>
              <w:t>الأمر الخامس</w:t>
            </w:r>
            <w:r>
              <w:rPr>
                <w:rStyle w:val="IndexLink"/>
                <w:rtl w:val="true"/>
              </w:rPr>
              <w:tab/>
            </w:r>
            <w:r>
              <w:rPr>
                <w:rStyle w:val="IndexLink"/>
              </w:rPr>
              <w:t>100</w:t>
            </w:r>
          </w:hyperlink>
        </w:p>
        <w:p>
          <w:pPr>
            <w:pStyle w:val="Contents6"/>
            <w:tabs>
              <w:tab w:val="clear" w:pos="7609"/>
              <w:tab w:val="right" w:pos="9026" w:leader="dot"/>
            </w:tabs>
            <w:rPr/>
          </w:pPr>
          <w:hyperlink w:anchor="__RefHeading___Toc2933212_2870459653">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2933214_2870459653">
            <w:r>
              <w:rPr>
                <w:webHidden/>
                <w:rStyle w:val="IndexLink"/>
                <w:rtl w:val="true"/>
              </w:rPr>
              <w:t>الجهة الأُولى</w:t>
            </w:r>
            <w:r>
              <w:rPr>
                <w:rStyle w:val="IndexLink"/>
                <w:rtl w:val="true"/>
              </w:rPr>
              <w:tab/>
            </w:r>
            <w:r>
              <w:rPr>
                <w:rStyle w:val="IndexLink"/>
              </w:rPr>
              <w:t>103</w:t>
            </w:r>
          </w:hyperlink>
        </w:p>
        <w:p>
          <w:pPr>
            <w:pStyle w:val="Contents6"/>
            <w:tabs>
              <w:tab w:val="clear" w:pos="7609"/>
              <w:tab w:val="right" w:pos="9026" w:leader="dot"/>
            </w:tabs>
            <w:rPr/>
          </w:pPr>
          <w:hyperlink w:anchor="__RefHeading___Toc2933216_2870459653">
            <w:r>
              <w:rPr>
                <w:webHidden/>
                <w:rStyle w:val="IndexLink"/>
                <w:rtl w:val="true"/>
              </w:rPr>
              <w:t>الجهة الثّانية</w:t>
            </w:r>
            <w:r>
              <w:rPr>
                <w:rStyle w:val="IndexLink"/>
                <w:rtl w:val="true"/>
              </w:rPr>
              <w:tab/>
            </w:r>
            <w:r>
              <w:rPr>
                <w:rStyle w:val="IndexLink"/>
              </w:rPr>
              <w:t>103</w:t>
            </w:r>
          </w:hyperlink>
        </w:p>
        <w:p>
          <w:pPr>
            <w:pStyle w:val="Contents6"/>
            <w:tabs>
              <w:tab w:val="clear" w:pos="7609"/>
              <w:tab w:val="right" w:pos="9026" w:leader="dot"/>
            </w:tabs>
            <w:rPr/>
          </w:pPr>
          <w:hyperlink w:anchor="__RefHeading___Toc2933218_2870459653">
            <w:r>
              <w:rPr>
                <w:webHidden/>
                <w:rStyle w:val="IndexLink"/>
                <w:rtl w:val="true"/>
              </w:rPr>
              <w:t>الجهة الثّالثة</w:t>
            </w:r>
            <w:r>
              <w:rPr>
                <w:rStyle w:val="IndexLink"/>
                <w:rtl w:val="true"/>
              </w:rPr>
              <w:tab/>
            </w:r>
            <w:r>
              <w:rPr>
                <w:rStyle w:val="IndexLink"/>
              </w:rPr>
              <w:t>104</w:t>
            </w:r>
          </w:hyperlink>
        </w:p>
        <w:p>
          <w:pPr>
            <w:pStyle w:val="Contents5"/>
            <w:tabs>
              <w:tab w:val="clear" w:pos="7892"/>
              <w:tab w:val="right" w:pos="9026" w:leader="dot"/>
            </w:tabs>
            <w:rPr/>
          </w:pPr>
          <w:hyperlink w:anchor="__RefHeading___Toc2933220_2870459653">
            <w:r>
              <w:rPr>
                <w:webHidden/>
                <w:rStyle w:val="IndexLink"/>
                <w:rtl w:val="true"/>
              </w:rPr>
              <w:t>السّبب الخامس</w:t>
            </w:r>
            <w:r>
              <w:rPr>
                <w:rStyle w:val="IndexLink"/>
                <w:rtl w:val="true"/>
              </w:rPr>
              <w:t xml:space="preserve">: </w:t>
            </w:r>
            <w:r>
              <w:rPr>
                <w:rStyle w:val="IndexLink"/>
                <w:rtl w:val="true"/>
              </w:rPr>
              <w:t xml:space="preserve">أروعيّة تمثيل بعض الجموع </w:t>
            </w:r>
            <w:r>
              <w:rPr>
                <w:rStyle w:val="IndexLink"/>
                <w:rtl w:val="true"/>
              </w:rPr>
              <w:t xml:space="preserve">- </w:t>
            </w:r>
            <w:r>
              <w:rPr>
                <w:rStyle w:val="IndexLink"/>
                <w:rtl w:val="true"/>
              </w:rPr>
              <w:t xml:space="preserve">من حيث حروفها وهيئاتها </w:t>
            </w:r>
            <w:r>
              <w:rPr>
                <w:rStyle w:val="IndexLink"/>
                <w:rtl w:val="true"/>
              </w:rPr>
              <w:t xml:space="preserve">- </w:t>
            </w:r>
            <w:r>
              <w:rPr>
                <w:rStyle w:val="IndexLink"/>
                <w:rtl w:val="true"/>
              </w:rPr>
              <w:t>لبعض جوانب المعنى</w:t>
            </w:r>
            <w:r>
              <w:rPr>
                <w:rStyle w:val="IndexLink"/>
                <w:rtl w:val="true"/>
              </w:rPr>
              <w:tab/>
            </w:r>
            <w:r>
              <w:rPr>
                <w:rStyle w:val="IndexLink"/>
              </w:rPr>
              <w:t>105</w:t>
            </w:r>
          </w:hyperlink>
        </w:p>
        <w:p>
          <w:pPr>
            <w:pStyle w:val="Contents6"/>
            <w:tabs>
              <w:tab w:val="clear" w:pos="7609"/>
              <w:tab w:val="right" w:pos="9026" w:leader="dot"/>
            </w:tabs>
            <w:rPr/>
          </w:pPr>
          <w:hyperlink w:anchor="__RefHeading___Toc2933222_2870459653">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2933224_2870459653">
            <w:r>
              <w:rPr>
                <w:webHidden/>
                <w:rStyle w:val="IndexLink"/>
                <w:rtl w:val="true"/>
              </w:rPr>
              <w:t>من أمثلة هذه الحالة</w:t>
            </w:r>
            <w:r>
              <w:rPr>
                <w:rStyle w:val="IndexLink"/>
                <w:rtl w:val="true"/>
              </w:rPr>
              <w:tab/>
            </w:r>
            <w:r>
              <w:rPr>
                <w:rStyle w:val="IndexLink"/>
              </w:rPr>
              <w:t>109</w:t>
            </w:r>
          </w:hyperlink>
        </w:p>
        <w:p>
          <w:pPr>
            <w:pStyle w:val="Contents6"/>
            <w:tabs>
              <w:tab w:val="clear" w:pos="7609"/>
              <w:tab w:val="right" w:pos="9026" w:leader="dot"/>
            </w:tabs>
            <w:rPr/>
          </w:pPr>
          <w:hyperlink w:anchor="__RefHeading___Toc2933226_2870459653">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2933228_2870459653">
            <w:r>
              <w:rPr>
                <w:webHidden/>
                <w:rStyle w:val="IndexLink"/>
                <w:rtl w:val="true"/>
              </w:rPr>
              <w:t>المورد الأوَّل</w:t>
            </w:r>
            <w:r>
              <w:rPr>
                <w:rStyle w:val="IndexLink"/>
                <w:rtl w:val="true"/>
              </w:rPr>
              <w:tab/>
            </w:r>
            <w:r>
              <w:rPr>
                <w:rStyle w:val="IndexLink"/>
              </w:rPr>
              <w:t>109</w:t>
            </w:r>
          </w:hyperlink>
        </w:p>
        <w:p>
          <w:pPr>
            <w:pStyle w:val="Contents6"/>
            <w:tabs>
              <w:tab w:val="clear" w:pos="7609"/>
              <w:tab w:val="right" w:pos="9026" w:leader="dot"/>
            </w:tabs>
            <w:rPr/>
          </w:pPr>
          <w:hyperlink w:anchor="__RefHeading___Toc2933230_2870459653">
            <w:r>
              <w:rPr>
                <w:webHidden/>
                <w:rStyle w:val="IndexLink"/>
                <w:rtl w:val="true"/>
              </w:rPr>
              <w:t>المورد الثّاني</w:t>
            </w:r>
            <w:r>
              <w:rPr>
                <w:rStyle w:val="IndexLink"/>
                <w:rtl w:val="true"/>
              </w:rPr>
              <w:tab/>
            </w:r>
            <w:r>
              <w:rPr>
                <w:rStyle w:val="IndexLink"/>
              </w:rPr>
              <w:t>109</w:t>
            </w:r>
          </w:hyperlink>
        </w:p>
        <w:p>
          <w:pPr>
            <w:pStyle w:val="Contents6"/>
            <w:tabs>
              <w:tab w:val="clear" w:pos="7609"/>
              <w:tab w:val="right" w:pos="9026" w:leader="dot"/>
            </w:tabs>
            <w:rPr/>
          </w:pPr>
          <w:hyperlink w:anchor="__RefHeading___Toc2933232_2870459653">
            <w:r>
              <w:rPr>
                <w:webHidden/>
                <w:rStyle w:val="IndexLink"/>
                <w:rtl w:val="true"/>
              </w:rPr>
              <w:t>المورد الثّالث</w:t>
            </w:r>
            <w:r>
              <w:rPr>
                <w:rStyle w:val="IndexLink"/>
                <w:rtl w:val="true"/>
              </w:rPr>
              <w:tab/>
            </w:r>
            <w:r>
              <w:rPr>
                <w:rStyle w:val="IndexLink"/>
              </w:rPr>
              <w:t>111</w:t>
            </w:r>
          </w:hyperlink>
        </w:p>
        <w:p>
          <w:pPr>
            <w:pStyle w:val="Contents6"/>
            <w:tabs>
              <w:tab w:val="clear" w:pos="7609"/>
              <w:tab w:val="right" w:pos="9026" w:leader="dot"/>
            </w:tabs>
            <w:rPr/>
          </w:pPr>
          <w:hyperlink w:anchor="__RefHeading___Toc2933234_2870459653">
            <w:r>
              <w:rPr>
                <w:webHidden/>
                <w:rStyle w:val="IndexLink"/>
                <w:rtl w:val="true"/>
              </w:rPr>
              <w:t>المورد الرّابع</w:t>
            </w:r>
            <w:r>
              <w:rPr>
                <w:rStyle w:val="IndexLink"/>
                <w:rtl w:val="true"/>
              </w:rPr>
              <w:tab/>
            </w:r>
            <w:r>
              <w:rPr>
                <w:rStyle w:val="IndexLink"/>
              </w:rPr>
              <w:t>111</w:t>
            </w:r>
          </w:hyperlink>
        </w:p>
        <w:p>
          <w:pPr>
            <w:pStyle w:val="Contents6"/>
            <w:tabs>
              <w:tab w:val="clear" w:pos="7609"/>
              <w:tab w:val="right" w:pos="9026" w:leader="dot"/>
            </w:tabs>
            <w:rPr/>
          </w:pPr>
          <w:hyperlink w:anchor="__RefHeading___Toc2933236_2870459653">
            <w:r>
              <w:rPr>
                <w:webHidden/>
                <w:rStyle w:val="IndexLink"/>
                <w:rtl w:val="true"/>
              </w:rPr>
              <w:t>المورد الخامس</w:t>
            </w:r>
            <w:r>
              <w:rPr>
                <w:rStyle w:val="IndexLink"/>
                <w:rtl w:val="true"/>
              </w:rPr>
              <w:tab/>
            </w:r>
            <w:r>
              <w:rPr>
                <w:rStyle w:val="IndexLink"/>
              </w:rPr>
              <w:t>112</w:t>
            </w:r>
          </w:hyperlink>
        </w:p>
        <w:p>
          <w:pPr>
            <w:pStyle w:val="Contents6"/>
            <w:tabs>
              <w:tab w:val="clear" w:pos="7609"/>
              <w:tab w:val="right" w:pos="9026" w:leader="dot"/>
            </w:tabs>
            <w:rPr/>
          </w:pPr>
          <w:hyperlink w:anchor="__RefHeading___Toc2933238_2870459653">
            <w:r>
              <w:rPr>
                <w:webHidden/>
                <w:rStyle w:val="IndexLink"/>
                <w:rtl w:val="true"/>
              </w:rPr>
              <w:t>المورد السّادس</w:t>
            </w:r>
            <w:r>
              <w:rPr>
                <w:rStyle w:val="IndexLink"/>
                <w:rtl w:val="true"/>
              </w:rPr>
              <w:tab/>
            </w:r>
            <w:r>
              <w:rPr>
                <w:rStyle w:val="IndexLink"/>
              </w:rPr>
              <w:t>114</w:t>
            </w:r>
          </w:hyperlink>
        </w:p>
        <w:p>
          <w:pPr>
            <w:pStyle w:val="Contents5"/>
            <w:tabs>
              <w:tab w:val="clear" w:pos="7892"/>
              <w:tab w:val="right" w:pos="9026" w:leader="dot"/>
            </w:tabs>
            <w:rPr/>
          </w:pPr>
          <w:hyperlink w:anchor="__RefHeading___Toc2933240_2870459653">
            <w:r>
              <w:rPr>
                <w:webHidden/>
                <w:rStyle w:val="IndexLink"/>
                <w:rtl w:val="true"/>
              </w:rPr>
              <w:t>السّبب السّادس</w:t>
            </w:r>
            <w:r>
              <w:rPr>
                <w:rStyle w:val="IndexLink"/>
                <w:rtl w:val="true"/>
              </w:rPr>
              <w:t xml:space="preserve">: </w:t>
            </w:r>
            <w:r>
              <w:rPr>
                <w:rStyle w:val="IndexLink"/>
                <w:rtl w:val="true"/>
              </w:rPr>
              <w:t>أروعيّة بعض الجموع من بعض من حيث جمالها الذّاتي</w:t>
            </w:r>
            <w:r>
              <w:rPr>
                <w:rStyle w:val="IndexLink"/>
                <w:rtl w:val="true"/>
              </w:rPr>
              <w:tab/>
            </w:r>
            <w:r>
              <w:rPr>
                <w:rStyle w:val="IndexLink"/>
              </w:rPr>
              <w:t>121</w:t>
            </w:r>
          </w:hyperlink>
        </w:p>
        <w:p>
          <w:pPr>
            <w:pStyle w:val="Contents6"/>
            <w:tabs>
              <w:tab w:val="clear" w:pos="7609"/>
              <w:tab w:val="right" w:pos="9026" w:leader="dot"/>
            </w:tabs>
            <w:rPr/>
          </w:pPr>
          <w:hyperlink w:anchor="__RefHeading___Toc2933242_2870459653">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2933244_2870459653">
            <w:r>
              <w:rPr>
                <w:webHidden/>
                <w:rStyle w:val="IndexLink"/>
                <w:rtl w:val="true"/>
              </w:rPr>
              <w:t>من أمثلة هذه الحالة</w:t>
            </w:r>
            <w:r>
              <w:rPr>
                <w:rStyle w:val="IndexLink"/>
                <w:rtl w:val="true"/>
              </w:rPr>
              <w:tab/>
            </w:r>
            <w:r>
              <w:rPr>
                <w:rStyle w:val="IndexLink"/>
              </w:rPr>
              <w:t>122</w:t>
            </w:r>
          </w:hyperlink>
        </w:p>
        <w:p>
          <w:pPr>
            <w:pStyle w:val="Contents5"/>
            <w:tabs>
              <w:tab w:val="clear" w:pos="7892"/>
              <w:tab w:val="right" w:pos="9026" w:leader="dot"/>
            </w:tabs>
            <w:rPr/>
          </w:pPr>
          <w:hyperlink w:anchor="__RefHeading___Toc2933246_2870459653">
            <w:r>
              <w:rPr>
                <w:webHidden/>
                <w:rStyle w:val="IndexLink"/>
                <w:rtl w:val="true"/>
              </w:rPr>
              <w:t>السّبب السّابع</w:t>
            </w:r>
            <w:r>
              <w:rPr>
                <w:rStyle w:val="IndexLink"/>
                <w:rtl w:val="true"/>
              </w:rPr>
              <w:t xml:space="preserve">: </w:t>
            </w:r>
            <w:r>
              <w:rPr>
                <w:rStyle w:val="IndexLink"/>
                <w:rtl w:val="true"/>
              </w:rPr>
              <w:t>أولويّة بعض الجمع من بعضٍ في آخر الجملة لتحقيق سجع، أو موازنة ونحو ذلك</w:t>
            </w:r>
            <w:r>
              <w:rPr>
                <w:rStyle w:val="IndexLink"/>
                <w:rtl w:val="true"/>
              </w:rPr>
              <w:tab/>
            </w:r>
            <w:r>
              <w:rPr>
                <w:rStyle w:val="IndexLink"/>
              </w:rPr>
              <w:t>129</w:t>
            </w:r>
          </w:hyperlink>
        </w:p>
        <w:p>
          <w:pPr>
            <w:pStyle w:val="Contents6"/>
            <w:tabs>
              <w:tab w:val="clear" w:pos="7609"/>
              <w:tab w:val="right" w:pos="9026" w:leader="dot"/>
            </w:tabs>
            <w:rPr/>
          </w:pPr>
          <w:hyperlink w:anchor="__RefHeading___Toc2933248_2870459653">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2933250_2870459653">
            <w:r>
              <w:rPr>
                <w:webHidden/>
                <w:rStyle w:val="IndexLink"/>
                <w:rtl w:val="true"/>
              </w:rPr>
              <w:t>من أمثلة هذه الحالة</w:t>
            </w:r>
            <w:r>
              <w:rPr>
                <w:rStyle w:val="IndexLink"/>
                <w:rtl w:val="true"/>
              </w:rPr>
              <w:tab/>
            </w:r>
            <w:r>
              <w:rPr>
                <w:rStyle w:val="IndexLink"/>
              </w:rPr>
              <w:t>133</w:t>
            </w:r>
          </w:hyperlink>
        </w:p>
        <w:p>
          <w:pPr>
            <w:pStyle w:val="Contents6"/>
            <w:tabs>
              <w:tab w:val="clear" w:pos="7609"/>
              <w:tab w:val="right" w:pos="9026" w:leader="dot"/>
            </w:tabs>
            <w:rPr/>
          </w:pPr>
          <w:hyperlink w:anchor="__RefHeading___Toc2933252_2870459653">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2933254_2870459653">
            <w:r>
              <w:rPr>
                <w:webHidden/>
                <w:rStyle w:val="IndexLink"/>
                <w:rtl w:val="true"/>
              </w:rPr>
              <w:t>القسم الأوَّل</w:t>
            </w:r>
            <w:r>
              <w:rPr>
                <w:rStyle w:val="IndexLink"/>
                <w:rtl w:val="true"/>
              </w:rPr>
              <w:tab/>
            </w:r>
            <w:r>
              <w:rPr>
                <w:rStyle w:val="IndexLink"/>
              </w:rPr>
              <w:t>133</w:t>
            </w:r>
          </w:hyperlink>
        </w:p>
        <w:p>
          <w:pPr>
            <w:pStyle w:val="Contents6"/>
            <w:tabs>
              <w:tab w:val="clear" w:pos="7609"/>
              <w:tab w:val="right" w:pos="9026" w:leader="dot"/>
            </w:tabs>
            <w:rPr/>
          </w:pPr>
          <w:hyperlink w:anchor="__RefHeading___Toc2933256_2870459653">
            <w:r>
              <w:rPr>
                <w:webHidden/>
                <w:rStyle w:val="IndexLink"/>
                <w:rtl w:val="true"/>
              </w:rPr>
              <w:t>القسم الآخر</w:t>
            </w:r>
            <w:r>
              <w:rPr>
                <w:rStyle w:val="IndexLink"/>
                <w:rtl w:val="true"/>
              </w:rPr>
              <w:tab/>
            </w:r>
            <w:r>
              <w:rPr>
                <w:rStyle w:val="IndexLink"/>
              </w:rPr>
              <w:t>134</w:t>
            </w:r>
          </w:hyperlink>
        </w:p>
        <w:p>
          <w:pPr>
            <w:pStyle w:val="Contents5"/>
            <w:tabs>
              <w:tab w:val="clear" w:pos="7892"/>
              <w:tab w:val="right" w:pos="9026" w:leader="dot"/>
            </w:tabs>
            <w:rPr/>
          </w:pPr>
          <w:hyperlink w:anchor="__RefHeading___Toc2933258_2870459653">
            <w:r>
              <w:rPr>
                <w:webHidden/>
                <w:rStyle w:val="IndexLink"/>
                <w:rtl w:val="true"/>
              </w:rPr>
              <w:t>السّبب الثّامن</w:t>
            </w:r>
            <w:r>
              <w:rPr>
                <w:rStyle w:val="IndexLink"/>
                <w:rtl w:val="true"/>
              </w:rPr>
              <w:t xml:space="preserve">: </w:t>
            </w:r>
            <w:r>
              <w:rPr>
                <w:rStyle w:val="IndexLink"/>
                <w:rtl w:val="true"/>
              </w:rPr>
              <w:t>أولويّة بعض الجموع من بعض في أثناء الجملة لتحقيق توازن لها مع جملة أخرى</w:t>
            </w:r>
            <w:r>
              <w:rPr>
                <w:rStyle w:val="IndexLink"/>
                <w:rtl w:val="true"/>
              </w:rPr>
              <w:tab/>
            </w:r>
            <w:r>
              <w:rPr>
                <w:rStyle w:val="IndexLink"/>
              </w:rPr>
              <w:t>137</w:t>
            </w:r>
          </w:hyperlink>
        </w:p>
        <w:p>
          <w:pPr>
            <w:pStyle w:val="Contents5"/>
            <w:tabs>
              <w:tab w:val="clear" w:pos="7892"/>
              <w:tab w:val="right" w:pos="9026" w:leader="dot"/>
            </w:tabs>
            <w:rPr/>
          </w:pPr>
          <w:hyperlink w:anchor="__RefHeading___Toc2933260_2870459653">
            <w:r>
              <w:rPr>
                <w:webHidden/>
                <w:rStyle w:val="IndexLink"/>
                <w:rtl w:val="true"/>
              </w:rPr>
              <w:t>السّبب التّاسع</w:t>
            </w:r>
            <w:r>
              <w:rPr>
                <w:rStyle w:val="IndexLink"/>
                <w:rtl w:val="true"/>
              </w:rPr>
              <w:t xml:space="preserve">: </w:t>
            </w:r>
            <w:r>
              <w:rPr>
                <w:rStyle w:val="IndexLink"/>
                <w:rtl w:val="true"/>
              </w:rPr>
              <w:t>أولويّة بعض الجموع من بعض لتحقيق تماثل أو توازن مع كلمة أخرى في نفس الجملة</w:t>
            </w:r>
            <w:r>
              <w:rPr>
                <w:rStyle w:val="IndexLink"/>
                <w:rtl w:val="true"/>
              </w:rPr>
              <w:tab/>
            </w:r>
            <w:r>
              <w:rPr>
                <w:rStyle w:val="IndexLink"/>
              </w:rPr>
              <w:t>140</w:t>
            </w:r>
          </w:hyperlink>
        </w:p>
        <w:p>
          <w:pPr>
            <w:pStyle w:val="Contents6"/>
            <w:tabs>
              <w:tab w:val="clear" w:pos="7609"/>
              <w:tab w:val="right" w:pos="9026" w:leader="dot"/>
            </w:tabs>
            <w:rPr/>
          </w:pPr>
          <w:hyperlink w:anchor="__RefHeading___Toc2933262_2870459653">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2933264_2870459653">
            <w:r>
              <w:rPr>
                <w:webHidden/>
                <w:rStyle w:val="IndexLink"/>
                <w:rtl w:val="true"/>
              </w:rPr>
              <w:t>النّحو الأوَّل</w:t>
            </w:r>
            <w:r>
              <w:rPr>
                <w:rStyle w:val="IndexLink"/>
                <w:rtl w:val="true"/>
              </w:rPr>
              <w:t xml:space="preserve">: </w:t>
            </w:r>
            <w:r>
              <w:rPr>
                <w:rStyle w:val="IndexLink"/>
                <w:rtl w:val="true"/>
              </w:rPr>
              <w:t>أنْ يكون لتناسب الموصوف والوصف، والمقصود بهما</w:t>
            </w:r>
            <w:r>
              <w:rPr>
                <w:rStyle w:val="IndexLink"/>
                <w:rtl w:val="true"/>
              </w:rPr>
              <w:t>...</w:t>
              <w:tab/>
            </w:r>
            <w:r>
              <w:rPr>
                <w:rStyle w:val="IndexLink"/>
              </w:rPr>
              <w:t>140</w:t>
            </w:r>
          </w:hyperlink>
        </w:p>
        <w:p>
          <w:pPr>
            <w:pStyle w:val="Contents6"/>
            <w:tabs>
              <w:tab w:val="clear" w:pos="7609"/>
              <w:tab w:val="right" w:pos="9026" w:leader="dot"/>
            </w:tabs>
            <w:rPr/>
          </w:pPr>
          <w:hyperlink w:anchor="__RefHeading___Toc2933266_2870459653">
            <w:r>
              <w:rPr>
                <w:webHidden/>
                <w:rStyle w:val="IndexLink"/>
                <w:rtl w:val="true"/>
              </w:rPr>
              <w:t>النّحو الثّاني</w:t>
            </w:r>
            <w:r>
              <w:rPr>
                <w:rStyle w:val="IndexLink"/>
                <w:rtl w:val="true"/>
              </w:rPr>
              <w:t xml:space="preserve">: </w:t>
            </w:r>
            <w:r>
              <w:rPr>
                <w:rStyle w:val="IndexLink"/>
                <w:rtl w:val="true"/>
              </w:rPr>
              <w:t>أنْ يكون لتناسب وصفين لموصوف واحد، ومن ذلك</w:t>
            </w:r>
            <w:r>
              <w:rPr>
                <w:rStyle w:val="IndexLink"/>
                <w:rtl w:val="true"/>
              </w:rPr>
              <w:t>..</w:t>
              <w:tab/>
            </w:r>
            <w:r>
              <w:rPr>
                <w:rStyle w:val="IndexLink"/>
              </w:rPr>
              <w:t>140</w:t>
            </w:r>
          </w:hyperlink>
        </w:p>
        <w:p>
          <w:pPr>
            <w:pStyle w:val="Contents6"/>
            <w:tabs>
              <w:tab w:val="clear" w:pos="7609"/>
              <w:tab w:val="right" w:pos="9026" w:leader="dot"/>
            </w:tabs>
            <w:rPr/>
          </w:pPr>
          <w:hyperlink w:anchor="__RefHeading___Toc2933268_2870459653">
            <w:r>
              <w:rPr>
                <w:webHidden/>
                <w:rStyle w:val="IndexLink"/>
                <w:rtl w:val="true"/>
              </w:rPr>
              <w:t>النّحو الثّالث</w:t>
            </w:r>
            <w:r>
              <w:rPr>
                <w:rStyle w:val="IndexLink"/>
                <w:rtl w:val="true"/>
              </w:rPr>
              <w:t xml:space="preserve">: </w:t>
            </w:r>
            <w:r>
              <w:rPr>
                <w:rStyle w:val="IndexLink"/>
                <w:rtl w:val="true"/>
              </w:rPr>
              <w:t>أنْ يكون لتناسب المعطوف والمعطوف عليه، ومن أمثلة ذلك</w:t>
            </w:r>
            <w:r>
              <w:rPr>
                <w:rStyle w:val="IndexLink"/>
                <w:rtl w:val="true"/>
              </w:rPr>
              <w:t>..</w:t>
              <w:tab/>
            </w:r>
            <w:r>
              <w:rPr>
                <w:rStyle w:val="IndexLink"/>
              </w:rPr>
              <w:t>141</w:t>
            </w:r>
          </w:hyperlink>
        </w:p>
        <w:p>
          <w:pPr>
            <w:pStyle w:val="Contents6"/>
            <w:tabs>
              <w:tab w:val="clear" w:pos="7609"/>
              <w:tab w:val="right" w:pos="9026" w:leader="dot"/>
            </w:tabs>
            <w:rPr/>
          </w:pPr>
          <w:hyperlink w:anchor="__RefHeading___Toc2933270_2870459653">
            <w:r>
              <w:rPr>
                <w:webHidden/>
                <w:rStyle w:val="IndexLink"/>
                <w:rtl w:val="true"/>
              </w:rPr>
              <w:t>النّحو الرابع</w:t>
            </w:r>
            <w:r>
              <w:rPr>
                <w:rStyle w:val="IndexLink"/>
                <w:rtl w:val="true"/>
              </w:rPr>
              <w:t xml:space="preserve">: </w:t>
            </w:r>
            <w:r>
              <w:rPr>
                <w:rStyle w:val="IndexLink"/>
                <w:rtl w:val="true"/>
              </w:rPr>
              <w:t>أنْ يكون على غير الأنحاء السّابقة</w:t>
            </w:r>
            <w:r>
              <w:rPr>
                <w:rStyle w:val="IndexLink"/>
                <w:rtl w:val="true"/>
              </w:rPr>
              <w:t xml:space="preserve">, </w:t>
            </w:r>
            <w:r>
              <w:rPr>
                <w:rStyle w:val="IndexLink"/>
                <w:rtl w:val="true"/>
              </w:rPr>
              <w:t>ومن أمثلة ذلك</w:t>
            </w:r>
            <w:r>
              <w:rPr>
                <w:rStyle w:val="IndexLink"/>
                <w:rtl w:val="true"/>
              </w:rPr>
              <w:t>..</w:t>
              <w:tab/>
            </w:r>
            <w:r>
              <w:rPr>
                <w:rStyle w:val="IndexLink"/>
              </w:rPr>
              <w:t>143</w:t>
            </w:r>
          </w:hyperlink>
        </w:p>
        <w:p>
          <w:pPr>
            <w:pStyle w:val="Contents5"/>
            <w:tabs>
              <w:tab w:val="clear" w:pos="7892"/>
              <w:tab w:val="right" w:pos="9026" w:leader="dot"/>
            </w:tabs>
            <w:rPr/>
          </w:pPr>
          <w:hyperlink w:anchor="__RefHeading___Toc2933272_2870459653">
            <w:r>
              <w:rPr>
                <w:webHidden/>
                <w:rStyle w:val="IndexLink"/>
                <w:rtl w:val="true"/>
              </w:rPr>
              <w:t>السّبب العاشر</w:t>
            </w:r>
            <w:r>
              <w:rPr>
                <w:rStyle w:val="IndexLink"/>
                <w:rtl w:val="true"/>
              </w:rPr>
              <w:t xml:space="preserve">: </w:t>
            </w:r>
            <w:r>
              <w:rPr>
                <w:rStyle w:val="IndexLink"/>
                <w:rtl w:val="true"/>
              </w:rPr>
              <w:t>أجمليّة الجملة مع أحد الجمعين منها مع الجمع الآخر</w:t>
            </w:r>
            <w:r>
              <w:rPr>
                <w:rStyle w:val="IndexLink"/>
                <w:rtl w:val="true"/>
              </w:rPr>
              <w:tab/>
            </w:r>
            <w:r>
              <w:rPr>
                <w:rStyle w:val="IndexLink"/>
              </w:rPr>
              <w:t>145</w:t>
            </w:r>
          </w:hyperlink>
        </w:p>
        <w:p>
          <w:pPr>
            <w:pStyle w:val="Contents5"/>
            <w:tabs>
              <w:tab w:val="clear" w:pos="7892"/>
              <w:tab w:val="right" w:pos="9026" w:leader="dot"/>
            </w:tabs>
            <w:rPr/>
          </w:pPr>
          <w:hyperlink w:anchor="__RefHeading___Toc2933274_2870459653">
            <w:r>
              <w:rPr>
                <w:webHidden/>
                <w:rStyle w:val="IndexLink"/>
                <w:rtl w:val="true"/>
              </w:rPr>
              <w:t>السّبب الحادي عشر</w:t>
            </w:r>
            <w:r>
              <w:rPr>
                <w:rStyle w:val="IndexLink"/>
                <w:rtl w:val="true"/>
              </w:rPr>
              <w:t xml:space="preserve">: </w:t>
            </w:r>
            <w:r>
              <w:rPr>
                <w:rStyle w:val="IndexLink"/>
                <w:rtl w:val="true"/>
              </w:rPr>
              <w:t>أخفيَّة لفظ أحد الجمعين من الآخر</w:t>
            </w:r>
            <w:r>
              <w:rPr>
                <w:rStyle w:val="IndexLink"/>
                <w:rtl w:val="true"/>
              </w:rPr>
              <w:tab/>
            </w:r>
            <w:r>
              <w:rPr>
                <w:rStyle w:val="IndexLink"/>
              </w:rPr>
              <w:t>156</w:t>
            </w:r>
          </w:hyperlink>
        </w:p>
        <w:p>
          <w:pPr>
            <w:pStyle w:val="Contents4"/>
            <w:tabs>
              <w:tab w:val="clear" w:pos="8176"/>
              <w:tab w:val="right" w:pos="9026" w:leader="dot"/>
            </w:tabs>
            <w:rPr/>
          </w:pPr>
          <w:hyperlink w:anchor="__RefHeading___Toc2933276_2870459653">
            <w:r>
              <w:rPr>
                <w:webHidden/>
                <w:rStyle w:val="IndexLink"/>
                <w:rtl w:val="true"/>
              </w:rPr>
              <w:t>حالات التّزاحم بين مزايا مختلفة</w:t>
            </w:r>
            <w:r>
              <w:rPr>
                <w:rStyle w:val="IndexLink"/>
                <w:rtl w:val="true"/>
              </w:rPr>
              <w:tab/>
            </w:r>
            <w:r>
              <w:rPr>
                <w:rStyle w:val="IndexLink"/>
              </w:rPr>
              <w:t>164</w:t>
            </w:r>
          </w:hyperlink>
        </w:p>
        <w:p>
          <w:pPr>
            <w:pStyle w:val="Contents5"/>
            <w:tabs>
              <w:tab w:val="clear" w:pos="7892"/>
              <w:tab w:val="right" w:pos="9026" w:leader="dot"/>
            </w:tabs>
            <w:rPr/>
          </w:pPr>
          <w:hyperlink w:anchor="__RefHeading___Toc2933278_2870459653">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2933280_2870459653">
            <w:r>
              <w:rPr>
                <w:webHidden/>
                <w:rStyle w:val="IndexLink"/>
                <w:rtl w:val="true"/>
              </w:rPr>
              <w:t>الحالة الأُولى</w:t>
            </w:r>
            <w:r>
              <w:rPr>
                <w:rStyle w:val="IndexLink"/>
                <w:rtl w:val="true"/>
              </w:rPr>
              <w:tab/>
            </w:r>
            <w:r>
              <w:rPr>
                <w:rStyle w:val="IndexLink"/>
              </w:rPr>
              <w:t>164</w:t>
            </w:r>
          </w:hyperlink>
        </w:p>
        <w:p>
          <w:pPr>
            <w:pStyle w:val="Contents5"/>
            <w:tabs>
              <w:tab w:val="clear" w:pos="7892"/>
              <w:tab w:val="right" w:pos="9026" w:leader="dot"/>
            </w:tabs>
            <w:rPr/>
          </w:pPr>
          <w:hyperlink w:anchor="__RefHeading___Toc2933282_2870459653">
            <w:r>
              <w:rPr>
                <w:webHidden/>
                <w:rStyle w:val="IndexLink"/>
                <w:rtl w:val="true"/>
              </w:rPr>
              <w:t>الحالة الثّانية</w:t>
            </w:r>
            <w:r>
              <w:rPr>
                <w:rStyle w:val="IndexLink"/>
                <w:rtl w:val="true"/>
              </w:rPr>
              <w:tab/>
            </w:r>
            <w:r>
              <w:rPr>
                <w:rStyle w:val="IndexLink"/>
              </w:rPr>
              <w:t>164</w:t>
            </w:r>
          </w:hyperlink>
        </w:p>
        <w:p>
          <w:pPr>
            <w:pStyle w:val="Contents3"/>
            <w:tabs>
              <w:tab w:val="clear" w:pos="8459"/>
              <w:tab w:val="right" w:pos="9026" w:leader="dot"/>
            </w:tabs>
            <w:rPr/>
          </w:pPr>
          <w:hyperlink w:anchor="__RefHeading___Toc2933284_2870459653">
            <w:r>
              <w:rPr>
                <w:webHidden/>
                <w:rStyle w:val="IndexLink"/>
                <w:rtl w:val="true"/>
              </w:rPr>
              <w:t>البحث ومصادره</w:t>
            </w:r>
            <w:r>
              <w:rPr>
                <w:rStyle w:val="IndexLink"/>
                <w:rtl w:val="true"/>
              </w:rPr>
              <w:tab/>
            </w:r>
            <w:r>
              <w:rPr>
                <w:rStyle w:val="IndexLink"/>
              </w:rPr>
              <w:t>167</w:t>
            </w:r>
          </w:hyperlink>
        </w:p>
        <w:p>
          <w:pPr>
            <w:pStyle w:val="Contents3"/>
            <w:tabs>
              <w:tab w:val="clear" w:pos="8459"/>
              <w:tab w:val="right" w:pos="9026" w:leader="dot"/>
            </w:tabs>
            <w:rPr/>
          </w:pPr>
          <w:hyperlink w:anchor="__RefHeading___Toc2933286_2870459653">
            <w:r>
              <w:rPr>
                <w:webHidden/>
                <w:rStyle w:val="IndexLink"/>
                <w:rtl w:val="true"/>
              </w:rPr>
              <w:t>المصادر</w:t>
            </w:r>
            <w:r>
              <w:rPr>
                <w:rStyle w:val="IndexLink"/>
                <w:rtl w:val="true"/>
              </w:rPr>
              <w:tab/>
            </w:r>
            <w:r>
              <w:rPr>
                <w:rStyle w:val="IndexLink"/>
              </w:rPr>
              <w:t>168</w:t>
            </w:r>
          </w:hyperlink>
        </w:p>
        <w:p>
          <w:pPr>
            <w:pStyle w:val="Contents2"/>
            <w:tabs>
              <w:tab w:val="clear" w:pos="8743"/>
              <w:tab w:val="right" w:pos="9026" w:leader="dot"/>
            </w:tabs>
            <w:rPr/>
          </w:pPr>
          <w:hyperlink w:anchor="__RefHeading___Toc2933288_2870459653">
            <w:r>
              <w:rPr>
                <w:webHidden/>
                <w:rStyle w:val="IndexLink"/>
                <w:rtl w:val="true"/>
              </w:rPr>
              <w:t xml:space="preserve">حجية قول غير الأعلم </w:t>
            </w:r>
            <w:r>
              <w:rPr>
                <w:rStyle w:val="IndexLink"/>
                <w:rtl w:val="true"/>
              </w:rPr>
              <w:t xml:space="preserve">- </w:t>
            </w:r>
            <w:r>
              <w:rPr>
                <w:rStyle w:val="IndexLink"/>
                <w:rtl w:val="true"/>
              </w:rPr>
              <w:t xml:space="preserve">الشيخ جعفر علي اليعسوبي </w:t>
            </w:r>
            <w:r>
              <w:rPr>
                <w:rStyle w:val="IndexLink"/>
                <w:rtl w:val="true"/>
              </w:rPr>
              <w:t>(</w:t>
            </w:r>
            <w:r>
              <w:rPr>
                <w:rStyle w:val="IndexLink"/>
                <w:rtl w:val="true"/>
              </w:rPr>
              <w:t>دام عزه</w:t>
            </w:r>
            <w:r>
              <w:rPr>
                <w:rStyle w:val="IndexLink"/>
                <w:rtl w:val="true"/>
              </w:rPr>
              <w:t>)</w:t>
              <w:tab/>
            </w:r>
            <w:r>
              <w:rPr>
                <w:rStyle w:val="IndexLink"/>
              </w:rPr>
              <w:t>173</w:t>
            </w:r>
          </w:hyperlink>
        </w:p>
        <w:p>
          <w:pPr>
            <w:pStyle w:val="Contents3"/>
            <w:tabs>
              <w:tab w:val="clear" w:pos="8459"/>
              <w:tab w:val="right" w:pos="9026" w:leader="dot"/>
            </w:tabs>
            <w:rPr/>
          </w:pPr>
          <w:hyperlink w:anchor="__RefHeading___Toc2933290_2870459653">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2933292_2870459653">
            <w:r>
              <w:rPr>
                <w:webHidden/>
                <w:rStyle w:val="IndexLink"/>
                <w:rtl w:val="true"/>
              </w:rPr>
              <w:t>المقام الأوَّل</w:t>
            </w:r>
            <w:r>
              <w:rPr>
                <w:rStyle w:val="IndexLink"/>
                <w:rtl w:val="true"/>
              </w:rPr>
              <w:t xml:space="preserve">: </w:t>
            </w:r>
            <w:r>
              <w:rPr>
                <w:rStyle w:val="IndexLink"/>
                <w:rtl w:val="true"/>
              </w:rPr>
              <w:t>في الأدلة الاجتهادية في المسألة</w:t>
            </w:r>
            <w:r>
              <w:rPr>
                <w:rStyle w:val="IndexLink"/>
                <w:rtl w:val="true"/>
              </w:rPr>
              <w:tab/>
            </w:r>
            <w:r>
              <w:rPr>
                <w:rStyle w:val="IndexLink"/>
              </w:rPr>
              <w:t>179</w:t>
            </w:r>
          </w:hyperlink>
        </w:p>
        <w:p>
          <w:pPr>
            <w:pStyle w:val="Contents4"/>
            <w:tabs>
              <w:tab w:val="clear" w:pos="8176"/>
              <w:tab w:val="right" w:pos="9026" w:leader="dot"/>
            </w:tabs>
            <w:rPr/>
          </w:pPr>
          <w:hyperlink w:anchor="__RefHeading___Toc2933294_2870459653">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2933296_2870459653">
            <w:r>
              <w:rPr>
                <w:webHidden/>
                <w:rStyle w:val="IndexLink"/>
                <w:rtl w:val="true"/>
              </w:rPr>
              <w:t>المحور الأوَّل</w:t>
            </w:r>
            <w:r>
              <w:rPr>
                <w:rStyle w:val="IndexLink"/>
                <w:rtl w:val="true"/>
              </w:rPr>
              <w:t xml:space="preserve">: </w:t>
            </w:r>
            <w:r>
              <w:rPr>
                <w:rStyle w:val="IndexLink"/>
                <w:rtl w:val="true"/>
              </w:rPr>
              <w:t>في بيان أدلة القول بعدم جواز الرجوع إلى غير الأعلم لعدم حجّيّة قوله</w:t>
            </w:r>
            <w:r>
              <w:rPr>
                <w:rStyle w:val="IndexLink"/>
                <w:rtl w:val="true"/>
              </w:rPr>
              <w:tab/>
            </w:r>
            <w:r>
              <w:rPr>
                <w:rStyle w:val="IndexLink"/>
              </w:rPr>
              <w:t>181</w:t>
            </w:r>
          </w:hyperlink>
        </w:p>
        <w:p>
          <w:pPr>
            <w:pStyle w:val="Contents5"/>
            <w:tabs>
              <w:tab w:val="clear" w:pos="7892"/>
              <w:tab w:val="right" w:pos="9026" w:leader="dot"/>
            </w:tabs>
            <w:rPr/>
          </w:pPr>
          <w:hyperlink w:anchor="__RefHeading___Toc2933298_2870459653">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2933300_2870459653">
            <w:r>
              <w:rPr>
                <w:webHidden/>
                <w:rStyle w:val="IndexLink"/>
                <w:rtl w:val="true"/>
              </w:rPr>
              <w:t>الدليل الأوَّل</w:t>
            </w:r>
            <w:r>
              <w:rPr>
                <w:rStyle w:val="IndexLink"/>
                <w:rtl w:val="true"/>
              </w:rPr>
              <w:t xml:space="preserve">: </w:t>
            </w:r>
            <w:r>
              <w:rPr>
                <w:rStyle w:val="IndexLink"/>
                <w:rtl w:val="true"/>
              </w:rPr>
              <w:t>الإجماع</w:t>
            </w:r>
            <w:r>
              <w:rPr>
                <w:rStyle w:val="IndexLink"/>
                <w:rtl w:val="true"/>
              </w:rPr>
              <w:tab/>
            </w:r>
            <w:r>
              <w:rPr>
                <w:rStyle w:val="IndexLink"/>
              </w:rPr>
              <w:t>181</w:t>
            </w:r>
          </w:hyperlink>
        </w:p>
        <w:p>
          <w:pPr>
            <w:pStyle w:val="Contents6"/>
            <w:tabs>
              <w:tab w:val="clear" w:pos="7609"/>
              <w:tab w:val="right" w:pos="9026" w:leader="dot"/>
            </w:tabs>
            <w:rPr/>
          </w:pPr>
          <w:hyperlink w:anchor="__RefHeading___Toc2933302_2870459653">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2933304_2870459653">
            <w:r>
              <w:rPr>
                <w:webHidden/>
                <w:rStyle w:val="IndexLink"/>
                <w:rtl w:val="true"/>
              </w:rPr>
              <w:t>الأمر الأوَّل</w:t>
            </w:r>
            <w:r>
              <w:rPr>
                <w:rStyle w:val="IndexLink"/>
                <w:rtl w:val="true"/>
              </w:rPr>
              <w:tab/>
            </w:r>
            <w:r>
              <w:rPr>
                <w:rStyle w:val="IndexLink"/>
              </w:rPr>
              <w:t>181</w:t>
            </w:r>
          </w:hyperlink>
        </w:p>
        <w:p>
          <w:pPr>
            <w:pStyle w:val="Contents6"/>
            <w:tabs>
              <w:tab w:val="clear" w:pos="7609"/>
              <w:tab w:val="right" w:pos="9026" w:leader="dot"/>
            </w:tabs>
            <w:rPr/>
          </w:pPr>
          <w:hyperlink w:anchor="__RefHeading___Toc2933306_2870459653">
            <w:r>
              <w:rPr>
                <w:webHidden/>
                <w:rStyle w:val="IndexLink"/>
                <w:rtl w:val="true"/>
              </w:rPr>
              <w:t>الأمر الثّاني</w:t>
            </w:r>
            <w:r>
              <w:rPr>
                <w:rStyle w:val="IndexLink"/>
                <w:rtl w:val="true"/>
              </w:rPr>
              <w:tab/>
            </w:r>
            <w:r>
              <w:rPr>
                <w:rStyle w:val="IndexLink"/>
              </w:rPr>
              <w:t>181</w:t>
            </w:r>
          </w:hyperlink>
        </w:p>
        <w:p>
          <w:pPr>
            <w:pStyle w:val="Contents6"/>
            <w:tabs>
              <w:tab w:val="clear" w:pos="7609"/>
              <w:tab w:val="right" w:pos="9026" w:leader="dot"/>
            </w:tabs>
            <w:rPr/>
          </w:pPr>
          <w:hyperlink w:anchor="__RefHeading___Toc2933308_2870459653">
            <w:r>
              <w:rPr>
                <w:webHidden/>
                <w:rStyle w:val="IndexLink"/>
                <w:rtl w:val="true"/>
              </w:rPr>
              <w:t>الأمر الثّالث</w:t>
            </w:r>
            <w:r>
              <w:rPr>
                <w:rStyle w:val="IndexLink"/>
                <w:rtl w:val="true"/>
              </w:rPr>
              <w:tab/>
            </w:r>
            <w:r>
              <w:rPr>
                <w:rStyle w:val="IndexLink"/>
              </w:rPr>
              <w:t>182</w:t>
            </w:r>
          </w:hyperlink>
        </w:p>
        <w:p>
          <w:pPr>
            <w:pStyle w:val="Contents6"/>
            <w:tabs>
              <w:tab w:val="clear" w:pos="7609"/>
              <w:tab w:val="right" w:pos="9026" w:leader="dot"/>
            </w:tabs>
            <w:rPr/>
          </w:pPr>
          <w:hyperlink w:anchor="__RefHeading___Toc2933310_2870459653">
            <w:r>
              <w:rPr>
                <w:webHidden/>
                <w:rStyle w:val="IndexLink"/>
                <w:rtl w:val="true"/>
              </w:rPr>
              <w:t>الأمر الرابع</w:t>
            </w:r>
            <w:r>
              <w:rPr>
                <w:rStyle w:val="IndexLink"/>
                <w:rtl w:val="true"/>
              </w:rPr>
              <w:tab/>
            </w:r>
            <w:r>
              <w:rPr>
                <w:rStyle w:val="IndexLink"/>
              </w:rPr>
              <w:t>182</w:t>
            </w:r>
          </w:hyperlink>
        </w:p>
        <w:p>
          <w:pPr>
            <w:pStyle w:val="Contents5"/>
            <w:tabs>
              <w:tab w:val="clear" w:pos="7892"/>
              <w:tab w:val="right" w:pos="9026" w:leader="dot"/>
            </w:tabs>
            <w:rPr/>
          </w:pPr>
          <w:hyperlink w:anchor="__RefHeading___Toc2933312_2870459653">
            <w:r>
              <w:rPr>
                <w:webHidden/>
                <w:rStyle w:val="IndexLink"/>
                <w:rtl w:val="true"/>
              </w:rPr>
              <w:t>الدليل الثّاني</w:t>
            </w:r>
            <w:r>
              <w:rPr>
                <w:rStyle w:val="IndexLink"/>
                <w:rtl w:val="true"/>
              </w:rPr>
              <w:t xml:space="preserve">: </w:t>
            </w:r>
            <w:r>
              <w:rPr>
                <w:rStyle w:val="IndexLink"/>
                <w:rtl w:val="true"/>
              </w:rPr>
              <w:t>الروايات</w:t>
            </w:r>
            <w:r>
              <w:rPr>
                <w:rStyle w:val="IndexLink"/>
                <w:rtl w:val="true"/>
              </w:rPr>
              <w:tab/>
            </w:r>
            <w:r>
              <w:rPr>
                <w:rStyle w:val="IndexLink"/>
              </w:rPr>
              <w:t>182</w:t>
            </w:r>
          </w:hyperlink>
        </w:p>
        <w:p>
          <w:pPr>
            <w:pStyle w:val="Contents6"/>
            <w:tabs>
              <w:tab w:val="clear" w:pos="7609"/>
              <w:tab w:val="right" w:pos="9026" w:leader="dot"/>
            </w:tabs>
            <w:rPr/>
          </w:pPr>
          <w:hyperlink w:anchor="__RefHeading___Toc2933314_2870459653">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2933316_2870459653">
            <w:r>
              <w:rPr>
                <w:webHidden/>
                <w:rStyle w:val="IndexLink"/>
                <w:rtl w:val="true"/>
              </w:rPr>
              <w:t>الأولى</w:t>
            </w:r>
            <w:r>
              <w:rPr>
                <w:rStyle w:val="IndexLink"/>
                <w:rtl w:val="true"/>
              </w:rPr>
              <w:tab/>
            </w:r>
            <w:r>
              <w:rPr>
                <w:rStyle w:val="IndexLink"/>
              </w:rPr>
              <w:t>183</w:t>
            </w:r>
          </w:hyperlink>
        </w:p>
        <w:p>
          <w:pPr>
            <w:pStyle w:val="Contents6"/>
            <w:tabs>
              <w:tab w:val="clear" w:pos="7609"/>
              <w:tab w:val="right" w:pos="9026" w:leader="dot"/>
            </w:tabs>
            <w:rPr/>
          </w:pPr>
          <w:hyperlink w:anchor="__RefHeading___Toc2933318_2870459653">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2933320_2870459653">
            <w:r>
              <w:rPr>
                <w:webHidden/>
                <w:rStyle w:val="IndexLink"/>
                <w:rtl w:val="true"/>
              </w:rPr>
              <w:t>الجهة الأولى</w:t>
            </w:r>
            <w:r>
              <w:rPr>
                <w:rStyle w:val="IndexLink"/>
                <w:rtl w:val="true"/>
              </w:rPr>
              <w:tab/>
            </w:r>
            <w:r>
              <w:rPr>
                <w:rStyle w:val="IndexLink"/>
              </w:rPr>
              <w:t>184</w:t>
            </w:r>
          </w:hyperlink>
        </w:p>
        <w:p>
          <w:pPr>
            <w:pStyle w:val="Contents6"/>
            <w:tabs>
              <w:tab w:val="clear" w:pos="7609"/>
              <w:tab w:val="right" w:pos="9026" w:leader="dot"/>
            </w:tabs>
            <w:rPr/>
          </w:pPr>
          <w:hyperlink w:anchor="__RefHeading___Toc2933322_2870459653">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2933324_2870459653">
            <w:r>
              <w:rPr>
                <w:webHidden/>
                <w:rStyle w:val="IndexLink"/>
                <w:rtl w:val="true"/>
              </w:rPr>
              <w:t>المورد الأوَّل</w:t>
            </w:r>
            <w:r>
              <w:rPr>
                <w:rStyle w:val="IndexLink"/>
                <w:rtl w:val="true"/>
              </w:rPr>
              <w:tab/>
            </w:r>
            <w:r>
              <w:rPr>
                <w:rStyle w:val="IndexLink"/>
              </w:rPr>
              <w:t>184</w:t>
            </w:r>
          </w:hyperlink>
        </w:p>
        <w:p>
          <w:pPr>
            <w:pStyle w:val="Contents6"/>
            <w:tabs>
              <w:tab w:val="clear" w:pos="7609"/>
              <w:tab w:val="right" w:pos="9026" w:leader="dot"/>
            </w:tabs>
            <w:rPr/>
          </w:pPr>
          <w:hyperlink w:anchor="__RefHeading___Toc2933326_2870459653">
            <w:r>
              <w:rPr>
                <w:webHidden/>
                <w:rStyle w:val="IndexLink"/>
                <w:rtl w:val="true"/>
              </w:rPr>
              <w:t>المورد الثّاني</w:t>
            </w:r>
            <w:r>
              <w:rPr>
                <w:rStyle w:val="IndexLink"/>
                <w:rtl w:val="true"/>
              </w:rPr>
              <w:tab/>
            </w:r>
            <w:r>
              <w:rPr>
                <w:rStyle w:val="IndexLink"/>
              </w:rPr>
              <w:t>188</w:t>
            </w:r>
          </w:hyperlink>
        </w:p>
        <w:p>
          <w:pPr>
            <w:pStyle w:val="Contents6"/>
            <w:tabs>
              <w:tab w:val="clear" w:pos="7609"/>
              <w:tab w:val="right" w:pos="9026" w:leader="dot"/>
            </w:tabs>
            <w:rPr/>
          </w:pPr>
          <w:hyperlink w:anchor="__RefHeading___Toc2933328_2870459653">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2933330_2870459653">
            <w:r>
              <w:rPr>
                <w:webHidden/>
                <w:rStyle w:val="IndexLink"/>
                <w:rtl w:val="true"/>
              </w:rPr>
              <w:t>الأوَّل</w:t>
            </w:r>
            <w:r>
              <w:rPr>
                <w:rStyle w:val="IndexLink"/>
                <w:rtl w:val="true"/>
              </w:rPr>
              <w:tab/>
            </w:r>
            <w:r>
              <w:rPr>
                <w:rStyle w:val="IndexLink"/>
              </w:rPr>
              <w:t>188</w:t>
            </w:r>
          </w:hyperlink>
        </w:p>
        <w:p>
          <w:pPr>
            <w:pStyle w:val="Contents6"/>
            <w:tabs>
              <w:tab w:val="clear" w:pos="7609"/>
              <w:tab w:val="right" w:pos="9026" w:leader="dot"/>
            </w:tabs>
            <w:rPr/>
          </w:pPr>
          <w:hyperlink w:anchor="__RefHeading___Toc2933332_2870459653">
            <w:r>
              <w:rPr>
                <w:webHidden/>
                <w:rStyle w:val="IndexLink"/>
                <w:rtl w:val="true"/>
              </w:rPr>
              <w:t>الثّاني</w:t>
            </w:r>
            <w:r>
              <w:rPr>
                <w:rStyle w:val="IndexLink"/>
                <w:rtl w:val="true"/>
              </w:rPr>
              <w:tab/>
            </w:r>
            <w:r>
              <w:rPr>
                <w:rStyle w:val="IndexLink"/>
              </w:rPr>
              <w:t>188</w:t>
            </w:r>
          </w:hyperlink>
        </w:p>
        <w:p>
          <w:pPr>
            <w:pStyle w:val="Contents6"/>
            <w:tabs>
              <w:tab w:val="clear" w:pos="7609"/>
              <w:tab w:val="right" w:pos="9026" w:leader="dot"/>
            </w:tabs>
            <w:rPr/>
          </w:pPr>
          <w:hyperlink w:anchor="__RefHeading___Toc2933334_2870459653">
            <w:r>
              <w:rPr>
                <w:webHidden/>
                <w:rStyle w:val="IndexLink"/>
                <w:rtl w:val="true"/>
              </w:rPr>
              <w:t>الثّالث</w:t>
            </w:r>
            <w:r>
              <w:rPr>
                <w:rStyle w:val="IndexLink"/>
                <w:rtl w:val="true"/>
              </w:rPr>
              <w:tab/>
            </w:r>
            <w:r>
              <w:rPr>
                <w:rStyle w:val="IndexLink"/>
              </w:rPr>
              <w:t>189</w:t>
            </w:r>
          </w:hyperlink>
        </w:p>
        <w:p>
          <w:pPr>
            <w:pStyle w:val="Contents6"/>
            <w:tabs>
              <w:tab w:val="clear" w:pos="7609"/>
              <w:tab w:val="right" w:pos="9026" w:leader="dot"/>
            </w:tabs>
            <w:rPr/>
          </w:pPr>
          <w:hyperlink w:anchor="__RefHeading___Toc2933336_2870459653">
            <w:r>
              <w:rPr>
                <w:webHidden/>
                <w:rStyle w:val="IndexLink"/>
                <w:rtl w:val="true"/>
              </w:rPr>
              <w:t>الجهة الثّانية</w:t>
            </w:r>
            <w:r>
              <w:rPr>
                <w:rStyle w:val="IndexLink"/>
                <w:rtl w:val="true"/>
              </w:rPr>
              <w:tab/>
            </w:r>
            <w:r>
              <w:rPr>
                <w:rStyle w:val="IndexLink"/>
              </w:rPr>
              <w:t>193</w:t>
            </w:r>
          </w:hyperlink>
        </w:p>
        <w:p>
          <w:pPr>
            <w:pStyle w:val="Contents6"/>
            <w:tabs>
              <w:tab w:val="clear" w:pos="7609"/>
              <w:tab w:val="right" w:pos="9026" w:leader="dot"/>
            </w:tabs>
            <w:rPr/>
          </w:pPr>
          <w:hyperlink w:anchor="__RefHeading___Toc2933338_2870459653">
            <w:r>
              <w:rPr>
                <w:webHidden/>
                <w:rStyle w:val="IndexLink"/>
                <w:rtl w:val="true"/>
              </w:rPr>
              <w:t>الجهة الثّالثة</w:t>
            </w:r>
            <w:r>
              <w:rPr>
                <w:rStyle w:val="IndexLink"/>
                <w:rtl w:val="true"/>
              </w:rPr>
              <w:tab/>
            </w:r>
            <w:r>
              <w:rPr>
                <w:rStyle w:val="IndexLink"/>
              </w:rPr>
              <w:t>196</w:t>
            </w:r>
          </w:hyperlink>
        </w:p>
        <w:p>
          <w:pPr>
            <w:pStyle w:val="Contents6"/>
            <w:tabs>
              <w:tab w:val="clear" w:pos="7609"/>
              <w:tab w:val="right" w:pos="9026" w:leader="dot"/>
            </w:tabs>
            <w:rPr/>
          </w:pPr>
          <w:hyperlink w:anchor="__RefHeading___Toc2933340_2870459653">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2933342_2870459653">
            <w:r>
              <w:rPr>
                <w:webHidden/>
                <w:rStyle w:val="IndexLink"/>
                <w:rtl w:val="true"/>
              </w:rPr>
              <w:t>الأوَّل</w:t>
            </w:r>
            <w:r>
              <w:rPr>
                <w:rStyle w:val="IndexLink"/>
                <w:rtl w:val="true"/>
              </w:rPr>
              <w:tab/>
            </w:r>
            <w:r>
              <w:rPr>
                <w:rStyle w:val="IndexLink"/>
              </w:rPr>
              <w:t>196</w:t>
            </w:r>
          </w:hyperlink>
        </w:p>
        <w:p>
          <w:pPr>
            <w:pStyle w:val="Contents6"/>
            <w:tabs>
              <w:tab w:val="clear" w:pos="7609"/>
              <w:tab w:val="right" w:pos="9026" w:leader="dot"/>
            </w:tabs>
            <w:rPr/>
          </w:pPr>
          <w:hyperlink w:anchor="__RefHeading___Toc2933344_2870459653">
            <w:r>
              <w:rPr>
                <w:webHidden/>
                <w:rStyle w:val="IndexLink"/>
                <w:rtl w:val="true"/>
              </w:rPr>
              <w:t>الثّاني</w:t>
            </w:r>
            <w:r>
              <w:rPr>
                <w:rStyle w:val="IndexLink"/>
                <w:rtl w:val="true"/>
              </w:rPr>
              <w:tab/>
            </w:r>
            <w:r>
              <w:rPr>
                <w:rStyle w:val="IndexLink"/>
              </w:rPr>
              <w:t>197</w:t>
            </w:r>
          </w:hyperlink>
        </w:p>
        <w:p>
          <w:pPr>
            <w:pStyle w:val="Contents6"/>
            <w:tabs>
              <w:tab w:val="clear" w:pos="7609"/>
              <w:tab w:val="right" w:pos="9026" w:leader="dot"/>
            </w:tabs>
            <w:rPr/>
          </w:pPr>
          <w:hyperlink w:anchor="__RefHeading___Toc2933346_2870459653">
            <w:r>
              <w:rPr>
                <w:webHidden/>
                <w:rStyle w:val="IndexLink"/>
                <w:rtl w:val="true"/>
              </w:rPr>
              <w:t>الثانية</w:t>
            </w:r>
            <w:r>
              <w:rPr>
                <w:rStyle w:val="IndexLink"/>
                <w:rtl w:val="true"/>
              </w:rPr>
              <w:tab/>
            </w:r>
            <w:r>
              <w:rPr>
                <w:rStyle w:val="IndexLink"/>
              </w:rPr>
              <w:t>201</w:t>
            </w:r>
          </w:hyperlink>
        </w:p>
        <w:p>
          <w:pPr>
            <w:pStyle w:val="Contents6"/>
            <w:tabs>
              <w:tab w:val="clear" w:pos="7609"/>
              <w:tab w:val="right" w:pos="9026" w:leader="dot"/>
            </w:tabs>
            <w:rPr/>
          </w:pPr>
          <w:hyperlink w:anchor="__RefHeading___Toc2933348_2870459653">
            <w:r>
              <w:rPr>
                <w:webHidden/>
                <w:rStyle w:val="IndexLink"/>
                <w:rtl w:val="true"/>
              </w:rPr>
              <w:t>الثالثة</w:t>
            </w:r>
            <w:r>
              <w:rPr>
                <w:rStyle w:val="IndexLink"/>
                <w:rtl w:val="true"/>
              </w:rPr>
              <w:tab/>
            </w:r>
            <w:r>
              <w:rPr>
                <w:rStyle w:val="IndexLink"/>
              </w:rPr>
              <w:t>201</w:t>
            </w:r>
          </w:hyperlink>
        </w:p>
        <w:p>
          <w:pPr>
            <w:pStyle w:val="Contents6"/>
            <w:tabs>
              <w:tab w:val="clear" w:pos="7609"/>
              <w:tab w:val="right" w:pos="9026" w:leader="dot"/>
            </w:tabs>
            <w:rPr/>
          </w:pPr>
          <w:hyperlink w:anchor="__RefHeading___Toc2933350_2870459653">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2933352_2870459653">
            <w:r>
              <w:rPr>
                <w:webHidden/>
                <w:rStyle w:val="IndexLink"/>
                <w:rtl w:val="true"/>
              </w:rPr>
              <w:t>الأولى</w:t>
            </w:r>
            <w:r>
              <w:rPr>
                <w:rStyle w:val="IndexLink"/>
                <w:rtl w:val="true"/>
              </w:rPr>
              <w:tab/>
            </w:r>
            <w:r>
              <w:rPr>
                <w:rStyle w:val="IndexLink"/>
              </w:rPr>
              <w:t>201</w:t>
            </w:r>
          </w:hyperlink>
        </w:p>
        <w:p>
          <w:pPr>
            <w:pStyle w:val="Contents6"/>
            <w:tabs>
              <w:tab w:val="clear" w:pos="7609"/>
              <w:tab w:val="right" w:pos="9026" w:leader="dot"/>
            </w:tabs>
            <w:rPr/>
          </w:pPr>
          <w:hyperlink w:anchor="__RefHeading___Toc2933354_2870459653">
            <w:r>
              <w:rPr>
                <w:webHidden/>
                <w:rStyle w:val="IndexLink"/>
                <w:rtl w:val="true"/>
              </w:rPr>
              <w:t>الثانية</w:t>
            </w:r>
            <w:r>
              <w:rPr>
                <w:rStyle w:val="IndexLink"/>
                <w:rtl w:val="true"/>
              </w:rPr>
              <w:tab/>
            </w:r>
            <w:r>
              <w:rPr>
                <w:rStyle w:val="IndexLink"/>
              </w:rPr>
              <w:t>202</w:t>
            </w:r>
          </w:hyperlink>
        </w:p>
        <w:p>
          <w:pPr>
            <w:pStyle w:val="Contents5"/>
            <w:tabs>
              <w:tab w:val="clear" w:pos="7892"/>
              <w:tab w:val="right" w:pos="9026" w:leader="dot"/>
            </w:tabs>
            <w:rPr/>
          </w:pPr>
          <w:hyperlink w:anchor="__RefHeading___Toc2933356_2870459653">
            <w:r>
              <w:rPr>
                <w:webHidden/>
                <w:rStyle w:val="IndexLink"/>
                <w:rtl w:val="true"/>
              </w:rPr>
              <w:t>الدليل الثالث</w:t>
            </w:r>
            <w:r>
              <w:rPr>
                <w:rStyle w:val="IndexLink"/>
                <w:rtl w:val="true"/>
              </w:rPr>
              <w:t xml:space="preserve">: </w:t>
            </w:r>
            <w:r>
              <w:rPr>
                <w:rStyle w:val="IndexLink"/>
                <w:rtl w:val="true"/>
              </w:rPr>
              <w:t>الأقربيّة إلى الواقع</w:t>
            </w:r>
            <w:r>
              <w:rPr>
                <w:rStyle w:val="IndexLink"/>
                <w:rtl w:val="true"/>
              </w:rPr>
              <w:tab/>
            </w:r>
            <w:r>
              <w:rPr>
                <w:rStyle w:val="IndexLink"/>
              </w:rPr>
              <w:t>204</w:t>
            </w:r>
          </w:hyperlink>
        </w:p>
        <w:p>
          <w:pPr>
            <w:pStyle w:val="Contents4"/>
            <w:tabs>
              <w:tab w:val="clear" w:pos="8176"/>
              <w:tab w:val="right" w:pos="9026" w:leader="dot"/>
            </w:tabs>
            <w:rPr/>
          </w:pPr>
          <w:hyperlink w:anchor="__RefHeading___Toc2933358_2870459653">
            <w:r>
              <w:rPr>
                <w:webHidden/>
                <w:rStyle w:val="IndexLink"/>
                <w:rtl w:val="true"/>
              </w:rPr>
              <w:t>المحور الثّاني</w:t>
            </w:r>
            <w:r>
              <w:rPr>
                <w:rStyle w:val="IndexLink"/>
                <w:rtl w:val="true"/>
              </w:rPr>
              <w:t xml:space="preserve">: </w:t>
            </w:r>
            <w:r>
              <w:rPr>
                <w:rStyle w:val="IndexLink"/>
                <w:rtl w:val="true"/>
              </w:rPr>
              <w:t>ونذكر فيه أدلة القول بحجيّة فتوى غير الأعلم مطلقاً</w:t>
            </w:r>
            <w:r>
              <w:rPr>
                <w:rStyle w:val="IndexLink"/>
                <w:rtl w:val="true"/>
              </w:rPr>
              <w:tab/>
            </w:r>
            <w:r>
              <w:rPr>
                <w:rStyle w:val="IndexLink"/>
              </w:rPr>
              <w:t>212</w:t>
            </w:r>
          </w:hyperlink>
        </w:p>
        <w:p>
          <w:pPr>
            <w:pStyle w:val="Contents5"/>
            <w:tabs>
              <w:tab w:val="clear" w:pos="7892"/>
              <w:tab w:val="right" w:pos="9026" w:leader="dot"/>
            </w:tabs>
            <w:rPr/>
          </w:pPr>
          <w:hyperlink w:anchor="__RefHeading___Toc2933360_2870459653">
            <w:r>
              <w:rPr>
                <w:webHidden/>
                <w:rStyle w:val="IndexLink"/>
                <w:rtl w:val="true"/>
              </w:rPr>
              <w:t>الدليل الأوَّل</w:t>
            </w:r>
            <w:r>
              <w:rPr>
                <w:rStyle w:val="IndexLink"/>
                <w:rtl w:val="true"/>
              </w:rPr>
              <w:t xml:space="preserve">: </w:t>
            </w:r>
            <w:r>
              <w:rPr>
                <w:rStyle w:val="IndexLink"/>
                <w:rtl w:val="true"/>
              </w:rPr>
              <w:t>الكتاب</w:t>
            </w:r>
            <w:r>
              <w:rPr>
                <w:rStyle w:val="IndexLink"/>
                <w:rtl w:val="true"/>
              </w:rPr>
              <w:tab/>
            </w:r>
            <w:r>
              <w:rPr>
                <w:rStyle w:val="IndexLink"/>
              </w:rPr>
              <w:t>212</w:t>
            </w:r>
          </w:hyperlink>
        </w:p>
        <w:p>
          <w:pPr>
            <w:pStyle w:val="Contents5"/>
            <w:tabs>
              <w:tab w:val="clear" w:pos="7892"/>
              <w:tab w:val="right" w:pos="9026" w:leader="dot"/>
            </w:tabs>
            <w:rPr/>
          </w:pPr>
          <w:hyperlink w:anchor="__RefHeading___Toc2933362_2870459653">
            <w:r>
              <w:rPr>
                <w:webHidden/>
                <w:rStyle w:val="IndexLink"/>
                <w:rtl w:val="true"/>
              </w:rPr>
              <w:t>الدليل الثّاني</w:t>
            </w:r>
            <w:r>
              <w:rPr>
                <w:rStyle w:val="IndexLink"/>
                <w:rtl w:val="true"/>
              </w:rPr>
              <w:t xml:space="preserve">: </w:t>
            </w:r>
            <w:r>
              <w:rPr>
                <w:rStyle w:val="IndexLink"/>
                <w:rtl w:val="true"/>
              </w:rPr>
              <w:t>الروايات</w:t>
            </w:r>
            <w:r>
              <w:rPr>
                <w:rStyle w:val="IndexLink"/>
                <w:rtl w:val="true"/>
              </w:rPr>
              <w:tab/>
            </w:r>
            <w:r>
              <w:rPr>
                <w:rStyle w:val="IndexLink"/>
              </w:rPr>
              <w:t>215</w:t>
            </w:r>
          </w:hyperlink>
        </w:p>
        <w:p>
          <w:pPr>
            <w:pStyle w:val="Contents6"/>
            <w:tabs>
              <w:tab w:val="clear" w:pos="7609"/>
              <w:tab w:val="right" w:pos="9026" w:leader="dot"/>
            </w:tabs>
            <w:rPr/>
          </w:pPr>
          <w:hyperlink w:anchor="__RefHeading___Toc2933364_2870459653">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2933366_2870459653">
            <w:r>
              <w:rPr>
                <w:webHidden/>
                <w:rStyle w:val="IndexLink"/>
                <w:rtl w:val="true"/>
              </w:rPr>
              <w:t>الطائفة الأولى</w:t>
            </w:r>
            <w:r>
              <w:rPr>
                <w:rStyle w:val="IndexLink"/>
                <w:rtl w:val="true"/>
              </w:rPr>
              <w:tab/>
            </w:r>
            <w:r>
              <w:rPr>
                <w:rStyle w:val="IndexLink"/>
              </w:rPr>
              <w:t>215</w:t>
            </w:r>
          </w:hyperlink>
        </w:p>
        <w:p>
          <w:pPr>
            <w:pStyle w:val="Contents6"/>
            <w:tabs>
              <w:tab w:val="clear" w:pos="7609"/>
              <w:tab w:val="right" w:pos="9026" w:leader="dot"/>
            </w:tabs>
            <w:rPr/>
          </w:pPr>
          <w:hyperlink w:anchor="__RefHeading___Toc2933368_2870459653">
            <w:r>
              <w:rPr>
                <w:webHidden/>
                <w:rStyle w:val="IndexLink"/>
                <w:rtl w:val="true"/>
              </w:rPr>
              <w:t>الطائفة الثّانية</w:t>
            </w:r>
            <w:r>
              <w:rPr>
                <w:rStyle w:val="IndexLink"/>
                <w:rtl w:val="true"/>
              </w:rPr>
              <w:tab/>
            </w:r>
            <w:r>
              <w:rPr>
                <w:rStyle w:val="IndexLink"/>
              </w:rPr>
              <w:t>217</w:t>
            </w:r>
          </w:hyperlink>
        </w:p>
        <w:p>
          <w:pPr>
            <w:pStyle w:val="Contents6"/>
            <w:tabs>
              <w:tab w:val="clear" w:pos="7609"/>
              <w:tab w:val="right" w:pos="9026" w:leader="dot"/>
            </w:tabs>
            <w:rPr/>
          </w:pPr>
          <w:hyperlink w:anchor="__RefHeading___Toc2933370_2870459653">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2933372_2870459653">
            <w:r>
              <w:rPr>
                <w:webHidden/>
                <w:rStyle w:val="IndexLink"/>
                <w:rtl w:val="true"/>
              </w:rPr>
              <w:t>الوجه الأوَّل</w:t>
            </w:r>
            <w:r>
              <w:rPr>
                <w:rStyle w:val="IndexLink"/>
                <w:rtl w:val="true"/>
              </w:rPr>
              <w:tab/>
            </w:r>
            <w:r>
              <w:rPr>
                <w:rStyle w:val="IndexLink"/>
              </w:rPr>
              <w:t>218</w:t>
            </w:r>
          </w:hyperlink>
        </w:p>
        <w:p>
          <w:pPr>
            <w:pStyle w:val="Contents6"/>
            <w:tabs>
              <w:tab w:val="clear" w:pos="7609"/>
              <w:tab w:val="right" w:pos="9026" w:leader="dot"/>
            </w:tabs>
            <w:rPr/>
          </w:pPr>
          <w:hyperlink w:anchor="__RefHeading___Toc2933374_2870459653">
            <w:r>
              <w:rPr>
                <w:webHidden/>
                <w:rStyle w:val="IndexLink"/>
                <w:rtl w:val="true"/>
              </w:rPr>
              <w:t>الوجه الثّاني</w:t>
            </w:r>
            <w:r>
              <w:rPr>
                <w:rStyle w:val="IndexLink"/>
                <w:rtl w:val="true"/>
              </w:rPr>
              <w:tab/>
            </w:r>
            <w:r>
              <w:rPr>
                <w:rStyle w:val="IndexLink"/>
              </w:rPr>
              <w:t>219</w:t>
            </w:r>
          </w:hyperlink>
        </w:p>
        <w:p>
          <w:pPr>
            <w:pStyle w:val="Contents6"/>
            <w:tabs>
              <w:tab w:val="clear" w:pos="7609"/>
              <w:tab w:val="right" w:pos="9026" w:leader="dot"/>
            </w:tabs>
            <w:rPr/>
          </w:pPr>
          <w:hyperlink w:anchor="__RefHeading___Toc2933376_2870459653">
            <w:r>
              <w:rPr>
                <w:webHidden/>
                <w:rStyle w:val="IndexLink"/>
                <w:rtl w:val="true"/>
              </w:rPr>
              <w:t>الوجه الثّالث</w:t>
            </w:r>
            <w:r>
              <w:rPr>
                <w:rStyle w:val="IndexLink"/>
                <w:rtl w:val="true"/>
              </w:rPr>
              <w:tab/>
            </w:r>
            <w:r>
              <w:rPr>
                <w:rStyle w:val="IndexLink"/>
              </w:rPr>
              <w:t>221</w:t>
            </w:r>
          </w:hyperlink>
        </w:p>
        <w:p>
          <w:pPr>
            <w:pStyle w:val="Contents5"/>
            <w:tabs>
              <w:tab w:val="clear" w:pos="7892"/>
              <w:tab w:val="right" w:pos="9026" w:leader="dot"/>
            </w:tabs>
            <w:rPr/>
          </w:pPr>
          <w:hyperlink w:anchor="__RefHeading___Toc2933378_2870459653">
            <w:r>
              <w:rPr>
                <w:webHidden/>
                <w:rStyle w:val="IndexLink"/>
                <w:rtl w:val="true"/>
              </w:rPr>
              <w:t>الدليل الثّالث</w:t>
            </w:r>
            <w:r>
              <w:rPr>
                <w:rStyle w:val="IndexLink"/>
                <w:rtl w:val="true"/>
              </w:rPr>
              <w:t xml:space="preserve">: </w:t>
            </w:r>
            <w:r>
              <w:rPr>
                <w:rStyle w:val="IndexLink"/>
                <w:rtl w:val="true"/>
              </w:rPr>
              <w:t>بناء العقلاء</w:t>
            </w:r>
            <w:r>
              <w:rPr>
                <w:rStyle w:val="IndexLink"/>
                <w:rtl w:val="true"/>
              </w:rPr>
              <w:tab/>
            </w:r>
            <w:r>
              <w:rPr>
                <w:rStyle w:val="IndexLink"/>
              </w:rPr>
              <w:t>225</w:t>
            </w:r>
          </w:hyperlink>
        </w:p>
        <w:p>
          <w:pPr>
            <w:pStyle w:val="Contents5"/>
            <w:tabs>
              <w:tab w:val="clear" w:pos="7892"/>
              <w:tab w:val="right" w:pos="9026" w:leader="dot"/>
            </w:tabs>
            <w:rPr/>
          </w:pPr>
          <w:hyperlink w:anchor="__RefHeading___Toc2933380_2870459653">
            <w:r>
              <w:rPr>
                <w:webHidden/>
                <w:rStyle w:val="IndexLink"/>
                <w:rtl w:val="true"/>
              </w:rPr>
              <w:t>الدليل الرابع</w:t>
            </w:r>
            <w:r>
              <w:rPr>
                <w:rStyle w:val="IndexLink"/>
                <w:rtl w:val="true"/>
              </w:rPr>
              <w:t xml:space="preserve">: </w:t>
            </w:r>
            <w:r>
              <w:rPr>
                <w:rStyle w:val="IndexLink"/>
                <w:rtl w:val="true"/>
              </w:rPr>
              <w:t>سيرة المتشرعة</w:t>
            </w:r>
            <w:r>
              <w:rPr>
                <w:rStyle w:val="IndexLink"/>
                <w:rtl w:val="true"/>
              </w:rPr>
              <w:tab/>
            </w:r>
            <w:r>
              <w:rPr>
                <w:rStyle w:val="IndexLink"/>
              </w:rPr>
              <w:t>226</w:t>
            </w:r>
          </w:hyperlink>
        </w:p>
        <w:p>
          <w:pPr>
            <w:pStyle w:val="Contents5"/>
            <w:tabs>
              <w:tab w:val="clear" w:pos="7892"/>
              <w:tab w:val="right" w:pos="9026" w:leader="dot"/>
            </w:tabs>
            <w:rPr/>
          </w:pPr>
          <w:hyperlink w:anchor="__RefHeading___Toc2933382_2870459653">
            <w:r>
              <w:rPr>
                <w:webHidden/>
                <w:rStyle w:val="IndexLink"/>
                <w:rtl w:val="true"/>
              </w:rPr>
              <w:t>الدليل الخامس</w:t>
            </w:r>
            <w:r>
              <w:rPr>
                <w:rStyle w:val="IndexLink"/>
                <w:rtl w:val="true"/>
              </w:rPr>
              <w:t xml:space="preserve">: </w:t>
            </w:r>
            <w:r>
              <w:rPr>
                <w:rStyle w:val="IndexLink"/>
                <w:rtl w:val="true"/>
              </w:rPr>
              <w:t>لزوم العسر والحرج</w:t>
            </w:r>
            <w:r>
              <w:rPr>
                <w:rStyle w:val="IndexLink"/>
                <w:rtl w:val="true"/>
              </w:rPr>
              <w:tab/>
            </w:r>
            <w:r>
              <w:rPr>
                <w:rStyle w:val="IndexLink"/>
              </w:rPr>
              <w:t>228</w:t>
            </w:r>
          </w:hyperlink>
        </w:p>
        <w:p>
          <w:pPr>
            <w:pStyle w:val="Contents6"/>
            <w:tabs>
              <w:tab w:val="clear" w:pos="7609"/>
              <w:tab w:val="right" w:pos="9026" w:leader="dot"/>
            </w:tabs>
            <w:rPr/>
          </w:pPr>
          <w:hyperlink w:anchor="__RefHeading___Toc2933384_2870459653">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2933386_2870459653">
            <w:r>
              <w:rPr>
                <w:webHidden/>
                <w:rStyle w:val="IndexLink"/>
                <w:rtl w:val="true"/>
              </w:rPr>
              <w:t>الوجه الأوَّل</w:t>
            </w:r>
            <w:r>
              <w:rPr>
                <w:rStyle w:val="IndexLink"/>
                <w:rtl w:val="true"/>
              </w:rPr>
              <w:tab/>
            </w:r>
            <w:r>
              <w:rPr>
                <w:rStyle w:val="IndexLink"/>
              </w:rPr>
              <w:t>228</w:t>
            </w:r>
          </w:hyperlink>
        </w:p>
        <w:p>
          <w:pPr>
            <w:pStyle w:val="Contents6"/>
            <w:tabs>
              <w:tab w:val="clear" w:pos="7609"/>
              <w:tab w:val="right" w:pos="9026" w:leader="dot"/>
            </w:tabs>
            <w:rPr/>
          </w:pPr>
          <w:hyperlink w:anchor="__RefHeading___Toc2933388_2870459653">
            <w:r>
              <w:rPr>
                <w:webHidden/>
                <w:rStyle w:val="IndexLink"/>
                <w:rtl w:val="true"/>
              </w:rPr>
              <w:t>الوجه الثّاني</w:t>
            </w:r>
            <w:r>
              <w:rPr>
                <w:rStyle w:val="IndexLink"/>
                <w:rtl w:val="true"/>
              </w:rPr>
              <w:tab/>
            </w:r>
            <w:r>
              <w:rPr>
                <w:rStyle w:val="IndexLink"/>
              </w:rPr>
              <w:t>229</w:t>
            </w:r>
          </w:hyperlink>
        </w:p>
        <w:p>
          <w:pPr>
            <w:pStyle w:val="Contents6"/>
            <w:tabs>
              <w:tab w:val="clear" w:pos="7609"/>
              <w:tab w:val="right" w:pos="9026" w:leader="dot"/>
            </w:tabs>
            <w:rPr/>
          </w:pPr>
          <w:hyperlink w:anchor="__RefHeading___Toc2933390_2870459653">
            <w:r>
              <w:rPr>
                <w:webHidden/>
                <w:rStyle w:val="IndexLink"/>
                <w:rtl w:val="true"/>
              </w:rPr>
              <w:t>الوجه الثّالث</w:t>
            </w:r>
            <w:r>
              <w:rPr>
                <w:rStyle w:val="IndexLink"/>
                <w:rtl w:val="true"/>
              </w:rPr>
              <w:tab/>
            </w:r>
            <w:r>
              <w:rPr>
                <w:rStyle w:val="IndexLink"/>
              </w:rPr>
              <w:t>230</w:t>
            </w:r>
          </w:hyperlink>
        </w:p>
        <w:p>
          <w:pPr>
            <w:pStyle w:val="Contents5"/>
            <w:tabs>
              <w:tab w:val="clear" w:pos="7892"/>
              <w:tab w:val="right" w:pos="9026" w:leader="dot"/>
            </w:tabs>
            <w:rPr/>
          </w:pPr>
          <w:hyperlink w:anchor="__RefHeading___Toc2933392_2870459653">
            <w:r>
              <w:rPr>
                <w:webHidden/>
                <w:rStyle w:val="IndexLink"/>
                <w:rtl w:val="true"/>
              </w:rPr>
              <w:t>الدليل السّادس</w:t>
            </w:r>
            <w:r>
              <w:rPr>
                <w:rStyle w:val="IndexLink"/>
                <w:rtl w:val="true"/>
              </w:rPr>
              <w:t xml:space="preserve">: </w:t>
            </w:r>
            <w:r>
              <w:rPr>
                <w:rStyle w:val="IndexLink"/>
                <w:rtl w:val="true"/>
              </w:rPr>
              <w:t>دليل الأولوية</w:t>
            </w:r>
            <w:r>
              <w:rPr>
                <w:rStyle w:val="IndexLink"/>
                <w:rtl w:val="true"/>
              </w:rPr>
              <w:tab/>
            </w:r>
            <w:r>
              <w:rPr>
                <w:rStyle w:val="IndexLink"/>
              </w:rPr>
              <w:t>231</w:t>
            </w:r>
          </w:hyperlink>
        </w:p>
        <w:p>
          <w:pPr>
            <w:pStyle w:val="Contents6"/>
            <w:tabs>
              <w:tab w:val="clear" w:pos="7609"/>
              <w:tab w:val="right" w:pos="9026" w:leader="dot"/>
            </w:tabs>
            <w:rPr/>
          </w:pPr>
          <w:hyperlink w:anchor="__RefHeading___Toc2933394_2870459653">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2933396_2870459653">
            <w:r>
              <w:rPr>
                <w:webHidden/>
                <w:rStyle w:val="IndexLink"/>
                <w:rtl w:val="true"/>
              </w:rPr>
              <w:t>الأوَّل</w:t>
            </w:r>
            <w:r>
              <w:rPr>
                <w:rStyle w:val="IndexLink"/>
                <w:rtl w:val="true"/>
              </w:rPr>
              <w:tab/>
            </w:r>
            <w:r>
              <w:rPr>
                <w:rStyle w:val="IndexLink"/>
              </w:rPr>
              <w:t>232</w:t>
            </w:r>
          </w:hyperlink>
        </w:p>
        <w:p>
          <w:pPr>
            <w:pStyle w:val="Contents6"/>
            <w:tabs>
              <w:tab w:val="clear" w:pos="7609"/>
              <w:tab w:val="right" w:pos="9026" w:leader="dot"/>
            </w:tabs>
            <w:rPr/>
          </w:pPr>
          <w:hyperlink w:anchor="__RefHeading___Toc2933398_2870459653">
            <w:r>
              <w:rPr>
                <w:webHidden/>
                <w:rStyle w:val="IndexLink"/>
                <w:rtl w:val="true"/>
              </w:rPr>
              <w:t>الثّاني</w:t>
            </w:r>
            <w:r>
              <w:rPr>
                <w:rStyle w:val="IndexLink"/>
                <w:rtl w:val="true"/>
              </w:rPr>
              <w:tab/>
            </w:r>
            <w:r>
              <w:rPr>
                <w:rStyle w:val="IndexLink"/>
              </w:rPr>
              <w:t>232</w:t>
            </w:r>
          </w:hyperlink>
        </w:p>
        <w:p>
          <w:pPr>
            <w:pStyle w:val="Contents3"/>
            <w:tabs>
              <w:tab w:val="clear" w:pos="8459"/>
              <w:tab w:val="right" w:pos="9026" w:leader="dot"/>
            </w:tabs>
            <w:rPr/>
          </w:pPr>
          <w:hyperlink w:anchor="__RefHeading___Toc2933400_2870459653">
            <w:r>
              <w:rPr>
                <w:webHidden/>
                <w:rStyle w:val="IndexLink"/>
                <w:rtl w:val="true"/>
              </w:rPr>
              <w:t>المقام الثّاني</w:t>
            </w:r>
            <w:r>
              <w:rPr>
                <w:rStyle w:val="IndexLink"/>
                <w:rtl w:val="true"/>
              </w:rPr>
              <w:t xml:space="preserve">: </w:t>
            </w:r>
            <w:r>
              <w:rPr>
                <w:rStyle w:val="IndexLink"/>
                <w:rtl w:val="true"/>
              </w:rPr>
              <w:t>في الأصل العملي الجاري في المسألة</w:t>
            </w:r>
            <w:r>
              <w:rPr>
                <w:rStyle w:val="IndexLink"/>
                <w:rtl w:val="true"/>
              </w:rPr>
              <w:tab/>
            </w:r>
            <w:r>
              <w:rPr>
                <w:rStyle w:val="IndexLink"/>
              </w:rPr>
              <w:t>234</w:t>
            </w:r>
          </w:hyperlink>
        </w:p>
        <w:p>
          <w:pPr>
            <w:pStyle w:val="Contents4"/>
            <w:tabs>
              <w:tab w:val="clear" w:pos="8176"/>
              <w:tab w:val="right" w:pos="9026" w:leader="dot"/>
            </w:tabs>
            <w:rPr/>
          </w:pPr>
          <w:hyperlink w:anchor="__RefHeading___Toc2933402_2870459653">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2933404_2870459653">
            <w:r>
              <w:rPr>
                <w:webHidden/>
                <w:rStyle w:val="IndexLink"/>
                <w:rtl w:val="true"/>
              </w:rPr>
              <w:t>الوجه الأوَّل</w:t>
            </w:r>
            <w:r>
              <w:rPr>
                <w:rStyle w:val="IndexLink"/>
                <w:rtl w:val="true"/>
              </w:rPr>
              <w:tab/>
            </w:r>
            <w:r>
              <w:rPr>
                <w:rStyle w:val="IndexLink"/>
              </w:rPr>
              <w:t>234</w:t>
            </w:r>
          </w:hyperlink>
        </w:p>
        <w:p>
          <w:pPr>
            <w:pStyle w:val="Contents5"/>
            <w:tabs>
              <w:tab w:val="clear" w:pos="7892"/>
              <w:tab w:val="right" w:pos="9026" w:leader="dot"/>
            </w:tabs>
            <w:rPr/>
          </w:pPr>
          <w:hyperlink w:anchor="__RefHeading___Toc2933406_2870459653">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2933408_2870459653">
            <w:r>
              <w:rPr>
                <w:webHidden/>
                <w:rStyle w:val="IndexLink"/>
                <w:rtl w:val="true"/>
              </w:rPr>
              <w:t>الإيراد الأوَّل</w:t>
            </w:r>
            <w:r>
              <w:rPr>
                <w:rStyle w:val="IndexLink"/>
                <w:rtl w:val="true"/>
              </w:rPr>
              <w:tab/>
            </w:r>
            <w:r>
              <w:rPr>
                <w:rStyle w:val="IndexLink"/>
              </w:rPr>
              <w:t>235</w:t>
            </w:r>
          </w:hyperlink>
        </w:p>
        <w:p>
          <w:pPr>
            <w:pStyle w:val="Contents5"/>
            <w:tabs>
              <w:tab w:val="clear" w:pos="7892"/>
              <w:tab w:val="right" w:pos="9026" w:leader="dot"/>
            </w:tabs>
            <w:rPr/>
          </w:pPr>
          <w:hyperlink w:anchor="__RefHeading___Toc2933410_2870459653">
            <w:r>
              <w:rPr>
                <w:webHidden/>
                <w:rStyle w:val="IndexLink"/>
                <w:rtl w:val="true"/>
              </w:rPr>
              <w:t>الإيراد الثّاني</w:t>
            </w:r>
            <w:r>
              <w:rPr>
                <w:rStyle w:val="IndexLink"/>
                <w:rtl w:val="true"/>
              </w:rPr>
              <w:tab/>
            </w:r>
            <w:r>
              <w:rPr>
                <w:rStyle w:val="IndexLink"/>
              </w:rPr>
              <w:t>238</w:t>
            </w:r>
          </w:hyperlink>
        </w:p>
        <w:p>
          <w:pPr>
            <w:pStyle w:val="Contents5"/>
            <w:tabs>
              <w:tab w:val="clear" w:pos="7892"/>
              <w:tab w:val="right" w:pos="9026" w:leader="dot"/>
            </w:tabs>
            <w:rPr/>
          </w:pPr>
          <w:hyperlink w:anchor="__RefHeading___Toc2933412_2870459653">
            <w:r>
              <w:rPr>
                <w:webHidden/>
                <w:rStyle w:val="IndexLink"/>
                <w:rtl w:val="true"/>
              </w:rPr>
              <w:t>الإيراد الثّالث</w:t>
            </w:r>
            <w:r>
              <w:rPr>
                <w:rStyle w:val="IndexLink"/>
                <w:rtl w:val="true"/>
              </w:rPr>
              <w:tab/>
            </w:r>
            <w:r>
              <w:rPr>
                <w:rStyle w:val="IndexLink"/>
              </w:rPr>
              <w:t>238</w:t>
            </w:r>
          </w:hyperlink>
        </w:p>
        <w:p>
          <w:pPr>
            <w:pStyle w:val="Contents5"/>
            <w:tabs>
              <w:tab w:val="clear" w:pos="7892"/>
              <w:tab w:val="right" w:pos="9026" w:leader="dot"/>
            </w:tabs>
            <w:rPr/>
          </w:pPr>
          <w:hyperlink w:anchor="__RefHeading___Toc2933414_2870459653">
            <w:r>
              <w:rPr>
                <w:webHidden/>
                <w:rStyle w:val="IndexLink"/>
                <w:rtl w:val="true"/>
              </w:rPr>
              <w:t>الإيراد الرابع</w:t>
            </w:r>
            <w:r>
              <w:rPr>
                <w:rStyle w:val="IndexLink"/>
                <w:rtl w:val="true"/>
              </w:rPr>
              <w:tab/>
            </w:r>
            <w:r>
              <w:rPr>
                <w:rStyle w:val="IndexLink"/>
              </w:rPr>
              <w:t>239</w:t>
            </w:r>
          </w:hyperlink>
        </w:p>
        <w:p>
          <w:pPr>
            <w:pStyle w:val="Contents4"/>
            <w:tabs>
              <w:tab w:val="clear" w:pos="8176"/>
              <w:tab w:val="right" w:pos="9026" w:leader="dot"/>
            </w:tabs>
            <w:rPr/>
          </w:pPr>
          <w:hyperlink w:anchor="__RefHeading___Toc2933416_2870459653">
            <w:r>
              <w:rPr>
                <w:webHidden/>
                <w:rStyle w:val="IndexLink"/>
                <w:rtl w:val="true"/>
              </w:rPr>
              <w:t>الوجه الثّاني</w:t>
            </w:r>
            <w:r>
              <w:rPr>
                <w:rStyle w:val="IndexLink"/>
                <w:rtl w:val="true"/>
              </w:rPr>
              <w:tab/>
            </w:r>
            <w:r>
              <w:rPr>
                <w:rStyle w:val="IndexLink"/>
              </w:rPr>
              <w:t>239</w:t>
            </w:r>
          </w:hyperlink>
        </w:p>
        <w:p>
          <w:pPr>
            <w:pStyle w:val="Contents5"/>
            <w:tabs>
              <w:tab w:val="clear" w:pos="7892"/>
              <w:tab w:val="right" w:pos="9026" w:leader="dot"/>
            </w:tabs>
            <w:rPr/>
          </w:pPr>
          <w:hyperlink w:anchor="__RefHeading___Toc2933418_2870459653">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2933420_2870459653">
            <w:r>
              <w:rPr>
                <w:webHidden/>
                <w:rStyle w:val="IndexLink"/>
                <w:rtl w:val="true"/>
              </w:rPr>
              <w:t>النّحو الأوَّل</w:t>
            </w:r>
            <w:r>
              <w:rPr>
                <w:rStyle w:val="IndexLink"/>
                <w:rtl w:val="true"/>
              </w:rPr>
              <w:t xml:space="preserve">: </w:t>
            </w:r>
            <w:r>
              <w:rPr>
                <w:rStyle w:val="IndexLink"/>
                <w:rtl w:val="true"/>
              </w:rPr>
              <w:t>التمسّك بالاستصحاب</w:t>
            </w:r>
            <w:r>
              <w:rPr>
                <w:rStyle w:val="IndexLink"/>
                <w:rtl w:val="true"/>
              </w:rPr>
              <w:tab/>
            </w:r>
            <w:r>
              <w:rPr>
                <w:rStyle w:val="IndexLink"/>
              </w:rPr>
              <w:t>239</w:t>
            </w:r>
          </w:hyperlink>
        </w:p>
        <w:p>
          <w:pPr>
            <w:pStyle w:val="Contents5"/>
            <w:tabs>
              <w:tab w:val="clear" w:pos="7892"/>
              <w:tab w:val="right" w:pos="9026" w:leader="dot"/>
            </w:tabs>
            <w:rPr/>
          </w:pPr>
          <w:hyperlink w:anchor="__RefHeading___Toc2933422_2870459653">
            <w:r>
              <w:rPr>
                <w:webHidden/>
                <w:rStyle w:val="IndexLink"/>
                <w:rtl w:val="true"/>
              </w:rPr>
              <w:t>النحو الثّاني</w:t>
            </w:r>
            <w:r>
              <w:rPr>
                <w:rStyle w:val="IndexLink"/>
                <w:rtl w:val="true"/>
              </w:rPr>
              <w:t xml:space="preserve">: </w:t>
            </w:r>
            <w:r>
              <w:rPr>
                <w:rStyle w:val="IndexLink"/>
                <w:rtl w:val="true"/>
              </w:rPr>
              <w:t>التمسّك بالبراءة</w:t>
            </w:r>
            <w:r>
              <w:rPr>
                <w:rStyle w:val="IndexLink"/>
                <w:rtl w:val="true"/>
              </w:rPr>
              <w:tab/>
            </w:r>
            <w:r>
              <w:rPr>
                <w:rStyle w:val="IndexLink"/>
              </w:rPr>
              <w:t>241</w:t>
            </w:r>
          </w:hyperlink>
        </w:p>
        <w:p>
          <w:pPr>
            <w:pStyle w:val="Contents6"/>
            <w:tabs>
              <w:tab w:val="clear" w:pos="7609"/>
              <w:tab w:val="right" w:pos="9026" w:leader="dot"/>
            </w:tabs>
            <w:rPr/>
          </w:pPr>
          <w:hyperlink w:anchor="__RefHeading___Toc2933424_2870459653">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2933426_2870459653">
            <w:r>
              <w:rPr>
                <w:webHidden/>
                <w:rStyle w:val="IndexLink"/>
                <w:rtl w:val="true"/>
              </w:rPr>
              <w:t>البيان الأوَّل</w:t>
            </w:r>
            <w:r>
              <w:rPr>
                <w:rStyle w:val="IndexLink"/>
                <w:rtl w:val="true"/>
              </w:rPr>
              <w:tab/>
            </w:r>
            <w:r>
              <w:rPr>
                <w:rStyle w:val="IndexLink"/>
              </w:rPr>
              <w:t>241</w:t>
            </w:r>
          </w:hyperlink>
        </w:p>
        <w:p>
          <w:pPr>
            <w:pStyle w:val="Contents6"/>
            <w:tabs>
              <w:tab w:val="clear" w:pos="7609"/>
              <w:tab w:val="right" w:pos="9026" w:leader="dot"/>
            </w:tabs>
            <w:rPr/>
          </w:pPr>
          <w:hyperlink w:anchor="__RefHeading___Toc2933428_2870459653">
            <w:r>
              <w:rPr>
                <w:webHidden/>
                <w:rStyle w:val="IndexLink"/>
                <w:rtl w:val="true"/>
              </w:rPr>
              <w:t>البيان الثّاني</w:t>
            </w:r>
            <w:r>
              <w:rPr>
                <w:rStyle w:val="IndexLink"/>
                <w:rtl w:val="true"/>
              </w:rPr>
              <w:tab/>
            </w:r>
            <w:r>
              <w:rPr>
                <w:rStyle w:val="IndexLink"/>
              </w:rPr>
              <w:t>241</w:t>
            </w:r>
          </w:hyperlink>
        </w:p>
        <w:p>
          <w:pPr>
            <w:pStyle w:val="Contents6"/>
            <w:tabs>
              <w:tab w:val="clear" w:pos="7609"/>
              <w:tab w:val="right" w:pos="9026" w:leader="dot"/>
            </w:tabs>
            <w:rPr/>
          </w:pPr>
          <w:hyperlink w:anchor="__RefHeading___Toc2933430_2870459653">
            <w:r>
              <w:rPr>
                <w:webHidden/>
                <w:rStyle w:val="IndexLink"/>
                <w:rtl w:val="true"/>
              </w:rPr>
              <w:t>البيان الثّالث</w:t>
            </w:r>
            <w:r>
              <w:rPr>
                <w:rStyle w:val="IndexLink"/>
                <w:rtl w:val="true"/>
              </w:rPr>
              <w:tab/>
            </w:r>
            <w:r>
              <w:rPr>
                <w:rStyle w:val="IndexLink"/>
              </w:rPr>
              <w:t>242</w:t>
            </w:r>
          </w:hyperlink>
        </w:p>
        <w:p>
          <w:pPr>
            <w:pStyle w:val="Contents6"/>
            <w:tabs>
              <w:tab w:val="clear" w:pos="7609"/>
              <w:tab w:val="right" w:pos="9026" w:leader="dot"/>
            </w:tabs>
            <w:rPr/>
          </w:pPr>
          <w:hyperlink w:anchor="__RefHeading___Toc2933432_2870459653">
            <w:r>
              <w:rPr>
                <w:webHidden/>
                <w:rStyle w:val="IndexLink"/>
                <w:rtl w:val="true"/>
              </w:rPr>
              <w:t>البيان الرابع</w:t>
            </w:r>
            <w:r>
              <w:rPr>
                <w:rStyle w:val="IndexLink"/>
                <w:rtl w:val="true"/>
              </w:rPr>
              <w:tab/>
            </w:r>
            <w:r>
              <w:rPr>
                <w:rStyle w:val="IndexLink"/>
              </w:rPr>
              <w:t>243</w:t>
            </w:r>
          </w:hyperlink>
        </w:p>
        <w:p>
          <w:pPr>
            <w:pStyle w:val="Contents4"/>
            <w:tabs>
              <w:tab w:val="clear" w:pos="8176"/>
              <w:tab w:val="right" w:pos="9026" w:leader="dot"/>
            </w:tabs>
            <w:rPr/>
          </w:pPr>
          <w:hyperlink w:anchor="__RefHeading___Toc2933434_2870459653">
            <w:r>
              <w:rPr>
                <w:webHidden/>
                <w:rStyle w:val="IndexLink"/>
                <w:rtl w:val="true"/>
              </w:rPr>
              <w:t>الوجه الثالث</w:t>
            </w:r>
            <w:r>
              <w:rPr>
                <w:rStyle w:val="IndexLink"/>
                <w:rtl w:val="true"/>
              </w:rPr>
              <w:tab/>
            </w:r>
            <w:r>
              <w:rPr>
                <w:rStyle w:val="IndexLink"/>
              </w:rPr>
              <w:t>244</w:t>
            </w:r>
          </w:hyperlink>
        </w:p>
        <w:p>
          <w:pPr>
            <w:pStyle w:val="Contents3"/>
            <w:tabs>
              <w:tab w:val="clear" w:pos="8459"/>
              <w:tab w:val="right" w:pos="9026" w:leader="dot"/>
            </w:tabs>
            <w:rPr/>
          </w:pPr>
          <w:hyperlink w:anchor="__RefHeading___Toc2933436_2870459653">
            <w:r>
              <w:rPr>
                <w:webHidden/>
                <w:rStyle w:val="IndexLink"/>
                <w:rtl w:val="true"/>
              </w:rPr>
              <w:t>ثمرة المسألة</w:t>
            </w:r>
            <w:r>
              <w:rPr>
                <w:rStyle w:val="IndexLink"/>
                <w:rtl w:val="true"/>
              </w:rPr>
              <w:tab/>
            </w:r>
            <w:r>
              <w:rPr>
                <w:rStyle w:val="IndexLink"/>
              </w:rPr>
              <w:t>246</w:t>
            </w:r>
          </w:hyperlink>
        </w:p>
        <w:p>
          <w:pPr>
            <w:pStyle w:val="Contents3"/>
            <w:tabs>
              <w:tab w:val="clear" w:pos="8459"/>
              <w:tab w:val="right" w:pos="9026" w:leader="dot"/>
            </w:tabs>
            <w:rPr/>
          </w:pPr>
          <w:hyperlink w:anchor="__RefHeading___Toc2933438_2870459653">
            <w:r>
              <w:rPr>
                <w:webHidden/>
                <w:rStyle w:val="IndexLink"/>
                <w:rtl w:val="true"/>
              </w:rPr>
              <w:t>المصادر</w:t>
            </w:r>
            <w:r>
              <w:rPr>
                <w:rStyle w:val="IndexLink"/>
                <w:rtl w:val="true"/>
              </w:rPr>
              <w:tab/>
            </w:r>
            <w:r>
              <w:rPr>
                <w:rStyle w:val="IndexLink"/>
              </w:rPr>
              <w:t>248</w:t>
            </w:r>
          </w:hyperlink>
        </w:p>
        <w:p>
          <w:pPr>
            <w:pStyle w:val="Contents2"/>
            <w:tabs>
              <w:tab w:val="clear" w:pos="8743"/>
              <w:tab w:val="right" w:pos="9026" w:leader="dot"/>
            </w:tabs>
            <w:rPr/>
          </w:pPr>
          <w:hyperlink w:anchor="__RefHeading___Toc2933440_2870459653">
            <w:r>
              <w:rPr>
                <w:webHidden/>
                <w:rStyle w:val="IndexLink"/>
                <w:rtl w:val="true"/>
              </w:rPr>
              <w:t xml:space="preserve">موارد الأحكام الموسعة </w:t>
            </w:r>
            <w:r>
              <w:rPr>
                <w:rStyle w:val="IndexLink"/>
                <w:rtl w:val="true"/>
              </w:rPr>
              <w:t xml:space="preserve">- </w:t>
            </w:r>
            <w:r>
              <w:rPr>
                <w:rStyle w:val="IndexLink"/>
                <w:rtl w:val="true"/>
              </w:rPr>
              <w:t xml:space="preserve">الشيخ أحمد العوادي </w:t>
            </w:r>
            <w:r>
              <w:rPr>
                <w:rStyle w:val="IndexLink"/>
                <w:rtl w:val="true"/>
              </w:rPr>
              <w:t>(</w:t>
            </w:r>
            <w:r>
              <w:rPr>
                <w:rStyle w:val="IndexLink"/>
                <w:rtl w:val="true"/>
              </w:rPr>
              <w:t>دام عزه</w:t>
            </w:r>
            <w:r>
              <w:rPr>
                <w:rStyle w:val="IndexLink"/>
                <w:rtl w:val="true"/>
              </w:rPr>
              <w:t>)</w:t>
              <w:tab/>
            </w:r>
            <w:r>
              <w:rPr>
                <w:rStyle w:val="IndexLink"/>
              </w:rPr>
              <w:t>253</w:t>
            </w:r>
          </w:hyperlink>
        </w:p>
        <w:p>
          <w:pPr>
            <w:pStyle w:val="Contents3"/>
            <w:tabs>
              <w:tab w:val="clear" w:pos="8459"/>
              <w:tab w:val="right" w:pos="9026" w:leader="dot"/>
            </w:tabs>
            <w:rPr/>
          </w:pPr>
          <w:hyperlink w:anchor="__RefHeading___Toc2933442_2870459653">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2933444_2870459653">
            <w:r>
              <w:rPr>
                <w:webHidden/>
                <w:rStyle w:val="IndexLink"/>
                <w:rtl w:val="true"/>
              </w:rPr>
              <w:t>المقدمة</w:t>
            </w:r>
            <w:r>
              <w:rPr>
                <w:rStyle w:val="IndexLink"/>
                <w:rtl w:val="true"/>
              </w:rPr>
              <w:tab/>
            </w:r>
            <w:r>
              <w:rPr>
                <w:rStyle w:val="IndexLink"/>
              </w:rPr>
              <w:t>255</w:t>
            </w:r>
          </w:hyperlink>
        </w:p>
        <w:p>
          <w:pPr>
            <w:pStyle w:val="Contents4"/>
            <w:tabs>
              <w:tab w:val="clear" w:pos="8176"/>
              <w:tab w:val="right" w:pos="9026" w:leader="dot"/>
            </w:tabs>
            <w:rPr/>
          </w:pPr>
          <w:hyperlink w:anchor="__RefHeading___Toc2933446_2870459653">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2933448_2870459653">
            <w:r>
              <w:rPr>
                <w:webHidden/>
                <w:rStyle w:val="IndexLink"/>
                <w:rtl w:val="true"/>
              </w:rPr>
              <w:t>القسم الأوَّل</w:t>
            </w:r>
            <w:r>
              <w:rPr>
                <w:rStyle w:val="IndexLink"/>
                <w:rtl w:val="true"/>
              </w:rPr>
              <w:tab/>
            </w:r>
            <w:r>
              <w:rPr>
                <w:rStyle w:val="IndexLink"/>
              </w:rPr>
              <w:t>255</w:t>
            </w:r>
          </w:hyperlink>
        </w:p>
        <w:p>
          <w:pPr>
            <w:pStyle w:val="Contents4"/>
            <w:tabs>
              <w:tab w:val="clear" w:pos="8176"/>
              <w:tab w:val="right" w:pos="9026" w:leader="dot"/>
            </w:tabs>
            <w:rPr/>
          </w:pPr>
          <w:hyperlink w:anchor="__RefHeading___Toc2933450_2870459653">
            <w:r>
              <w:rPr>
                <w:webHidden/>
                <w:rStyle w:val="IndexLink"/>
                <w:rtl w:val="true"/>
              </w:rPr>
              <w:t>القسم الثّاني</w:t>
            </w:r>
            <w:r>
              <w:rPr>
                <w:rStyle w:val="IndexLink"/>
                <w:rtl w:val="true"/>
              </w:rPr>
              <w:tab/>
            </w:r>
            <w:r>
              <w:rPr>
                <w:rStyle w:val="IndexLink"/>
              </w:rPr>
              <w:t>255</w:t>
            </w:r>
          </w:hyperlink>
        </w:p>
        <w:p>
          <w:pPr>
            <w:pStyle w:val="Contents4"/>
            <w:tabs>
              <w:tab w:val="clear" w:pos="8176"/>
              <w:tab w:val="right" w:pos="9026" w:leader="dot"/>
            </w:tabs>
            <w:rPr/>
          </w:pPr>
          <w:hyperlink w:anchor="__RefHeading___Toc2933452_2870459653">
            <w:r>
              <w:rPr>
                <w:webHidden/>
                <w:rStyle w:val="IndexLink"/>
                <w:rtl w:val="true"/>
              </w:rPr>
              <w:t>أقسام الجمع الدلالي</w:t>
            </w:r>
            <w:r>
              <w:rPr>
                <w:rStyle w:val="IndexLink"/>
                <w:rtl w:val="true"/>
              </w:rPr>
              <w:tab/>
            </w:r>
            <w:r>
              <w:rPr>
                <w:rStyle w:val="IndexLink"/>
              </w:rPr>
              <w:t>256</w:t>
            </w:r>
          </w:hyperlink>
        </w:p>
        <w:p>
          <w:pPr>
            <w:pStyle w:val="Contents3"/>
            <w:tabs>
              <w:tab w:val="clear" w:pos="8459"/>
              <w:tab w:val="right" w:pos="9026" w:leader="dot"/>
            </w:tabs>
            <w:rPr/>
          </w:pPr>
          <w:hyperlink w:anchor="__RefHeading___Toc2933454_2870459653">
            <w:r>
              <w:rPr>
                <w:webHidden/>
                <w:rStyle w:val="IndexLink"/>
                <w:rtl w:val="true"/>
              </w:rPr>
              <w:t>المراد بالأحكام الموسّعة</w:t>
            </w:r>
            <w:r>
              <w:rPr>
                <w:rStyle w:val="IndexLink"/>
                <w:rtl w:val="true"/>
              </w:rPr>
              <w:tab/>
            </w:r>
            <w:r>
              <w:rPr>
                <w:rStyle w:val="IndexLink"/>
              </w:rPr>
              <w:t>257</w:t>
            </w:r>
          </w:hyperlink>
        </w:p>
        <w:p>
          <w:pPr>
            <w:pStyle w:val="Contents3"/>
            <w:tabs>
              <w:tab w:val="clear" w:pos="8459"/>
              <w:tab w:val="right" w:pos="9026" w:leader="dot"/>
            </w:tabs>
            <w:rPr/>
          </w:pPr>
          <w:hyperlink w:anchor="__RefHeading___Toc2933456_2870459653">
            <w:r>
              <w:rPr>
                <w:webHidden/>
                <w:rStyle w:val="IndexLink"/>
                <w:rtl w:val="true"/>
              </w:rPr>
              <w:t>الأدلة العامّة</w:t>
            </w:r>
            <w:r>
              <w:rPr>
                <w:rStyle w:val="IndexLink"/>
                <w:rtl w:val="true"/>
              </w:rPr>
              <w:tab/>
            </w:r>
            <w:r>
              <w:rPr>
                <w:rStyle w:val="IndexLink"/>
              </w:rPr>
              <w:t>262</w:t>
            </w:r>
          </w:hyperlink>
        </w:p>
        <w:p>
          <w:pPr>
            <w:pStyle w:val="Contents3"/>
            <w:tabs>
              <w:tab w:val="clear" w:pos="8459"/>
              <w:tab w:val="right" w:pos="9026" w:leader="dot"/>
            </w:tabs>
            <w:rPr/>
          </w:pPr>
          <w:hyperlink w:anchor="__RefHeading___Toc2933458_2870459653">
            <w:r>
              <w:rPr>
                <w:webHidden/>
                <w:rStyle w:val="IndexLink"/>
                <w:rtl w:val="true"/>
              </w:rPr>
              <w:t>الأخبار الخاصّة</w:t>
            </w:r>
            <w:r>
              <w:rPr>
                <w:rStyle w:val="IndexLink"/>
                <w:rtl w:val="true"/>
              </w:rPr>
              <w:tab/>
            </w:r>
            <w:r>
              <w:rPr>
                <w:rStyle w:val="IndexLink"/>
              </w:rPr>
              <w:t>266</w:t>
            </w:r>
          </w:hyperlink>
        </w:p>
        <w:p>
          <w:pPr>
            <w:pStyle w:val="Contents4"/>
            <w:tabs>
              <w:tab w:val="clear" w:pos="8176"/>
              <w:tab w:val="right" w:pos="9026" w:leader="dot"/>
            </w:tabs>
            <w:rPr/>
          </w:pPr>
          <w:hyperlink w:anchor="__RefHeading___Toc2933460_2870459653">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2933462_2870459653">
            <w:r>
              <w:rPr>
                <w:webHidden/>
                <w:rStyle w:val="IndexLink"/>
                <w:rtl w:val="true"/>
              </w:rPr>
              <w:t>المورد الأوَّل</w:t>
            </w:r>
            <w:r>
              <w:rPr>
                <w:rStyle w:val="IndexLink"/>
                <w:rtl w:val="true"/>
              </w:rPr>
              <w:t xml:space="preserve">: </w:t>
            </w:r>
            <w:r>
              <w:rPr>
                <w:rStyle w:val="IndexLink"/>
                <w:rtl w:val="true"/>
              </w:rPr>
              <w:t>اختلاف الأخبار في أوقات الصلوات اليومية</w:t>
            </w:r>
            <w:r>
              <w:rPr>
                <w:rStyle w:val="IndexLink"/>
                <w:rtl w:val="true"/>
              </w:rPr>
              <w:tab/>
            </w:r>
            <w:r>
              <w:rPr>
                <w:rStyle w:val="IndexLink"/>
              </w:rPr>
              <w:t>267</w:t>
            </w:r>
          </w:hyperlink>
        </w:p>
        <w:p>
          <w:pPr>
            <w:pStyle w:val="Contents5"/>
            <w:tabs>
              <w:tab w:val="clear" w:pos="7892"/>
              <w:tab w:val="right" w:pos="9026" w:leader="dot"/>
            </w:tabs>
            <w:rPr/>
          </w:pPr>
          <w:hyperlink w:anchor="__RefHeading___Toc2933464_2870459653">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2933466_2870459653">
            <w:r>
              <w:rPr>
                <w:webHidden/>
                <w:rStyle w:val="IndexLink"/>
                <w:rtl w:val="true"/>
              </w:rPr>
              <w:t>الرواية الأُولى</w:t>
            </w:r>
            <w:r>
              <w:rPr>
                <w:rStyle w:val="IndexLink"/>
                <w:rtl w:val="true"/>
              </w:rPr>
              <w:tab/>
            </w:r>
            <w:r>
              <w:rPr>
                <w:rStyle w:val="IndexLink"/>
              </w:rPr>
              <w:t>272</w:t>
            </w:r>
          </w:hyperlink>
        </w:p>
        <w:p>
          <w:pPr>
            <w:pStyle w:val="Contents5"/>
            <w:tabs>
              <w:tab w:val="clear" w:pos="7892"/>
              <w:tab w:val="right" w:pos="9026" w:leader="dot"/>
            </w:tabs>
            <w:rPr/>
          </w:pPr>
          <w:hyperlink w:anchor="__RefHeading___Toc2933468_2870459653">
            <w:r>
              <w:rPr>
                <w:webHidden/>
                <w:rStyle w:val="IndexLink"/>
                <w:rtl w:val="true"/>
              </w:rPr>
              <w:t>الرواية الثانية</w:t>
            </w:r>
            <w:r>
              <w:rPr>
                <w:rStyle w:val="IndexLink"/>
                <w:rtl w:val="true"/>
              </w:rPr>
              <w:tab/>
            </w:r>
            <w:r>
              <w:rPr>
                <w:rStyle w:val="IndexLink"/>
              </w:rPr>
              <w:t>273</w:t>
            </w:r>
          </w:hyperlink>
        </w:p>
        <w:p>
          <w:pPr>
            <w:pStyle w:val="Contents5"/>
            <w:tabs>
              <w:tab w:val="clear" w:pos="7892"/>
              <w:tab w:val="right" w:pos="9026" w:leader="dot"/>
            </w:tabs>
            <w:rPr/>
          </w:pPr>
          <w:hyperlink w:anchor="__RefHeading___Toc2933470_2870459653">
            <w:r>
              <w:rPr>
                <w:webHidden/>
                <w:rStyle w:val="IndexLink"/>
                <w:rtl w:val="true"/>
              </w:rPr>
              <w:t>الرواية الثالثة</w:t>
            </w:r>
            <w:r>
              <w:rPr>
                <w:rStyle w:val="IndexLink"/>
                <w:rtl w:val="true"/>
              </w:rPr>
              <w:tab/>
            </w:r>
            <w:r>
              <w:rPr>
                <w:rStyle w:val="IndexLink"/>
              </w:rPr>
              <w:t>276</w:t>
            </w:r>
          </w:hyperlink>
        </w:p>
        <w:p>
          <w:pPr>
            <w:pStyle w:val="Contents4"/>
            <w:tabs>
              <w:tab w:val="clear" w:pos="8176"/>
              <w:tab w:val="right" w:pos="9026" w:leader="dot"/>
            </w:tabs>
            <w:rPr/>
          </w:pPr>
          <w:hyperlink w:anchor="__RefHeading___Toc2933472_2870459653">
            <w:r>
              <w:rPr>
                <w:webHidden/>
                <w:rStyle w:val="IndexLink"/>
                <w:rtl w:val="true"/>
              </w:rPr>
              <w:t>المورد الثّاني</w:t>
            </w:r>
            <w:r>
              <w:rPr>
                <w:rStyle w:val="IndexLink"/>
                <w:rtl w:val="true"/>
              </w:rPr>
              <w:t xml:space="preserve">: </w:t>
            </w:r>
            <w:r>
              <w:rPr>
                <w:rStyle w:val="IndexLink"/>
                <w:rtl w:val="true"/>
              </w:rPr>
              <w:t>من موارد اختلاف الأخبار في الموسّعات ما ورد في أعداد النوافل</w:t>
            </w:r>
            <w:r>
              <w:rPr>
                <w:rStyle w:val="IndexLink"/>
                <w:rtl w:val="true"/>
              </w:rPr>
              <w:tab/>
            </w:r>
            <w:r>
              <w:rPr>
                <w:rStyle w:val="IndexLink"/>
              </w:rPr>
              <w:t>277</w:t>
            </w:r>
          </w:hyperlink>
        </w:p>
        <w:p>
          <w:pPr>
            <w:pStyle w:val="Contents5"/>
            <w:tabs>
              <w:tab w:val="clear" w:pos="7892"/>
              <w:tab w:val="right" w:pos="9026" w:leader="dot"/>
            </w:tabs>
            <w:rPr/>
          </w:pPr>
          <w:hyperlink w:anchor="__RefHeading___Toc2933474_2870459653">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2933476_2870459653">
            <w:r>
              <w:rPr>
                <w:webHidden/>
                <w:rStyle w:val="IndexLink"/>
                <w:rtl w:val="true"/>
              </w:rPr>
              <w:t xml:space="preserve">الروايات الواردة عن الإمام أبي جعفر والإمام أبي عبدالله </w:t>
            </w:r>
            <w:r>
              <w:rPr>
                <w:rStyle w:val="IndexLink"/>
                <w:rtl w:val="true"/>
              </w:rPr>
              <w:t>(</w:t>
            </w:r>
            <w:r>
              <w:rPr>
                <w:rStyle w:val="IndexLink"/>
                <w:rtl w:val="true"/>
              </w:rPr>
              <w:t>علیهما السلام</w:t>
            </w:r>
            <w:r>
              <w:rPr>
                <w:rStyle w:val="IndexLink"/>
                <w:rtl w:val="true"/>
              </w:rPr>
              <w:t>)</w:t>
              <w:tab/>
            </w:r>
            <w:r>
              <w:rPr>
                <w:rStyle w:val="IndexLink"/>
              </w:rPr>
              <w:t>277</w:t>
            </w:r>
          </w:hyperlink>
        </w:p>
        <w:p>
          <w:pPr>
            <w:pStyle w:val="Contents6"/>
            <w:tabs>
              <w:tab w:val="clear" w:pos="7609"/>
              <w:tab w:val="right" w:pos="9026" w:leader="dot"/>
            </w:tabs>
            <w:rPr/>
          </w:pPr>
          <w:hyperlink w:anchor="__RefHeading___Toc2933478_2870459653">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2933480_2870459653">
            <w:r>
              <w:rPr>
                <w:webHidden/>
                <w:rStyle w:val="IndexLink"/>
                <w:rtl w:val="true"/>
              </w:rPr>
              <w:t>الطائفة الأولى</w:t>
            </w:r>
            <w:r>
              <w:rPr>
                <w:rStyle w:val="IndexLink"/>
                <w:rtl w:val="true"/>
              </w:rPr>
              <w:t xml:space="preserve">: </w:t>
            </w:r>
            <w:r>
              <w:rPr>
                <w:rStyle w:val="IndexLink"/>
                <w:rtl w:val="true"/>
              </w:rPr>
              <w:t>ما تضمّنت أنّ أعداد النوافل إحدى وخمسون</w:t>
            </w:r>
            <w:r>
              <w:rPr>
                <w:rStyle w:val="IndexLink"/>
                <w:rtl w:val="true"/>
              </w:rPr>
              <w:tab/>
            </w:r>
            <w:r>
              <w:rPr>
                <w:rStyle w:val="IndexLink"/>
              </w:rPr>
              <w:t>277</w:t>
            </w:r>
          </w:hyperlink>
        </w:p>
        <w:p>
          <w:pPr>
            <w:pStyle w:val="Contents6"/>
            <w:tabs>
              <w:tab w:val="clear" w:pos="7609"/>
              <w:tab w:val="right" w:pos="9026" w:leader="dot"/>
            </w:tabs>
            <w:rPr/>
          </w:pPr>
          <w:hyperlink w:anchor="__RefHeading___Toc2933482_2870459653">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2933484_2870459653">
            <w:r>
              <w:rPr>
                <w:webHidden/>
                <w:rStyle w:val="IndexLink"/>
                <w:rtl w:val="true"/>
              </w:rPr>
              <w:t>الرواية الأولى</w:t>
            </w:r>
            <w:r>
              <w:rPr>
                <w:rStyle w:val="IndexLink"/>
                <w:rtl w:val="true"/>
              </w:rPr>
              <w:tab/>
            </w:r>
            <w:r>
              <w:rPr>
                <w:rStyle w:val="IndexLink"/>
              </w:rPr>
              <w:t>277</w:t>
            </w:r>
          </w:hyperlink>
        </w:p>
        <w:p>
          <w:pPr>
            <w:pStyle w:val="Contents6"/>
            <w:tabs>
              <w:tab w:val="clear" w:pos="7609"/>
              <w:tab w:val="right" w:pos="9026" w:leader="dot"/>
            </w:tabs>
            <w:rPr/>
          </w:pPr>
          <w:hyperlink w:anchor="__RefHeading___Toc2933486_2870459653">
            <w:r>
              <w:rPr>
                <w:webHidden/>
                <w:rStyle w:val="IndexLink"/>
                <w:rtl w:val="true"/>
              </w:rPr>
              <w:t>الرواية الثانية</w:t>
            </w:r>
            <w:r>
              <w:rPr>
                <w:rStyle w:val="IndexLink"/>
                <w:rtl w:val="true"/>
              </w:rPr>
              <w:tab/>
            </w:r>
            <w:r>
              <w:rPr>
                <w:rStyle w:val="IndexLink"/>
              </w:rPr>
              <w:t>278</w:t>
            </w:r>
          </w:hyperlink>
        </w:p>
        <w:p>
          <w:pPr>
            <w:pStyle w:val="Contents6"/>
            <w:tabs>
              <w:tab w:val="clear" w:pos="7609"/>
              <w:tab w:val="right" w:pos="9026" w:leader="dot"/>
            </w:tabs>
            <w:rPr/>
          </w:pPr>
          <w:hyperlink w:anchor="__RefHeading___Toc2933488_2870459653">
            <w:r>
              <w:rPr>
                <w:webHidden/>
                <w:rStyle w:val="IndexLink"/>
                <w:rtl w:val="true"/>
              </w:rPr>
              <w:t>الرواية الثّالثة</w:t>
            </w:r>
            <w:r>
              <w:rPr>
                <w:rStyle w:val="IndexLink"/>
                <w:rtl w:val="true"/>
              </w:rPr>
              <w:tab/>
            </w:r>
            <w:r>
              <w:rPr>
                <w:rStyle w:val="IndexLink"/>
              </w:rPr>
              <w:t>279</w:t>
            </w:r>
          </w:hyperlink>
        </w:p>
        <w:p>
          <w:pPr>
            <w:pStyle w:val="Contents6"/>
            <w:tabs>
              <w:tab w:val="clear" w:pos="7609"/>
              <w:tab w:val="right" w:pos="9026" w:leader="dot"/>
            </w:tabs>
            <w:rPr/>
          </w:pPr>
          <w:hyperlink w:anchor="__RefHeading___Toc2933490_2870459653">
            <w:r>
              <w:rPr>
                <w:webHidden/>
                <w:rStyle w:val="IndexLink"/>
                <w:rtl w:val="true"/>
              </w:rPr>
              <w:t>الرواية الرابعة</w:t>
            </w:r>
            <w:r>
              <w:rPr>
                <w:rStyle w:val="IndexLink"/>
                <w:rtl w:val="true"/>
              </w:rPr>
              <w:tab/>
            </w:r>
            <w:r>
              <w:rPr>
                <w:rStyle w:val="IndexLink"/>
              </w:rPr>
              <w:t>280</w:t>
            </w:r>
          </w:hyperlink>
        </w:p>
        <w:p>
          <w:pPr>
            <w:pStyle w:val="Contents6"/>
            <w:tabs>
              <w:tab w:val="clear" w:pos="7609"/>
              <w:tab w:val="right" w:pos="9026" w:leader="dot"/>
            </w:tabs>
            <w:rPr/>
          </w:pPr>
          <w:hyperlink w:anchor="__RefHeading___Toc2933492_2870459653">
            <w:r>
              <w:rPr>
                <w:webHidden/>
                <w:rStyle w:val="IndexLink"/>
                <w:rtl w:val="true"/>
              </w:rPr>
              <w:t>الطائفة الثّانية</w:t>
            </w:r>
            <w:r>
              <w:rPr>
                <w:rStyle w:val="IndexLink"/>
                <w:rtl w:val="true"/>
              </w:rPr>
              <w:t xml:space="preserve">: </w:t>
            </w:r>
            <w:r>
              <w:rPr>
                <w:rStyle w:val="IndexLink"/>
                <w:rtl w:val="true"/>
              </w:rPr>
              <w:t>ما تضمّنت أنّ أعداد النوافل أربع وأربعون</w:t>
            </w:r>
            <w:r>
              <w:rPr>
                <w:rStyle w:val="IndexLink"/>
                <w:rtl w:val="true"/>
              </w:rPr>
              <w:tab/>
            </w:r>
            <w:r>
              <w:rPr>
                <w:rStyle w:val="IndexLink"/>
              </w:rPr>
              <w:t>282</w:t>
            </w:r>
          </w:hyperlink>
        </w:p>
        <w:p>
          <w:pPr>
            <w:pStyle w:val="Contents6"/>
            <w:tabs>
              <w:tab w:val="clear" w:pos="7609"/>
              <w:tab w:val="right" w:pos="9026" w:leader="dot"/>
            </w:tabs>
            <w:rPr/>
          </w:pPr>
          <w:hyperlink w:anchor="__RefHeading___Toc2933494_2870459653">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2933496_2870459653">
            <w:r>
              <w:rPr>
                <w:webHidden/>
                <w:rStyle w:val="IndexLink"/>
                <w:rtl w:val="true"/>
              </w:rPr>
              <w:t>الرواية الأولى</w:t>
            </w:r>
            <w:r>
              <w:rPr>
                <w:rStyle w:val="IndexLink"/>
                <w:rtl w:val="true"/>
              </w:rPr>
              <w:tab/>
            </w:r>
            <w:r>
              <w:rPr>
                <w:rStyle w:val="IndexLink"/>
              </w:rPr>
              <w:t>282</w:t>
            </w:r>
          </w:hyperlink>
        </w:p>
        <w:p>
          <w:pPr>
            <w:pStyle w:val="Contents6"/>
            <w:tabs>
              <w:tab w:val="clear" w:pos="7609"/>
              <w:tab w:val="right" w:pos="9026" w:leader="dot"/>
            </w:tabs>
            <w:rPr/>
          </w:pPr>
          <w:hyperlink w:anchor="__RefHeading___Toc2933498_2870459653">
            <w:r>
              <w:rPr>
                <w:webHidden/>
                <w:rStyle w:val="IndexLink"/>
                <w:rtl w:val="true"/>
              </w:rPr>
              <w:t>الرواية الثانية</w:t>
            </w:r>
            <w:r>
              <w:rPr>
                <w:rStyle w:val="IndexLink"/>
                <w:rtl w:val="true"/>
              </w:rPr>
              <w:tab/>
            </w:r>
            <w:r>
              <w:rPr>
                <w:rStyle w:val="IndexLink"/>
              </w:rPr>
              <w:t>283</w:t>
            </w:r>
          </w:hyperlink>
        </w:p>
        <w:p>
          <w:pPr>
            <w:pStyle w:val="Contents6"/>
            <w:tabs>
              <w:tab w:val="clear" w:pos="7609"/>
              <w:tab w:val="right" w:pos="9026" w:leader="dot"/>
            </w:tabs>
            <w:rPr/>
          </w:pPr>
          <w:hyperlink w:anchor="__RefHeading___Toc2933500_2870459653">
            <w:r>
              <w:rPr>
                <w:webHidden/>
                <w:rStyle w:val="IndexLink"/>
                <w:rtl w:val="true"/>
              </w:rPr>
              <w:t>الرواية الثّالثة</w:t>
            </w:r>
            <w:r>
              <w:rPr>
                <w:rStyle w:val="IndexLink"/>
                <w:rtl w:val="true"/>
              </w:rPr>
              <w:tab/>
            </w:r>
            <w:r>
              <w:rPr>
                <w:rStyle w:val="IndexLink"/>
              </w:rPr>
              <w:t>284</w:t>
            </w:r>
          </w:hyperlink>
        </w:p>
        <w:p>
          <w:pPr>
            <w:pStyle w:val="Contents6"/>
            <w:tabs>
              <w:tab w:val="clear" w:pos="7609"/>
              <w:tab w:val="right" w:pos="9026" w:leader="dot"/>
            </w:tabs>
            <w:rPr/>
          </w:pPr>
          <w:hyperlink w:anchor="__RefHeading___Toc2933502_2870459653">
            <w:r>
              <w:rPr>
                <w:webHidden/>
                <w:rStyle w:val="IndexLink"/>
                <w:rtl w:val="true"/>
              </w:rPr>
              <w:t>الطائفة الثالثة</w:t>
            </w:r>
            <w:r>
              <w:rPr>
                <w:rStyle w:val="IndexLink"/>
                <w:rtl w:val="true"/>
              </w:rPr>
              <w:t xml:space="preserve">: </w:t>
            </w:r>
            <w:r>
              <w:rPr>
                <w:rStyle w:val="IndexLink"/>
                <w:rtl w:val="true"/>
              </w:rPr>
              <w:t>ما تضمّنت غيرهما</w:t>
            </w:r>
            <w:r>
              <w:rPr>
                <w:rStyle w:val="IndexLink"/>
                <w:rtl w:val="true"/>
              </w:rPr>
              <w:tab/>
            </w:r>
            <w:r>
              <w:rPr>
                <w:rStyle w:val="IndexLink"/>
              </w:rPr>
              <w:t>284</w:t>
            </w:r>
          </w:hyperlink>
        </w:p>
        <w:p>
          <w:pPr>
            <w:pStyle w:val="Contents5"/>
            <w:tabs>
              <w:tab w:val="clear" w:pos="7892"/>
              <w:tab w:val="right" w:pos="9026" w:leader="dot"/>
            </w:tabs>
            <w:rPr/>
          </w:pPr>
          <w:hyperlink w:anchor="__RefHeading___Toc2933504_2870459653">
            <w:r>
              <w:rPr>
                <w:webHidden/>
                <w:rStyle w:val="IndexLink"/>
                <w:rtl w:val="true"/>
              </w:rPr>
              <w:t xml:space="preserve">الروايات التي وردت بعد عصر الصادقين </w:t>
            </w:r>
            <w:r>
              <w:rPr>
                <w:rStyle w:val="IndexLink"/>
                <w:rtl w:val="true"/>
              </w:rPr>
              <w:t>(</w:t>
            </w:r>
            <w:r>
              <w:rPr>
                <w:rStyle w:val="IndexLink"/>
                <w:rtl w:val="true"/>
              </w:rPr>
              <w:t>علیهما السلام</w:t>
            </w:r>
            <w:r>
              <w:rPr>
                <w:rStyle w:val="IndexLink"/>
                <w:rtl w:val="true"/>
              </w:rPr>
              <w:t>)</w:t>
              <w:tab/>
            </w:r>
            <w:r>
              <w:rPr>
                <w:rStyle w:val="IndexLink"/>
              </w:rPr>
              <w:t>286</w:t>
            </w:r>
          </w:hyperlink>
        </w:p>
        <w:p>
          <w:pPr>
            <w:pStyle w:val="Contents6"/>
            <w:tabs>
              <w:tab w:val="clear" w:pos="7609"/>
              <w:tab w:val="right" w:pos="9026" w:leader="dot"/>
            </w:tabs>
            <w:rPr/>
          </w:pPr>
          <w:hyperlink w:anchor="__RefHeading___Toc2933506_2870459653">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2933508_2870459653">
            <w:r>
              <w:rPr>
                <w:webHidden/>
                <w:rStyle w:val="IndexLink"/>
                <w:rtl w:val="true"/>
              </w:rPr>
              <w:t>الطائفة الأولى</w:t>
            </w:r>
            <w:r>
              <w:rPr>
                <w:rStyle w:val="IndexLink"/>
                <w:rtl w:val="true"/>
              </w:rPr>
              <w:tab/>
            </w:r>
            <w:r>
              <w:rPr>
                <w:rStyle w:val="IndexLink"/>
              </w:rPr>
              <w:t>286</w:t>
            </w:r>
          </w:hyperlink>
        </w:p>
        <w:p>
          <w:pPr>
            <w:pStyle w:val="Contents6"/>
            <w:tabs>
              <w:tab w:val="clear" w:pos="7609"/>
              <w:tab w:val="right" w:pos="9026" w:leader="dot"/>
            </w:tabs>
            <w:rPr/>
          </w:pPr>
          <w:hyperlink w:anchor="__RefHeading___Toc2933510_2870459653">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2933512_2870459653">
            <w:r>
              <w:rPr>
                <w:webHidden/>
                <w:rStyle w:val="IndexLink"/>
                <w:rtl w:val="true"/>
              </w:rPr>
              <w:t>الرواية الأولى</w:t>
            </w:r>
            <w:r>
              <w:rPr>
                <w:rStyle w:val="IndexLink"/>
                <w:rtl w:val="true"/>
              </w:rPr>
              <w:tab/>
            </w:r>
            <w:r>
              <w:rPr>
                <w:rStyle w:val="IndexLink"/>
              </w:rPr>
              <w:t>286</w:t>
            </w:r>
          </w:hyperlink>
        </w:p>
        <w:p>
          <w:pPr>
            <w:pStyle w:val="Contents6"/>
            <w:tabs>
              <w:tab w:val="clear" w:pos="7609"/>
              <w:tab w:val="right" w:pos="9026" w:leader="dot"/>
            </w:tabs>
            <w:rPr/>
          </w:pPr>
          <w:hyperlink w:anchor="__RefHeading___Toc2933514_2870459653">
            <w:r>
              <w:rPr>
                <w:webHidden/>
                <w:rStyle w:val="IndexLink"/>
                <w:rtl w:val="true"/>
              </w:rPr>
              <w:t>الرواية الثّانية</w:t>
            </w:r>
            <w:r>
              <w:rPr>
                <w:rStyle w:val="IndexLink"/>
                <w:rtl w:val="true"/>
              </w:rPr>
              <w:tab/>
            </w:r>
            <w:r>
              <w:rPr>
                <w:rStyle w:val="IndexLink"/>
              </w:rPr>
              <w:t>287</w:t>
            </w:r>
          </w:hyperlink>
        </w:p>
        <w:p>
          <w:pPr>
            <w:pStyle w:val="Contents6"/>
            <w:tabs>
              <w:tab w:val="clear" w:pos="7609"/>
              <w:tab w:val="right" w:pos="9026" w:leader="dot"/>
            </w:tabs>
            <w:rPr/>
          </w:pPr>
          <w:hyperlink w:anchor="__RefHeading___Toc2933516_2870459653">
            <w:r>
              <w:rPr>
                <w:webHidden/>
                <w:rStyle w:val="IndexLink"/>
                <w:rtl w:val="true"/>
              </w:rPr>
              <w:t>الطائفة الثّانية</w:t>
            </w:r>
            <w:r>
              <w:rPr>
                <w:rStyle w:val="IndexLink"/>
                <w:rtl w:val="true"/>
              </w:rPr>
              <w:tab/>
            </w:r>
            <w:r>
              <w:rPr>
                <w:rStyle w:val="IndexLink"/>
              </w:rPr>
              <w:t>288</w:t>
            </w:r>
          </w:hyperlink>
        </w:p>
        <w:p>
          <w:pPr>
            <w:pStyle w:val="Contents6"/>
            <w:tabs>
              <w:tab w:val="clear" w:pos="7609"/>
              <w:tab w:val="right" w:pos="9026" w:leader="dot"/>
            </w:tabs>
            <w:rPr/>
          </w:pPr>
          <w:hyperlink w:anchor="__RefHeading___Toc2933518_2870459653">
            <w:r>
              <w:rPr>
                <w:webHidden/>
                <w:rStyle w:val="IndexLink"/>
                <w:rtl w:val="true"/>
              </w:rPr>
              <w:t>الطائفة الثّالثة</w:t>
            </w:r>
            <w:r>
              <w:rPr>
                <w:rStyle w:val="IndexLink"/>
                <w:rtl w:val="true"/>
              </w:rPr>
              <w:tab/>
            </w:r>
            <w:r>
              <w:rPr>
                <w:rStyle w:val="IndexLink"/>
              </w:rPr>
              <w:t>289</w:t>
            </w:r>
          </w:hyperlink>
        </w:p>
        <w:p>
          <w:pPr>
            <w:pStyle w:val="Contents4"/>
            <w:tabs>
              <w:tab w:val="clear" w:pos="8176"/>
              <w:tab w:val="right" w:pos="9026" w:leader="dot"/>
            </w:tabs>
            <w:rPr/>
          </w:pPr>
          <w:hyperlink w:anchor="__RefHeading___Toc2933520_2870459653">
            <w:r>
              <w:rPr>
                <w:webHidden/>
                <w:rStyle w:val="IndexLink"/>
                <w:rtl w:val="true"/>
              </w:rPr>
              <w:t>المورد الثّالث</w:t>
            </w:r>
            <w:r>
              <w:rPr>
                <w:rStyle w:val="IndexLink"/>
                <w:rtl w:val="true"/>
              </w:rPr>
              <w:t xml:space="preserve">: </w:t>
            </w:r>
            <w:r>
              <w:rPr>
                <w:rStyle w:val="IndexLink"/>
                <w:rtl w:val="true"/>
              </w:rPr>
              <w:t>من موارد اختلاف الأخبار في الموسّعات ما ورد في الصلاة في الحرمين الشريفين مكة والمدينة</w:t>
            </w:r>
            <w:r>
              <w:rPr>
                <w:rStyle w:val="IndexLink"/>
                <w:rtl w:val="true"/>
              </w:rPr>
              <w:tab/>
            </w:r>
            <w:r>
              <w:rPr>
                <w:rStyle w:val="IndexLink"/>
              </w:rPr>
              <w:t>294</w:t>
            </w:r>
          </w:hyperlink>
        </w:p>
        <w:p>
          <w:pPr>
            <w:pStyle w:val="Contents5"/>
            <w:tabs>
              <w:tab w:val="clear" w:pos="7892"/>
              <w:tab w:val="right" w:pos="9026" w:leader="dot"/>
            </w:tabs>
            <w:rPr/>
          </w:pPr>
          <w:hyperlink w:anchor="__RefHeading___Toc2933522_2870459653">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2933524_2870459653">
            <w:r>
              <w:rPr>
                <w:webHidden/>
                <w:rStyle w:val="IndexLink"/>
                <w:rtl w:val="true"/>
              </w:rPr>
              <w:t xml:space="preserve">الروايات الواردة في عصر الصادقين </w:t>
            </w:r>
            <w:r>
              <w:rPr>
                <w:rStyle w:val="IndexLink"/>
                <w:rtl w:val="true"/>
              </w:rPr>
              <w:t>(</w:t>
            </w:r>
            <w:r>
              <w:rPr>
                <w:rStyle w:val="IndexLink"/>
                <w:rtl w:val="true"/>
              </w:rPr>
              <w:t>علیهما السلام</w:t>
            </w:r>
            <w:r>
              <w:rPr>
                <w:rStyle w:val="IndexLink"/>
                <w:rtl w:val="true"/>
              </w:rPr>
              <w:t>)</w:t>
              <w:tab/>
            </w:r>
            <w:r>
              <w:rPr>
                <w:rStyle w:val="IndexLink"/>
              </w:rPr>
              <w:t>295</w:t>
            </w:r>
          </w:hyperlink>
        </w:p>
        <w:p>
          <w:pPr>
            <w:pStyle w:val="Contents6"/>
            <w:tabs>
              <w:tab w:val="clear" w:pos="7609"/>
              <w:tab w:val="right" w:pos="9026" w:leader="dot"/>
            </w:tabs>
            <w:rPr/>
          </w:pPr>
          <w:hyperlink w:anchor="__RefHeading___Toc2933526_2870459653">
            <w:r>
              <w:rPr>
                <w:webHidden/>
                <w:rStyle w:val="IndexLink"/>
                <w:rtl w:val="true"/>
              </w:rPr>
              <w:t>اشارة</w:t>
            </w:r>
            <w:r>
              <w:rPr>
                <w:rStyle w:val="IndexLink"/>
                <w:rtl w:val="true"/>
              </w:rPr>
              <w:tab/>
            </w:r>
            <w:r>
              <w:rPr>
                <w:rStyle w:val="IndexLink"/>
              </w:rPr>
              <w:t>295</w:t>
            </w:r>
          </w:hyperlink>
        </w:p>
        <w:p>
          <w:pPr>
            <w:pStyle w:val="Contents6"/>
            <w:tabs>
              <w:tab w:val="clear" w:pos="7609"/>
              <w:tab w:val="right" w:pos="9026" w:leader="dot"/>
            </w:tabs>
            <w:rPr/>
          </w:pPr>
          <w:hyperlink w:anchor="__RefHeading___Toc2933528_2870459653">
            <w:r>
              <w:rPr>
                <w:webHidden/>
                <w:rStyle w:val="IndexLink"/>
                <w:rtl w:val="true"/>
              </w:rPr>
              <w:t>الطائفة الأولى</w:t>
            </w:r>
            <w:r>
              <w:rPr>
                <w:rStyle w:val="IndexLink"/>
                <w:rtl w:val="true"/>
              </w:rPr>
              <w:t xml:space="preserve">: </w:t>
            </w:r>
            <w:r>
              <w:rPr>
                <w:rStyle w:val="IndexLink"/>
                <w:rtl w:val="true"/>
              </w:rPr>
              <w:t>ما ورد في الإتمام</w:t>
            </w:r>
            <w:r>
              <w:rPr>
                <w:rStyle w:val="IndexLink"/>
                <w:rtl w:val="true"/>
              </w:rPr>
              <w:tab/>
            </w:r>
            <w:r>
              <w:rPr>
                <w:rStyle w:val="IndexLink"/>
              </w:rPr>
              <w:t>295</w:t>
            </w:r>
          </w:hyperlink>
        </w:p>
        <w:p>
          <w:pPr>
            <w:pStyle w:val="Contents6"/>
            <w:tabs>
              <w:tab w:val="clear" w:pos="7609"/>
              <w:tab w:val="right" w:pos="9026" w:leader="dot"/>
            </w:tabs>
            <w:rPr/>
          </w:pPr>
          <w:hyperlink w:anchor="__RefHeading___Toc2933530_2870459653">
            <w:r>
              <w:rPr>
                <w:webHidden/>
                <w:rStyle w:val="IndexLink"/>
                <w:rtl w:val="true"/>
              </w:rPr>
              <w:t>اشارة</w:t>
            </w:r>
            <w:r>
              <w:rPr>
                <w:rStyle w:val="IndexLink"/>
                <w:rtl w:val="true"/>
              </w:rPr>
              <w:tab/>
            </w:r>
            <w:r>
              <w:rPr>
                <w:rStyle w:val="IndexLink"/>
              </w:rPr>
              <w:t>295</w:t>
            </w:r>
          </w:hyperlink>
        </w:p>
        <w:p>
          <w:pPr>
            <w:pStyle w:val="Contents6"/>
            <w:tabs>
              <w:tab w:val="clear" w:pos="7609"/>
              <w:tab w:val="right" w:pos="9026" w:leader="dot"/>
            </w:tabs>
            <w:rPr/>
          </w:pPr>
          <w:hyperlink w:anchor="__RefHeading___Toc2933532_2870459653">
            <w:r>
              <w:rPr>
                <w:webHidden/>
                <w:rStyle w:val="IndexLink"/>
                <w:rtl w:val="true"/>
              </w:rPr>
              <w:t>الرواية الأولى</w:t>
            </w:r>
            <w:r>
              <w:rPr>
                <w:rStyle w:val="IndexLink"/>
                <w:rtl w:val="true"/>
              </w:rPr>
              <w:tab/>
            </w:r>
            <w:r>
              <w:rPr>
                <w:rStyle w:val="IndexLink"/>
              </w:rPr>
              <w:t>295</w:t>
            </w:r>
          </w:hyperlink>
        </w:p>
        <w:p>
          <w:pPr>
            <w:pStyle w:val="Contents6"/>
            <w:tabs>
              <w:tab w:val="clear" w:pos="7609"/>
              <w:tab w:val="right" w:pos="9026" w:leader="dot"/>
            </w:tabs>
            <w:rPr/>
          </w:pPr>
          <w:hyperlink w:anchor="__RefHeading___Toc2933534_2870459653">
            <w:r>
              <w:rPr>
                <w:webHidden/>
                <w:rStyle w:val="IndexLink"/>
                <w:rtl w:val="true"/>
              </w:rPr>
              <w:t>الرواية الثانية</w:t>
            </w:r>
            <w:r>
              <w:rPr>
                <w:rStyle w:val="IndexLink"/>
                <w:rtl w:val="true"/>
              </w:rPr>
              <w:tab/>
            </w:r>
            <w:r>
              <w:rPr>
                <w:rStyle w:val="IndexLink"/>
              </w:rPr>
              <w:t>296</w:t>
            </w:r>
          </w:hyperlink>
        </w:p>
        <w:p>
          <w:pPr>
            <w:pStyle w:val="Contents6"/>
            <w:tabs>
              <w:tab w:val="clear" w:pos="7609"/>
              <w:tab w:val="right" w:pos="9026" w:leader="dot"/>
            </w:tabs>
            <w:rPr/>
          </w:pPr>
          <w:hyperlink w:anchor="__RefHeading___Toc2933536_2870459653">
            <w:r>
              <w:rPr>
                <w:webHidden/>
                <w:rStyle w:val="IndexLink"/>
                <w:rtl w:val="true"/>
              </w:rPr>
              <w:t>الرواية الثّالثة</w:t>
            </w:r>
            <w:r>
              <w:rPr>
                <w:rStyle w:val="IndexLink"/>
                <w:rtl w:val="true"/>
              </w:rPr>
              <w:tab/>
            </w:r>
            <w:r>
              <w:rPr>
                <w:rStyle w:val="IndexLink"/>
              </w:rPr>
              <w:t>297</w:t>
            </w:r>
          </w:hyperlink>
        </w:p>
        <w:p>
          <w:pPr>
            <w:pStyle w:val="Contents6"/>
            <w:tabs>
              <w:tab w:val="clear" w:pos="7609"/>
              <w:tab w:val="right" w:pos="9026" w:leader="dot"/>
            </w:tabs>
            <w:rPr/>
          </w:pPr>
          <w:hyperlink w:anchor="__RefHeading___Toc2933538_2870459653">
            <w:r>
              <w:rPr>
                <w:webHidden/>
                <w:rStyle w:val="IndexLink"/>
                <w:rtl w:val="true"/>
              </w:rPr>
              <w:t>الطائفة الثانية</w:t>
            </w:r>
            <w:r>
              <w:rPr>
                <w:rStyle w:val="IndexLink"/>
                <w:rtl w:val="true"/>
              </w:rPr>
              <w:t xml:space="preserve">: </w:t>
            </w:r>
            <w:r>
              <w:rPr>
                <w:rStyle w:val="IndexLink"/>
                <w:rtl w:val="true"/>
              </w:rPr>
              <w:t>ما ورد في القصر</w:t>
            </w:r>
            <w:r>
              <w:rPr>
                <w:rStyle w:val="IndexLink"/>
                <w:rtl w:val="true"/>
              </w:rPr>
              <w:tab/>
            </w:r>
            <w:r>
              <w:rPr>
                <w:rStyle w:val="IndexLink"/>
              </w:rPr>
              <w:t>297</w:t>
            </w:r>
          </w:hyperlink>
        </w:p>
        <w:p>
          <w:pPr>
            <w:pStyle w:val="Contents5"/>
            <w:tabs>
              <w:tab w:val="clear" w:pos="7892"/>
              <w:tab w:val="right" w:pos="9026" w:leader="dot"/>
            </w:tabs>
            <w:rPr/>
          </w:pPr>
          <w:hyperlink w:anchor="__RefHeading___Toc2933540_2870459653">
            <w:r>
              <w:rPr>
                <w:webHidden/>
                <w:rStyle w:val="IndexLink"/>
                <w:rtl w:val="true"/>
              </w:rPr>
              <w:t xml:space="preserve">الروايات الواردة فيما بعد عصر الصادقين </w:t>
            </w:r>
            <w:r>
              <w:rPr>
                <w:rStyle w:val="IndexLink"/>
                <w:rtl w:val="true"/>
              </w:rPr>
              <w:t>(</w:t>
            </w:r>
            <w:r>
              <w:rPr>
                <w:rStyle w:val="IndexLink"/>
                <w:rtl w:val="true"/>
              </w:rPr>
              <w:t>علیهما السلام</w:t>
            </w:r>
            <w:r>
              <w:rPr>
                <w:rStyle w:val="IndexLink"/>
                <w:rtl w:val="true"/>
              </w:rPr>
              <w:t>)</w:t>
              <w:tab/>
            </w:r>
            <w:r>
              <w:rPr>
                <w:rStyle w:val="IndexLink"/>
              </w:rPr>
              <w:t>299</w:t>
            </w:r>
          </w:hyperlink>
        </w:p>
        <w:p>
          <w:pPr>
            <w:pStyle w:val="Contents6"/>
            <w:tabs>
              <w:tab w:val="clear" w:pos="7609"/>
              <w:tab w:val="right" w:pos="9026" w:leader="dot"/>
            </w:tabs>
            <w:rPr/>
          </w:pPr>
          <w:hyperlink w:anchor="__RefHeading___Toc2933542_2870459653">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2933544_2870459653">
            <w:r>
              <w:rPr>
                <w:webHidden/>
                <w:rStyle w:val="IndexLink"/>
                <w:rtl w:val="true"/>
              </w:rPr>
              <w:t>الطائفة الأُولى</w:t>
            </w:r>
            <w:r>
              <w:rPr>
                <w:rStyle w:val="IndexLink"/>
                <w:rtl w:val="true"/>
              </w:rPr>
              <w:t xml:space="preserve">: </w:t>
            </w:r>
            <w:r>
              <w:rPr>
                <w:rStyle w:val="IndexLink"/>
                <w:rtl w:val="true"/>
              </w:rPr>
              <w:t>ما دلّت على التمام</w:t>
            </w:r>
            <w:r>
              <w:rPr>
                <w:rStyle w:val="IndexLink"/>
                <w:rtl w:val="true"/>
              </w:rPr>
              <w:tab/>
            </w:r>
            <w:r>
              <w:rPr>
                <w:rStyle w:val="IndexLink"/>
              </w:rPr>
              <w:t>299</w:t>
            </w:r>
          </w:hyperlink>
        </w:p>
        <w:p>
          <w:pPr>
            <w:pStyle w:val="Contents6"/>
            <w:tabs>
              <w:tab w:val="clear" w:pos="7609"/>
              <w:tab w:val="right" w:pos="9026" w:leader="dot"/>
            </w:tabs>
            <w:rPr/>
          </w:pPr>
          <w:hyperlink w:anchor="__RefHeading___Toc2933546_2870459653">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2933548_2870459653">
            <w:r>
              <w:rPr>
                <w:webHidden/>
                <w:rStyle w:val="IndexLink"/>
                <w:rtl w:val="true"/>
              </w:rPr>
              <w:t>الرواية الأولى</w:t>
            </w:r>
            <w:r>
              <w:rPr>
                <w:rStyle w:val="IndexLink"/>
                <w:rtl w:val="true"/>
              </w:rPr>
              <w:tab/>
            </w:r>
            <w:r>
              <w:rPr>
                <w:rStyle w:val="IndexLink"/>
              </w:rPr>
              <w:t>299</w:t>
            </w:r>
          </w:hyperlink>
        </w:p>
        <w:p>
          <w:pPr>
            <w:pStyle w:val="Contents6"/>
            <w:tabs>
              <w:tab w:val="clear" w:pos="7609"/>
              <w:tab w:val="right" w:pos="9026" w:leader="dot"/>
            </w:tabs>
            <w:rPr/>
          </w:pPr>
          <w:hyperlink w:anchor="__RefHeading___Toc2933550_2870459653">
            <w:r>
              <w:rPr>
                <w:webHidden/>
                <w:rStyle w:val="IndexLink"/>
                <w:rtl w:val="true"/>
              </w:rPr>
              <w:t>الرواية الثّانية</w:t>
            </w:r>
            <w:r>
              <w:rPr>
                <w:rStyle w:val="IndexLink"/>
                <w:rtl w:val="true"/>
              </w:rPr>
              <w:tab/>
            </w:r>
            <w:r>
              <w:rPr>
                <w:rStyle w:val="IndexLink"/>
              </w:rPr>
              <w:t>299</w:t>
            </w:r>
          </w:hyperlink>
        </w:p>
        <w:p>
          <w:pPr>
            <w:pStyle w:val="Contents6"/>
            <w:tabs>
              <w:tab w:val="clear" w:pos="7609"/>
              <w:tab w:val="right" w:pos="9026" w:leader="dot"/>
            </w:tabs>
            <w:rPr/>
          </w:pPr>
          <w:hyperlink w:anchor="__RefHeading___Toc2933552_2870459653">
            <w:r>
              <w:rPr>
                <w:webHidden/>
                <w:rStyle w:val="IndexLink"/>
                <w:rtl w:val="true"/>
              </w:rPr>
              <w:t>الرواية الثّالثة</w:t>
            </w:r>
            <w:r>
              <w:rPr>
                <w:rStyle w:val="IndexLink"/>
                <w:rtl w:val="true"/>
              </w:rPr>
              <w:tab/>
            </w:r>
            <w:r>
              <w:rPr>
                <w:rStyle w:val="IndexLink"/>
              </w:rPr>
              <w:t>300</w:t>
            </w:r>
          </w:hyperlink>
        </w:p>
        <w:p>
          <w:pPr>
            <w:pStyle w:val="Contents6"/>
            <w:tabs>
              <w:tab w:val="clear" w:pos="7609"/>
              <w:tab w:val="right" w:pos="9026" w:leader="dot"/>
            </w:tabs>
            <w:rPr/>
          </w:pPr>
          <w:hyperlink w:anchor="__RefHeading___Toc2933554_2870459653">
            <w:r>
              <w:rPr>
                <w:webHidden/>
                <w:rStyle w:val="IndexLink"/>
                <w:rtl w:val="true"/>
              </w:rPr>
              <w:t>الرواية الرابعة</w:t>
            </w:r>
            <w:r>
              <w:rPr>
                <w:rStyle w:val="IndexLink"/>
                <w:rtl w:val="true"/>
              </w:rPr>
              <w:tab/>
            </w:r>
            <w:r>
              <w:rPr>
                <w:rStyle w:val="IndexLink"/>
              </w:rPr>
              <w:t>301</w:t>
            </w:r>
          </w:hyperlink>
        </w:p>
        <w:p>
          <w:pPr>
            <w:pStyle w:val="Contents5"/>
            <w:tabs>
              <w:tab w:val="clear" w:pos="7892"/>
              <w:tab w:val="right" w:pos="9026" w:leader="dot"/>
            </w:tabs>
            <w:rPr/>
          </w:pPr>
          <w:hyperlink w:anchor="__RefHeading___Toc2933556_2870459653">
            <w:r>
              <w:rPr>
                <w:webHidden/>
                <w:rStyle w:val="IndexLink"/>
                <w:rtl w:val="true"/>
              </w:rPr>
              <w:t xml:space="preserve">الروايات الواردة عمّن بعد عصرهما </w:t>
            </w:r>
            <w:r>
              <w:rPr>
                <w:rStyle w:val="IndexLink"/>
                <w:rtl w:val="true"/>
              </w:rPr>
              <w:t>(</w:t>
            </w:r>
            <w:r>
              <w:rPr>
                <w:rStyle w:val="IndexLink"/>
                <w:rtl w:val="true"/>
              </w:rPr>
              <w:t>علیهما السلام</w:t>
            </w:r>
            <w:r>
              <w:rPr>
                <w:rStyle w:val="IndexLink"/>
                <w:rtl w:val="true"/>
              </w:rPr>
              <w:t xml:space="preserve">) </w:t>
            </w:r>
            <w:r>
              <w:rPr>
                <w:rStyle w:val="IndexLink"/>
                <w:rtl w:val="true"/>
              </w:rPr>
              <w:t>من أهل بيت العصمة</w:t>
            </w:r>
            <w:r>
              <w:rPr>
                <w:rStyle w:val="IndexLink"/>
                <w:rtl w:val="true"/>
              </w:rPr>
              <w:tab/>
            </w:r>
            <w:r>
              <w:rPr>
                <w:rStyle w:val="IndexLink"/>
              </w:rPr>
              <w:t>301</w:t>
            </w:r>
          </w:hyperlink>
        </w:p>
        <w:p>
          <w:pPr>
            <w:pStyle w:val="Contents6"/>
            <w:tabs>
              <w:tab w:val="clear" w:pos="7609"/>
              <w:tab w:val="right" w:pos="9026" w:leader="dot"/>
            </w:tabs>
            <w:rPr/>
          </w:pPr>
          <w:hyperlink w:anchor="__RefHeading___Toc2933558_2870459653">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2933560_2870459653">
            <w:r>
              <w:rPr>
                <w:webHidden/>
                <w:rStyle w:val="IndexLink"/>
                <w:rtl w:val="true"/>
              </w:rPr>
              <w:t>الرواية الأولى</w:t>
            </w:r>
            <w:r>
              <w:rPr>
                <w:rStyle w:val="IndexLink"/>
                <w:rtl w:val="true"/>
              </w:rPr>
              <w:tab/>
            </w:r>
            <w:r>
              <w:rPr>
                <w:rStyle w:val="IndexLink"/>
              </w:rPr>
              <w:t>302</w:t>
            </w:r>
          </w:hyperlink>
        </w:p>
        <w:p>
          <w:pPr>
            <w:pStyle w:val="Contents6"/>
            <w:tabs>
              <w:tab w:val="clear" w:pos="7609"/>
              <w:tab w:val="right" w:pos="9026" w:leader="dot"/>
            </w:tabs>
            <w:rPr/>
          </w:pPr>
          <w:hyperlink w:anchor="__RefHeading___Toc2933562_2870459653">
            <w:r>
              <w:rPr>
                <w:webHidden/>
                <w:rStyle w:val="IndexLink"/>
                <w:rtl w:val="true"/>
              </w:rPr>
              <w:t>الرواية الثانية</w:t>
            </w:r>
            <w:r>
              <w:rPr>
                <w:rStyle w:val="IndexLink"/>
                <w:rtl w:val="true"/>
              </w:rPr>
              <w:tab/>
            </w:r>
            <w:r>
              <w:rPr>
                <w:rStyle w:val="IndexLink"/>
              </w:rPr>
              <w:t>302</w:t>
            </w:r>
          </w:hyperlink>
        </w:p>
        <w:p>
          <w:pPr>
            <w:pStyle w:val="Contents6"/>
            <w:tabs>
              <w:tab w:val="clear" w:pos="7609"/>
              <w:tab w:val="right" w:pos="9026" w:leader="dot"/>
            </w:tabs>
            <w:rPr/>
          </w:pPr>
          <w:hyperlink w:anchor="__RefHeading___Toc2933564_2870459653">
            <w:r>
              <w:rPr>
                <w:webHidden/>
                <w:rStyle w:val="IndexLink"/>
                <w:rtl w:val="true"/>
              </w:rPr>
              <w:t>الرواية الثالثة</w:t>
            </w:r>
            <w:r>
              <w:rPr>
                <w:rStyle w:val="IndexLink"/>
                <w:rtl w:val="true"/>
              </w:rPr>
              <w:tab/>
            </w:r>
            <w:r>
              <w:rPr>
                <w:rStyle w:val="IndexLink"/>
              </w:rPr>
              <w:t>302</w:t>
            </w:r>
          </w:hyperlink>
        </w:p>
        <w:p>
          <w:pPr>
            <w:pStyle w:val="Contents5"/>
            <w:tabs>
              <w:tab w:val="clear" w:pos="7892"/>
              <w:tab w:val="right" w:pos="9026" w:leader="dot"/>
            </w:tabs>
            <w:rPr/>
          </w:pPr>
          <w:hyperlink w:anchor="__RefHeading___Toc2933566_2870459653">
            <w:r>
              <w:rPr>
                <w:webHidden/>
                <w:rStyle w:val="IndexLink"/>
                <w:rtl w:val="true"/>
              </w:rPr>
              <w:t>الروايات التي تدلّ بوضوح على أنّ الصلاة في الحرمين الشريفين من الأحكام الموسّعة</w:t>
            </w:r>
            <w:r>
              <w:rPr>
                <w:rStyle w:val="IndexLink"/>
                <w:rtl w:val="true"/>
              </w:rPr>
              <w:tab/>
            </w:r>
            <w:r>
              <w:rPr>
                <w:rStyle w:val="IndexLink"/>
              </w:rPr>
              <w:t>303</w:t>
            </w:r>
          </w:hyperlink>
        </w:p>
        <w:p>
          <w:pPr>
            <w:pStyle w:val="Contents6"/>
            <w:tabs>
              <w:tab w:val="clear" w:pos="7609"/>
              <w:tab w:val="right" w:pos="9026" w:leader="dot"/>
            </w:tabs>
            <w:rPr/>
          </w:pPr>
          <w:hyperlink w:anchor="__RefHeading___Toc2933568_2870459653">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2933570_2870459653">
            <w:r>
              <w:rPr>
                <w:webHidden/>
                <w:rStyle w:val="IndexLink"/>
                <w:rtl w:val="true"/>
              </w:rPr>
              <w:t>الرواية الأولى</w:t>
            </w:r>
            <w:r>
              <w:rPr>
                <w:rStyle w:val="IndexLink"/>
                <w:rtl w:val="true"/>
              </w:rPr>
              <w:tab/>
            </w:r>
            <w:r>
              <w:rPr>
                <w:rStyle w:val="IndexLink"/>
              </w:rPr>
              <w:t>303</w:t>
            </w:r>
          </w:hyperlink>
        </w:p>
        <w:p>
          <w:pPr>
            <w:pStyle w:val="Contents6"/>
            <w:tabs>
              <w:tab w:val="clear" w:pos="7609"/>
              <w:tab w:val="right" w:pos="9026" w:leader="dot"/>
            </w:tabs>
            <w:rPr/>
          </w:pPr>
          <w:hyperlink w:anchor="__RefHeading___Toc2933572_2870459653">
            <w:r>
              <w:rPr>
                <w:webHidden/>
                <w:rStyle w:val="IndexLink"/>
                <w:rtl w:val="true"/>
              </w:rPr>
              <w:t>الرواية الثانية</w:t>
            </w:r>
            <w:r>
              <w:rPr>
                <w:rStyle w:val="IndexLink"/>
                <w:rtl w:val="true"/>
              </w:rPr>
              <w:tab/>
            </w:r>
            <w:r>
              <w:rPr>
                <w:rStyle w:val="IndexLink"/>
              </w:rPr>
              <w:t>305</w:t>
            </w:r>
          </w:hyperlink>
        </w:p>
        <w:p>
          <w:pPr>
            <w:pStyle w:val="Contents6"/>
            <w:tabs>
              <w:tab w:val="clear" w:pos="7609"/>
              <w:tab w:val="right" w:pos="9026" w:leader="dot"/>
            </w:tabs>
            <w:rPr/>
          </w:pPr>
          <w:hyperlink w:anchor="__RefHeading___Toc2933574_2870459653">
            <w:r>
              <w:rPr>
                <w:webHidden/>
                <w:rStyle w:val="IndexLink"/>
                <w:rtl w:val="true"/>
              </w:rPr>
              <w:t>الرواية الثالثة</w:t>
            </w:r>
            <w:r>
              <w:rPr>
                <w:rStyle w:val="IndexLink"/>
                <w:rtl w:val="true"/>
              </w:rPr>
              <w:tab/>
            </w:r>
            <w:r>
              <w:rPr>
                <w:rStyle w:val="IndexLink"/>
              </w:rPr>
              <w:t>305</w:t>
            </w:r>
          </w:hyperlink>
        </w:p>
        <w:p>
          <w:pPr>
            <w:pStyle w:val="Contents4"/>
            <w:tabs>
              <w:tab w:val="clear" w:pos="8176"/>
              <w:tab w:val="right" w:pos="9026" w:leader="dot"/>
            </w:tabs>
            <w:rPr/>
          </w:pPr>
          <w:hyperlink w:anchor="__RefHeading___Toc2933576_2870459653">
            <w:r>
              <w:rPr>
                <w:webHidden/>
                <w:rStyle w:val="IndexLink"/>
                <w:rtl w:val="true"/>
              </w:rPr>
              <w:t>المورد الرابع</w:t>
            </w:r>
            <w:r>
              <w:rPr>
                <w:rStyle w:val="IndexLink"/>
                <w:rtl w:val="true"/>
              </w:rPr>
              <w:t xml:space="preserve">: </w:t>
            </w:r>
            <w:r>
              <w:rPr>
                <w:rStyle w:val="IndexLink"/>
                <w:rtl w:val="true"/>
              </w:rPr>
              <w:t>من موارد اختلاف الأخبار ما ورد في كيفيّة الإحرام لحجّ التمتع من الميقات</w:t>
            </w:r>
            <w:r>
              <w:rPr>
                <w:rStyle w:val="IndexLink"/>
                <w:rtl w:val="true"/>
              </w:rPr>
              <w:tab/>
            </w:r>
            <w:r>
              <w:rPr>
                <w:rStyle w:val="IndexLink"/>
              </w:rPr>
              <w:t>307</w:t>
            </w:r>
          </w:hyperlink>
        </w:p>
        <w:p>
          <w:pPr>
            <w:pStyle w:val="Contents5"/>
            <w:tabs>
              <w:tab w:val="clear" w:pos="7892"/>
              <w:tab w:val="right" w:pos="9026" w:leader="dot"/>
            </w:tabs>
            <w:rPr/>
          </w:pPr>
          <w:hyperlink w:anchor="__RefHeading___Toc2933578_2870459653">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2933580_2870459653">
            <w:r>
              <w:rPr>
                <w:webHidden/>
                <w:rStyle w:val="IndexLink"/>
                <w:rtl w:val="true"/>
              </w:rPr>
              <w:t>الطائفة الأولى</w:t>
            </w:r>
            <w:r>
              <w:rPr>
                <w:rStyle w:val="IndexLink"/>
                <w:rtl w:val="true"/>
              </w:rPr>
              <w:t xml:space="preserve">: </w:t>
            </w:r>
            <w:r>
              <w:rPr>
                <w:rStyle w:val="IndexLink"/>
                <w:rtl w:val="true"/>
              </w:rPr>
              <w:t>ما ورد فيها لفظ العمرة عند التلبية</w:t>
            </w:r>
            <w:r>
              <w:rPr>
                <w:rStyle w:val="IndexLink"/>
                <w:rtl w:val="true"/>
              </w:rPr>
              <w:tab/>
            </w:r>
            <w:r>
              <w:rPr>
                <w:rStyle w:val="IndexLink"/>
              </w:rPr>
              <w:t>307</w:t>
            </w:r>
          </w:hyperlink>
        </w:p>
        <w:p>
          <w:pPr>
            <w:pStyle w:val="Contents6"/>
            <w:tabs>
              <w:tab w:val="clear" w:pos="7609"/>
              <w:tab w:val="right" w:pos="9026" w:leader="dot"/>
            </w:tabs>
            <w:rPr/>
          </w:pPr>
          <w:hyperlink w:anchor="__RefHeading___Toc2933582_2870459653">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2933584_2870459653">
            <w:r>
              <w:rPr>
                <w:webHidden/>
                <w:rStyle w:val="IndexLink"/>
                <w:rtl w:val="true"/>
              </w:rPr>
              <w:t>الرواية الأولى</w:t>
            </w:r>
            <w:r>
              <w:rPr>
                <w:rStyle w:val="IndexLink"/>
                <w:rtl w:val="true"/>
              </w:rPr>
              <w:tab/>
            </w:r>
            <w:r>
              <w:rPr>
                <w:rStyle w:val="IndexLink"/>
              </w:rPr>
              <w:t>307</w:t>
            </w:r>
          </w:hyperlink>
        </w:p>
        <w:p>
          <w:pPr>
            <w:pStyle w:val="Contents6"/>
            <w:tabs>
              <w:tab w:val="clear" w:pos="7609"/>
              <w:tab w:val="right" w:pos="9026" w:leader="dot"/>
            </w:tabs>
            <w:rPr/>
          </w:pPr>
          <w:hyperlink w:anchor="__RefHeading___Toc2933586_2870459653">
            <w:r>
              <w:rPr>
                <w:webHidden/>
                <w:rStyle w:val="IndexLink"/>
                <w:rtl w:val="true"/>
              </w:rPr>
              <w:t>الرواية الثانية</w:t>
            </w:r>
            <w:r>
              <w:rPr>
                <w:rStyle w:val="IndexLink"/>
                <w:rtl w:val="true"/>
              </w:rPr>
              <w:tab/>
            </w:r>
            <w:r>
              <w:rPr>
                <w:rStyle w:val="IndexLink"/>
              </w:rPr>
              <w:t>308</w:t>
            </w:r>
          </w:hyperlink>
        </w:p>
        <w:p>
          <w:pPr>
            <w:pStyle w:val="Contents5"/>
            <w:tabs>
              <w:tab w:val="clear" w:pos="7892"/>
              <w:tab w:val="right" w:pos="9026" w:leader="dot"/>
            </w:tabs>
            <w:rPr/>
          </w:pPr>
          <w:hyperlink w:anchor="__RefHeading___Toc2933588_2870459653">
            <w:r>
              <w:rPr>
                <w:webHidden/>
                <w:rStyle w:val="IndexLink"/>
                <w:rtl w:val="true"/>
              </w:rPr>
              <w:t>الطائفة الثانية</w:t>
            </w:r>
            <w:r>
              <w:rPr>
                <w:rStyle w:val="IndexLink"/>
                <w:rtl w:val="true"/>
              </w:rPr>
              <w:t xml:space="preserve">: </w:t>
            </w:r>
            <w:r>
              <w:rPr>
                <w:rStyle w:val="IndexLink"/>
                <w:rtl w:val="true"/>
              </w:rPr>
              <w:t>ما ورد فيها لفظ الحج عند التلبية</w:t>
            </w:r>
            <w:r>
              <w:rPr>
                <w:rStyle w:val="IndexLink"/>
                <w:rtl w:val="true"/>
              </w:rPr>
              <w:tab/>
            </w:r>
            <w:r>
              <w:rPr>
                <w:rStyle w:val="IndexLink"/>
              </w:rPr>
              <w:t>310</w:t>
            </w:r>
          </w:hyperlink>
        </w:p>
        <w:p>
          <w:pPr>
            <w:pStyle w:val="Contents6"/>
            <w:tabs>
              <w:tab w:val="clear" w:pos="7609"/>
              <w:tab w:val="right" w:pos="9026" w:leader="dot"/>
            </w:tabs>
            <w:rPr/>
          </w:pPr>
          <w:hyperlink w:anchor="__RefHeading___Toc2933590_2870459653">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2933592_2870459653">
            <w:r>
              <w:rPr>
                <w:webHidden/>
                <w:rStyle w:val="IndexLink"/>
                <w:rtl w:val="true"/>
              </w:rPr>
              <w:t>الرواية الأولى</w:t>
            </w:r>
            <w:r>
              <w:rPr>
                <w:rStyle w:val="IndexLink"/>
                <w:rtl w:val="true"/>
              </w:rPr>
              <w:tab/>
            </w:r>
            <w:r>
              <w:rPr>
                <w:rStyle w:val="IndexLink"/>
              </w:rPr>
              <w:t>310</w:t>
            </w:r>
          </w:hyperlink>
        </w:p>
        <w:p>
          <w:pPr>
            <w:pStyle w:val="Contents6"/>
            <w:tabs>
              <w:tab w:val="clear" w:pos="7609"/>
              <w:tab w:val="right" w:pos="9026" w:leader="dot"/>
            </w:tabs>
            <w:rPr/>
          </w:pPr>
          <w:hyperlink w:anchor="__RefHeading___Toc2933594_2870459653">
            <w:r>
              <w:rPr>
                <w:webHidden/>
                <w:rStyle w:val="IndexLink"/>
                <w:rtl w:val="true"/>
              </w:rPr>
              <w:t>الرواية الثانية</w:t>
            </w:r>
            <w:r>
              <w:rPr>
                <w:rStyle w:val="IndexLink"/>
                <w:rtl w:val="true"/>
              </w:rPr>
              <w:tab/>
            </w:r>
            <w:r>
              <w:rPr>
                <w:rStyle w:val="IndexLink"/>
              </w:rPr>
              <w:t>311</w:t>
            </w:r>
          </w:hyperlink>
        </w:p>
        <w:p>
          <w:pPr>
            <w:pStyle w:val="Contents6"/>
            <w:tabs>
              <w:tab w:val="clear" w:pos="7609"/>
              <w:tab w:val="right" w:pos="9026" w:leader="dot"/>
            </w:tabs>
            <w:rPr/>
          </w:pPr>
          <w:hyperlink w:anchor="__RefHeading___Toc2933596_2870459653">
            <w:r>
              <w:rPr>
                <w:webHidden/>
                <w:rStyle w:val="IndexLink"/>
                <w:rtl w:val="true"/>
              </w:rPr>
              <w:t>الرواية الثالثة</w:t>
            </w:r>
            <w:r>
              <w:rPr>
                <w:rStyle w:val="IndexLink"/>
                <w:rtl w:val="true"/>
              </w:rPr>
              <w:tab/>
            </w:r>
            <w:r>
              <w:rPr>
                <w:rStyle w:val="IndexLink"/>
              </w:rPr>
              <w:t>311</w:t>
            </w:r>
          </w:hyperlink>
        </w:p>
        <w:p>
          <w:pPr>
            <w:pStyle w:val="Contents6"/>
            <w:tabs>
              <w:tab w:val="clear" w:pos="7609"/>
              <w:tab w:val="right" w:pos="9026" w:leader="dot"/>
            </w:tabs>
            <w:rPr/>
          </w:pPr>
          <w:hyperlink w:anchor="__RefHeading___Toc2933598_2870459653">
            <w:r>
              <w:rPr>
                <w:webHidden/>
                <w:rStyle w:val="IndexLink"/>
                <w:rtl w:val="true"/>
              </w:rPr>
              <w:t>الرواية الرابعة</w:t>
            </w:r>
            <w:r>
              <w:rPr>
                <w:rStyle w:val="IndexLink"/>
                <w:rtl w:val="true"/>
              </w:rPr>
              <w:tab/>
            </w:r>
            <w:r>
              <w:rPr>
                <w:rStyle w:val="IndexLink"/>
              </w:rPr>
              <w:t>312</w:t>
            </w:r>
          </w:hyperlink>
        </w:p>
        <w:p>
          <w:pPr>
            <w:pStyle w:val="Contents5"/>
            <w:tabs>
              <w:tab w:val="clear" w:pos="7892"/>
              <w:tab w:val="right" w:pos="9026" w:leader="dot"/>
            </w:tabs>
            <w:rPr/>
          </w:pPr>
          <w:hyperlink w:anchor="__RefHeading___Toc2933600_2870459653">
            <w:r>
              <w:rPr>
                <w:webHidden/>
                <w:rStyle w:val="IndexLink"/>
                <w:rtl w:val="true"/>
              </w:rPr>
              <w:t>الطائفة الثّالثة</w:t>
            </w:r>
            <w:r>
              <w:rPr>
                <w:rStyle w:val="IndexLink"/>
                <w:rtl w:val="true"/>
              </w:rPr>
              <w:t xml:space="preserve">: </w:t>
            </w:r>
            <w:r>
              <w:rPr>
                <w:rStyle w:val="IndexLink"/>
                <w:rtl w:val="true"/>
              </w:rPr>
              <w:t>ما ورد فيها لفظ العمرة والحج معاً</w:t>
            </w:r>
            <w:r>
              <w:rPr>
                <w:rStyle w:val="IndexLink"/>
                <w:rtl w:val="true"/>
              </w:rPr>
              <w:tab/>
            </w:r>
            <w:r>
              <w:rPr>
                <w:rStyle w:val="IndexLink"/>
              </w:rPr>
              <w:t>312</w:t>
            </w:r>
          </w:hyperlink>
        </w:p>
        <w:p>
          <w:pPr>
            <w:pStyle w:val="Contents6"/>
            <w:tabs>
              <w:tab w:val="clear" w:pos="7609"/>
              <w:tab w:val="right" w:pos="9026" w:leader="dot"/>
            </w:tabs>
            <w:rPr/>
          </w:pPr>
          <w:hyperlink w:anchor="__RefHeading___Toc2933602_2870459653">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2933604_2870459653">
            <w:r>
              <w:rPr>
                <w:webHidden/>
                <w:rStyle w:val="IndexLink"/>
                <w:rtl w:val="true"/>
              </w:rPr>
              <w:t>الرواية الأولى</w:t>
            </w:r>
            <w:r>
              <w:rPr>
                <w:rStyle w:val="IndexLink"/>
                <w:rtl w:val="true"/>
              </w:rPr>
              <w:tab/>
            </w:r>
            <w:r>
              <w:rPr>
                <w:rStyle w:val="IndexLink"/>
              </w:rPr>
              <w:t>312</w:t>
            </w:r>
          </w:hyperlink>
        </w:p>
        <w:p>
          <w:pPr>
            <w:pStyle w:val="Contents6"/>
            <w:tabs>
              <w:tab w:val="clear" w:pos="7609"/>
              <w:tab w:val="right" w:pos="9026" w:leader="dot"/>
            </w:tabs>
            <w:rPr/>
          </w:pPr>
          <w:hyperlink w:anchor="__RefHeading___Toc2933606_2870459653">
            <w:r>
              <w:rPr>
                <w:webHidden/>
                <w:rStyle w:val="IndexLink"/>
                <w:rtl w:val="true"/>
              </w:rPr>
              <w:t>الرواية الثّانية</w:t>
            </w:r>
            <w:r>
              <w:rPr>
                <w:rStyle w:val="IndexLink"/>
                <w:rtl w:val="true"/>
              </w:rPr>
              <w:tab/>
            </w:r>
            <w:r>
              <w:rPr>
                <w:rStyle w:val="IndexLink"/>
              </w:rPr>
              <w:t>313</w:t>
            </w:r>
          </w:hyperlink>
        </w:p>
        <w:p>
          <w:pPr>
            <w:pStyle w:val="Contents5"/>
            <w:tabs>
              <w:tab w:val="clear" w:pos="7892"/>
              <w:tab w:val="right" w:pos="9026" w:leader="dot"/>
            </w:tabs>
            <w:rPr/>
          </w:pPr>
          <w:hyperlink w:anchor="__RefHeading___Toc2933608_2870459653">
            <w:r>
              <w:rPr>
                <w:webHidden/>
                <w:rStyle w:val="IndexLink"/>
                <w:rtl w:val="true"/>
              </w:rPr>
              <w:t>الطائفة الرابعة</w:t>
            </w:r>
            <w:r>
              <w:rPr>
                <w:rStyle w:val="IndexLink"/>
                <w:rtl w:val="true"/>
              </w:rPr>
              <w:t xml:space="preserve">: </w:t>
            </w:r>
            <w:r>
              <w:rPr>
                <w:rStyle w:val="IndexLink"/>
                <w:rtl w:val="true"/>
              </w:rPr>
              <w:t>وهي التي لم يرد فيها ذكر شيء من لفظ الحجّ أو العمرة في التلبية</w:t>
            </w:r>
            <w:r>
              <w:rPr>
                <w:rStyle w:val="IndexLink"/>
                <w:rtl w:val="true"/>
              </w:rPr>
              <w:tab/>
            </w:r>
            <w:r>
              <w:rPr>
                <w:rStyle w:val="IndexLink"/>
              </w:rPr>
              <w:t>313</w:t>
            </w:r>
          </w:hyperlink>
        </w:p>
        <w:p>
          <w:pPr>
            <w:pStyle w:val="Contents6"/>
            <w:tabs>
              <w:tab w:val="clear" w:pos="7609"/>
              <w:tab w:val="right" w:pos="9026" w:leader="dot"/>
            </w:tabs>
            <w:rPr/>
          </w:pPr>
          <w:hyperlink w:anchor="__RefHeading___Toc2933610_2870459653">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2933612_2870459653">
            <w:r>
              <w:rPr>
                <w:webHidden/>
                <w:rStyle w:val="IndexLink"/>
                <w:rtl w:val="true"/>
              </w:rPr>
              <w:t>الرواية الأولى</w:t>
            </w:r>
            <w:r>
              <w:rPr>
                <w:rStyle w:val="IndexLink"/>
                <w:rtl w:val="true"/>
              </w:rPr>
              <w:tab/>
            </w:r>
            <w:r>
              <w:rPr>
                <w:rStyle w:val="IndexLink"/>
              </w:rPr>
              <w:t>313</w:t>
            </w:r>
          </w:hyperlink>
        </w:p>
        <w:p>
          <w:pPr>
            <w:pStyle w:val="Contents6"/>
            <w:tabs>
              <w:tab w:val="clear" w:pos="7609"/>
              <w:tab w:val="right" w:pos="9026" w:leader="dot"/>
            </w:tabs>
            <w:rPr/>
          </w:pPr>
          <w:hyperlink w:anchor="__RefHeading___Toc2933614_2870459653">
            <w:r>
              <w:rPr>
                <w:webHidden/>
                <w:rStyle w:val="IndexLink"/>
                <w:rtl w:val="true"/>
              </w:rPr>
              <w:t>الرواية الثانية</w:t>
            </w:r>
            <w:r>
              <w:rPr>
                <w:rStyle w:val="IndexLink"/>
                <w:rtl w:val="true"/>
              </w:rPr>
              <w:tab/>
            </w:r>
            <w:r>
              <w:rPr>
                <w:rStyle w:val="IndexLink"/>
              </w:rPr>
              <w:t>314</w:t>
            </w:r>
          </w:hyperlink>
        </w:p>
        <w:p>
          <w:pPr>
            <w:pStyle w:val="Contents4"/>
            <w:tabs>
              <w:tab w:val="clear" w:pos="8176"/>
              <w:tab w:val="right" w:pos="9026" w:leader="dot"/>
            </w:tabs>
            <w:rPr/>
          </w:pPr>
          <w:hyperlink w:anchor="__RefHeading___Toc2933616_2870459653">
            <w:r>
              <w:rPr>
                <w:webHidden/>
                <w:rStyle w:val="IndexLink"/>
                <w:rtl w:val="true"/>
              </w:rPr>
              <w:t>المورد الخامس</w:t>
            </w:r>
            <w:r>
              <w:rPr>
                <w:rStyle w:val="IndexLink"/>
                <w:rtl w:val="true"/>
              </w:rPr>
              <w:t xml:space="preserve">: </w:t>
            </w:r>
            <w:r>
              <w:rPr>
                <w:rStyle w:val="IndexLink"/>
                <w:rtl w:val="true"/>
              </w:rPr>
              <w:t>من موارد اختلاف الأخبار في الأحكام الموسّعة هو ما ورد في إدراك حدّ المتعة</w:t>
            </w:r>
            <w:r>
              <w:rPr>
                <w:rStyle w:val="IndexLink"/>
                <w:rtl w:val="true"/>
              </w:rPr>
              <w:tab/>
            </w:r>
            <w:r>
              <w:rPr>
                <w:rStyle w:val="IndexLink"/>
              </w:rPr>
              <w:t>318</w:t>
            </w:r>
          </w:hyperlink>
        </w:p>
        <w:p>
          <w:pPr>
            <w:pStyle w:val="Contents5"/>
            <w:tabs>
              <w:tab w:val="clear" w:pos="7892"/>
              <w:tab w:val="right" w:pos="9026" w:leader="dot"/>
            </w:tabs>
            <w:rPr/>
          </w:pPr>
          <w:hyperlink w:anchor="__RefHeading___Toc2933618_2870459653">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2933620_2870459653">
            <w:r>
              <w:rPr>
                <w:webHidden/>
                <w:rStyle w:val="IndexLink"/>
                <w:rtl w:val="true"/>
              </w:rPr>
              <w:t>الطائفة الأولى</w:t>
            </w:r>
            <w:r>
              <w:rPr>
                <w:rStyle w:val="IndexLink"/>
                <w:rtl w:val="true"/>
              </w:rPr>
              <w:t xml:space="preserve">: </w:t>
            </w:r>
            <w:r>
              <w:rPr>
                <w:rStyle w:val="IndexLink"/>
                <w:rtl w:val="true"/>
              </w:rPr>
              <w:t>ما دلّ على إدراك المتعة إلى طلوع الفجر من يوم التروية وذهابها بعده</w:t>
            </w:r>
            <w:r>
              <w:rPr>
                <w:rStyle w:val="IndexLink"/>
                <w:rtl w:val="true"/>
              </w:rPr>
              <w:tab/>
            </w:r>
            <w:r>
              <w:rPr>
                <w:rStyle w:val="IndexLink"/>
              </w:rPr>
              <w:t>318</w:t>
            </w:r>
          </w:hyperlink>
        </w:p>
        <w:p>
          <w:pPr>
            <w:pStyle w:val="Contents6"/>
            <w:tabs>
              <w:tab w:val="clear" w:pos="7609"/>
              <w:tab w:val="right" w:pos="9026" w:leader="dot"/>
            </w:tabs>
            <w:rPr/>
          </w:pPr>
          <w:hyperlink w:anchor="__RefHeading___Toc2933622_2870459653">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2933624_2870459653">
            <w:r>
              <w:rPr>
                <w:webHidden/>
                <w:rStyle w:val="IndexLink"/>
                <w:rtl w:val="true"/>
              </w:rPr>
              <w:t>الرواية الأولى</w:t>
            </w:r>
            <w:r>
              <w:rPr>
                <w:rStyle w:val="IndexLink"/>
                <w:rtl w:val="true"/>
              </w:rPr>
              <w:tab/>
            </w:r>
            <w:r>
              <w:rPr>
                <w:rStyle w:val="IndexLink"/>
              </w:rPr>
              <w:t>318</w:t>
            </w:r>
          </w:hyperlink>
        </w:p>
        <w:p>
          <w:pPr>
            <w:pStyle w:val="Contents6"/>
            <w:tabs>
              <w:tab w:val="clear" w:pos="7609"/>
              <w:tab w:val="right" w:pos="9026" w:leader="dot"/>
            </w:tabs>
            <w:rPr/>
          </w:pPr>
          <w:hyperlink w:anchor="__RefHeading___Toc2933626_2870459653">
            <w:r>
              <w:rPr>
                <w:webHidden/>
                <w:rStyle w:val="IndexLink"/>
                <w:rtl w:val="true"/>
              </w:rPr>
              <w:t>الرواية الثّانية</w:t>
            </w:r>
            <w:r>
              <w:rPr>
                <w:rStyle w:val="IndexLink"/>
                <w:rtl w:val="true"/>
              </w:rPr>
              <w:tab/>
            </w:r>
            <w:r>
              <w:rPr>
                <w:rStyle w:val="IndexLink"/>
              </w:rPr>
              <w:t>320</w:t>
            </w:r>
          </w:hyperlink>
        </w:p>
        <w:p>
          <w:pPr>
            <w:pStyle w:val="Contents5"/>
            <w:tabs>
              <w:tab w:val="clear" w:pos="7892"/>
              <w:tab w:val="right" w:pos="9026" w:leader="dot"/>
            </w:tabs>
            <w:rPr/>
          </w:pPr>
          <w:hyperlink w:anchor="__RefHeading___Toc2933628_2870459653">
            <w:r>
              <w:rPr>
                <w:webHidden/>
                <w:rStyle w:val="IndexLink"/>
                <w:rtl w:val="true"/>
              </w:rPr>
              <w:t>الطائفة الثانية</w:t>
            </w:r>
            <w:r>
              <w:rPr>
                <w:rStyle w:val="IndexLink"/>
                <w:rtl w:val="true"/>
              </w:rPr>
              <w:t xml:space="preserve">: </w:t>
            </w:r>
            <w:r>
              <w:rPr>
                <w:rStyle w:val="IndexLink"/>
                <w:rtl w:val="true"/>
              </w:rPr>
              <w:t>ما دلّ على إدراك المتعة إلى زوال الشمس من يوم التروية بحيث تفوت المتعة</w:t>
            </w:r>
            <w:r>
              <w:rPr>
                <w:rStyle w:val="IndexLink"/>
                <w:rtl w:val="true"/>
              </w:rPr>
              <w:tab/>
            </w:r>
            <w:r>
              <w:rPr>
                <w:rStyle w:val="IndexLink"/>
              </w:rPr>
              <w:t>322</w:t>
            </w:r>
          </w:hyperlink>
        </w:p>
        <w:p>
          <w:pPr>
            <w:pStyle w:val="Contents5"/>
            <w:tabs>
              <w:tab w:val="clear" w:pos="7892"/>
              <w:tab w:val="right" w:pos="9026" w:leader="dot"/>
            </w:tabs>
            <w:rPr/>
          </w:pPr>
          <w:hyperlink w:anchor="__RefHeading___Toc2933630_2870459653">
            <w:r>
              <w:rPr>
                <w:webHidden/>
                <w:rStyle w:val="IndexLink"/>
                <w:rtl w:val="true"/>
              </w:rPr>
              <w:t>الطائفة الثالثة</w:t>
            </w:r>
            <w:r>
              <w:rPr>
                <w:rStyle w:val="IndexLink"/>
                <w:rtl w:val="true"/>
              </w:rPr>
              <w:t xml:space="preserve">: </w:t>
            </w:r>
            <w:r>
              <w:rPr>
                <w:rStyle w:val="IndexLink"/>
                <w:rtl w:val="true"/>
              </w:rPr>
              <w:t>ما دلّ على إدراك المتعة إلى غروب الشمس من يوم التروية</w:t>
            </w:r>
            <w:r>
              <w:rPr>
                <w:rStyle w:val="IndexLink"/>
                <w:rtl w:val="true"/>
              </w:rPr>
              <w:tab/>
            </w:r>
            <w:r>
              <w:rPr>
                <w:rStyle w:val="IndexLink"/>
              </w:rPr>
              <w:t>323</w:t>
            </w:r>
          </w:hyperlink>
        </w:p>
        <w:p>
          <w:pPr>
            <w:pStyle w:val="Contents6"/>
            <w:tabs>
              <w:tab w:val="clear" w:pos="7609"/>
              <w:tab w:val="right" w:pos="9026" w:leader="dot"/>
            </w:tabs>
            <w:rPr/>
          </w:pPr>
          <w:hyperlink w:anchor="__RefHeading___Toc2933632_2870459653">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2933634_2870459653">
            <w:r>
              <w:rPr>
                <w:webHidden/>
                <w:rStyle w:val="IndexLink"/>
                <w:rtl w:val="true"/>
              </w:rPr>
              <w:t>الأولى</w:t>
            </w:r>
            <w:r>
              <w:rPr>
                <w:rStyle w:val="IndexLink"/>
                <w:rtl w:val="true"/>
              </w:rPr>
              <w:tab/>
            </w:r>
            <w:r>
              <w:rPr>
                <w:rStyle w:val="IndexLink"/>
              </w:rPr>
              <w:t>323</w:t>
            </w:r>
          </w:hyperlink>
        </w:p>
        <w:p>
          <w:pPr>
            <w:pStyle w:val="Contents6"/>
            <w:tabs>
              <w:tab w:val="clear" w:pos="7609"/>
              <w:tab w:val="right" w:pos="9026" w:leader="dot"/>
            </w:tabs>
            <w:rPr/>
          </w:pPr>
          <w:hyperlink w:anchor="__RefHeading___Toc2933636_2870459653">
            <w:r>
              <w:rPr>
                <w:webHidden/>
                <w:rStyle w:val="IndexLink"/>
                <w:rtl w:val="true"/>
              </w:rPr>
              <w:t>الثانية</w:t>
            </w:r>
            <w:r>
              <w:rPr>
                <w:rStyle w:val="IndexLink"/>
                <w:rtl w:val="true"/>
              </w:rPr>
              <w:tab/>
            </w:r>
            <w:r>
              <w:rPr>
                <w:rStyle w:val="IndexLink"/>
              </w:rPr>
              <w:t>324</w:t>
            </w:r>
          </w:hyperlink>
        </w:p>
        <w:p>
          <w:pPr>
            <w:pStyle w:val="Contents5"/>
            <w:tabs>
              <w:tab w:val="clear" w:pos="7892"/>
              <w:tab w:val="right" w:pos="9026" w:leader="dot"/>
            </w:tabs>
            <w:rPr/>
          </w:pPr>
          <w:hyperlink w:anchor="__RefHeading___Toc2933638_2870459653">
            <w:r>
              <w:rPr>
                <w:webHidden/>
                <w:rStyle w:val="IndexLink"/>
                <w:rtl w:val="true"/>
              </w:rPr>
              <w:t>الطائفة الرابعة</w:t>
            </w:r>
            <w:r>
              <w:rPr>
                <w:rStyle w:val="IndexLink"/>
                <w:rtl w:val="true"/>
              </w:rPr>
              <w:t xml:space="preserve">: </w:t>
            </w:r>
            <w:r>
              <w:rPr>
                <w:rStyle w:val="IndexLink"/>
                <w:rtl w:val="true"/>
              </w:rPr>
              <w:t>ما دلّ على إدراك المتعة إلى وقت السحر من ليلة عرفة وعدم إدراكها بعد ذلك</w:t>
            </w:r>
            <w:r>
              <w:rPr>
                <w:rStyle w:val="IndexLink"/>
                <w:rtl w:val="true"/>
              </w:rPr>
              <w:tab/>
            </w:r>
            <w:r>
              <w:rPr>
                <w:rStyle w:val="IndexLink"/>
              </w:rPr>
              <w:t>326</w:t>
            </w:r>
          </w:hyperlink>
        </w:p>
        <w:p>
          <w:pPr>
            <w:pStyle w:val="Contents5"/>
            <w:tabs>
              <w:tab w:val="clear" w:pos="7892"/>
              <w:tab w:val="right" w:pos="9026" w:leader="dot"/>
            </w:tabs>
            <w:rPr/>
          </w:pPr>
          <w:hyperlink w:anchor="__RefHeading___Toc2933640_2870459653">
            <w:r>
              <w:rPr>
                <w:webHidden/>
                <w:rStyle w:val="IndexLink"/>
                <w:rtl w:val="true"/>
              </w:rPr>
              <w:t>الطائفة الخامسة</w:t>
            </w:r>
            <w:r>
              <w:rPr>
                <w:rStyle w:val="IndexLink"/>
                <w:rtl w:val="true"/>
              </w:rPr>
              <w:t xml:space="preserve">: </w:t>
            </w:r>
            <w:r>
              <w:rPr>
                <w:rStyle w:val="IndexLink"/>
                <w:rtl w:val="true"/>
              </w:rPr>
              <w:t>ما دلّ على إدراك المتعة بإدراك الحجاج بمنى</w:t>
            </w:r>
            <w:r>
              <w:rPr>
                <w:rStyle w:val="IndexLink"/>
                <w:rtl w:val="true"/>
              </w:rPr>
              <w:t xml:space="preserve">, </w:t>
            </w:r>
            <w:r>
              <w:rPr>
                <w:rStyle w:val="IndexLink"/>
                <w:rtl w:val="true"/>
              </w:rPr>
              <w:t>وعدم إدراكها مع عدم إدراكهم فيها</w:t>
            </w:r>
            <w:r>
              <w:rPr>
                <w:rStyle w:val="IndexLink"/>
                <w:rtl w:val="true"/>
              </w:rPr>
              <w:tab/>
            </w:r>
            <w:r>
              <w:rPr>
                <w:rStyle w:val="IndexLink"/>
              </w:rPr>
              <w:t>328</w:t>
            </w:r>
          </w:hyperlink>
        </w:p>
        <w:p>
          <w:pPr>
            <w:pStyle w:val="Contents6"/>
            <w:tabs>
              <w:tab w:val="clear" w:pos="7609"/>
              <w:tab w:val="right" w:pos="9026" w:leader="dot"/>
            </w:tabs>
            <w:rPr/>
          </w:pPr>
          <w:hyperlink w:anchor="__RefHeading___Toc2933642_2870459653">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2933644_2870459653">
            <w:r>
              <w:rPr>
                <w:webHidden/>
                <w:rStyle w:val="IndexLink"/>
                <w:rtl w:val="true"/>
              </w:rPr>
              <w:t>وهذه الطائفة مجموعة روايات</w:t>
            </w:r>
            <w:r>
              <w:rPr>
                <w:rStyle w:val="IndexLink"/>
                <w:rtl w:val="true"/>
              </w:rPr>
              <w:tab/>
            </w:r>
            <w:r>
              <w:rPr>
                <w:rStyle w:val="IndexLink"/>
              </w:rPr>
              <w:t>328</w:t>
            </w:r>
          </w:hyperlink>
        </w:p>
        <w:p>
          <w:pPr>
            <w:pStyle w:val="Contents6"/>
            <w:tabs>
              <w:tab w:val="clear" w:pos="7609"/>
              <w:tab w:val="right" w:pos="9026" w:leader="dot"/>
            </w:tabs>
            <w:rPr/>
          </w:pPr>
          <w:hyperlink w:anchor="__RefHeading___Toc2933646_2870459653">
            <w:r>
              <w:rPr>
                <w:webHidden/>
                <w:rStyle w:val="IndexLink"/>
                <w:rtl w:val="true"/>
              </w:rPr>
              <w:t>الأولى</w:t>
            </w:r>
            <w:r>
              <w:rPr>
                <w:rStyle w:val="IndexLink"/>
                <w:rtl w:val="true"/>
              </w:rPr>
              <w:tab/>
            </w:r>
            <w:r>
              <w:rPr>
                <w:rStyle w:val="IndexLink"/>
              </w:rPr>
              <w:t>328</w:t>
            </w:r>
          </w:hyperlink>
        </w:p>
        <w:p>
          <w:pPr>
            <w:pStyle w:val="Contents6"/>
            <w:tabs>
              <w:tab w:val="clear" w:pos="7609"/>
              <w:tab w:val="right" w:pos="9026" w:leader="dot"/>
            </w:tabs>
            <w:rPr/>
          </w:pPr>
          <w:hyperlink w:anchor="__RefHeading___Toc2933648_2870459653">
            <w:r>
              <w:rPr>
                <w:webHidden/>
                <w:rStyle w:val="IndexLink"/>
                <w:rtl w:val="true"/>
              </w:rPr>
              <w:t>الثّانية</w:t>
            </w:r>
            <w:r>
              <w:rPr>
                <w:rStyle w:val="IndexLink"/>
                <w:rtl w:val="true"/>
              </w:rPr>
              <w:tab/>
            </w:r>
            <w:r>
              <w:rPr>
                <w:rStyle w:val="IndexLink"/>
              </w:rPr>
              <w:t>330</w:t>
            </w:r>
          </w:hyperlink>
        </w:p>
        <w:p>
          <w:pPr>
            <w:pStyle w:val="Contents6"/>
            <w:tabs>
              <w:tab w:val="clear" w:pos="7609"/>
              <w:tab w:val="right" w:pos="9026" w:leader="dot"/>
            </w:tabs>
            <w:rPr/>
          </w:pPr>
          <w:hyperlink w:anchor="__RefHeading___Toc2933650_2870459653">
            <w:r>
              <w:rPr>
                <w:webHidden/>
                <w:rStyle w:val="IndexLink"/>
                <w:rtl w:val="true"/>
              </w:rPr>
              <w:t>الثالثة</w:t>
            </w:r>
            <w:r>
              <w:rPr>
                <w:rStyle w:val="IndexLink"/>
                <w:rtl w:val="true"/>
              </w:rPr>
              <w:tab/>
            </w:r>
            <w:r>
              <w:rPr>
                <w:rStyle w:val="IndexLink"/>
              </w:rPr>
              <w:t>330</w:t>
            </w:r>
          </w:hyperlink>
        </w:p>
        <w:p>
          <w:pPr>
            <w:pStyle w:val="Contents5"/>
            <w:tabs>
              <w:tab w:val="clear" w:pos="7892"/>
              <w:tab w:val="right" w:pos="9026" w:leader="dot"/>
            </w:tabs>
            <w:rPr/>
          </w:pPr>
          <w:hyperlink w:anchor="__RefHeading___Toc2933652_2870459653">
            <w:r>
              <w:rPr>
                <w:webHidden/>
                <w:rStyle w:val="IndexLink"/>
                <w:rtl w:val="true"/>
              </w:rPr>
              <w:t>الطائفة السادسة</w:t>
            </w:r>
            <w:r>
              <w:rPr>
                <w:rStyle w:val="IndexLink"/>
                <w:rtl w:val="true"/>
              </w:rPr>
              <w:t xml:space="preserve">: </w:t>
            </w:r>
            <w:r>
              <w:rPr>
                <w:rStyle w:val="IndexLink"/>
                <w:rtl w:val="true"/>
              </w:rPr>
              <w:t>وهي ما دلّ على أنّ إدراك المتعة يكون إلى زوال الشمس من يوم عرفة دون ما بعد ذلك</w:t>
            </w:r>
            <w:r>
              <w:rPr>
                <w:rStyle w:val="IndexLink"/>
                <w:rtl w:val="true"/>
              </w:rPr>
              <w:tab/>
            </w:r>
            <w:r>
              <w:rPr>
                <w:rStyle w:val="IndexLink"/>
              </w:rPr>
              <w:t>333</w:t>
            </w:r>
          </w:hyperlink>
        </w:p>
        <w:p>
          <w:pPr>
            <w:pStyle w:val="Contents5"/>
            <w:tabs>
              <w:tab w:val="clear" w:pos="7892"/>
              <w:tab w:val="right" w:pos="9026" w:leader="dot"/>
            </w:tabs>
            <w:rPr/>
          </w:pPr>
          <w:hyperlink w:anchor="__RefHeading___Toc2933654_2870459653">
            <w:r>
              <w:rPr>
                <w:webHidden/>
                <w:rStyle w:val="IndexLink"/>
                <w:rtl w:val="true"/>
              </w:rPr>
              <w:t>الطائفة الأخيرة</w:t>
            </w:r>
            <w:r>
              <w:rPr>
                <w:rStyle w:val="IndexLink"/>
                <w:rtl w:val="true"/>
              </w:rPr>
              <w:t xml:space="preserve">: </w:t>
            </w:r>
            <w:r>
              <w:rPr>
                <w:rStyle w:val="IndexLink"/>
                <w:rtl w:val="true"/>
              </w:rPr>
              <w:t>ما قيل بدلالتها على إدراك المتعة مع إدراك الوقوف الاختياري</w:t>
            </w:r>
            <w:r>
              <w:rPr>
                <w:rStyle w:val="IndexLink"/>
                <w:rtl w:val="true"/>
              </w:rPr>
              <w:tab/>
            </w:r>
            <w:r>
              <w:rPr>
                <w:rStyle w:val="IndexLink"/>
              </w:rPr>
              <w:t>334</w:t>
            </w:r>
          </w:hyperlink>
        </w:p>
        <w:p>
          <w:pPr>
            <w:pStyle w:val="Contents5"/>
            <w:tabs>
              <w:tab w:val="clear" w:pos="7892"/>
              <w:tab w:val="right" w:pos="9026" w:leader="dot"/>
            </w:tabs>
            <w:rPr/>
          </w:pPr>
          <w:hyperlink w:anchor="__RefHeading___Toc2933656_2870459653">
            <w:r>
              <w:rPr>
                <w:webHidden/>
                <w:rStyle w:val="IndexLink"/>
                <w:rtl w:val="true"/>
              </w:rPr>
              <w:t>وخلاصة هذا المورد</w:t>
            </w:r>
            <w:r>
              <w:rPr>
                <w:rStyle w:val="IndexLink"/>
                <w:rtl w:val="true"/>
              </w:rPr>
              <w:tab/>
            </w:r>
            <w:r>
              <w:rPr>
                <w:rStyle w:val="IndexLink"/>
              </w:rPr>
              <w:t>335</w:t>
            </w:r>
          </w:hyperlink>
        </w:p>
        <w:p>
          <w:pPr>
            <w:pStyle w:val="Contents3"/>
            <w:tabs>
              <w:tab w:val="clear" w:pos="8459"/>
              <w:tab w:val="right" w:pos="9026" w:leader="dot"/>
            </w:tabs>
            <w:rPr/>
          </w:pPr>
          <w:hyperlink w:anchor="__RefHeading___Toc2933658_2870459653">
            <w:r>
              <w:rPr>
                <w:webHidden/>
                <w:rStyle w:val="IndexLink"/>
                <w:rtl w:val="true"/>
              </w:rPr>
              <w:t>المصادر</w:t>
            </w:r>
            <w:r>
              <w:rPr>
                <w:rStyle w:val="IndexLink"/>
                <w:rtl w:val="true"/>
              </w:rPr>
              <w:tab/>
            </w:r>
            <w:r>
              <w:rPr>
                <w:rStyle w:val="IndexLink"/>
              </w:rPr>
              <w:t>337</w:t>
            </w:r>
          </w:hyperlink>
        </w:p>
        <w:p>
          <w:pPr>
            <w:pStyle w:val="Contents2"/>
            <w:tabs>
              <w:tab w:val="clear" w:pos="8743"/>
              <w:tab w:val="right" w:pos="9026" w:leader="dot"/>
            </w:tabs>
            <w:rPr/>
          </w:pPr>
          <w:hyperlink w:anchor="__RefHeading___Toc2933660_2870459653">
            <w:r>
              <w:rPr>
                <w:webHidden/>
                <w:rStyle w:val="IndexLink"/>
                <w:rtl w:val="true"/>
              </w:rPr>
              <w:t xml:space="preserve">دعوى الشيخ الطوسي </w:t>
            </w:r>
            <w:r>
              <w:rPr>
                <w:rStyle w:val="IndexLink"/>
                <w:rtl w:val="true"/>
              </w:rPr>
              <w:t>(</w:t>
            </w:r>
            <w:r>
              <w:rPr>
                <w:rStyle w:val="IndexLink"/>
                <w:rtl w:val="true"/>
              </w:rPr>
              <w:t>قدس سره</w:t>
            </w:r>
            <w:r>
              <w:rPr>
                <w:rStyle w:val="IndexLink"/>
                <w:rtl w:val="true"/>
              </w:rPr>
              <w:t xml:space="preserve">): </w:t>
            </w:r>
            <w:r>
              <w:rPr>
                <w:rStyle w:val="IndexLink"/>
                <w:rtl w:val="true"/>
              </w:rPr>
              <w:t xml:space="preserve">أن ابن أبي عمير وصفوان والبزنطي لا يرسلون إلّا عن ثقة </w:t>
            </w:r>
            <w:r>
              <w:rPr>
                <w:rStyle w:val="IndexLink"/>
                <w:rtl w:val="true"/>
              </w:rPr>
              <w:t xml:space="preserve">- </w:t>
            </w:r>
            <w:r>
              <w:rPr>
                <w:rStyle w:val="IndexLink"/>
                <w:rtl w:val="true"/>
              </w:rPr>
              <w:t xml:space="preserve">الشيخ حميد رمح الحلّي </w:t>
            </w:r>
            <w:r>
              <w:rPr>
                <w:rStyle w:val="IndexLink"/>
                <w:rtl w:val="true"/>
              </w:rPr>
              <w:t>(</w:t>
            </w:r>
            <w:r>
              <w:rPr>
                <w:rStyle w:val="IndexLink"/>
                <w:rtl w:val="true"/>
              </w:rPr>
              <w:t>دام عزه</w:t>
            </w:r>
            <w:r>
              <w:rPr>
                <w:rStyle w:val="IndexLink"/>
                <w:rtl w:val="true"/>
              </w:rPr>
              <w:t>)</w:t>
              <w:tab/>
            </w:r>
            <w:r>
              <w:rPr>
                <w:rStyle w:val="IndexLink"/>
              </w:rPr>
              <w:t>339</w:t>
            </w:r>
          </w:hyperlink>
        </w:p>
        <w:p>
          <w:pPr>
            <w:pStyle w:val="Contents3"/>
            <w:tabs>
              <w:tab w:val="clear" w:pos="8459"/>
              <w:tab w:val="right" w:pos="9026" w:leader="dot"/>
            </w:tabs>
            <w:rPr/>
          </w:pPr>
          <w:hyperlink w:anchor="__RefHeading___Toc2933662_2870459653">
            <w:r>
              <w:rPr>
                <w:webHidden/>
                <w:rStyle w:val="IndexLink"/>
                <w:rtl w:val="true"/>
              </w:rPr>
              <w:t>اشارة</w:t>
            </w:r>
            <w:r>
              <w:rPr>
                <w:rStyle w:val="IndexLink"/>
                <w:rtl w:val="true"/>
              </w:rPr>
              <w:tab/>
            </w:r>
            <w:r>
              <w:rPr>
                <w:rStyle w:val="IndexLink"/>
              </w:rPr>
              <w:t>339</w:t>
            </w:r>
          </w:hyperlink>
        </w:p>
        <w:p>
          <w:pPr>
            <w:pStyle w:val="Contents3"/>
            <w:tabs>
              <w:tab w:val="clear" w:pos="8459"/>
              <w:tab w:val="right" w:pos="9026" w:leader="dot"/>
            </w:tabs>
            <w:rPr/>
          </w:pPr>
          <w:hyperlink w:anchor="__RefHeading___Toc2933664_2870459653">
            <w:r>
              <w:rPr>
                <w:webHidden/>
                <w:rStyle w:val="IndexLink"/>
                <w:rtl w:val="true"/>
              </w:rPr>
              <w:t>الفصل الأوّل</w:t>
            </w:r>
            <w:r>
              <w:rPr>
                <w:rStyle w:val="IndexLink"/>
                <w:rtl w:val="true"/>
              </w:rPr>
              <w:t xml:space="preserve">: </w:t>
            </w:r>
            <w:r>
              <w:rPr>
                <w:rStyle w:val="IndexLink"/>
                <w:rtl w:val="true"/>
              </w:rPr>
              <w:t>في معنى المرسَل</w:t>
            </w:r>
            <w:r>
              <w:rPr>
                <w:rStyle w:val="IndexLink"/>
                <w:rtl w:val="true"/>
              </w:rPr>
              <w:tab/>
            </w:r>
            <w:r>
              <w:rPr>
                <w:rStyle w:val="IndexLink"/>
              </w:rPr>
              <w:t>342</w:t>
            </w:r>
          </w:hyperlink>
        </w:p>
        <w:p>
          <w:pPr>
            <w:pStyle w:val="Contents3"/>
            <w:tabs>
              <w:tab w:val="clear" w:pos="8459"/>
              <w:tab w:val="right" w:pos="9026" w:leader="dot"/>
            </w:tabs>
            <w:rPr/>
          </w:pPr>
          <w:hyperlink w:anchor="__RefHeading___Toc2933666_2870459653">
            <w:r>
              <w:rPr>
                <w:webHidden/>
                <w:rStyle w:val="IndexLink"/>
                <w:rtl w:val="true"/>
              </w:rPr>
              <w:t>الفصل الثاني</w:t>
            </w:r>
            <w:r>
              <w:rPr>
                <w:rStyle w:val="IndexLink"/>
                <w:rtl w:val="true"/>
              </w:rPr>
              <w:t xml:space="preserve">: </w:t>
            </w:r>
            <w:r>
              <w:rPr>
                <w:rStyle w:val="IndexLink"/>
                <w:rtl w:val="true"/>
              </w:rPr>
              <w:t>الأقوال في حجّيته</w:t>
            </w:r>
            <w:r>
              <w:rPr>
                <w:rStyle w:val="IndexLink"/>
                <w:rtl w:val="true"/>
              </w:rPr>
              <w:tab/>
            </w:r>
            <w:r>
              <w:rPr>
                <w:rStyle w:val="IndexLink"/>
              </w:rPr>
              <w:t>345</w:t>
            </w:r>
          </w:hyperlink>
        </w:p>
        <w:p>
          <w:pPr>
            <w:pStyle w:val="Contents4"/>
            <w:tabs>
              <w:tab w:val="clear" w:pos="8176"/>
              <w:tab w:val="right" w:pos="9026" w:leader="dot"/>
            </w:tabs>
            <w:rPr/>
          </w:pPr>
          <w:hyperlink w:anchor="__RefHeading___Toc2933668_2870459653">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2933670_2870459653">
            <w:r>
              <w:rPr>
                <w:webHidden/>
                <w:rStyle w:val="IndexLink"/>
                <w:rtl w:val="true"/>
              </w:rPr>
              <w:t>القول الأوّل</w:t>
            </w:r>
            <w:r>
              <w:rPr>
                <w:rStyle w:val="IndexLink"/>
                <w:rtl w:val="true"/>
              </w:rPr>
              <w:t xml:space="preserve">: </w:t>
            </w:r>
            <w:r>
              <w:rPr>
                <w:rStyle w:val="IndexLink"/>
                <w:rtl w:val="true"/>
              </w:rPr>
              <w:t>القبول مطلقاً</w:t>
            </w:r>
            <w:r>
              <w:rPr>
                <w:rStyle w:val="IndexLink"/>
                <w:rtl w:val="true"/>
              </w:rPr>
              <w:tab/>
            </w:r>
            <w:r>
              <w:rPr>
                <w:rStyle w:val="IndexLink"/>
              </w:rPr>
              <w:t>345</w:t>
            </w:r>
          </w:hyperlink>
        </w:p>
        <w:p>
          <w:pPr>
            <w:pStyle w:val="Contents4"/>
            <w:tabs>
              <w:tab w:val="clear" w:pos="8176"/>
              <w:tab w:val="right" w:pos="9026" w:leader="dot"/>
            </w:tabs>
            <w:rPr/>
          </w:pPr>
          <w:hyperlink w:anchor="__RefHeading___Toc2933672_2870459653">
            <w:r>
              <w:rPr>
                <w:webHidden/>
                <w:rStyle w:val="IndexLink"/>
                <w:rtl w:val="true"/>
              </w:rPr>
              <w:t>القول الثّاني</w:t>
            </w:r>
            <w:r>
              <w:rPr>
                <w:rStyle w:val="IndexLink"/>
                <w:rtl w:val="true"/>
              </w:rPr>
              <w:t xml:space="preserve">: </w:t>
            </w:r>
            <w:r>
              <w:rPr>
                <w:rStyle w:val="IndexLink"/>
                <w:rtl w:val="true"/>
              </w:rPr>
              <w:t>عدم القبول مطلقاً</w:t>
            </w:r>
            <w:r>
              <w:rPr>
                <w:rStyle w:val="IndexLink"/>
                <w:rtl w:val="true"/>
              </w:rPr>
              <w:tab/>
            </w:r>
            <w:r>
              <w:rPr>
                <w:rStyle w:val="IndexLink"/>
              </w:rPr>
              <w:t>345</w:t>
            </w:r>
          </w:hyperlink>
        </w:p>
        <w:p>
          <w:pPr>
            <w:pStyle w:val="Contents4"/>
            <w:tabs>
              <w:tab w:val="clear" w:pos="8176"/>
              <w:tab w:val="right" w:pos="9026" w:leader="dot"/>
            </w:tabs>
            <w:rPr/>
          </w:pPr>
          <w:hyperlink w:anchor="__RefHeading___Toc2933674_2870459653">
            <w:r>
              <w:rPr>
                <w:webHidden/>
                <w:rStyle w:val="IndexLink"/>
                <w:rtl w:val="true"/>
              </w:rPr>
              <w:t>القول الثّالث</w:t>
            </w:r>
            <w:r>
              <w:rPr>
                <w:rStyle w:val="IndexLink"/>
                <w:rtl w:val="true"/>
              </w:rPr>
              <w:t xml:space="preserve">: </w:t>
            </w:r>
            <w:r>
              <w:rPr>
                <w:rStyle w:val="IndexLink"/>
                <w:rtl w:val="true"/>
              </w:rPr>
              <w:t>التوقف</w:t>
            </w:r>
            <w:r>
              <w:rPr>
                <w:rStyle w:val="IndexLink"/>
                <w:rtl w:val="true"/>
              </w:rPr>
              <w:tab/>
            </w:r>
            <w:r>
              <w:rPr>
                <w:rStyle w:val="IndexLink"/>
              </w:rPr>
              <w:t>347</w:t>
            </w:r>
          </w:hyperlink>
        </w:p>
        <w:p>
          <w:pPr>
            <w:pStyle w:val="Contents4"/>
            <w:tabs>
              <w:tab w:val="clear" w:pos="8176"/>
              <w:tab w:val="right" w:pos="9026" w:leader="dot"/>
            </w:tabs>
            <w:rPr/>
          </w:pPr>
          <w:hyperlink w:anchor="__RefHeading___Toc2933676_2870459653">
            <w:r>
              <w:rPr>
                <w:webHidden/>
                <w:rStyle w:val="IndexLink"/>
                <w:rtl w:val="true"/>
              </w:rPr>
              <w:t>القول الرابع</w:t>
            </w:r>
            <w:r>
              <w:rPr>
                <w:rStyle w:val="IndexLink"/>
                <w:rtl w:val="true"/>
              </w:rPr>
              <w:t xml:space="preserve">: </w:t>
            </w:r>
            <w:r>
              <w:rPr>
                <w:rStyle w:val="IndexLink"/>
                <w:rtl w:val="true"/>
              </w:rPr>
              <w:t>التفصيل</w:t>
            </w:r>
            <w:r>
              <w:rPr>
                <w:rStyle w:val="IndexLink"/>
                <w:rtl w:val="true"/>
              </w:rPr>
              <w:tab/>
            </w:r>
            <w:r>
              <w:rPr>
                <w:rStyle w:val="IndexLink"/>
              </w:rPr>
              <w:t>348</w:t>
            </w:r>
          </w:hyperlink>
        </w:p>
        <w:p>
          <w:pPr>
            <w:pStyle w:val="Contents3"/>
            <w:tabs>
              <w:tab w:val="clear" w:pos="8459"/>
              <w:tab w:val="right" w:pos="9026" w:leader="dot"/>
            </w:tabs>
            <w:rPr/>
          </w:pPr>
          <w:hyperlink w:anchor="__RefHeading___Toc2933678_2870459653">
            <w:r>
              <w:rPr>
                <w:webHidden/>
                <w:rStyle w:val="IndexLink"/>
                <w:rtl w:val="true"/>
              </w:rPr>
              <w:t>الفصل الثّالث</w:t>
            </w:r>
            <w:r>
              <w:rPr>
                <w:rStyle w:val="IndexLink"/>
                <w:rtl w:val="true"/>
              </w:rPr>
              <w:t xml:space="preserve">: </w:t>
            </w:r>
            <w:r>
              <w:rPr>
                <w:rStyle w:val="IndexLink"/>
                <w:rtl w:val="true"/>
              </w:rPr>
              <w:t>في طرق التوثيق</w:t>
            </w:r>
            <w:r>
              <w:rPr>
                <w:rStyle w:val="IndexLink"/>
                <w:rtl w:val="true"/>
              </w:rPr>
              <w:tab/>
            </w:r>
            <w:r>
              <w:rPr>
                <w:rStyle w:val="IndexLink"/>
              </w:rPr>
              <w:t>349</w:t>
            </w:r>
          </w:hyperlink>
        </w:p>
        <w:p>
          <w:pPr>
            <w:pStyle w:val="Contents4"/>
            <w:tabs>
              <w:tab w:val="clear" w:pos="8176"/>
              <w:tab w:val="right" w:pos="9026" w:leader="dot"/>
            </w:tabs>
            <w:rPr/>
          </w:pPr>
          <w:hyperlink w:anchor="__RefHeading___Toc2933680_2870459653">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2933682_2870459653">
            <w:r>
              <w:rPr>
                <w:webHidden/>
                <w:rStyle w:val="IndexLink"/>
                <w:rtl w:val="true"/>
              </w:rPr>
              <w:t>الأوّل</w:t>
            </w:r>
            <w:r>
              <w:rPr>
                <w:rStyle w:val="IndexLink"/>
                <w:rtl w:val="true"/>
              </w:rPr>
              <w:t xml:space="preserve">: </w:t>
            </w:r>
            <w:r>
              <w:rPr>
                <w:rStyle w:val="IndexLink"/>
                <w:rtl w:val="true"/>
              </w:rPr>
              <w:t>طرق التوثيق الخاصّة</w:t>
            </w:r>
            <w:r>
              <w:rPr>
                <w:rStyle w:val="IndexLink"/>
                <w:rtl w:val="true"/>
              </w:rPr>
              <w:tab/>
            </w:r>
            <w:r>
              <w:rPr>
                <w:rStyle w:val="IndexLink"/>
              </w:rPr>
              <w:t>349</w:t>
            </w:r>
          </w:hyperlink>
        </w:p>
        <w:p>
          <w:pPr>
            <w:pStyle w:val="Contents5"/>
            <w:tabs>
              <w:tab w:val="clear" w:pos="7892"/>
              <w:tab w:val="right" w:pos="9026" w:leader="dot"/>
            </w:tabs>
            <w:rPr/>
          </w:pPr>
          <w:hyperlink w:anchor="__RefHeading___Toc2933684_2870459653">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2933686_2870459653">
            <w:r>
              <w:rPr>
                <w:webHidden/>
                <w:rStyle w:val="IndexLink"/>
                <w:rtl w:val="true"/>
              </w:rPr>
              <w:t>أوّلاً</w:t>
            </w:r>
            <w:r>
              <w:rPr>
                <w:rStyle w:val="IndexLink"/>
                <w:rtl w:val="true"/>
              </w:rPr>
              <w:t xml:space="preserve">: </w:t>
            </w:r>
            <w:r>
              <w:rPr>
                <w:rStyle w:val="IndexLink"/>
                <w:rtl w:val="true"/>
              </w:rPr>
              <w:t xml:space="preserve">نصّ أحد المعصومين </w:t>
            </w:r>
            <w:r>
              <w:rPr>
                <w:rStyle w:val="IndexLink"/>
                <w:rtl w:val="true"/>
              </w:rPr>
              <w:t>(</w:t>
            </w:r>
            <w:r>
              <w:rPr>
                <w:rStyle w:val="IndexLink"/>
                <w:rtl w:val="true"/>
              </w:rPr>
              <w:t>علیهم السلام</w:t>
            </w:r>
            <w:r>
              <w:rPr>
                <w:rStyle w:val="IndexLink"/>
                <w:rtl w:val="true"/>
              </w:rPr>
              <w:t>)</w:t>
              <w:tab/>
            </w:r>
            <w:r>
              <w:rPr>
                <w:rStyle w:val="IndexLink"/>
              </w:rPr>
              <w:t>349</w:t>
            </w:r>
          </w:hyperlink>
        </w:p>
        <w:p>
          <w:pPr>
            <w:pStyle w:val="Contents5"/>
            <w:tabs>
              <w:tab w:val="clear" w:pos="7892"/>
              <w:tab w:val="right" w:pos="9026" w:leader="dot"/>
            </w:tabs>
            <w:rPr/>
          </w:pPr>
          <w:hyperlink w:anchor="__RefHeading___Toc2933688_2870459653">
            <w:r>
              <w:rPr>
                <w:webHidden/>
                <w:rStyle w:val="IndexLink"/>
                <w:rtl w:val="true"/>
              </w:rPr>
              <w:t>ثانياً</w:t>
            </w:r>
            <w:r>
              <w:rPr>
                <w:rStyle w:val="IndexLink"/>
                <w:rtl w:val="true"/>
              </w:rPr>
              <w:t xml:space="preserve">: </w:t>
            </w:r>
            <w:r>
              <w:rPr>
                <w:rStyle w:val="IndexLink"/>
                <w:rtl w:val="true"/>
              </w:rPr>
              <w:t>نصّ أحد الأعلام المتقدّمين كابن قولويه</w:t>
            </w:r>
            <w:r>
              <w:rPr>
                <w:rStyle w:val="IndexLink"/>
                <w:rtl w:val="true"/>
              </w:rPr>
              <w:tab/>
            </w:r>
            <w:r>
              <w:rPr>
                <w:rStyle w:val="IndexLink"/>
              </w:rPr>
              <w:t>349</w:t>
            </w:r>
          </w:hyperlink>
        </w:p>
        <w:p>
          <w:pPr>
            <w:pStyle w:val="Contents5"/>
            <w:tabs>
              <w:tab w:val="clear" w:pos="7892"/>
              <w:tab w:val="right" w:pos="9026" w:leader="dot"/>
            </w:tabs>
            <w:rPr/>
          </w:pPr>
          <w:hyperlink w:anchor="__RefHeading___Toc2933690_2870459653">
            <w:r>
              <w:rPr>
                <w:webHidden/>
                <w:rStyle w:val="IndexLink"/>
                <w:rtl w:val="true"/>
              </w:rPr>
              <w:t>ثالثاً</w:t>
            </w:r>
            <w:r>
              <w:rPr>
                <w:rStyle w:val="IndexLink"/>
                <w:rtl w:val="true"/>
              </w:rPr>
              <w:t xml:space="preserve">: </w:t>
            </w:r>
            <w:r>
              <w:rPr>
                <w:rStyle w:val="IndexLink"/>
                <w:rtl w:val="true"/>
              </w:rPr>
              <w:t>نصّ أحد الأعلام المتأخّرين</w:t>
            </w:r>
            <w:r>
              <w:rPr>
                <w:rStyle w:val="IndexLink"/>
                <w:rtl w:val="true"/>
              </w:rPr>
              <w:tab/>
            </w:r>
            <w:r>
              <w:rPr>
                <w:rStyle w:val="IndexLink"/>
              </w:rPr>
              <w:t>349</w:t>
            </w:r>
          </w:hyperlink>
        </w:p>
        <w:p>
          <w:pPr>
            <w:pStyle w:val="Contents5"/>
            <w:tabs>
              <w:tab w:val="clear" w:pos="7892"/>
              <w:tab w:val="right" w:pos="9026" w:leader="dot"/>
            </w:tabs>
            <w:rPr/>
          </w:pPr>
          <w:hyperlink w:anchor="__RefHeading___Toc2933692_2870459653">
            <w:r>
              <w:rPr>
                <w:webHidden/>
                <w:rStyle w:val="IndexLink"/>
                <w:rtl w:val="true"/>
              </w:rPr>
              <w:t>رابعاً</w:t>
            </w:r>
            <w:r>
              <w:rPr>
                <w:rStyle w:val="IndexLink"/>
                <w:rtl w:val="true"/>
              </w:rPr>
              <w:t xml:space="preserve">: </w:t>
            </w:r>
            <w:r>
              <w:rPr>
                <w:rStyle w:val="IndexLink"/>
                <w:rtl w:val="true"/>
              </w:rPr>
              <w:t>دعوى الإجماع من قبل المتقدّمين أو المتأخّرين</w:t>
            </w:r>
            <w:r>
              <w:rPr>
                <w:rStyle w:val="IndexLink"/>
                <w:rtl w:val="true"/>
              </w:rPr>
              <w:tab/>
            </w:r>
            <w:r>
              <w:rPr>
                <w:rStyle w:val="IndexLink"/>
              </w:rPr>
              <w:t>350</w:t>
            </w:r>
          </w:hyperlink>
        </w:p>
        <w:p>
          <w:pPr>
            <w:pStyle w:val="Contents4"/>
            <w:tabs>
              <w:tab w:val="clear" w:pos="8176"/>
              <w:tab w:val="right" w:pos="9026" w:leader="dot"/>
            </w:tabs>
            <w:rPr/>
          </w:pPr>
          <w:hyperlink w:anchor="__RefHeading___Toc2933694_2870459653">
            <w:r>
              <w:rPr>
                <w:webHidden/>
                <w:rStyle w:val="IndexLink"/>
                <w:rtl w:val="true"/>
              </w:rPr>
              <w:t>الثاني</w:t>
            </w:r>
            <w:r>
              <w:rPr>
                <w:rStyle w:val="IndexLink"/>
                <w:rtl w:val="true"/>
              </w:rPr>
              <w:t xml:space="preserve">: </w:t>
            </w:r>
            <w:r>
              <w:rPr>
                <w:rStyle w:val="IndexLink"/>
                <w:rtl w:val="true"/>
              </w:rPr>
              <w:t>طرق التوثيق العامّة</w:t>
            </w:r>
            <w:r>
              <w:rPr>
                <w:rStyle w:val="IndexLink"/>
                <w:rtl w:val="true"/>
              </w:rPr>
              <w:tab/>
            </w:r>
            <w:r>
              <w:rPr>
                <w:rStyle w:val="IndexLink"/>
              </w:rPr>
              <w:t>350</w:t>
            </w:r>
          </w:hyperlink>
        </w:p>
        <w:p>
          <w:pPr>
            <w:pStyle w:val="Contents5"/>
            <w:tabs>
              <w:tab w:val="clear" w:pos="7892"/>
              <w:tab w:val="right" w:pos="9026" w:leader="dot"/>
            </w:tabs>
            <w:rPr/>
          </w:pPr>
          <w:hyperlink w:anchor="__RefHeading___Toc2933696_2870459653">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2933698_2870459653">
            <w:r>
              <w:rPr>
                <w:webHidden/>
                <w:rStyle w:val="IndexLink"/>
                <w:rtl w:val="true"/>
              </w:rPr>
              <w:t>أوّلاً</w:t>
            </w:r>
            <w:r>
              <w:rPr>
                <w:rStyle w:val="IndexLink"/>
                <w:rtl w:val="true"/>
              </w:rPr>
              <w:t xml:space="preserve">: </w:t>
            </w:r>
            <w:r>
              <w:rPr>
                <w:rStyle w:val="IndexLink"/>
                <w:rtl w:val="true"/>
              </w:rPr>
              <w:t xml:space="preserve">كونه من أصحاب الإمام الصادق </w:t>
            </w:r>
            <w:r>
              <w:rPr>
                <w:rStyle w:val="IndexLink"/>
                <w:rtl w:val="true"/>
              </w:rPr>
              <w:t>(</w:t>
            </w:r>
            <w:r>
              <w:rPr>
                <w:rStyle w:val="IndexLink"/>
                <w:rtl w:val="true"/>
              </w:rPr>
              <w:t>علیه السلام</w:t>
            </w:r>
            <w:r>
              <w:rPr>
                <w:rStyle w:val="IndexLink"/>
                <w:rtl w:val="true"/>
              </w:rPr>
              <w:t>)</w:t>
              <w:tab/>
            </w:r>
            <w:r>
              <w:rPr>
                <w:rStyle w:val="IndexLink"/>
              </w:rPr>
              <w:t>350</w:t>
            </w:r>
          </w:hyperlink>
        </w:p>
        <w:p>
          <w:pPr>
            <w:pStyle w:val="Contents5"/>
            <w:tabs>
              <w:tab w:val="clear" w:pos="7892"/>
              <w:tab w:val="right" w:pos="9026" w:leader="dot"/>
            </w:tabs>
            <w:rPr/>
          </w:pPr>
          <w:hyperlink w:anchor="__RefHeading___Toc2933700_2870459653">
            <w:r>
              <w:rPr>
                <w:webHidden/>
                <w:rStyle w:val="IndexLink"/>
                <w:rtl w:val="true"/>
              </w:rPr>
              <w:t>ثانياً</w:t>
            </w:r>
            <w:r>
              <w:rPr>
                <w:rStyle w:val="IndexLink"/>
                <w:rtl w:val="true"/>
              </w:rPr>
              <w:t xml:space="preserve">: </w:t>
            </w:r>
            <w:r>
              <w:rPr>
                <w:rStyle w:val="IndexLink"/>
                <w:rtl w:val="true"/>
              </w:rPr>
              <w:t xml:space="preserve">الوكالة عن الإمام </w:t>
            </w:r>
            <w:r>
              <w:rPr>
                <w:rStyle w:val="IndexLink"/>
                <w:rtl w:val="true"/>
              </w:rPr>
              <w:t>(</w:t>
            </w:r>
            <w:r>
              <w:rPr>
                <w:rStyle w:val="IndexLink"/>
                <w:rtl w:val="true"/>
              </w:rPr>
              <w:t>علیه السلام</w:t>
            </w:r>
            <w:r>
              <w:rPr>
                <w:rStyle w:val="IndexLink"/>
                <w:rtl w:val="true"/>
              </w:rPr>
              <w:t>)</w:t>
              <w:tab/>
            </w:r>
            <w:r>
              <w:rPr>
                <w:rStyle w:val="IndexLink"/>
              </w:rPr>
              <w:t>350</w:t>
            </w:r>
          </w:hyperlink>
        </w:p>
        <w:p>
          <w:pPr>
            <w:pStyle w:val="Contents5"/>
            <w:tabs>
              <w:tab w:val="clear" w:pos="7892"/>
              <w:tab w:val="right" w:pos="9026" w:leader="dot"/>
            </w:tabs>
            <w:rPr/>
          </w:pPr>
          <w:hyperlink w:anchor="__RefHeading___Toc2933702_2870459653">
            <w:r>
              <w:rPr>
                <w:webHidden/>
                <w:rStyle w:val="IndexLink"/>
                <w:rtl w:val="true"/>
              </w:rPr>
              <w:t>ثالثاً</w:t>
            </w:r>
            <w:r>
              <w:rPr>
                <w:rStyle w:val="IndexLink"/>
                <w:rtl w:val="true"/>
              </w:rPr>
              <w:t xml:space="preserve">: </w:t>
            </w:r>
            <w:r>
              <w:rPr>
                <w:rStyle w:val="IndexLink"/>
                <w:rtl w:val="true"/>
              </w:rPr>
              <w:t xml:space="preserve">مصاحبة المعصوم </w:t>
            </w:r>
            <w:r>
              <w:rPr>
                <w:rStyle w:val="IndexLink"/>
                <w:rtl w:val="true"/>
              </w:rPr>
              <w:t>(</w:t>
            </w:r>
            <w:r>
              <w:rPr>
                <w:rStyle w:val="IndexLink"/>
                <w:rtl w:val="true"/>
              </w:rPr>
              <w:t>علیه السلام</w:t>
            </w:r>
            <w:r>
              <w:rPr>
                <w:rStyle w:val="IndexLink"/>
                <w:rtl w:val="true"/>
              </w:rPr>
              <w:t>)</w:t>
              <w:tab/>
            </w:r>
            <w:r>
              <w:rPr>
                <w:rStyle w:val="IndexLink"/>
              </w:rPr>
              <w:t>350</w:t>
            </w:r>
          </w:hyperlink>
        </w:p>
        <w:p>
          <w:pPr>
            <w:pStyle w:val="Contents5"/>
            <w:tabs>
              <w:tab w:val="clear" w:pos="7892"/>
              <w:tab w:val="right" w:pos="9026" w:leader="dot"/>
            </w:tabs>
            <w:rPr/>
          </w:pPr>
          <w:hyperlink w:anchor="__RefHeading___Toc2933704_2870459653">
            <w:r>
              <w:rPr>
                <w:webHidden/>
                <w:rStyle w:val="IndexLink"/>
                <w:rtl w:val="true"/>
              </w:rPr>
              <w:t>رابعاً</w:t>
            </w:r>
            <w:r>
              <w:rPr>
                <w:rStyle w:val="IndexLink"/>
                <w:rtl w:val="true"/>
              </w:rPr>
              <w:t xml:space="preserve">: </w:t>
            </w:r>
            <w:r>
              <w:rPr>
                <w:rStyle w:val="IndexLink"/>
                <w:rtl w:val="true"/>
              </w:rPr>
              <w:t xml:space="preserve">كثرة الرواية عن المعصوم </w:t>
            </w:r>
            <w:r>
              <w:rPr>
                <w:rStyle w:val="IndexLink"/>
                <w:rtl w:val="true"/>
              </w:rPr>
              <w:t>(</w:t>
            </w:r>
            <w:r>
              <w:rPr>
                <w:rStyle w:val="IndexLink"/>
                <w:rtl w:val="true"/>
              </w:rPr>
              <w:t>علیه السلام</w:t>
            </w:r>
            <w:r>
              <w:rPr>
                <w:rStyle w:val="IndexLink"/>
                <w:rtl w:val="true"/>
              </w:rPr>
              <w:t>)</w:t>
              <w:tab/>
            </w:r>
            <w:r>
              <w:rPr>
                <w:rStyle w:val="IndexLink"/>
              </w:rPr>
              <w:t>351</w:t>
            </w:r>
          </w:hyperlink>
        </w:p>
        <w:p>
          <w:pPr>
            <w:pStyle w:val="Contents5"/>
            <w:tabs>
              <w:tab w:val="clear" w:pos="7892"/>
              <w:tab w:val="right" w:pos="9026" w:leader="dot"/>
            </w:tabs>
            <w:rPr/>
          </w:pPr>
          <w:hyperlink w:anchor="__RefHeading___Toc2933706_2870459653">
            <w:r>
              <w:rPr>
                <w:webHidden/>
                <w:rStyle w:val="IndexLink"/>
                <w:rtl w:val="true"/>
              </w:rPr>
              <w:t>خامساً</w:t>
            </w:r>
            <w:r>
              <w:rPr>
                <w:rStyle w:val="IndexLink"/>
                <w:rtl w:val="true"/>
              </w:rPr>
              <w:t xml:space="preserve">: </w:t>
            </w:r>
            <w:r>
              <w:rPr>
                <w:rStyle w:val="IndexLink"/>
                <w:rtl w:val="true"/>
              </w:rPr>
              <w:t>كونه صاحب كتاب أو أصل</w:t>
            </w:r>
            <w:r>
              <w:rPr>
                <w:rStyle w:val="IndexLink"/>
                <w:rtl w:val="true"/>
              </w:rPr>
              <w:tab/>
            </w:r>
            <w:r>
              <w:rPr>
                <w:rStyle w:val="IndexLink"/>
              </w:rPr>
              <w:t>351</w:t>
            </w:r>
          </w:hyperlink>
        </w:p>
        <w:p>
          <w:pPr>
            <w:pStyle w:val="Contents5"/>
            <w:tabs>
              <w:tab w:val="clear" w:pos="7892"/>
              <w:tab w:val="right" w:pos="9026" w:leader="dot"/>
            </w:tabs>
            <w:rPr/>
          </w:pPr>
          <w:hyperlink w:anchor="__RefHeading___Toc2933708_2870459653">
            <w:r>
              <w:rPr>
                <w:webHidden/>
                <w:rStyle w:val="IndexLink"/>
                <w:rtl w:val="true"/>
              </w:rPr>
              <w:t>سادساً</w:t>
            </w:r>
            <w:r>
              <w:rPr>
                <w:rStyle w:val="IndexLink"/>
                <w:rtl w:val="true"/>
              </w:rPr>
              <w:t xml:space="preserve">: </w:t>
            </w:r>
            <w:r>
              <w:rPr>
                <w:rStyle w:val="IndexLink"/>
                <w:rtl w:val="true"/>
              </w:rPr>
              <w:t>كونه واقعاً في سندٍ حكم بصحته المتقدمون أو مَنْ قرب منهم</w:t>
            </w:r>
            <w:r>
              <w:rPr>
                <w:rStyle w:val="IndexLink"/>
                <w:rtl w:val="true"/>
              </w:rPr>
              <w:tab/>
            </w:r>
            <w:r>
              <w:rPr>
                <w:rStyle w:val="IndexLink"/>
              </w:rPr>
              <w:t>351</w:t>
            </w:r>
          </w:hyperlink>
        </w:p>
        <w:p>
          <w:pPr>
            <w:pStyle w:val="Contents5"/>
            <w:tabs>
              <w:tab w:val="clear" w:pos="7892"/>
              <w:tab w:val="right" w:pos="9026" w:leader="dot"/>
            </w:tabs>
            <w:rPr/>
          </w:pPr>
          <w:hyperlink w:anchor="__RefHeading___Toc2933710_2870459653">
            <w:r>
              <w:rPr>
                <w:webHidden/>
                <w:rStyle w:val="IndexLink"/>
                <w:rtl w:val="true"/>
              </w:rPr>
              <w:t>سابعاً</w:t>
            </w:r>
            <w:r>
              <w:rPr>
                <w:rStyle w:val="IndexLink"/>
                <w:rtl w:val="true"/>
              </w:rPr>
              <w:t xml:space="preserve">: </w:t>
            </w:r>
            <w:r>
              <w:rPr>
                <w:rStyle w:val="IndexLink"/>
                <w:rtl w:val="true"/>
              </w:rPr>
              <w:t>كونه من مشايخ الإجازة المشتهرين</w:t>
            </w:r>
            <w:r>
              <w:rPr>
                <w:rStyle w:val="IndexLink"/>
                <w:rtl w:val="true"/>
              </w:rPr>
              <w:tab/>
            </w:r>
            <w:r>
              <w:rPr>
                <w:rStyle w:val="IndexLink"/>
              </w:rPr>
              <w:t>351</w:t>
            </w:r>
          </w:hyperlink>
        </w:p>
        <w:p>
          <w:pPr>
            <w:pStyle w:val="Contents5"/>
            <w:tabs>
              <w:tab w:val="clear" w:pos="7892"/>
              <w:tab w:val="right" w:pos="9026" w:leader="dot"/>
            </w:tabs>
            <w:rPr/>
          </w:pPr>
          <w:hyperlink w:anchor="__RefHeading___Toc2933712_2870459653">
            <w:r>
              <w:rPr>
                <w:webHidden/>
                <w:rStyle w:val="IndexLink"/>
                <w:rtl w:val="true"/>
              </w:rPr>
              <w:t>ثامناً</w:t>
            </w:r>
            <w:r>
              <w:rPr>
                <w:rStyle w:val="IndexLink"/>
                <w:rtl w:val="true"/>
              </w:rPr>
              <w:t xml:space="preserve">: </w:t>
            </w:r>
            <w:r>
              <w:rPr>
                <w:rStyle w:val="IndexLink"/>
                <w:rtl w:val="true"/>
              </w:rPr>
              <w:t>كونه من مشيخة الكتب الأربعة</w:t>
            </w:r>
            <w:r>
              <w:rPr>
                <w:rStyle w:val="IndexLink"/>
                <w:rtl w:val="true"/>
              </w:rPr>
              <w:tab/>
            </w:r>
            <w:r>
              <w:rPr>
                <w:rStyle w:val="IndexLink"/>
              </w:rPr>
              <w:t>352</w:t>
            </w:r>
          </w:hyperlink>
        </w:p>
        <w:p>
          <w:pPr>
            <w:pStyle w:val="Contents5"/>
            <w:tabs>
              <w:tab w:val="clear" w:pos="7892"/>
              <w:tab w:val="right" w:pos="9026" w:leader="dot"/>
            </w:tabs>
            <w:rPr/>
          </w:pPr>
          <w:hyperlink w:anchor="__RefHeading___Toc2933714_2870459653">
            <w:r>
              <w:rPr>
                <w:webHidden/>
                <w:rStyle w:val="IndexLink"/>
                <w:rtl w:val="true"/>
              </w:rPr>
              <w:t>تاسعاً</w:t>
            </w:r>
            <w:r>
              <w:rPr>
                <w:rStyle w:val="IndexLink"/>
                <w:rtl w:val="true"/>
              </w:rPr>
              <w:t xml:space="preserve">: </w:t>
            </w:r>
            <w:r>
              <w:rPr>
                <w:rStyle w:val="IndexLink"/>
                <w:rtl w:val="true"/>
              </w:rPr>
              <w:t>كون الراوي ممّن اتفق على العمل برواياته</w:t>
            </w:r>
            <w:r>
              <w:rPr>
                <w:rStyle w:val="IndexLink"/>
                <w:rtl w:val="true"/>
              </w:rPr>
              <w:tab/>
            </w:r>
            <w:r>
              <w:rPr>
                <w:rStyle w:val="IndexLink"/>
              </w:rPr>
              <w:t>352</w:t>
            </w:r>
          </w:hyperlink>
        </w:p>
        <w:p>
          <w:pPr>
            <w:pStyle w:val="Contents5"/>
            <w:tabs>
              <w:tab w:val="clear" w:pos="7892"/>
              <w:tab w:val="right" w:pos="9026" w:leader="dot"/>
            </w:tabs>
            <w:rPr/>
          </w:pPr>
          <w:hyperlink w:anchor="__RefHeading___Toc2933716_2870459653">
            <w:r>
              <w:rPr>
                <w:webHidden/>
                <w:rStyle w:val="IndexLink"/>
                <w:rtl w:val="true"/>
              </w:rPr>
              <w:t>عاشراً</w:t>
            </w:r>
            <w:r>
              <w:rPr>
                <w:rStyle w:val="IndexLink"/>
                <w:rtl w:val="true"/>
              </w:rPr>
              <w:t xml:space="preserve">: </w:t>
            </w:r>
            <w:r>
              <w:rPr>
                <w:rStyle w:val="IndexLink"/>
                <w:rtl w:val="true"/>
              </w:rPr>
              <w:t xml:space="preserve">كونه ممّن قيل في حقه </w:t>
            </w:r>
            <w:r>
              <w:rPr>
                <w:rStyle w:val="IndexLink"/>
                <w:rtl w:val="true"/>
              </w:rPr>
              <w:t>(</w:t>
            </w:r>
            <w:r>
              <w:rPr>
                <w:rStyle w:val="IndexLink"/>
                <w:rtl w:val="true"/>
              </w:rPr>
              <w:t>إنّه لا يروي إلّا عن ثقة</w:t>
            </w:r>
            <w:r>
              <w:rPr>
                <w:rStyle w:val="IndexLink"/>
                <w:rtl w:val="true"/>
              </w:rPr>
              <w:t xml:space="preserve">) </w:t>
            </w:r>
            <w:r>
              <w:rPr>
                <w:rStyle w:val="IndexLink"/>
                <w:rtl w:val="true"/>
              </w:rPr>
              <w:t>أو ما كان في معناها</w:t>
            </w:r>
            <w:r>
              <w:rPr>
                <w:rStyle w:val="IndexLink"/>
                <w:rtl w:val="true"/>
              </w:rPr>
              <w:tab/>
            </w:r>
            <w:r>
              <w:rPr>
                <w:rStyle w:val="IndexLink"/>
              </w:rPr>
              <w:t>352</w:t>
            </w:r>
          </w:hyperlink>
        </w:p>
        <w:p>
          <w:pPr>
            <w:pStyle w:val="Contents5"/>
            <w:tabs>
              <w:tab w:val="clear" w:pos="7892"/>
              <w:tab w:val="right" w:pos="9026" w:leader="dot"/>
            </w:tabs>
            <w:rPr/>
          </w:pPr>
          <w:hyperlink w:anchor="__RefHeading___Toc2933718_2870459653">
            <w:r>
              <w:rPr>
                <w:webHidden/>
                <w:rStyle w:val="IndexLink"/>
                <w:rtl w:val="true"/>
              </w:rPr>
              <w:t>حادي عشر</w:t>
            </w:r>
            <w:r>
              <w:rPr>
                <w:rStyle w:val="IndexLink"/>
                <w:rtl w:val="true"/>
              </w:rPr>
              <w:t xml:space="preserve">: </w:t>
            </w:r>
            <w:r>
              <w:rPr>
                <w:rStyle w:val="IndexLink"/>
                <w:rtl w:val="true"/>
              </w:rPr>
              <w:t>عدم استثناء القميين الراوي من رجال نوادر الحكمة</w:t>
            </w:r>
            <w:r>
              <w:rPr>
                <w:rStyle w:val="IndexLink"/>
                <w:rtl w:val="true"/>
              </w:rPr>
              <w:tab/>
            </w:r>
            <w:r>
              <w:rPr>
                <w:rStyle w:val="IndexLink"/>
              </w:rPr>
              <w:t>353</w:t>
            </w:r>
          </w:hyperlink>
        </w:p>
        <w:p>
          <w:pPr>
            <w:pStyle w:val="Contents5"/>
            <w:tabs>
              <w:tab w:val="clear" w:pos="7892"/>
              <w:tab w:val="right" w:pos="9026" w:leader="dot"/>
            </w:tabs>
            <w:rPr/>
          </w:pPr>
          <w:hyperlink w:anchor="__RefHeading___Toc2933720_2870459653">
            <w:r>
              <w:rPr>
                <w:webHidden/>
                <w:rStyle w:val="IndexLink"/>
                <w:rtl w:val="true"/>
              </w:rPr>
              <w:t>ثاني عشر</w:t>
            </w:r>
            <w:r>
              <w:rPr>
                <w:rStyle w:val="IndexLink"/>
                <w:rtl w:val="true"/>
              </w:rPr>
              <w:t xml:space="preserve">: </w:t>
            </w:r>
            <w:r>
              <w:rPr>
                <w:rStyle w:val="IndexLink"/>
                <w:rtl w:val="true"/>
              </w:rPr>
              <w:t>كونه من أصحاب الإجماع الكبير أو الصغير</w:t>
            </w:r>
            <w:r>
              <w:rPr>
                <w:rStyle w:val="IndexLink"/>
                <w:rtl w:val="true"/>
              </w:rPr>
              <w:tab/>
            </w:r>
            <w:r>
              <w:rPr>
                <w:rStyle w:val="IndexLink"/>
              </w:rPr>
              <w:t>353</w:t>
            </w:r>
          </w:hyperlink>
        </w:p>
        <w:p>
          <w:pPr>
            <w:pStyle w:val="Contents3"/>
            <w:tabs>
              <w:tab w:val="clear" w:pos="8459"/>
              <w:tab w:val="right" w:pos="9026" w:leader="dot"/>
            </w:tabs>
            <w:rPr/>
          </w:pPr>
          <w:hyperlink w:anchor="__RefHeading___Toc2933722_2870459653">
            <w:r>
              <w:rPr>
                <w:webHidden/>
                <w:rStyle w:val="IndexLink"/>
                <w:rtl w:val="true"/>
              </w:rPr>
              <w:t>الفصل الرابع</w:t>
            </w:r>
            <w:r>
              <w:rPr>
                <w:rStyle w:val="IndexLink"/>
                <w:rtl w:val="true"/>
              </w:rPr>
              <w:t xml:space="preserve">: </w:t>
            </w:r>
            <w:r>
              <w:rPr>
                <w:rStyle w:val="IndexLink"/>
                <w:rtl w:val="true"/>
              </w:rPr>
              <w:t xml:space="preserve">في المراد من </w:t>
            </w:r>
            <w:r>
              <w:rPr>
                <w:rStyle w:val="IndexLink"/>
                <w:rtl w:val="true"/>
              </w:rPr>
              <w:t>(</w:t>
            </w:r>
            <w:r>
              <w:rPr>
                <w:rStyle w:val="IndexLink"/>
                <w:rtl w:val="true"/>
              </w:rPr>
              <w:t>تصحيح ما يصح عنهم</w:t>
            </w:r>
            <w:r>
              <w:rPr>
                <w:rStyle w:val="IndexLink"/>
                <w:rtl w:val="true"/>
              </w:rPr>
              <w:t>)</w:t>
              <w:tab/>
            </w:r>
            <w:r>
              <w:rPr>
                <w:rStyle w:val="IndexLink"/>
              </w:rPr>
              <w:t>356</w:t>
            </w:r>
          </w:hyperlink>
        </w:p>
        <w:p>
          <w:pPr>
            <w:pStyle w:val="Contents3"/>
            <w:tabs>
              <w:tab w:val="clear" w:pos="8459"/>
              <w:tab w:val="right" w:pos="9026" w:leader="dot"/>
            </w:tabs>
            <w:rPr/>
          </w:pPr>
          <w:hyperlink w:anchor="__RefHeading___Toc2933724_2870459653">
            <w:r>
              <w:rPr>
                <w:webHidden/>
                <w:rStyle w:val="IndexLink"/>
                <w:rtl w:val="true"/>
              </w:rPr>
              <w:t>الفصل الخامس</w:t>
            </w:r>
            <w:r>
              <w:rPr>
                <w:rStyle w:val="IndexLink"/>
                <w:rtl w:val="true"/>
              </w:rPr>
              <w:t xml:space="preserve">: </w:t>
            </w:r>
            <w:r>
              <w:rPr>
                <w:rStyle w:val="IndexLink"/>
                <w:rtl w:val="true"/>
              </w:rPr>
              <w:t>في الأقوال في تفسير مفاد كلام الكشي</w:t>
            </w:r>
            <w:r>
              <w:rPr>
                <w:rStyle w:val="IndexLink"/>
                <w:rtl w:val="true"/>
              </w:rPr>
              <w:tab/>
            </w:r>
            <w:r>
              <w:rPr>
                <w:rStyle w:val="IndexLink"/>
              </w:rPr>
              <w:t>357</w:t>
            </w:r>
          </w:hyperlink>
        </w:p>
        <w:p>
          <w:pPr>
            <w:pStyle w:val="Contents4"/>
            <w:tabs>
              <w:tab w:val="clear" w:pos="8176"/>
              <w:tab w:val="right" w:pos="9026" w:leader="dot"/>
            </w:tabs>
            <w:rPr/>
          </w:pPr>
          <w:hyperlink w:anchor="__RefHeading___Toc2933726_2870459653">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2933728_2870459653">
            <w:r>
              <w:rPr>
                <w:webHidden/>
                <w:rStyle w:val="IndexLink"/>
                <w:rtl w:val="true"/>
              </w:rPr>
              <w:t>القول الأوّل</w:t>
            </w:r>
            <w:r>
              <w:rPr>
                <w:rStyle w:val="IndexLink"/>
                <w:rtl w:val="true"/>
              </w:rPr>
              <w:tab/>
            </w:r>
            <w:r>
              <w:rPr>
                <w:rStyle w:val="IndexLink"/>
              </w:rPr>
              <w:t>357</w:t>
            </w:r>
          </w:hyperlink>
        </w:p>
        <w:p>
          <w:pPr>
            <w:pStyle w:val="Contents5"/>
            <w:tabs>
              <w:tab w:val="clear" w:pos="7892"/>
              <w:tab w:val="right" w:pos="9026" w:leader="dot"/>
            </w:tabs>
            <w:rPr/>
          </w:pPr>
          <w:hyperlink w:anchor="__RefHeading___Toc2933730_2870459653">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2933732_2870459653">
            <w:r>
              <w:rPr>
                <w:webHidden/>
                <w:rStyle w:val="IndexLink"/>
                <w:rtl w:val="true"/>
              </w:rPr>
              <w:t>أوّلاً</w:t>
            </w:r>
            <w:r>
              <w:rPr>
                <w:rStyle w:val="IndexLink"/>
                <w:rtl w:val="true"/>
              </w:rPr>
              <w:tab/>
            </w:r>
            <w:r>
              <w:rPr>
                <w:rStyle w:val="IndexLink"/>
              </w:rPr>
              <w:t>358</w:t>
            </w:r>
          </w:hyperlink>
        </w:p>
        <w:p>
          <w:pPr>
            <w:pStyle w:val="Contents5"/>
            <w:tabs>
              <w:tab w:val="clear" w:pos="7892"/>
              <w:tab w:val="right" w:pos="9026" w:leader="dot"/>
            </w:tabs>
            <w:rPr/>
          </w:pPr>
          <w:hyperlink w:anchor="__RefHeading___Toc2933734_2870459653">
            <w:r>
              <w:rPr>
                <w:webHidden/>
                <w:rStyle w:val="IndexLink"/>
                <w:rtl w:val="true"/>
              </w:rPr>
              <w:t>ثانياً</w:t>
            </w:r>
            <w:r>
              <w:rPr>
                <w:rStyle w:val="IndexLink"/>
                <w:rtl w:val="true"/>
              </w:rPr>
              <w:tab/>
            </w:r>
            <w:r>
              <w:rPr>
                <w:rStyle w:val="IndexLink"/>
              </w:rPr>
              <w:t>358</w:t>
            </w:r>
          </w:hyperlink>
        </w:p>
        <w:p>
          <w:pPr>
            <w:pStyle w:val="Contents4"/>
            <w:tabs>
              <w:tab w:val="clear" w:pos="8176"/>
              <w:tab w:val="right" w:pos="9026" w:leader="dot"/>
            </w:tabs>
            <w:rPr/>
          </w:pPr>
          <w:hyperlink w:anchor="__RefHeading___Toc2933736_2870459653">
            <w:r>
              <w:rPr>
                <w:webHidden/>
                <w:rStyle w:val="IndexLink"/>
                <w:rtl w:val="true"/>
              </w:rPr>
              <w:t>القول الثّاني</w:t>
            </w:r>
            <w:r>
              <w:rPr>
                <w:rStyle w:val="IndexLink"/>
                <w:rtl w:val="true"/>
              </w:rPr>
              <w:tab/>
            </w:r>
            <w:r>
              <w:rPr>
                <w:rStyle w:val="IndexLink"/>
              </w:rPr>
              <w:t>359</w:t>
            </w:r>
          </w:hyperlink>
        </w:p>
        <w:p>
          <w:pPr>
            <w:pStyle w:val="Contents5"/>
            <w:tabs>
              <w:tab w:val="clear" w:pos="7892"/>
              <w:tab w:val="right" w:pos="9026" w:leader="dot"/>
            </w:tabs>
            <w:rPr/>
          </w:pPr>
          <w:hyperlink w:anchor="__RefHeading___Toc2933738_2870459653">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2933740_2870459653">
            <w:r>
              <w:rPr>
                <w:webHidden/>
                <w:rStyle w:val="IndexLink"/>
                <w:rtl w:val="true"/>
              </w:rPr>
              <w:t>الأوّل</w:t>
            </w:r>
            <w:r>
              <w:rPr>
                <w:rStyle w:val="IndexLink"/>
                <w:rtl w:val="true"/>
              </w:rPr>
              <w:tab/>
            </w:r>
            <w:r>
              <w:rPr>
                <w:rStyle w:val="IndexLink"/>
              </w:rPr>
              <w:t>359</w:t>
            </w:r>
          </w:hyperlink>
        </w:p>
        <w:p>
          <w:pPr>
            <w:pStyle w:val="Contents6"/>
            <w:tabs>
              <w:tab w:val="clear" w:pos="7609"/>
              <w:tab w:val="right" w:pos="9026" w:leader="dot"/>
            </w:tabs>
            <w:rPr/>
          </w:pPr>
          <w:hyperlink w:anchor="__RefHeading___Toc2933742_2870459653">
            <w:r>
              <w:rPr>
                <w:webHidden/>
                <w:rStyle w:val="IndexLink"/>
                <w:rtl w:val="true"/>
              </w:rPr>
              <w:t>اشارة</w:t>
            </w:r>
            <w:r>
              <w:rPr>
                <w:rStyle w:val="IndexLink"/>
                <w:rtl w:val="true"/>
              </w:rPr>
              <w:tab/>
            </w:r>
            <w:r>
              <w:rPr>
                <w:rStyle w:val="IndexLink"/>
              </w:rPr>
              <w:t>359</w:t>
            </w:r>
          </w:hyperlink>
        </w:p>
        <w:p>
          <w:pPr>
            <w:pStyle w:val="Contents6"/>
            <w:tabs>
              <w:tab w:val="clear" w:pos="7609"/>
              <w:tab w:val="right" w:pos="9026" w:leader="dot"/>
            </w:tabs>
            <w:rPr/>
          </w:pPr>
          <w:hyperlink w:anchor="__RefHeading___Toc2933744_2870459653">
            <w:r>
              <w:rPr>
                <w:webHidden/>
                <w:rStyle w:val="IndexLink"/>
                <w:rtl w:val="true"/>
              </w:rPr>
              <w:t>أوّلاً</w:t>
            </w:r>
            <w:r>
              <w:rPr>
                <w:rStyle w:val="IndexLink"/>
                <w:rtl w:val="true"/>
              </w:rPr>
              <w:tab/>
            </w:r>
            <w:r>
              <w:rPr>
                <w:rStyle w:val="IndexLink"/>
              </w:rPr>
              <w:t>360</w:t>
            </w:r>
          </w:hyperlink>
        </w:p>
        <w:p>
          <w:pPr>
            <w:pStyle w:val="Contents6"/>
            <w:tabs>
              <w:tab w:val="clear" w:pos="7609"/>
              <w:tab w:val="right" w:pos="9026" w:leader="dot"/>
            </w:tabs>
            <w:rPr/>
          </w:pPr>
          <w:hyperlink w:anchor="__RefHeading___Toc2933746_2870459653">
            <w:r>
              <w:rPr>
                <w:webHidden/>
                <w:rStyle w:val="IndexLink"/>
                <w:rtl w:val="true"/>
              </w:rPr>
              <w:t>ثانياً</w:t>
            </w:r>
            <w:r>
              <w:rPr>
                <w:rStyle w:val="IndexLink"/>
                <w:rtl w:val="true"/>
              </w:rPr>
              <w:tab/>
            </w:r>
            <w:r>
              <w:rPr>
                <w:rStyle w:val="IndexLink"/>
              </w:rPr>
              <w:t>360</w:t>
            </w:r>
          </w:hyperlink>
        </w:p>
        <w:p>
          <w:pPr>
            <w:pStyle w:val="Contents6"/>
            <w:tabs>
              <w:tab w:val="clear" w:pos="7609"/>
              <w:tab w:val="right" w:pos="9026" w:leader="dot"/>
            </w:tabs>
            <w:rPr/>
          </w:pPr>
          <w:hyperlink w:anchor="__RefHeading___Toc2933748_2870459653">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2933750_2870459653">
            <w:r>
              <w:rPr>
                <w:webHidden/>
                <w:rStyle w:val="IndexLink"/>
                <w:rtl w:val="true"/>
              </w:rPr>
              <w:t>الجواب الأوّل</w:t>
            </w:r>
            <w:r>
              <w:rPr>
                <w:rStyle w:val="IndexLink"/>
                <w:rtl w:val="true"/>
              </w:rPr>
              <w:tab/>
            </w:r>
            <w:r>
              <w:rPr>
                <w:rStyle w:val="IndexLink"/>
              </w:rPr>
              <w:t>360</w:t>
            </w:r>
          </w:hyperlink>
        </w:p>
        <w:p>
          <w:pPr>
            <w:pStyle w:val="Contents6"/>
            <w:tabs>
              <w:tab w:val="clear" w:pos="7609"/>
              <w:tab w:val="right" w:pos="9026" w:leader="dot"/>
            </w:tabs>
            <w:rPr/>
          </w:pPr>
          <w:hyperlink w:anchor="__RefHeading___Toc2933752_2870459653">
            <w:r>
              <w:rPr>
                <w:webHidden/>
                <w:rStyle w:val="IndexLink"/>
                <w:rtl w:val="true"/>
              </w:rPr>
              <w:t>الجواب الآخر</w:t>
            </w:r>
            <w:r>
              <w:rPr>
                <w:rStyle w:val="IndexLink"/>
                <w:rtl w:val="true"/>
              </w:rPr>
              <w:tab/>
            </w:r>
            <w:r>
              <w:rPr>
                <w:rStyle w:val="IndexLink"/>
              </w:rPr>
              <w:t>361</w:t>
            </w:r>
          </w:hyperlink>
        </w:p>
        <w:p>
          <w:pPr>
            <w:pStyle w:val="Contents5"/>
            <w:tabs>
              <w:tab w:val="clear" w:pos="7892"/>
              <w:tab w:val="right" w:pos="9026" w:leader="dot"/>
            </w:tabs>
            <w:rPr/>
          </w:pPr>
          <w:hyperlink w:anchor="__RefHeading___Toc2933754_2870459653">
            <w:r>
              <w:rPr>
                <w:webHidden/>
                <w:rStyle w:val="IndexLink"/>
                <w:rtl w:val="true"/>
              </w:rPr>
              <w:t>الثاني</w:t>
            </w:r>
            <w:r>
              <w:rPr>
                <w:rStyle w:val="IndexLink"/>
                <w:rtl w:val="true"/>
              </w:rPr>
              <w:tab/>
            </w:r>
            <w:r>
              <w:rPr>
                <w:rStyle w:val="IndexLink"/>
              </w:rPr>
              <w:t>361</w:t>
            </w:r>
          </w:hyperlink>
        </w:p>
        <w:p>
          <w:pPr>
            <w:pStyle w:val="Contents5"/>
            <w:tabs>
              <w:tab w:val="clear" w:pos="7892"/>
              <w:tab w:val="right" w:pos="9026" w:leader="dot"/>
            </w:tabs>
            <w:rPr/>
          </w:pPr>
          <w:hyperlink w:anchor="__RefHeading___Toc2933756_2870459653">
            <w:r>
              <w:rPr>
                <w:webHidden/>
                <w:rStyle w:val="IndexLink"/>
                <w:rtl w:val="true"/>
              </w:rPr>
              <w:t>الثّالث</w:t>
            </w:r>
            <w:r>
              <w:rPr>
                <w:rStyle w:val="IndexLink"/>
                <w:rtl w:val="true"/>
              </w:rPr>
              <w:tab/>
            </w:r>
            <w:r>
              <w:rPr>
                <w:rStyle w:val="IndexLink"/>
              </w:rPr>
              <w:t>362</w:t>
            </w:r>
          </w:hyperlink>
        </w:p>
        <w:p>
          <w:pPr>
            <w:pStyle w:val="Contents6"/>
            <w:tabs>
              <w:tab w:val="clear" w:pos="7609"/>
              <w:tab w:val="right" w:pos="9026" w:leader="dot"/>
            </w:tabs>
            <w:rPr/>
          </w:pPr>
          <w:hyperlink w:anchor="__RefHeading___Toc2933758_2870459653">
            <w:r>
              <w:rPr>
                <w:webHidden/>
                <w:rStyle w:val="IndexLink"/>
                <w:rtl w:val="true"/>
              </w:rPr>
              <w:t>اشارة</w:t>
            </w:r>
            <w:r>
              <w:rPr>
                <w:rStyle w:val="IndexLink"/>
                <w:rtl w:val="true"/>
              </w:rPr>
              <w:tab/>
            </w:r>
            <w:r>
              <w:rPr>
                <w:rStyle w:val="IndexLink"/>
              </w:rPr>
              <w:t>362</w:t>
            </w:r>
          </w:hyperlink>
        </w:p>
        <w:p>
          <w:pPr>
            <w:pStyle w:val="Contents6"/>
            <w:tabs>
              <w:tab w:val="clear" w:pos="7609"/>
              <w:tab w:val="right" w:pos="9026" w:leader="dot"/>
            </w:tabs>
            <w:rPr/>
          </w:pPr>
          <w:hyperlink w:anchor="__RefHeading___Toc2933760_2870459653">
            <w:r>
              <w:rPr>
                <w:webHidden/>
                <w:rStyle w:val="IndexLink"/>
                <w:rtl w:val="true"/>
              </w:rPr>
              <w:t>الأوّل</w:t>
            </w:r>
            <w:r>
              <w:rPr>
                <w:rStyle w:val="IndexLink"/>
                <w:rtl w:val="true"/>
              </w:rPr>
              <w:tab/>
            </w:r>
            <w:r>
              <w:rPr>
                <w:rStyle w:val="IndexLink"/>
              </w:rPr>
              <w:t>367</w:t>
            </w:r>
          </w:hyperlink>
        </w:p>
        <w:p>
          <w:pPr>
            <w:pStyle w:val="Contents6"/>
            <w:tabs>
              <w:tab w:val="clear" w:pos="7609"/>
              <w:tab w:val="right" w:pos="9026" w:leader="dot"/>
            </w:tabs>
            <w:rPr/>
          </w:pPr>
          <w:hyperlink w:anchor="__RefHeading___Toc2933762_2870459653">
            <w:r>
              <w:rPr>
                <w:webHidden/>
                <w:rStyle w:val="IndexLink"/>
                <w:rtl w:val="true"/>
              </w:rPr>
              <w:t>الثّاني</w:t>
            </w:r>
            <w:r>
              <w:rPr>
                <w:rStyle w:val="IndexLink"/>
                <w:rtl w:val="true"/>
              </w:rPr>
              <w:tab/>
            </w:r>
            <w:r>
              <w:rPr>
                <w:rStyle w:val="IndexLink"/>
              </w:rPr>
              <w:t>369</w:t>
            </w:r>
          </w:hyperlink>
        </w:p>
        <w:p>
          <w:pPr>
            <w:pStyle w:val="Contents6"/>
            <w:tabs>
              <w:tab w:val="clear" w:pos="7609"/>
              <w:tab w:val="right" w:pos="9026" w:leader="dot"/>
            </w:tabs>
            <w:rPr/>
          </w:pPr>
          <w:hyperlink w:anchor="__RefHeading___Toc2933764_2870459653">
            <w:r>
              <w:rPr>
                <w:webHidden/>
                <w:rStyle w:val="IndexLink"/>
                <w:rtl w:val="true"/>
              </w:rPr>
              <w:t>الثّالث</w:t>
            </w:r>
            <w:r>
              <w:rPr>
                <w:rStyle w:val="IndexLink"/>
                <w:rtl w:val="true"/>
              </w:rPr>
              <w:tab/>
            </w:r>
            <w:r>
              <w:rPr>
                <w:rStyle w:val="IndexLink"/>
              </w:rPr>
              <w:t>370</w:t>
            </w:r>
          </w:hyperlink>
        </w:p>
        <w:p>
          <w:pPr>
            <w:pStyle w:val="Contents6"/>
            <w:tabs>
              <w:tab w:val="clear" w:pos="7609"/>
              <w:tab w:val="right" w:pos="9026" w:leader="dot"/>
            </w:tabs>
            <w:rPr/>
          </w:pPr>
          <w:hyperlink w:anchor="__RefHeading___Toc2933766_2870459653">
            <w:r>
              <w:rPr>
                <w:webHidden/>
                <w:rStyle w:val="IndexLink"/>
                <w:rtl w:val="true"/>
              </w:rPr>
              <w:t>الرابع</w:t>
            </w:r>
            <w:r>
              <w:rPr>
                <w:rStyle w:val="IndexLink"/>
                <w:rtl w:val="true"/>
              </w:rPr>
              <w:tab/>
            </w:r>
            <w:r>
              <w:rPr>
                <w:rStyle w:val="IndexLink"/>
              </w:rPr>
              <w:t>371</w:t>
            </w:r>
          </w:hyperlink>
        </w:p>
        <w:p>
          <w:pPr>
            <w:pStyle w:val="Contents6"/>
            <w:tabs>
              <w:tab w:val="clear" w:pos="7609"/>
              <w:tab w:val="right" w:pos="9026" w:leader="dot"/>
            </w:tabs>
            <w:rPr/>
          </w:pPr>
          <w:hyperlink w:anchor="__RefHeading___Toc2933768_2870459653">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2933770_2870459653">
            <w:r>
              <w:rPr>
                <w:webHidden/>
                <w:rStyle w:val="IndexLink"/>
                <w:rtl w:val="true"/>
              </w:rPr>
              <w:t>الرواية الأولى</w:t>
            </w:r>
            <w:r>
              <w:rPr>
                <w:rStyle w:val="IndexLink"/>
                <w:rtl w:val="true"/>
              </w:rPr>
              <w:tab/>
            </w:r>
            <w:r>
              <w:rPr>
                <w:rStyle w:val="IndexLink"/>
              </w:rPr>
              <w:t>373</w:t>
            </w:r>
          </w:hyperlink>
        </w:p>
        <w:p>
          <w:pPr>
            <w:pStyle w:val="Contents6"/>
            <w:tabs>
              <w:tab w:val="clear" w:pos="7609"/>
              <w:tab w:val="right" w:pos="9026" w:leader="dot"/>
            </w:tabs>
            <w:rPr/>
          </w:pPr>
          <w:hyperlink w:anchor="__RefHeading___Toc2933772_2870459653">
            <w:r>
              <w:rPr>
                <w:webHidden/>
                <w:rStyle w:val="IndexLink"/>
                <w:rtl w:val="true"/>
              </w:rPr>
              <w:t>الرواية الثّانية</w:t>
            </w:r>
            <w:r>
              <w:rPr>
                <w:rStyle w:val="IndexLink"/>
                <w:rtl w:val="true"/>
              </w:rPr>
              <w:tab/>
            </w:r>
            <w:r>
              <w:rPr>
                <w:rStyle w:val="IndexLink"/>
              </w:rPr>
              <w:t>374</w:t>
            </w:r>
          </w:hyperlink>
        </w:p>
        <w:p>
          <w:pPr>
            <w:pStyle w:val="Contents6"/>
            <w:tabs>
              <w:tab w:val="clear" w:pos="7609"/>
              <w:tab w:val="right" w:pos="9026" w:leader="dot"/>
            </w:tabs>
            <w:rPr/>
          </w:pPr>
          <w:hyperlink w:anchor="__RefHeading___Toc2933774_2870459653">
            <w:r>
              <w:rPr>
                <w:webHidden/>
                <w:rStyle w:val="IndexLink"/>
                <w:rtl w:val="true"/>
              </w:rPr>
              <w:t>الرواية الثّالثة</w:t>
            </w:r>
            <w:r>
              <w:rPr>
                <w:rStyle w:val="IndexLink"/>
                <w:rtl w:val="true"/>
              </w:rPr>
              <w:tab/>
            </w:r>
            <w:r>
              <w:rPr>
                <w:rStyle w:val="IndexLink"/>
              </w:rPr>
              <w:t>374</w:t>
            </w:r>
          </w:hyperlink>
        </w:p>
        <w:p>
          <w:pPr>
            <w:pStyle w:val="Contents6"/>
            <w:tabs>
              <w:tab w:val="clear" w:pos="7609"/>
              <w:tab w:val="right" w:pos="9026" w:leader="dot"/>
            </w:tabs>
            <w:rPr/>
          </w:pPr>
          <w:hyperlink w:anchor="__RefHeading___Toc2933776_2870459653">
            <w:r>
              <w:rPr>
                <w:webHidden/>
                <w:rStyle w:val="IndexLink"/>
                <w:rtl w:val="true"/>
              </w:rPr>
              <w:t>الرواية الرابعة</w:t>
            </w:r>
            <w:r>
              <w:rPr>
                <w:rStyle w:val="IndexLink"/>
                <w:rtl w:val="true"/>
              </w:rPr>
              <w:tab/>
            </w:r>
            <w:r>
              <w:rPr>
                <w:rStyle w:val="IndexLink"/>
              </w:rPr>
              <w:t>375</w:t>
            </w:r>
          </w:hyperlink>
        </w:p>
        <w:p>
          <w:pPr>
            <w:pStyle w:val="Contents6"/>
            <w:tabs>
              <w:tab w:val="clear" w:pos="7609"/>
              <w:tab w:val="right" w:pos="9026" w:leader="dot"/>
            </w:tabs>
            <w:rPr/>
          </w:pPr>
          <w:hyperlink w:anchor="__RefHeading___Toc2933778_2870459653">
            <w:r>
              <w:rPr>
                <w:webHidden/>
                <w:rStyle w:val="IndexLink"/>
                <w:rtl w:val="true"/>
              </w:rPr>
              <w:t>الرواية الخامسة</w:t>
            </w:r>
            <w:r>
              <w:rPr>
                <w:rStyle w:val="IndexLink"/>
                <w:rtl w:val="true"/>
              </w:rPr>
              <w:tab/>
            </w:r>
            <w:r>
              <w:rPr>
                <w:rStyle w:val="IndexLink"/>
              </w:rPr>
              <w:t>376</w:t>
            </w:r>
          </w:hyperlink>
        </w:p>
        <w:p>
          <w:pPr>
            <w:pStyle w:val="Contents6"/>
            <w:tabs>
              <w:tab w:val="clear" w:pos="7609"/>
              <w:tab w:val="right" w:pos="9026" w:leader="dot"/>
            </w:tabs>
            <w:rPr/>
          </w:pPr>
          <w:hyperlink w:anchor="__RefHeading___Toc2933780_2870459653">
            <w:r>
              <w:rPr>
                <w:webHidden/>
                <w:rStyle w:val="IndexLink"/>
                <w:rtl w:val="true"/>
              </w:rPr>
              <w:t>الرواية السادسة</w:t>
            </w:r>
            <w:r>
              <w:rPr>
                <w:rStyle w:val="IndexLink"/>
                <w:rtl w:val="true"/>
              </w:rPr>
              <w:tab/>
            </w:r>
            <w:r>
              <w:rPr>
                <w:rStyle w:val="IndexLink"/>
              </w:rPr>
              <w:t>376</w:t>
            </w:r>
          </w:hyperlink>
        </w:p>
        <w:p>
          <w:pPr>
            <w:pStyle w:val="Contents6"/>
            <w:tabs>
              <w:tab w:val="clear" w:pos="7609"/>
              <w:tab w:val="right" w:pos="9026" w:leader="dot"/>
            </w:tabs>
            <w:rPr/>
          </w:pPr>
          <w:hyperlink w:anchor="__RefHeading___Toc2933782_2870459653">
            <w:r>
              <w:rPr>
                <w:webHidden/>
                <w:rStyle w:val="IndexLink"/>
                <w:rtl w:val="true"/>
              </w:rPr>
              <w:t>الرواية السّابعة</w:t>
            </w:r>
            <w:r>
              <w:rPr>
                <w:rStyle w:val="IndexLink"/>
                <w:rtl w:val="true"/>
              </w:rPr>
              <w:tab/>
            </w:r>
            <w:r>
              <w:rPr>
                <w:rStyle w:val="IndexLink"/>
              </w:rPr>
              <w:t>377</w:t>
            </w:r>
          </w:hyperlink>
        </w:p>
        <w:p>
          <w:pPr>
            <w:pStyle w:val="Contents6"/>
            <w:tabs>
              <w:tab w:val="clear" w:pos="7609"/>
              <w:tab w:val="right" w:pos="9026" w:leader="dot"/>
            </w:tabs>
            <w:rPr/>
          </w:pPr>
          <w:hyperlink w:anchor="__RefHeading___Toc2933784_2870459653">
            <w:r>
              <w:rPr>
                <w:webHidden/>
                <w:rStyle w:val="IndexLink"/>
                <w:rtl w:val="true"/>
              </w:rPr>
              <w:t>الرواية الثّامنة</w:t>
            </w:r>
            <w:r>
              <w:rPr>
                <w:rStyle w:val="IndexLink"/>
                <w:rtl w:val="true"/>
              </w:rPr>
              <w:tab/>
            </w:r>
            <w:r>
              <w:rPr>
                <w:rStyle w:val="IndexLink"/>
              </w:rPr>
              <w:t>378</w:t>
            </w:r>
          </w:hyperlink>
        </w:p>
        <w:p>
          <w:pPr>
            <w:pStyle w:val="Contents6"/>
            <w:tabs>
              <w:tab w:val="clear" w:pos="7609"/>
              <w:tab w:val="right" w:pos="9026" w:leader="dot"/>
            </w:tabs>
            <w:rPr/>
          </w:pPr>
          <w:hyperlink w:anchor="__RefHeading___Toc2933786_2870459653">
            <w:r>
              <w:rPr>
                <w:webHidden/>
                <w:rStyle w:val="IndexLink"/>
                <w:rtl w:val="true"/>
              </w:rPr>
              <w:t>الخامس</w:t>
            </w:r>
            <w:r>
              <w:rPr>
                <w:rStyle w:val="IndexLink"/>
                <w:rtl w:val="true"/>
              </w:rPr>
              <w:tab/>
            </w:r>
            <w:r>
              <w:rPr>
                <w:rStyle w:val="IndexLink"/>
              </w:rPr>
              <w:t>380</w:t>
            </w:r>
          </w:hyperlink>
        </w:p>
        <w:p>
          <w:pPr>
            <w:pStyle w:val="Contents6"/>
            <w:tabs>
              <w:tab w:val="clear" w:pos="7609"/>
              <w:tab w:val="right" w:pos="9026" w:leader="dot"/>
            </w:tabs>
            <w:rPr/>
          </w:pPr>
          <w:hyperlink w:anchor="__RefHeading___Toc2933788_2870459653">
            <w:r>
              <w:rPr>
                <w:webHidden/>
                <w:rStyle w:val="IndexLink"/>
                <w:rtl w:val="true"/>
              </w:rPr>
              <w:t>السادس</w:t>
            </w:r>
            <w:r>
              <w:rPr>
                <w:rStyle w:val="IndexLink"/>
                <w:rtl w:val="true"/>
              </w:rPr>
              <w:tab/>
            </w:r>
            <w:r>
              <w:rPr>
                <w:rStyle w:val="IndexLink"/>
              </w:rPr>
              <w:t>381</w:t>
            </w:r>
          </w:hyperlink>
        </w:p>
        <w:p>
          <w:pPr>
            <w:pStyle w:val="Contents3"/>
            <w:tabs>
              <w:tab w:val="clear" w:pos="8459"/>
              <w:tab w:val="right" w:pos="9026" w:leader="dot"/>
            </w:tabs>
            <w:rPr/>
          </w:pPr>
          <w:hyperlink w:anchor="__RefHeading___Toc2933790_2870459653">
            <w:r>
              <w:rPr>
                <w:webHidden/>
                <w:rStyle w:val="IndexLink"/>
                <w:rtl w:val="true"/>
              </w:rPr>
              <w:t>مصادر البحث</w:t>
            </w:r>
            <w:r>
              <w:rPr>
                <w:rStyle w:val="IndexLink"/>
                <w:rtl w:val="true"/>
              </w:rPr>
              <w:tab/>
            </w:r>
            <w:r>
              <w:rPr>
                <w:rStyle w:val="IndexLink"/>
              </w:rPr>
              <w:t>387</w:t>
            </w:r>
          </w:hyperlink>
        </w:p>
        <w:p>
          <w:pPr>
            <w:pStyle w:val="Contents2"/>
            <w:tabs>
              <w:tab w:val="clear" w:pos="8743"/>
              <w:tab w:val="right" w:pos="9026" w:leader="dot"/>
            </w:tabs>
            <w:rPr/>
          </w:pPr>
          <w:hyperlink w:anchor="__RefHeading___Toc2933792_2870459653">
            <w:r>
              <w:rPr>
                <w:webHidden/>
                <w:rStyle w:val="IndexLink"/>
                <w:rtl w:val="true"/>
              </w:rPr>
              <w:t>تحقيق حال جابر الجعفي</w:t>
            </w:r>
            <w:r>
              <w:rPr>
                <w:rStyle w:val="IndexLink"/>
                <w:rtl w:val="true"/>
              </w:rPr>
              <w:t>(</w:t>
            </w:r>
            <w:r>
              <w:rPr>
                <w:rStyle w:val="IndexLink"/>
                <w:rtl w:val="true"/>
              </w:rPr>
              <w:t>الحلقة الثالثة</w:t>
            </w:r>
            <w:r>
              <w:rPr>
                <w:rStyle w:val="IndexLink"/>
                <w:rtl w:val="true"/>
              </w:rPr>
              <w:t xml:space="preserve">) - </w:t>
            </w:r>
            <w:r>
              <w:rPr>
                <w:rStyle w:val="IndexLink"/>
                <w:rtl w:val="true"/>
              </w:rPr>
              <w:t xml:space="preserve">الشيخ محمَّد الجعفري </w:t>
            </w:r>
            <w:r>
              <w:rPr>
                <w:rStyle w:val="IndexLink"/>
                <w:rtl w:val="true"/>
              </w:rPr>
              <w:t>(</w:t>
            </w:r>
            <w:r>
              <w:rPr>
                <w:rStyle w:val="IndexLink"/>
                <w:rtl w:val="true"/>
              </w:rPr>
              <w:t>دام عزه</w:t>
            </w:r>
            <w:r>
              <w:rPr>
                <w:rStyle w:val="IndexLink"/>
                <w:rtl w:val="true"/>
              </w:rPr>
              <w:t>)</w:t>
              <w:tab/>
            </w:r>
            <w:r>
              <w:rPr>
                <w:rStyle w:val="IndexLink"/>
              </w:rPr>
              <w:t>390</w:t>
            </w:r>
          </w:hyperlink>
        </w:p>
        <w:p>
          <w:pPr>
            <w:pStyle w:val="Contents3"/>
            <w:tabs>
              <w:tab w:val="clear" w:pos="8459"/>
              <w:tab w:val="right" w:pos="9026" w:leader="dot"/>
            </w:tabs>
            <w:rPr/>
          </w:pPr>
          <w:hyperlink w:anchor="__RefHeading___Toc2933794_2870459653">
            <w:r>
              <w:rPr>
                <w:webHidden/>
                <w:rStyle w:val="IndexLink"/>
                <w:rtl w:val="true"/>
              </w:rPr>
              <w:t>اشارة</w:t>
            </w:r>
            <w:r>
              <w:rPr>
                <w:rStyle w:val="IndexLink"/>
                <w:rtl w:val="true"/>
              </w:rPr>
              <w:tab/>
            </w:r>
            <w:r>
              <w:rPr>
                <w:rStyle w:val="IndexLink"/>
              </w:rPr>
              <w:t>390</w:t>
            </w:r>
          </w:hyperlink>
        </w:p>
        <w:p>
          <w:pPr>
            <w:pStyle w:val="Contents3"/>
            <w:tabs>
              <w:tab w:val="clear" w:pos="8459"/>
              <w:tab w:val="right" w:pos="9026" w:leader="dot"/>
            </w:tabs>
            <w:rPr/>
          </w:pPr>
          <w:hyperlink w:anchor="__RefHeading___Toc2933796_2870459653">
            <w:r>
              <w:rPr>
                <w:webHidden/>
                <w:rStyle w:val="IndexLink"/>
                <w:rtl w:val="true"/>
              </w:rPr>
              <w:t>الآثار المنسوبة إلى جابر الجعفي عند الغلاة</w:t>
            </w:r>
            <w:r>
              <w:rPr>
                <w:rStyle w:val="IndexLink"/>
                <w:rtl w:val="true"/>
              </w:rPr>
              <w:tab/>
            </w:r>
            <w:r>
              <w:rPr>
                <w:rStyle w:val="IndexLink"/>
              </w:rPr>
              <w:t>392</w:t>
            </w:r>
          </w:hyperlink>
        </w:p>
        <w:p>
          <w:pPr>
            <w:pStyle w:val="Contents4"/>
            <w:tabs>
              <w:tab w:val="clear" w:pos="8176"/>
              <w:tab w:val="right" w:pos="9026" w:leader="dot"/>
            </w:tabs>
            <w:rPr/>
          </w:pPr>
          <w:hyperlink w:anchor="__RefHeading___Toc2933798_2870459653">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2933800_2870459653">
            <w:r>
              <w:rPr>
                <w:webHidden/>
                <w:rStyle w:val="IndexLink"/>
              </w:rPr>
              <w:t>1</w:t>
            </w:r>
            <w:r>
              <w:rPr>
                <w:rStyle w:val="IndexLink"/>
                <w:rtl w:val="true"/>
              </w:rPr>
              <w:t xml:space="preserve">. </w:t>
            </w:r>
            <w:r>
              <w:rPr>
                <w:rStyle w:val="IndexLink"/>
                <w:rtl w:val="true"/>
              </w:rPr>
              <w:t>كتاب الحجب والأنوار</w:t>
            </w:r>
            <w:r>
              <w:rPr>
                <w:rStyle w:val="IndexLink"/>
                <w:rtl w:val="true"/>
              </w:rPr>
              <w:tab/>
            </w:r>
            <w:r>
              <w:rPr>
                <w:rStyle w:val="IndexLink"/>
              </w:rPr>
              <w:t>395</w:t>
            </w:r>
          </w:hyperlink>
        </w:p>
        <w:p>
          <w:pPr>
            <w:pStyle w:val="Contents4"/>
            <w:tabs>
              <w:tab w:val="clear" w:pos="8176"/>
              <w:tab w:val="right" w:pos="9026" w:leader="dot"/>
            </w:tabs>
            <w:rPr/>
          </w:pPr>
          <w:hyperlink w:anchor="__RefHeading___Toc2933802_2870459653">
            <w:r>
              <w:rPr>
                <w:webHidden/>
                <w:rStyle w:val="IndexLink"/>
              </w:rPr>
              <w:t>2</w:t>
            </w:r>
            <w:r>
              <w:rPr>
                <w:rStyle w:val="IndexLink"/>
                <w:rtl w:val="true"/>
              </w:rPr>
              <w:t xml:space="preserve">. </w:t>
            </w:r>
            <w:r>
              <w:rPr>
                <w:rStyle w:val="IndexLink"/>
                <w:rtl w:val="true"/>
              </w:rPr>
              <w:t>كتاب الهفت الشريف، أو الأظلة والأشباح</w:t>
            </w:r>
            <w:r>
              <w:rPr>
                <w:rStyle w:val="IndexLink"/>
                <w:rtl w:val="true"/>
              </w:rPr>
              <w:tab/>
            </w:r>
            <w:r>
              <w:rPr>
                <w:rStyle w:val="IndexLink"/>
              </w:rPr>
              <w:t>396</w:t>
            </w:r>
          </w:hyperlink>
        </w:p>
        <w:p>
          <w:pPr>
            <w:pStyle w:val="Contents3"/>
            <w:tabs>
              <w:tab w:val="clear" w:pos="8459"/>
              <w:tab w:val="right" w:pos="9026" w:leader="dot"/>
            </w:tabs>
            <w:rPr/>
          </w:pPr>
          <w:hyperlink w:anchor="__RefHeading___Toc2933804_2870459653">
            <w:r>
              <w:rPr>
                <w:webHidden/>
                <w:rStyle w:val="IndexLink"/>
                <w:rtl w:val="true"/>
              </w:rPr>
              <w:t>ولنمرّ على آثار جابر التي عثرنا عليها عند الغلاة</w:t>
            </w:r>
            <w:r>
              <w:rPr>
                <w:rStyle w:val="IndexLink"/>
                <w:rtl w:val="true"/>
              </w:rPr>
              <w:tab/>
            </w:r>
            <w:r>
              <w:rPr>
                <w:rStyle w:val="IndexLink"/>
              </w:rPr>
              <w:t>398</w:t>
            </w:r>
          </w:hyperlink>
        </w:p>
        <w:p>
          <w:pPr>
            <w:pStyle w:val="Contents4"/>
            <w:tabs>
              <w:tab w:val="clear" w:pos="8176"/>
              <w:tab w:val="right" w:pos="9026" w:leader="dot"/>
            </w:tabs>
            <w:rPr/>
          </w:pPr>
          <w:hyperlink w:anchor="__RefHeading___Toc2933806_2870459653">
            <w:r>
              <w:rPr>
                <w:webHidden/>
                <w:rStyle w:val="IndexLink"/>
              </w:rPr>
              <w:t>1</w:t>
            </w:r>
            <w:r>
              <w:rPr>
                <w:rStyle w:val="IndexLink"/>
                <w:rtl w:val="true"/>
              </w:rPr>
              <w:t xml:space="preserve">. </w:t>
            </w:r>
            <w:r>
              <w:rPr>
                <w:rStyle w:val="IndexLink"/>
                <w:rtl w:val="true"/>
              </w:rPr>
              <w:t>أمُّ الكتاب</w:t>
            </w:r>
            <w:r>
              <w:rPr>
                <w:rStyle w:val="IndexLink"/>
                <w:rtl w:val="true"/>
              </w:rPr>
              <w:tab/>
            </w:r>
            <w:r>
              <w:rPr>
                <w:rStyle w:val="IndexLink"/>
              </w:rPr>
              <w:t>398</w:t>
            </w:r>
          </w:hyperlink>
        </w:p>
        <w:p>
          <w:pPr>
            <w:pStyle w:val="Contents4"/>
            <w:tabs>
              <w:tab w:val="clear" w:pos="8176"/>
              <w:tab w:val="right" w:pos="9026" w:leader="dot"/>
            </w:tabs>
            <w:rPr/>
          </w:pPr>
          <w:hyperlink w:anchor="__RefHeading___Toc2933808_2870459653">
            <w:r>
              <w:rPr>
                <w:webHidden/>
                <w:rStyle w:val="IndexLink"/>
              </w:rPr>
              <w:t>2</w:t>
            </w:r>
            <w:r>
              <w:rPr>
                <w:rStyle w:val="IndexLink"/>
                <w:rtl w:val="true"/>
              </w:rPr>
              <w:t xml:space="preserve">. </w:t>
            </w:r>
            <w:r>
              <w:rPr>
                <w:rStyle w:val="IndexLink"/>
                <w:rtl w:val="true"/>
              </w:rPr>
              <w:t>كتاب شرح السبعين الذين لا ينجبون ونعت نعوتهم وصفاتهم وأجناسهم وصنائعهم، وما كشفه العالم منه السلام وآبائه وحذّر منه</w:t>
            </w:r>
            <w:r>
              <w:rPr>
                <w:rStyle w:val="IndexLink"/>
                <w:rtl w:val="true"/>
              </w:rPr>
              <w:tab/>
            </w:r>
            <w:r>
              <w:rPr>
                <w:rStyle w:val="IndexLink"/>
              </w:rPr>
              <w:t>416</w:t>
            </w:r>
          </w:hyperlink>
        </w:p>
        <w:p>
          <w:pPr>
            <w:pStyle w:val="Contents4"/>
            <w:tabs>
              <w:tab w:val="clear" w:pos="8176"/>
              <w:tab w:val="right" w:pos="9026" w:leader="dot"/>
            </w:tabs>
            <w:rPr/>
          </w:pPr>
          <w:hyperlink w:anchor="__RefHeading___Toc2933810_2870459653">
            <w:r>
              <w:rPr>
                <w:webHidden/>
                <w:rStyle w:val="IndexLink"/>
              </w:rPr>
              <w:t>3</w:t>
            </w:r>
            <w:r>
              <w:rPr>
                <w:rStyle w:val="IndexLink"/>
                <w:rtl w:val="true"/>
              </w:rPr>
              <w:t xml:space="preserve">. </w:t>
            </w:r>
            <w:r>
              <w:rPr>
                <w:rStyle w:val="IndexLink"/>
                <w:rtl w:val="true"/>
              </w:rPr>
              <w:t>كتاب الكرسي والقلب من رواية جابر</w:t>
            </w:r>
            <w:r>
              <w:rPr>
                <w:rStyle w:val="IndexLink"/>
                <w:rtl w:val="true"/>
              </w:rPr>
              <w:tab/>
            </w:r>
            <w:r>
              <w:rPr>
                <w:rStyle w:val="IndexLink"/>
              </w:rPr>
              <w:t>417</w:t>
            </w:r>
          </w:hyperlink>
        </w:p>
        <w:p>
          <w:pPr>
            <w:pStyle w:val="Contents4"/>
            <w:tabs>
              <w:tab w:val="clear" w:pos="8176"/>
              <w:tab w:val="right" w:pos="9026" w:leader="dot"/>
            </w:tabs>
            <w:rPr/>
          </w:pPr>
          <w:hyperlink w:anchor="__RefHeading___Toc2933812_2870459653">
            <w:r>
              <w:rPr>
                <w:webHidden/>
                <w:rStyle w:val="IndexLink"/>
              </w:rPr>
              <w:t>4</w:t>
            </w:r>
            <w:r>
              <w:rPr>
                <w:rStyle w:val="IndexLink"/>
                <w:rtl w:val="true"/>
              </w:rPr>
              <w:t xml:space="preserve">. </w:t>
            </w:r>
            <w:r>
              <w:rPr>
                <w:rStyle w:val="IndexLink"/>
                <w:rtl w:val="true"/>
              </w:rPr>
              <w:t xml:space="preserve">خبر أصحاب العقبة والنقباء من أصحاب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رواه الخصيبي في أحوال النبي </w:t>
            </w:r>
            <w:r>
              <w:rPr>
                <w:rStyle w:val="IndexLink"/>
                <w:rtl w:val="true"/>
              </w:rPr>
              <w:t>(</w:t>
            </w:r>
            <w:r>
              <w:rPr>
                <w:rStyle w:val="IndexLink"/>
                <w:rtl w:val="true"/>
              </w:rPr>
              <w:t>صلی الله علیه و آله و سلم</w:t>
            </w:r>
            <w:r>
              <w:rPr>
                <w:rStyle w:val="IndexLink"/>
                <w:rtl w:val="true"/>
              </w:rPr>
              <w:t>)</w:t>
              <w:tab/>
            </w:r>
            <w:r>
              <w:rPr>
                <w:rStyle w:val="IndexLink"/>
              </w:rPr>
              <w:t>418</w:t>
            </w:r>
          </w:hyperlink>
        </w:p>
        <w:p>
          <w:pPr>
            <w:pStyle w:val="Contents4"/>
            <w:tabs>
              <w:tab w:val="clear" w:pos="8176"/>
              <w:tab w:val="right" w:pos="9026" w:leader="dot"/>
            </w:tabs>
            <w:rPr/>
          </w:pPr>
          <w:hyperlink w:anchor="__RefHeading___Toc2933814_2870459653">
            <w:r>
              <w:rPr>
                <w:webHidden/>
                <w:rStyle w:val="IndexLink"/>
              </w:rPr>
              <w:t>5</w:t>
            </w:r>
            <w:r>
              <w:rPr>
                <w:rStyle w:val="IndexLink"/>
                <w:rtl w:val="true"/>
              </w:rPr>
              <w:t xml:space="preserve">. </w:t>
            </w:r>
            <w:r>
              <w:rPr>
                <w:rStyle w:val="IndexLink"/>
                <w:rtl w:val="true"/>
              </w:rPr>
              <w:t>خبر الخيط الذي رواه الخصيبي في الهداية، ومحمَّد بن جرير الطبري في نوادر المعجزات</w:t>
            </w:r>
            <w:r>
              <w:rPr>
                <w:rStyle w:val="IndexLink"/>
                <w:rtl w:val="true"/>
              </w:rPr>
              <w:tab/>
            </w:r>
            <w:r>
              <w:rPr>
                <w:rStyle w:val="IndexLink"/>
              </w:rPr>
              <w:t>419</w:t>
            </w:r>
          </w:hyperlink>
        </w:p>
        <w:p>
          <w:pPr>
            <w:pStyle w:val="Contents3"/>
            <w:tabs>
              <w:tab w:val="clear" w:pos="8459"/>
              <w:tab w:val="right" w:pos="9026" w:leader="dot"/>
            </w:tabs>
            <w:rPr/>
          </w:pPr>
          <w:hyperlink w:anchor="__RefHeading___Toc2933816_2870459653">
            <w:r>
              <w:rPr>
                <w:webHidden/>
                <w:rStyle w:val="IndexLink"/>
                <w:rtl w:val="true"/>
              </w:rPr>
              <w:t>المقام الثّاني</w:t>
            </w:r>
            <w:r>
              <w:rPr>
                <w:rStyle w:val="IndexLink"/>
                <w:rtl w:val="true"/>
              </w:rPr>
              <w:t xml:space="preserve">: </w:t>
            </w:r>
            <w:r>
              <w:rPr>
                <w:rStyle w:val="IndexLink"/>
                <w:rtl w:val="true"/>
              </w:rPr>
              <w:t>علوم جابر وكتبه</w:t>
            </w:r>
            <w:r>
              <w:rPr>
                <w:rStyle w:val="IndexLink"/>
                <w:rtl w:val="true"/>
              </w:rPr>
              <w:tab/>
            </w:r>
            <w:r>
              <w:rPr>
                <w:rStyle w:val="IndexLink"/>
              </w:rPr>
              <w:t>423</w:t>
            </w:r>
          </w:hyperlink>
        </w:p>
        <w:p>
          <w:pPr>
            <w:pStyle w:val="Contents4"/>
            <w:tabs>
              <w:tab w:val="clear" w:pos="8176"/>
              <w:tab w:val="right" w:pos="9026" w:leader="dot"/>
            </w:tabs>
            <w:rPr/>
          </w:pPr>
          <w:hyperlink w:anchor="__RefHeading___Toc2933818_2870459653">
            <w:r>
              <w:rPr>
                <w:webHidden/>
                <w:rStyle w:val="IndexLink"/>
                <w:rtl w:val="true"/>
              </w:rPr>
              <w:t>علوم جابر</w:t>
            </w:r>
            <w:r>
              <w:rPr>
                <w:rStyle w:val="IndexLink"/>
                <w:rtl w:val="true"/>
              </w:rPr>
              <w:tab/>
            </w:r>
            <w:r>
              <w:rPr>
                <w:rStyle w:val="IndexLink"/>
              </w:rPr>
              <w:t>423</w:t>
            </w:r>
          </w:hyperlink>
        </w:p>
        <w:p>
          <w:pPr>
            <w:pStyle w:val="Contents5"/>
            <w:tabs>
              <w:tab w:val="clear" w:pos="7892"/>
              <w:tab w:val="right" w:pos="9026" w:leader="dot"/>
            </w:tabs>
            <w:rPr/>
          </w:pPr>
          <w:hyperlink w:anchor="__RefHeading___Toc2933820_2870459653">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2933822_2870459653">
            <w:r>
              <w:rPr>
                <w:webHidden/>
                <w:rStyle w:val="IndexLink"/>
              </w:rPr>
              <w:t>1</w:t>
            </w:r>
            <w:r>
              <w:rPr>
                <w:rStyle w:val="IndexLink"/>
                <w:rtl w:val="true"/>
              </w:rPr>
              <w:t xml:space="preserve">. </w:t>
            </w:r>
            <w:r>
              <w:rPr>
                <w:rStyle w:val="IndexLink"/>
                <w:rtl w:val="true"/>
              </w:rPr>
              <w:t>الحديث</w:t>
            </w:r>
            <w:r>
              <w:rPr>
                <w:rStyle w:val="IndexLink"/>
                <w:rtl w:val="true"/>
              </w:rPr>
              <w:tab/>
            </w:r>
            <w:r>
              <w:rPr>
                <w:rStyle w:val="IndexLink"/>
              </w:rPr>
              <w:t>426</w:t>
            </w:r>
          </w:hyperlink>
        </w:p>
        <w:p>
          <w:pPr>
            <w:pStyle w:val="Contents6"/>
            <w:tabs>
              <w:tab w:val="clear" w:pos="7609"/>
              <w:tab w:val="right" w:pos="9026" w:leader="dot"/>
            </w:tabs>
            <w:rPr/>
          </w:pPr>
          <w:hyperlink w:anchor="__RefHeading___Toc2933824_2870459653">
            <w:r>
              <w:rPr>
                <w:webHidden/>
                <w:rStyle w:val="IndexLink"/>
                <w:rtl w:val="true"/>
              </w:rPr>
              <w:t>اشارة</w:t>
            </w:r>
            <w:r>
              <w:rPr>
                <w:rStyle w:val="IndexLink"/>
                <w:rtl w:val="true"/>
              </w:rPr>
              <w:tab/>
            </w:r>
            <w:r>
              <w:rPr>
                <w:rStyle w:val="IndexLink"/>
              </w:rPr>
              <w:t>426</w:t>
            </w:r>
          </w:hyperlink>
        </w:p>
        <w:p>
          <w:pPr>
            <w:pStyle w:val="Contents6"/>
            <w:tabs>
              <w:tab w:val="clear" w:pos="7609"/>
              <w:tab w:val="right" w:pos="9026" w:leader="dot"/>
            </w:tabs>
            <w:rPr/>
          </w:pPr>
          <w:hyperlink w:anchor="__RefHeading___Toc2933826_2870459653">
            <w:r>
              <w:rPr>
                <w:webHidden/>
                <w:rStyle w:val="IndexLink"/>
                <w:rtl w:val="true"/>
              </w:rPr>
              <w:t>كتب جابر في الحديث</w:t>
            </w:r>
            <w:r>
              <w:rPr>
                <w:rStyle w:val="IndexLink"/>
                <w:rtl w:val="true"/>
              </w:rPr>
              <w:tab/>
            </w:r>
            <w:r>
              <w:rPr>
                <w:rStyle w:val="IndexLink"/>
              </w:rPr>
              <w:t>428</w:t>
            </w:r>
          </w:hyperlink>
        </w:p>
        <w:p>
          <w:pPr>
            <w:pStyle w:val="Contents6"/>
            <w:tabs>
              <w:tab w:val="clear" w:pos="7609"/>
              <w:tab w:val="right" w:pos="9026" w:leader="dot"/>
            </w:tabs>
            <w:rPr/>
          </w:pPr>
          <w:hyperlink w:anchor="__RefHeading___Toc2933828_2870459653">
            <w:r>
              <w:rPr>
                <w:webHidden/>
                <w:rStyle w:val="IndexLink"/>
                <w:rtl w:val="true"/>
              </w:rPr>
              <w:t>اشارة</w:t>
            </w:r>
            <w:r>
              <w:rPr>
                <w:rStyle w:val="IndexLink"/>
                <w:rtl w:val="true"/>
              </w:rPr>
              <w:tab/>
            </w:r>
            <w:r>
              <w:rPr>
                <w:rStyle w:val="IndexLink"/>
              </w:rPr>
              <w:t>428</w:t>
            </w:r>
          </w:hyperlink>
        </w:p>
        <w:p>
          <w:pPr>
            <w:pStyle w:val="Contents6"/>
            <w:tabs>
              <w:tab w:val="clear" w:pos="7609"/>
              <w:tab w:val="right" w:pos="9026" w:leader="dot"/>
            </w:tabs>
            <w:rPr/>
          </w:pPr>
          <w:hyperlink w:anchor="__RefHeading___Toc2933830_2870459653">
            <w:r>
              <w:rPr>
                <w:webHidden/>
                <w:rStyle w:val="IndexLink"/>
              </w:rPr>
              <w:t>1</w:t>
            </w:r>
            <w:r>
              <w:rPr>
                <w:rStyle w:val="IndexLink"/>
                <w:rtl w:val="true"/>
              </w:rPr>
              <w:t xml:space="preserve">. </w:t>
            </w:r>
            <w:r>
              <w:rPr>
                <w:rStyle w:val="IndexLink"/>
                <w:rtl w:val="true"/>
              </w:rPr>
              <w:t>الأصل والنوادر</w:t>
            </w:r>
            <w:r>
              <w:rPr>
                <w:rStyle w:val="IndexLink"/>
                <w:rtl w:val="true"/>
              </w:rPr>
              <w:tab/>
            </w:r>
            <w:r>
              <w:rPr>
                <w:rStyle w:val="IndexLink"/>
              </w:rPr>
              <w:t>428</w:t>
            </w:r>
          </w:hyperlink>
        </w:p>
        <w:p>
          <w:pPr>
            <w:pStyle w:val="Contents6"/>
            <w:tabs>
              <w:tab w:val="clear" w:pos="7609"/>
              <w:tab w:val="right" w:pos="9026" w:leader="dot"/>
            </w:tabs>
            <w:rPr/>
          </w:pPr>
          <w:hyperlink w:anchor="__RefHeading___Toc2933832_2870459653">
            <w:r>
              <w:rPr>
                <w:webHidden/>
                <w:rStyle w:val="IndexLink"/>
              </w:rPr>
              <w:t>2</w:t>
            </w:r>
            <w:r>
              <w:rPr>
                <w:rStyle w:val="IndexLink"/>
                <w:rtl w:val="true"/>
              </w:rPr>
              <w:t xml:space="preserve">. </w:t>
            </w:r>
            <w:r>
              <w:rPr>
                <w:rStyle w:val="IndexLink"/>
                <w:rtl w:val="true"/>
              </w:rPr>
              <w:t>الفضائل</w:t>
            </w:r>
            <w:r>
              <w:rPr>
                <w:rStyle w:val="IndexLink"/>
                <w:rtl w:val="true"/>
              </w:rPr>
              <w:tab/>
            </w:r>
            <w:r>
              <w:rPr>
                <w:rStyle w:val="IndexLink"/>
              </w:rPr>
              <w:t>433</w:t>
            </w:r>
          </w:hyperlink>
        </w:p>
        <w:p>
          <w:pPr>
            <w:pStyle w:val="Contents6"/>
            <w:tabs>
              <w:tab w:val="clear" w:pos="7609"/>
              <w:tab w:val="right" w:pos="9026" w:leader="dot"/>
            </w:tabs>
            <w:rPr/>
          </w:pPr>
          <w:hyperlink w:anchor="__RefHeading___Toc2933834_2870459653">
            <w:r>
              <w:rPr>
                <w:webHidden/>
                <w:rStyle w:val="IndexLink"/>
                <w:rtl w:val="true"/>
              </w:rPr>
              <w:t>مضامين أحاديث جابر عند الفريقين</w:t>
            </w:r>
            <w:r>
              <w:rPr>
                <w:rStyle w:val="IndexLink"/>
                <w:rtl w:val="true"/>
              </w:rPr>
              <w:tab/>
            </w:r>
            <w:r>
              <w:rPr>
                <w:rStyle w:val="IndexLink"/>
              </w:rPr>
              <w:t>437</w:t>
            </w:r>
          </w:hyperlink>
        </w:p>
        <w:p>
          <w:pPr>
            <w:pStyle w:val="Contents6"/>
            <w:tabs>
              <w:tab w:val="clear" w:pos="7609"/>
              <w:tab w:val="right" w:pos="9026" w:leader="dot"/>
            </w:tabs>
            <w:rPr/>
          </w:pPr>
          <w:hyperlink w:anchor="__RefHeading___Toc2933836_2870459653">
            <w:r>
              <w:rPr>
                <w:webHidden/>
                <w:rStyle w:val="IndexLink"/>
                <w:rtl w:val="true"/>
              </w:rPr>
              <w:t>أ</w:t>
            </w:r>
            <w:r>
              <w:rPr>
                <w:rStyle w:val="IndexLink"/>
                <w:rtl w:val="true"/>
              </w:rPr>
              <w:t xml:space="preserve">. </w:t>
            </w:r>
            <w:r>
              <w:rPr>
                <w:rStyle w:val="IndexLink"/>
                <w:rtl w:val="true"/>
              </w:rPr>
              <w:t>أصول الدين</w:t>
            </w:r>
            <w:r>
              <w:rPr>
                <w:rStyle w:val="IndexLink"/>
                <w:rtl w:val="true"/>
              </w:rPr>
              <w:tab/>
            </w:r>
            <w:r>
              <w:rPr>
                <w:rStyle w:val="IndexLink"/>
              </w:rPr>
              <w:t>437</w:t>
            </w:r>
          </w:hyperlink>
        </w:p>
        <w:p>
          <w:pPr>
            <w:pStyle w:val="Contents6"/>
            <w:tabs>
              <w:tab w:val="clear" w:pos="7609"/>
              <w:tab w:val="right" w:pos="9026" w:leader="dot"/>
            </w:tabs>
            <w:rPr/>
          </w:pPr>
          <w:hyperlink w:anchor="__RefHeading___Toc2933838_2870459653">
            <w:r>
              <w:rPr>
                <w:webHidden/>
                <w:rStyle w:val="IndexLink"/>
              </w:rPr>
              <w:t>1</w:t>
            </w:r>
            <w:r>
              <w:rPr>
                <w:rStyle w:val="IndexLink"/>
                <w:rtl w:val="true"/>
              </w:rPr>
              <w:t xml:space="preserve">. </w:t>
            </w:r>
            <w:r>
              <w:rPr>
                <w:rStyle w:val="IndexLink"/>
                <w:rtl w:val="true"/>
              </w:rPr>
              <w:t>توحيد الله تعالى وصفاته</w:t>
            </w:r>
            <w:r>
              <w:rPr>
                <w:rStyle w:val="IndexLink"/>
                <w:rtl w:val="true"/>
              </w:rPr>
              <w:tab/>
            </w:r>
            <w:r>
              <w:rPr>
                <w:rStyle w:val="IndexLink"/>
              </w:rPr>
              <w:t>437</w:t>
            </w:r>
          </w:hyperlink>
        </w:p>
        <w:p>
          <w:pPr>
            <w:pStyle w:val="Contents6"/>
            <w:tabs>
              <w:tab w:val="clear" w:pos="7609"/>
              <w:tab w:val="right" w:pos="9026" w:leader="dot"/>
            </w:tabs>
            <w:rPr/>
          </w:pPr>
          <w:hyperlink w:anchor="__RefHeading___Toc2933840_2870459653">
            <w:r>
              <w:rPr>
                <w:webHidden/>
                <w:rStyle w:val="IndexLink"/>
              </w:rPr>
              <w:t>2</w:t>
            </w:r>
            <w:r>
              <w:rPr>
                <w:rStyle w:val="IndexLink"/>
                <w:rtl w:val="true"/>
              </w:rPr>
              <w:t xml:space="preserve">. </w:t>
            </w:r>
            <w:r>
              <w:rPr>
                <w:rStyle w:val="IndexLink"/>
                <w:rtl w:val="true"/>
              </w:rPr>
              <w:t>النبوة</w:t>
            </w:r>
            <w:r>
              <w:rPr>
                <w:rStyle w:val="IndexLink"/>
                <w:rtl w:val="true"/>
              </w:rPr>
              <w:tab/>
            </w:r>
            <w:r>
              <w:rPr>
                <w:rStyle w:val="IndexLink"/>
              </w:rPr>
              <w:t>439</w:t>
            </w:r>
          </w:hyperlink>
        </w:p>
        <w:p>
          <w:pPr>
            <w:pStyle w:val="Contents6"/>
            <w:tabs>
              <w:tab w:val="clear" w:pos="7609"/>
              <w:tab w:val="right" w:pos="9026" w:leader="dot"/>
            </w:tabs>
            <w:rPr/>
          </w:pPr>
          <w:hyperlink w:anchor="__RefHeading___Toc2933842_2870459653">
            <w:r>
              <w:rPr>
                <w:webHidden/>
                <w:rStyle w:val="IndexLink"/>
              </w:rPr>
              <w:t>3</w:t>
            </w:r>
            <w:r>
              <w:rPr>
                <w:rStyle w:val="IndexLink"/>
                <w:rtl w:val="true"/>
              </w:rPr>
              <w:t xml:space="preserve">. </w:t>
            </w:r>
            <w:r>
              <w:rPr>
                <w:rStyle w:val="IndexLink"/>
                <w:rtl w:val="true"/>
              </w:rPr>
              <w:t>الإمامة</w:t>
            </w:r>
            <w:r>
              <w:rPr>
                <w:rStyle w:val="IndexLink"/>
                <w:rtl w:val="true"/>
              </w:rPr>
              <w:tab/>
            </w:r>
            <w:r>
              <w:rPr>
                <w:rStyle w:val="IndexLink"/>
              </w:rPr>
              <w:t>440</w:t>
            </w:r>
          </w:hyperlink>
        </w:p>
        <w:p>
          <w:pPr>
            <w:pStyle w:val="Contents6"/>
            <w:tabs>
              <w:tab w:val="clear" w:pos="7609"/>
              <w:tab w:val="right" w:pos="9026" w:leader="dot"/>
            </w:tabs>
            <w:rPr/>
          </w:pPr>
          <w:hyperlink w:anchor="__RefHeading___Toc2933844_2870459653">
            <w:r>
              <w:rPr>
                <w:webHidden/>
                <w:rStyle w:val="IndexLink"/>
              </w:rPr>
              <w:t>4</w:t>
            </w:r>
            <w:r>
              <w:rPr>
                <w:rStyle w:val="IndexLink"/>
                <w:rtl w:val="true"/>
              </w:rPr>
              <w:t xml:space="preserve">. </w:t>
            </w:r>
            <w:r>
              <w:rPr>
                <w:rStyle w:val="IndexLink"/>
                <w:rtl w:val="true"/>
              </w:rPr>
              <w:t>البرزخ والمعاد</w:t>
            </w:r>
            <w:r>
              <w:rPr>
                <w:rStyle w:val="IndexLink"/>
                <w:rtl w:val="true"/>
              </w:rPr>
              <w:tab/>
            </w:r>
            <w:r>
              <w:rPr>
                <w:rStyle w:val="IndexLink"/>
              </w:rPr>
              <w:t>442</w:t>
            </w:r>
          </w:hyperlink>
        </w:p>
        <w:p>
          <w:pPr>
            <w:pStyle w:val="Contents6"/>
            <w:tabs>
              <w:tab w:val="clear" w:pos="7609"/>
              <w:tab w:val="right" w:pos="9026" w:leader="dot"/>
            </w:tabs>
            <w:rPr/>
          </w:pPr>
          <w:hyperlink w:anchor="__RefHeading___Toc2933846_2870459653">
            <w:r>
              <w:rPr>
                <w:webHidden/>
                <w:rStyle w:val="IndexLink"/>
                <w:rtl w:val="true"/>
              </w:rPr>
              <w:t>ب</w:t>
            </w:r>
            <w:r>
              <w:rPr>
                <w:rStyle w:val="IndexLink"/>
                <w:rtl w:val="true"/>
              </w:rPr>
              <w:t xml:space="preserve">. </w:t>
            </w:r>
            <w:r>
              <w:rPr>
                <w:rStyle w:val="IndexLink"/>
                <w:rtl w:val="true"/>
              </w:rPr>
              <w:t>الأخلاق</w:t>
            </w:r>
            <w:r>
              <w:rPr>
                <w:rStyle w:val="IndexLink"/>
                <w:rtl w:val="true"/>
              </w:rPr>
              <w:tab/>
            </w:r>
            <w:r>
              <w:rPr>
                <w:rStyle w:val="IndexLink"/>
              </w:rPr>
              <w:t>444</w:t>
            </w:r>
          </w:hyperlink>
        </w:p>
        <w:p>
          <w:pPr>
            <w:pStyle w:val="Contents6"/>
            <w:tabs>
              <w:tab w:val="clear" w:pos="7609"/>
              <w:tab w:val="right" w:pos="9026" w:leader="dot"/>
            </w:tabs>
            <w:rPr/>
          </w:pPr>
          <w:hyperlink w:anchor="__RefHeading___Toc2933848_2870459653">
            <w:r>
              <w:rPr>
                <w:webHidden/>
                <w:rStyle w:val="IndexLink"/>
                <w:rtl w:val="true"/>
              </w:rPr>
              <w:t>ج</w:t>
            </w:r>
            <w:r>
              <w:rPr>
                <w:rStyle w:val="IndexLink"/>
                <w:rtl w:val="true"/>
              </w:rPr>
              <w:t xml:space="preserve">. </w:t>
            </w:r>
            <w:r>
              <w:rPr>
                <w:rStyle w:val="IndexLink"/>
                <w:rtl w:val="true"/>
              </w:rPr>
              <w:t>الفقه</w:t>
            </w:r>
            <w:r>
              <w:rPr>
                <w:rStyle w:val="IndexLink"/>
                <w:rtl w:val="true"/>
              </w:rPr>
              <w:tab/>
            </w:r>
            <w:r>
              <w:rPr>
                <w:rStyle w:val="IndexLink"/>
              </w:rPr>
              <w:t>446</w:t>
            </w:r>
          </w:hyperlink>
        </w:p>
        <w:p>
          <w:pPr>
            <w:pStyle w:val="Contents5"/>
            <w:tabs>
              <w:tab w:val="clear" w:pos="7892"/>
              <w:tab w:val="right" w:pos="9026" w:leader="dot"/>
            </w:tabs>
            <w:rPr/>
          </w:pPr>
          <w:hyperlink w:anchor="__RefHeading___Toc2933850_2870459653">
            <w:r>
              <w:rPr>
                <w:webHidden/>
                <w:rStyle w:val="IndexLink"/>
              </w:rPr>
              <w:t>2</w:t>
            </w:r>
            <w:r>
              <w:rPr>
                <w:rStyle w:val="IndexLink"/>
                <w:rtl w:val="true"/>
              </w:rPr>
              <w:t xml:space="preserve">. </w:t>
            </w:r>
            <w:r>
              <w:rPr>
                <w:rStyle w:val="IndexLink"/>
                <w:rtl w:val="true"/>
              </w:rPr>
              <w:t>التفسير</w:t>
            </w:r>
            <w:r>
              <w:rPr>
                <w:rStyle w:val="IndexLink"/>
                <w:rtl w:val="true"/>
              </w:rPr>
              <w:tab/>
            </w:r>
            <w:r>
              <w:rPr>
                <w:rStyle w:val="IndexLink"/>
              </w:rPr>
              <w:t>449</w:t>
            </w:r>
          </w:hyperlink>
        </w:p>
        <w:p>
          <w:pPr>
            <w:pStyle w:val="Contents6"/>
            <w:tabs>
              <w:tab w:val="clear" w:pos="7609"/>
              <w:tab w:val="right" w:pos="9026" w:leader="dot"/>
            </w:tabs>
            <w:rPr/>
          </w:pPr>
          <w:hyperlink w:anchor="__RefHeading___Toc2933852_2870459653">
            <w:r>
              <w:rPr>
                <w:webHidden/>
                <w:rStyle w:val="IndexLink"/>
                <w:rtl w:val="true"/>
              </w:rPr>
              <w:t>اشارة</w:t>
            </w:r>
            <w:r>
              <w:rPr>
                <w:rStyle w:val="IndexLink"/>
                <w:rtl w:val="true"/>
              </w:rPr>
              <w:tab/>
            </w:r>
            <w:r>
              <w:rPr>
                <w:rStyle w:val="IndexLink"/>
              </w:rPr>
              <w:t>449</w:t>
            </w:r>
          </w:hyperlink>
        </w:p>
        <w:p>
          <w:pPr>
            <w:pStyle w:val="Contents6"/>
            <w:tabs>
              <w:tab w:val="clear" w:pos="7609"/>
              <w:tab w:val="right" w:pos="9026" w:leader="dot"/>
            </w:tabs>
            <w:rPr/>
          </w:pPr>
          <w:hyperlink w:anchor="__RefHeading___Toc2933854_2870459653">
            <w:r>
              <w:rPr>
                <w:webHidden/>
                <w:rStyle w:val="IndexLink"/>
                <w:rtl w:val="true"/>
              </w:rPr>
              <w:t>مجالات روايات جابر في علوم القرآن</w:t>
            </w:r>
            <w:r>
              <w:rPr>
                <w:rStyle w:val="IndexLink"/>
                <w:rtl w:val="true"/>
              </w:rPr>
              <w:tab/>
            </w:r>
            <w:r>
              <w:rPr>
                <w:rStyle w:val="IndexLink"/>
              </w:rPr>
              <w:t>459</w:t>
            </w:r>
          </w:hyperlink>
        </w:p>
        <w:p>
          <w:pPr>
            <w:pStyle w:val="Contents6"/>
            <w:tabs>
              <w:tab w:val="clear" w:pos="7609"/>
              <w:tab w:val="right" w:pos="9026" w:leader="dot"/>
            </w:tabs>
            <w:rPr/>
          </w:pPr>
          <w:hyperlink w:anchor="__RefHeading___Toc2933856_2870459653">
            <w:r>
              <w:rPr>
                <w:webHidden/>
                <w:rStyle w:val="IndexLink"/>
                <w:rtl w:val="true"/>
              </w:rPr>
              <w:t>الروايات التفسيرية والتأويلية لجابر عند الفريقين</w:t>
            </w:r>
            <w:r>
              <w:rPr>
                <w:rStyle w:val="IndexLink"/>
                <w:rtl w:val="true"/>
              </w:rPr>
              <w:tab/>
            </w:r>
            <w:r>
              <w:rPr>
                <w:rStyle w:val="IndexLink"/>
              </w:rPr>
              <w:t>459</w:t>
            </w:r>
          </w:hyperlink>
        </w:p>
        <w:p>
          <w:pPr>
            <w:pStyle w:val="Contents6"/>
            <w:tabs>
              <w:tab w:val="clear" w:pos="7609"/>
              <w:tab w:val="right" w:pos="9026" w:leader="dot"/>
            </w:tabs>
            <w:rPr/>
          </w:pPr>
          <w:hyperlink w:anchor="__RefHeading___Toc2933858_2870459653">
            <w:r>
              <w:rPr>
                <w:webHidden/>
                <w:rStyle w:val="IndexLink"/>
                <w:rtl w:val="true"/>
              </w:rPr>
              <w:t>اشارة</w:t>
            </w:r>
            <w:r>
              <w:rPr>
                <w:rStyle w:val="IndexLink"/>
                <w:rtl w:val="true"/>
              </w:rPr>
              <w:tab/>
            </w:r>
            <w:r>
              <w:rPr>
                <w:rStyle w:val="IndexLink"/>
              </w:rPr>
              <w:t>459</w:t>
            </w:r>
          </w:hyperlink>
        </w:p>
        <w:p>
          <w:pPr>
            <w:pStyle w:val="Contents6"/>
            <w:tabs>
              <w:tab w:val="clear" w:pos="7609"/>
              <w:tab w:val="right" w:pos="9026" w:leader="dot"/>
            </w:tabs>
            <w:rPr/>
          </w:pPr>
          <w:hyperlink w:anchor="__RefHeading___Toc2933860_2870459653">
            <w:r>
              <w:rPr>
                <w:webHidden/>
                <w:rStyle w:val="IndexLink"/>
                <w:rtl w:val="true"/>
              </w:rPr>
              <w:t>أ</w:t>
            </w:r>
            <w:r>
              <w:rPr>
                <w:rStyle w:val="IndexLink"/>
                <w:rtl w:val="true"/>
              </w:rPr>
              <w:t xml:space="preserve">. </w:t>
            </w:r>
            <w:r>
              <w:rPr>
                <w:rStyle w:val="IndexLink"/>
                <w:rtl w:val="true"/>
              </w:rPr>
              <w:t>الروايات التفسيرية لدى جابر عند الخاصّة</w:t>
            </w:r>
            <w:r>
              <w:rPr>
                <w:rStyle w:val="IndexLink"/>
                <w:rtl w:val="true"/>
              </w:rPr>
              <w:tab/>
            </w:r>
            <w:r>
              <w:rPr>
                <w:rStyle w:val="IndexLink"/>
              </w:rPr>
              <w:t>460</w:t>
            </w:r>
          </w:hyperlink>
        </w:p>
        <w:p>
          <w:pPr>
            <w:pStyle w:val="Contents6"/>
            <w:tabs>
              <w:tab w:val="clear" w:pos="7609"/>
              <w:tab w:val="right" w:pos="9026" w:leader="dot"/>
            </w:tabs>
            <w:rPr/>
          </w:pPr>
          <w:hyperlink w:anchor="__RefHeading___Toc2933862_2870459653">
            <w:r>
              <w:rPr>
                <w:webHidden/>
                <w:rStyle w:val="IndexLink"/>
                <w:rtl w:val="true"/>
              </w:rPr>
              <w:t>أوَّلاً</w:t>
            </w:r>
            <w:r>
              <w:rPr>
                <w:rStyle w:val="IndexLink"/>
                <w:rtl w:val="true"/>
              </w:rPr>
              <w:t xml:space="preserve">: </w:t>
            </w:r>
            <w:r>
              <w:rPr>
                <w:rStyle w:val="IndexLink"/>
                <w:rtl w:val="true"/>
              </w:rPr>
              <w:t>آيات الأحكام</w:t>
            </w:r>
            <w:r>
              <w:rPr>
                <w:rStyle w:val="IndexLink"/>
                <w:rtl w:val="true"/>
              </w:rPr>
              <w:tab/>
            </w:r>
            <w:r>
              <w:rPr>
                <w:rStyle w:val="IndexLink"/>
              </w:rPr>
              <w:t>460</w:t>
            </w:r>
          </w:hyperlink>
        </w:p>
        <w:p>
          <w:pPr>
            <w:pStyle w:val="Contents6"/>
            <w:tabs>
              <w:tab w:val="clear" w:pos="7609"/>
              <w:tab w:val="right" w:pos="9026" w:leader="dot"/>
            </w:tabs>
            <w:rPr/>
          </w:pPr>
          <w:hyperlink w:anchor="__RefHeading___Toc2933864_2870459653">
            <w:r>
              <w:rPr>
                <w:webHidden/>
                <w:rStyle w:val="IndexLink"/>
                <w:rtl w:val="true"/>
              </w:rPr>
              <w:t>ثانياً</w:t>
            </w:r>
            <w:r>
              <w:rPr>
                <w:rStyle w:val="IndexLink"/>
                <w:rtl w:val="true"/>
              </w:rPr>
              <w:t xml:space="preserve">: </w:t>
            </w:r>
            <w:r>
              <w:rPr>
                <w:rStyle w:val="IndexLink"/>
                <w:rtl w:val="true"/>
              </w:rPr>
              <w:t>شأن النزول</w:t>
            </w:r>
            <w:r>
              <w:rPr>
                <w:rStyle w:val="IndexLink"/>
                <w:rtl w:val="true"/>
              </w:rPr>
              <w:tab/>
            </w:r>
            <w:r>
              <w:rPr>
                <w:rStyle w:val="IndexLink"/>
              </w:rPr>
              <w:t>462</w:t>
            </w:r>
          </w:hyperlink>
        </w:p>
        <w:p>
          <w:pPr>
            <w:pStyle w:val="Contents6"/>
            <w:tabs>
              <w:tab w:val="clear" w:pos="7609"/>
              <w:tab w:val="right" w:pos="9026" w:leader="dot"/>
            </w:tabs>
            <w:rPr/>
          </w:pPr>
          <w:hyperlink w:anchor="__RefHeading___Toc2933866_2870459653">
            <w:r>
              <w:rPr>
                <w:webHidden/>
                <w:rStyle w:val="IndexLink"/>
                <w:rtl w:val="true"/>
              </w:rPr>
              <w:t>ثالثاً</w:t>
            </w:r>
            <w:r>
              <w:rPr>
                <w:rStyle w:val="IndexLink"/>
                <w:rtl w:val="true"/>
              </w:rPr>
              <w:t xml:space="preserve">: </w:t>
            </w:r>
            <w:r>
              <w:rPr>
                <w:rStyle w:val="IndexLink"/>
                <w:rtl w:val="true"/>
              </w:rPr>
              <w:t>التفسير</w:t>
            </w:r>
            <w:r>
              <w:rPr>
                <w:rStyle w:val="IndexLink"/>
                <w:rtl w:val="true"/>
              </w:rPr>
              <w:tab/>
            </w:r>
            <w:r>
              <w:rPr>
                <w:rStyle w:val="IndexLink"/>
              </w:rPr>
              <w:t>463</w:t>
            </w:r>
          </w:hyperlink>
        </w:p>
        <w:p>
          <w:pPr>
            <w:pStyle w:val="Contents6"/>
            <w:tabs>
              <w:tab w:val="clear" w:pos="7609"/>
              <w:tab w:val="right" w:pos="9026" w:leader="dot"/>
            </w:tabs>
            <w:rPr/>
          </w:pPr>
          <w:hyperlink w:anchor="__RefHeading___Toc2933868_2870459653">
            <w:r>
              <w:rPr>
                <w:webHidden/>
                <w:rStyle w:val="IndexLink"/>
                <w:rtl w:val="true"/>
              </w:rPr>
              <w:t>رابعاً</w:t>
            </w:r>
            <w:r>
              <w:rPr>
                <w:rStyle w:val="IndexLink"/>
                <w:rtl w:val="true"/>
              </w:rPr>
              <w:t xml:space="preserve">: </w:t>
            </w:r>
            <w:r>
              <w:rPr>
                <w:rStyle w:val="IndexLink"/>
                <w:rtl w:val="true"/>
              </w:rPr>
              <w:t>الجري</w:t>
            </w:r>
            <w:r>
              <w:rPr>
                <w:rStyle w:val="IndexLink"/>
                <w:rtl w:val="true"/>
              </w:rPr>
              <w:tab/>
            </w:r>
            <w:r>
              <w:rPr>
                <w:rStyle w:val="IndexLink"/>
              </w:rPr>
              <w:t>463</w:t>
            </w:r>
          </w:hyperlink>
        </w:p>
        <w:p>
          <w:pPr>
            <w:pStyle w:val="Contents6"/>
            <w:tabs>
              <w:tab w:val="clear" w:pos="7609"/>
              <w:tab w:val="right" w:pos="9026" w:leader="dot"/>
            </w:tabs>
            <w:rPr/>
          </w:pPr>
          <w:hyperlink w:anchor="__RefHeading___Toc2933870_2870459653">
            <w:r>
              <w:rPr>
                <w:webHidden/>
                <w:rStyle w:val="IndexLink"/>
                <w:rtl w:val="true"/>
              </w:rPr>
              <w:t>ب</w:t>
            </w:r>
            <w:r>
              <w:rPr>
                <w:rStyle w:val="IndexLink"/>
                <w:rtl w:val="true"/>
              </w:rPr>
              <w:t xml:space="preserve">. </w:t>
            </w:r>
            <w:r>
              <w:rPr>
                <w:rStyle w:val="IndexLink"/>
                <w:rtl w:val="true"/>
              </w:rPr>
              <w:t>الروايات التأويلية عند الخاصّة</w:t>
            </w:r>
            <w:r>
              <w:rPr>
                <w:rStyle w:val="IndexLink"/>
                <w:rtl w:val="true"/>
              </w:rPr>
              <w:tab/>
            </w:r>
            <w:r>
              <w:rPr>
                <w:rStyle w:val="IndexLink"/>
              </w:rPr>
              <w:t>465</w:t>
            </w:r>
          </w:hyperlink>
        </w:p>
        <w:p>
          <w:pPr>
            <w:pStyle w:val="Contents6"/>
            <w:tabs>
              <w:tab w:val="clear" w:pos="7609"/>
              <w:tab w:val="right" w:pos="9026" w:leader="dot"/>
            </w:tabs>
            <w:rPr/>
          </w:pPr>
          <w:hyperlink w:anchor="__RefHeading___Toc2933872_2870459653">
            <w:r>
              <w:rPr>
                <w:webHidden/>
                <w:rStyle w:val="IndexLink"/>
                <w:rtl w:val="true"/>
              </w:rPr>
              <w:t>ج</w:t>
            </w:r>
            <w:r>
              <w:rPr>
                <w:rStyle w:val="IndexLink"/>
                <w:rtl w:val="true"/>
              </w:rPr>
              <w:t xml:space="preserve">. </w:t>
            </w:r>
            <w:r>
              <w:rPr>
                <w:rStyle w:val="IndexLink"/>
                <w:rtl w:val="true"/>
              </w:rPr>
              <w:t>ما ورد عن جابر من التفسير عند العامة</w:t>
            </w:r>
            <w:r>
              <w:rPr>
                <w:rStyle w:val="IndexLink"/>
                <w:rtl w:val="true"/>
              </w:rPr>
              <w:tab/>
            </w:r>
            <w:r>
              <w:rPr>
                <w:rStyle w:val="IndexLink"/>
              </w:rPr>
              <w:t>468</w:t>
            </w:r>
          </w:hyperlink>
        </w:p>
        <w:p>
          <w:pPr>
            <w:pStyle w:val="Contents6"/>
            <w:tabs>
              <w:tab w:val="clear" w:pos="7609"/>
              <w:tab w:val="right" w:pos="9026" w:leader="dot"/>
            </w:tabs>
            <w:rPr/>
          </w:pPr>
          <w:hyperlink w:anchor="__RefHeading___Toc2933874_2870459653">
            <w:r>
              <w:rPr>
                <w:webHidden/>
                <w:rStyle w:val="IndexLink"/>
                <w:rtl w:val="true"/>
              </w:rPr>
              <w:t>ج</w:t>
            </w:r>
            <w:r>
              <w:rPr>
                <w:rStyle w:val="IndexLink"/>
                <w:rtl w:val="true"/>
              </w:rPr>
              <w:t xml:space="preserve">. </w:t>
            </w:r>
            <w:r>
              <w:rPr>
                <w:rStyle w:val="IndexLink"/>
                <w:rtl w:val="true"/>
              </w:rPr>
              <w:t>التفسير العامّ</w:t>
            </w:r>
            <w:r>
              <w:rPr>
                <w:rStyle w:val="IndexLink"/>
                <w:rtl w:val="true"/>
              </w:rPr>
              <w:tab/>
            </w:r>
            <w:r>
              <w:rPr>
                <w:rStyle w:val="IndexLink"/>
              </w:rPr>
              <w:t>470</w:t>
            </w:r>
          </w:hyperlink>
        </w:p>
        <w:p>
          <w:pPr>
            <w:pStyle w:val="Contents6"/>
            <w:tabs>
              <w:tab w:val="clear" w:pos="7609"/>
              <w:tab w:val="right" w:pos="9026" w:leader="dot"/>
            </w:tabs>
            <w:rPr/>
          </w:pPr>
          <w:hyperlink w:anchor="__RefHeading___Toc2933876_2870459653">
            <w:r>
              <w:rPr>
                <w:webHidden/>
                <w:rStyle w:val="IndexLink"/>
                <w:rtl w:val="true"/>
              </w:rPr>
              <w:t>د</w:t>
            </w:r>
            <w:r>
              <w:rPr>
                <w:rStyle w:val="IndexLink"/>
                <w:rtl w:val="true"/>
              </w:rPr>
              <w:t xml:space="preserve">. </w:t>
            </w:r>
            <w:r>
              <w:rPr>
                <w:rStyle w:val="IndexLink"/>
                <w:rtl w:val="true"/>
              </w:rPr>
              <w:t>ما ورد عن جابر في تأويل القرآن عند العامّة</w:t>
            </w:r>
            <w:r>
              <w:rPr>
                <w:rStyle w:val="IndexLink"/>
                <w:rtl w:val="true"/>
              </w:rPr>
              <w:tab/>
            </w:r>
            <w:r>
              <w:rPr>
                <w:rStyle w:val="IndexLink"/>
              </w:rPr>
              <w:t>471</w:t>
            </w:r>
          </w:hyperlink>
        </w:p>
        <w:p>
          <w:pPr>
            <w:pStyle w:val="Contents6"/>
            <w:tabs>
              <w:tab w:val="clear" w:pos="7609"/>
              <w:tab w:val="right" w:pos="9026" w:leader="dot"/>
            </w:tabs>
            <w:rPr/>
          </w:pPr>
          <w:hyperlink w:anchor="__RefHeading___Toc2933878_2870459653">
            <w:r>
              <w:rPr>
                <w:webHidden/>
                <w:rStyle w:val="IndexLink"/>
                <w:rtl w:val="true"/>
              </w:rPr>
              <w:t xml:space="preserve">جابر وقصص الأنبياء </w:t>
            </w:r>
            <w:r>
              <w:rPr>
                <w:rStyle w:val="IndexLink"/>
                <w:rtl w:val="true"/>
              </w:rPr>
              <w:t>(</w:t>
            </w:r>
            <w:r>
              <w:rPr>
                <w:rStyle w:val="IndexLink"/>
                <w:rtl w:val="true"/>
              </w:rPr>
              <w:t>علیهم السلام</w:t>
            </w:r>
            <w:r>
              <w:rPr>
                <w:rStyle w:val="IndexLink"/>
                <w:rtl w:val="true"/>
              </w:rPr>
              <w:t>)</w:t>
              <w:tab/>
            </w:r>
            <w:r>
              <w:rPr>
                <w:rStyle w:val="IndexLink"/>
              </w:rPr>
              <w:t>472</w:t>
            </w:r>
          </w:hyperlink>
        </w:p>
        <w:p>
          <w:pPr>
            <w:pStyle w:val="Contents5"/>
            <w:tabs>
              <w:tab w:val="clear" w:pos="7892"/>
              <w:tab w:val="right" w:pos="9026" w:leader="dot"/>
            </w:tabs>
            <w:rPr/>
          </w:pPr>
          <w:hyperlink w:anchor="__RefHeading___Toc2933880_2870459653">
            <w:r>
              <w:rPr>
                <w:webHidden/>
                <w:rStyle w:val="IndexLink"/>
              </w:rPr>
              <w:t>3</w:t>
            </w:r>
            <w:r>
              <w:rPr>
                <w:rStyle w:val="IndexLink"/>
                <w:rtl w:val="true"/>
              </w:rPr>
              <w:t xml:space="preserve">. </w:t>
            </w:r>
            <w:r>
              <w:rPr>
                <w:rStyle w:val="IndexLink"/>
                <w:rtl w:val="true"/>
              </w:rPr>
              <w:t>التاريخ</w:t>
            </w:r>
            <w:r>
              <w:rPr>
                <w:rStyle w:val="IndexLink"/>
                <w:rtl w:val="true"/>
              </w:rPr>
              <w:tab/>
            </w:r>
            <w:r>
              <w:rPr>
                <w:rStyle w:val="IndexLink"/>
              </w:rPr>
              <w:t>473</w:t>
            </w:r>
          </w:hyperlink>
        </w:p>
        <w:p>
          <w:pPr>
            <w:pStyle w:val="Contents2"/>
            <w:tabs>
              <w:tab w:val="clear" w:pos="8743"/>
              <w:tab w:val="right" w:pos="9026" w:leader="dot"/>
            </w:tabs>
            <w:rPr/>
          </w:pPr>
          <w:hyperlink w:anchor="__RefHeading___Toc2933882_2870459653">
            <w:r>
              <w:rPr>
                <w:webHidden/>
                <w:rStyle w:val="IndexLink"/>
                <w:rtl w:val="true"/>
              </w:rPr>
              <w:t xml:space="preserve">شرح المراسم العلوية في الأحكام النبوية </w:t>
            </w:r>
            <w:r>
              <w:rPr>
                <w:rStyle w:val="IndexLink"/>
                <w:rtl w:val="true"/>
              </w:rPr>
              <w:t xml:space="preserve">- </w:t>
            </w:r>
            <w:r>
              <w:rPr>
                <w:rStyle w:val="IndexLink"/>
                <w:rtl w:val="true"/>
              </w:rPr>
              <w:t xml:space="preserve">السيد جواد الموسوي الغريفي </w:t>
            </w:r>
            <w:r>
              <w:rPr>
                <w:rStyle w:val="IndexLink"/>
                <w:rtl w:val="true"/>
              </w:rPr>
              <w:t>(</w:t>
            </w:r>
            <w:r>
              <w:rPr>
                <w:rStyle w:val="IndexLink"/>
                <w:rtl w:val="true"/>
              </w:rPr>
              <w:t>دام عزه</w:t>
            </w:r>
            <w:r>
              <w:rPr>
                <w:rStyle w:val="IndexLink"/>
                <w:rtl w:val="true"/>
              </w:rPr>
              <w:t>)</w:t>
              <w:tab/>
            </w:r>
            <w:r>
              <w:rPr>
                <w:rStyle w:val="IndexLink"/>
              </w:rPr>
              <w:t>479</w:t>
            </w:r>
          </w:hyperlink>
        </w:p>
        <w:p>
          <w:pPr>
            <w:pStyle w:val="Contents3"/>
            <w:tabs>
              <w:tab w:val="clear" w:pos="8459"/>
              <w:tab w:val="right" w:pos="9026" w:leader="dot"/>
            </w:tabs>
            <w:rPr/>
          </w:pPr>
          <w:hyperlink w:anchor="__RefHeading___Toc2933884_2870459653">
            <w:r>
              <w:rPr>
                <w:webHidden/>
                <w:rStyle w:val="IndexLink"/>
                <w:rtl w:val="true"/>
              </w:rPr>
              <w:t>اشارة</w:t>
            </w:r>
            <w:r>
              <w:rPr>
                <w:rStyle w:val="IndexLink"/>
                <w:rtl w:val="true"/>
              </w:rPr>
              <w:tab/>
            </w:r>
            <w:r>
              <w:rPr>
                <w:rStyle w:val="IndexLink"/>
              </w:rPr>
              <w:t>479</w:t>
            </w:r>
          </w:hyperlink>
        </w:p>
        <w:p>
          <w:pPr>
            <w:pStyle w:val="Contents3"/>
            <w:tabs>
              <w:tab w:val="clear" w:pos="8459"/>
              <w:tab w:val="right" w:pos="9026" w:leader="dot"/>
            </w:tabs>
            <w:rPr/>
          </w:pPr>
          <w:hyperlink w:anchor="__RefHeading___Toc2933886_2870459653">
            <w:r>
              <w:rPr>
                <w:webHidden/>
                <w:rStyle w:val="IndexLink"/>
                <w:rtl w:val="true"/>
              </w:rPr>
              <w:t>المقدمة</w:t>
            </w:r>
            <w:r>
              <w:rPr>
                <w:rStyle w:val="IndexLink"/>
                <w:rtl w:val="true"/>
              </w:rPr>
              <w:tab/>
            </w:r>
            <w:r>
              <w:rPr>
                <w:rStyle w:val="IndexLink"/>
              </w:rPr>
              <w:t>481</w:t>
            </w:r>
          </w:hyperlink>
        </w:p>
        <w:p>
          <w:pPr>
            <w:pStyle w:val="Contents4"/>
            <w:tabs>
              <w:tab w:val="clear" w:pos="8176"/>
              <w:tab w:val="right" w:pos="9026" w:leader="dot"/>
            </w:tabs>
            <w:rPr/>
          </w:pPr>
          <w:hyperlink w:anchor="__RefHeading___Toc2933888_2870459653">
            <w:r>
              <w:rPr>
                <w:webHidden/>
                <w:rStyle w:val="IndexLink"/>
                <w:rtl w:val="true"/>
              </w:rPr>
              <w:t>اشارة</w:t>
            </w:r>
            <w:r>
              <w:rPr>
                <w:rStyle w:val="IndexLink"/>
                <w:rtl w:val="true"/>
              </w:rPr>
              <w:tab/>
            </w:r>
            <w:r>
              <w:rPr>
                <w:rStyle w:val="IndexLink"/>
              </w:rPr>
              <w:t>481</w:t>
            </w:r>
          </w:hyperlink>
        </w:p>
        <w:p>
          <w:pPr>
            <w:pStyle w:val="Contents4"/>
            <w:tabs>
              <w:tab w:val="clear" w:pos="8176"/>
              <w:tab w:val="right" w:pos="9026" w:leader="dot"/>
            </w:tabs>
            <w:rPr/>
          </w:pPr>
          <w:hyperlink w:anchor="__RefHeading___Toc2933890_2870459653">
            <w:r>
              <w:rPr>
                <w:webHidden/>
                <w:rStyle w:val="IndexLink"/>
                <w:rtl w:val="true"/>
              </w:rPr>
              <w:t>الفقرة الأولى</w:t>
            </w:r>
            <w:r>
              <w:rPr>
                <w:rStyle w:val="IndexLink"/>
                <w:rtl w:val="true"/>
              </w:rPr>
              <w:t xml:space="preserve">: </w:t>
            </w:r>
            <w:r>
              <w:rPr>
                <w:rStyle w:val="IndexLink"/>
                <w:rtl w:val="true"/>
              </w:rPr>
              <w:t xml:space="preserve">مؤلِّف كتاب </w:t>
            </w:r>
            <w:r>
              <w:rPr>
                <w:rStyle w:val="IndexLink"/>
                <w:rtl w:val="true"/>
              </w:rPr>
              <w:t>(</w:t>
            </w:r>
            <w:r>
              <w:rPr>
                <w:rStyle w:val="IndexLink"/>
                <w:rtl w:val="true"/>
              </w:rPr>
              <w:t>المراسم العلويَّة في الأحكام النّبويَّة</w:t>
            </w:r>
            <w:r>
              <w:rPr>
                <w:rStyle w:val="IndexLink"/>
                <w:rtl w:val="true"/>
              </w:rPr>
              <w:t>)</w:t>
              <w:tab/>
            </w:r>
            <w:r>
              <w:rPr>
                <w:rStyle w:val="IndexLink"/>
              </w:rPr>
              <w:t>483</w:t>
            </w:r>
          </w:hyperlink>
        </w:p>
        <w:p>
          <w:pPr>
            <w:pStyle w:val="Contents5"/>
            <w:tabs>
              <w:tab w:val="clear" w:pos="7892"/>
              <w:tab w:val="right" w:pos="9026" w:leader="dot"/>
            </w:tabs>
            <w:rPr/>
          </w:pPr>
          <w:hyperlink w:anchor="__RefHeading___Toc2933892_2870459653">
            <w:r>
              <w:rPr>
                <w:webHidden/>
                <w:rStyle w:val="IndexLink"/>
                <w:rtl w:val="true"/>
              </w:rPr>
              <w:t>التّعريف به</w:t>
            </w:r>
            <w:r>
              <w:rPr>
                <w:rStyle w:val="IndexLink"/>
                <w:rtl w:val="true"/>
              </w:rPr>
              <w:tab/>
            </w:r>
            <w:r>
              <w:rPr>
                <w:rStyle w:val="IndexLink"/>
              </w:rPr>
              <w:t>483</w:t>
            </w:r>
          </w:hyperlink>
        </w:p>
        <w:p>
          <w:pPr>
            <w:pStyle w:val="Contents5"/>
            <w:tabs>
              <w:tab w:val="clear" w:pos="7892"/>
              <w:tab w:val="right" w:pos="9026" w:leader="dot"/>
            </w:tabs>
            <w:rPr/>
          </w:pPr>
          <w:hyperlink w:anchor="__RefHeading___Toc2933894_2870459653">
            <w:r>
              <w:rPr>
                <w:webHidden/>
                <w:rStyle w:val="IndexLink"/>
                <w:rtl w:val="true"/>
              </w:rPr>
              <w:t>الثَّناء عليه</w:t>
            </w:r>
            <w:r>
              <w:rPr>
                <w:rStyle w:val="IndexLink"/>
                <w:rtl w:val="true"/>
              </w:rPr>
              <w:tab/>
            </w:r>
            <w:r>
              <w:rPr>
                <w:rStyle w:val="IndexLink"/>
              </w:rPr>
              <w:t>484</w:t>
            </w:r>
          </w:hyperlink>
        </w:p>
        <w:p>
          <w:pPr>
            <w:pStyle w:val="Contents5"/>
            <w:tabs>
              <w:tab w:val="clear" w:pos="7892"/>
              <w:tab w:val="right" w:pos="9026" w:leader="dot"/>
            </w:tabs>
            <w:rPr/>
          </w:pPr>
          <w:hyperlink w:anchor="__RefHeading___Toc2933896_2870459653">
            <w:r>
              <w:rPr>
                <w:webHidden/>
                <w:rStyle w:val="IndexLink"/>
                <w:rtl w:val="true"/>
              </w:rPr>
              <w:t>تصانيفه</w:t>
            </w:r>
            <w:r>
              <w:rPr>
                <w:rStyle w:val="IndexLink"/>
                <w:rtl w:val="true"/>
              </w:rPr>
              <w:tab/>
            </w:r>
            <w:r>
              <w:rPr>
                <w:rStyle w:val="IndexLink"/>
              </w:rPr>
              <w:t>486</w:t>
            </w:r>
          </w:hyperlink>
        </w:p>
        <w:p>
          <w:pPr>
            <w:pStyle w:val="Contents5"/>
            <w:tabs>
              <w:tab w:val="clear" w:pos="7892"/>
              <w:tab w:val="right" w:pos="9026" w:leader="dot"/>
            </w:tabs>
            <w:rPr/>
          </w:pPr>
          <w:hyperlink w:anchor="__RefHeading___Toc2933898_2870459653">
            <w:r>
              <w:rPr>
                <w:webHidden/>
                <w:rStyle w:val="IndexLink"/>
                <w:rtl w:val="true"/>
              </w:rPr>
              <w:t>وفاته وموضع دفنه</w:t>
            </w:r>
            <w:r>
              <w:rPr>
                <w:rStyle w:val="IndexLink"/>
                <w:rtl w:val="true"/>
              </w:rPr>
              <w:tab/>
            </w:r>
            <w:r>
              <w:rPr>
                <w:rStyle w:val="IndexLink"/>
              </w:rPr>
              <w:t>487</w:t>
            </w:r>
          </w:hyperlink>
        </w:p>
        <w:p>
          <w:pPr>
            <w:pStyle w:val="Contents4"/>
            <w:tabs>
              <w:tab w:val="clear" w:pos="8176"/>
              <w:tab w:val="right" w:pos="9026" w:leader="dot"/>
            </w:tabs>
            <w:rPr/>
          </w:pPr>
          <w:hyperlink w:anchor="__RefHeading___Toc2933900_2870459653">
            <w:r>
              <w:rPr>
                <w:webHidden/>
                <w:rStyle w:val="IndexLink"/>
                <w:rtl w:val="true"/>
              </w:rPr>
              <w:t>الفقرة الثّانية</w:t>
            </w:r>
            <w:r>
              <w:rPr>
                <w:rStyle w:val="IndexLink"/>
                <w:rtl w:val="true"/>
              </w:rPr>
              <w:t xml:space="preserve">: </w:t>
            </w:r>
            <w:r>
              <w:rPr>
                <w:rStyle w:val="IndexLink"/>
                <w:rtl w:val="true"/>
              </w:rPr>
              <w:t xml:space="preserve">كتاب </w:t>
            </w:r>
            <w:r>
              <w:rPr>
                <w:rStyle w:val="IndexLink"/>
                <w:rtl w:val="true"/>
              </w:rPr>
              <w:t>(</w:t>
            </w:r>
            <w:r>
              <w:rPr>
                <w:rStyle w:val="IndexLink"/>
                <w:rtl w:val="true"/>
              </w:rPr>
              <w:t>المراسم العلويَّة في الأحكام النّبويّة</w:t>
            </w:r>
            <w:r>
              <w:rPr>
                <w:rStyle w:val="IndexLink"/>
                <w:rtl w:val="true"/>
              </w:rPr>
              <w:t>)</w:t>
              <w:tab/>
            </w:r>
            <w:r>
              <w:rPr>
                <w:rStyle w:val="IndexLink"/>
              </w:rPr>
              <w:t>489</w:t>
            </w:r>
          </w:hyperlink>
        </w:p>
        <w:p>
          <w:pPr>
            <w:pStyle w:val="Contents5"/>
            <w:tabs>
              <w:tab w:val="clear" w:pos="7892"/>
              <w:tab w:val="right" w:pos="9026" w:leader="dot"/>
            </w:tabs>
            <w:rPr/>
          </w:pPr>
          <w:hyperlink w:anchor="__RefHeading___Toc2933902_2870459653">
            <w:r>
              <w:rPr>
                <w:webHidden/>
                <w:rStyle w:val="IndexLink"/>
                <w:rtl w:val="true"/>
              </w:rPr>
              <w:t>التّعريف به</w:t>
            </w:r>
            <w:r>
              <w:rPr>
                <w:rStyle w:val="IndexLink"/>
                <w:rtl w:val="true"/>
              </w:rPr>
              <w:tab/>
            </w:r>
            <w:r>
              <w:rPr>
                <w:rStyle w:val="IndexLink"/>
              </w:rPr>
              <w:t>489</w:t>
            </w:r>
          </w:hyperlink>
        </w:p>
        <w:p>
          <w:pPr>
            <w:pStyle w:val="Contents5"/>
            <w:tabs>
              <w:tab w:val="clear" w:pos="7892"/>
              <w:tab w:val="right" w:pos="9026" w:leader="dot"/>
            </w:tabs>
            <w:rPr/>
          </w:pPr>
          <w:hyperlink w:anchor="__RefHeading___Toc2933904_2870459653">
            <w:r>
              <w:rPr>
                <w:webHidden/>
                <w:rStyle w:val="IndexLink"/>
                <w:rtl w:val="true"/>
              </w:rPr>
              <w:t>شروحه</w:t>
            </w:r>
            <w:r>
              <w:rPr>
                <w:rStyle w:val="IndexLink"/>
                <w:rtl w:val="true"/>
              </w:rPr>
              <w:tab/>
            </w:r>
            <w:r>
              <w:rPr>
                <w:rStyle w:val="IndexLink"/>
              </w:rPr>
              <w:t>489</w:t>
            </w:r>
          </w:hyperlink>
        </w:p>
        <w:p>
          <w:pPr>
            <w:pStyle w:val="Contents5"/>
            <w:tabs>
              <w:tab w:val="clear" w:pos="7892"/>
              <w:tab w:val="right" w:pos="9026" w:leader="dot"/>
            </w:tabs>
            <w:rPr/>
          </w:pPr>
          <w:hyperlink w:anchor="__RefHeading___Toc2933906_2870459653">
            <w:r>
              <w:rPr>
                <w:webHidden/>
                <w:rStyle w:val="IndexLink"/>
                <w:rtl w:val="true"/>
              </w:rPr>
              <w:t>مختصراته</w:t>
            </w:r>
            <w:r>
              <w:rPr>
                <w:rStyle w:val="IndexLink"/>
                <w:rtl w:val="true"/>
              </w:rPr>
              <w:tab/>
            </w:r>
            <w:r>
              <w:rPr>
                <w:rStyle w:val="IndexLink"/>
              </w:rPr>
              <w:t>493</w:t>
            </w:r>
          </w:hyperlink>
        </w:p>
        <w:p>
          <w:pPr>
            <w:pStyle w:val="Contents5"/>
            <w:tabs>
              <w:tab w:val="clear" w:pos="7892"/>
              <w:tab w:val="right" w:pos="9026" w:leader="dot"/>
            </w:tabs>
            <w:rPr/>
          </w:pPr>
          <w:hyperlink w:anchor="__RefHeading___Toc2933908_2870459653">
            <w:r>
              <w:rPr>
                <w:webHidden/>
                <w:rStyle w:val="IndexLink"/>
                <w:rtl w:val="true"/>
              </w:rPr>
              <w:t xml:space="preserve">مخطوطاته </w:t>
            </w:r>
            <w:r>
              <w:rPr>
                <w:rStyle w:val="IndexLink"/>
                <w:rtl w:val="true"/>
              </w:rPr>
              <w:t>(</w:t>
            </w:r>
            <w:r>
              <w:rPr>
                <w:rStyle w:val="IndexLink"/>
                <w:rtl w:val="true"/>
              </w:rPr>
              <w:t>أقدم نُسَخه</w:t>
            </w:r>
            <w:r>
              <w:rPr>
                <w:rStyle w:val="IndexLink"/>
                <w:rtl w:val="true"/>
              </w:rPr>
              <w:t>)</w:t>
              <w:tab/>
            </w:r>
            <w:r>
              <w:rPr>
                <w:rStyle w:val="IndexLink"/>
              </w:rPr>
              <w:t>493</w:t>
            </w:r>
          </w:hyperlink>
        </w:p>
        <w:p>
          <w:pPr>
            <w:pStyle w:val="Contents5"/>
            <w:tabs>
              <w:tab w:val="clear" w:pos="7892"/>
              <w:tab w:val="right" w:pos="9026" w:leader="dot"/>
            </w:tabs>
            <w:rPr/>
          </w:pPr>
          <w:hyperlink w:anchor="__RefHeading___Toc2933910_2870459653">
            <w:r>
              <w:rPr>
                <w:webHidden/>
                <w:rStyle w:val="IndexLink"/>
                <w:rtl w:val="true"/>
              </w:rPr>
              <w:t>طبعاته</w:t>
            </w:r>
            <w:r>
              <w:rPr>
                <w:rStyle w:val="IndexLink"/>
                <w:rtl w:val="true"/>
              </w:rPr>
              <w:tab/>
            </w:r>
            <w:r>
              <w:rPr>
                <w:rStyle w:val="IndexLink"/>
              </w:rPr>
              <w:t>494</w:t>
            </w:r>
          </w:hyperlink>
        </w:p>
        <w:p>
          <w:pPr>
            <w:pStyle w:val="Contents4"/>
            <w:tabs>
              <w:tab w:val="clear" w:pos="8176"/>
              <w:tab w:val="right" w:pos="9026" w:leader="dot"/>
            </w:tabs>
            <w:rPr/>
          </w:pPr>
          <w:hyperlink w:anchor="__RefHeading___Toc2933912_2870459653">
            <w:r>
              <w:rPr>
                <w:webHidden/>
                <w:rStyle w:val="IndexLink"/>
                <w:rtl w:val="true"/>
              </w:rPr>
              <w:t>الفقرة الثّالثة</w:t>
            </w:r>
            <w:r>
              <w:rPr>
                <w:rStyle w:val="IndexLink"/>
                <w:rtl w:val="true"/>
              </w:rPr>
              <w:t xml:space="preserve">: </w:t>
            </w:r>
            <w:r>
              <w:rPr>
                <w:rStyle w:val="IndexLink"/>
                <w:rtl w:val="true"/>
              </w:rPr>
              <w:t xml:space="preserve">شرح </w:t>
            </w:r>
            <w:r>
              <w:rPr>
                <w:rStyle w:val="IndexLink"/>
                <w:rtl w:val="true"/>
              </w:rPr>
              <w:t>(</w:t>
            </w:r>
            <w:r>
              <w:rPr>
                <w:rStyle w:val="IndexLink"/>
                <w:rtl w:val="true"/>
              </w:rPr>
              <w:t>المراسم العلويَّة في الأحكام النّبويّة</w:t>
            </w:r>
            <w:r>
              <w:rPr>
                <w:rStyle w:val="IndexLink"/>
                <w:rtl w:val="true"/>
              </w:rPr>
              <w:t>)</w:t>
              <w:tab/>
            </w:r>
            <w:r>
              <w:rPr>
                <w:rStyle w:val="IndexLink"/>
              </w:rPr>
              <w:t>496</w:t>
            </w:r>
          </w:hyperlink>
        </w:p>
        <w:p>
          <w:pPr>
            <w:pStyle w:val="Contents5"/>
            <w:tabs>
              <w:tab w:val="clear" w:pos="7892"/>
              <w:tab w:val="right" w:pos="9026" w:leader="dot"/>
            </w:tabs>
            <w:rPr/>
          </w:pPr>
          <w:hyperlink w:anchor="__RefHeading___Toc2933914_2870459653">
            <w:r>
              <w:rPr>
                <w:webHidden/>
                <w:rStyle w:val="IndexLink"/>
                <w:rtl w:val="true"/>
              </w:rPr>
              <w:t>التّعريف به وبالنّسخة المخطوطة المعتمدة في التّحقيق</w:t>
            </w:r>
            <w:r>
              <w:rPr>
                <w:rStyle w:val="IndexLink"/>
                <w:rtl w:val="true"/>
              </w:rPr>
              <w:tab/>
            </w:r>
            <w:r>
              <w:rPr>
                <w:rStyle w:val="IndexLink"/>
              </w:rPr>
              <w:t>496</w:t>
            </w:r>
          </w:hyperlink>
        </w:p>
        <w:p>
          <w:pPr>
            <w:pStyle w:val="Contents5"/>
            <w:tabs>
              <w:tab w:val="clear" w:pos="7892"/>
              <w:tab w:val="right" w:pos="9026" w:leader="dot"/>
            </w:tabs>
            <w:rPr/>
          </w:pPr>
          <w:hyperlink w:anchor="__RefHeading___Toc2933916_2870459653">
            <w:r>
              <w:rPr>
                <w:webHidden/>
                <w:rStyle w:val="IndexLink"/>
                <w:rtl w:val="true"/>
              </w:rPr>
              <w:t>الشارح</w:t>
            </w:r>
            <w:r>
              <w:rPr>
                <w:rStyle w:val="IndexLink"/>
                <w:rtl w:val="true"/>
              </w:rPr>
              <w:tab/>
            </w:r>
            <w:r>
              <w:rPr>
                <w:rStyle w:val="IndexLink"/>
              </w:rPr>
              <w:t>499</w:t>
            </w:r>
          </w:hyperlink>
        </w:p>
        <w:p>
          <w:pPr>
            <w:pStyle w:val="Contents5"/>
            <w:tabs>
              <w:tab w:val="clear" w:pos="7892"/>
              <w:tab w:val="right" w:pos="9026" w:leader="dot"/>
            </w:tabs>
            <w:rPr/>
          </w:pPr>
          <w:hyperlink w:anchor="__RefHeading___Toc2933918_2870459653">
            <w:r>
              <w:rPr>
                <w:webHidden/>
                <w:rStyle w:val="IndexLink"/>
                <w:rtl w:val="true"/>
              </w:rPr>
              <w:t>مميزات هذا الشّرح</w:t>
            </w:r>
            <w:r>
              <w:rPr>
                <w:rStyle w:val="IndexLink"/>
                <w:rtl w:val="true"/>
              </w:rPr>
              <w:tab/>
            </w:r>
            <w:r>
              <w:rPr>
                <w:rStyle w:val="IndexLink"/>
              </w:rPr>
              <w:t>499</w:t>
            </w:r>
          </w:hyperlink>
        </w:p>
        <w:p>
          <w:pPr>
            <w:pStyle w:val="Contents5"/>
            <w:tabs>
              <w:tab w:val="clear" w:pos="7892"/>
              <w:tab w:val="right" w:pos="9026" w:leader="dot"/>
            </w:tabs>
            <w:rPr/>
          </w:pPr>
          <w:hyperlink w:anchor="__RefHeading___Toc2933920_2870459653">
            <w:r>
              <w:rPr>
                <w:webHidden/>
                <w:rStyle w:val="IndexLink"/>
                <w:rtl w:val="true"/>
              </w:rPr>
              <w:t>منهجنا في التّحقيق</w:t>
            </w:r>
            <w:r>
              <w:rPr>
                <w:rStyle w:val="IndexLink"/>
                <w:rtl w:val="true"/>
              </w:rPr>
              <w:tab/>
            </w:r>
            <w:r>
              <w:rPr>
                <w:rStyle w:val="IndexLink"/>
              </w:rPr>
              <w:t>500</w:t>
            </w:r>
          </w:hyperlink>
        </w:p>
        <w:p>
          <w:pPr>
            <w:pStyle w:val="Contents5"/>
            <w:tabs>
              <w:tab w:val="clear" w:pos="7892"/>
              <w:tab w:val="right" w:pos="9026" w:leader="dot"/>
            </w:tabs>
            <w:rPr/>
          </w:pPr>
          <w:hyperlink w:anchor="__RefHeading___Toc2933922_2870459653">
            <w:r>
              <w:rPr>
                <w:webHidden/>
                <w:rStyle w:val="IndexLink"/>
                <w:rtl w:val="true"/>
              </w:rPr>
              <w:t>شكر وثناء</w:t>
            </w:r>
            <w:r>
              <w:rPr>
                <w:rStyle w:val="IndexLink"/>
                <w:rtl w:val="true"/>
              </w:rPr>
              <w:tab/>
            </w:r>
            <w:r>
              <w:rPr>
                <w:rStyle w:val="IndexLink"/>
              </w:rPr>
              <w:t>502</w:t>
            </w:r>
          </w:hyperlink>
        </w:p>
        <w:p>
          <w:pPr>
            <w:pStyle w:val="Contents3"/>
            <w:tabs>
              <w:tab w:val="clear" w:pos="8459"/>
              <w:tab w:val="right" w:pos="9026" w:leader="dot"/>
            </w:tabs>
            <w:rPr/>
          </w:pPr>
          <w:hyperlink w:anchor="__RefHeading___Toc2933924_2870459653">
            <w:r>
              <w:rPr>
                <w:webHidden/>
                <w:rStyle w:val="IndexLink"/>
                <w:rtl w:val="true"/>
              </w:rPr>
              <w:t>متن الرسالة</w:t>
            </w:r>
            <w:r>
              <w:rPr>
                <w:rStyle w:val="IndexLink"/>
                <w:rtl w:val="true"/>
              </w:rPr>
              <w:tab/>
            </w:r>
            <w:r>
              <w:rPr>
                <w:rStyle w:val="IndexLink"/>
              </w:rPr>
              <w:t>505</w:t>
            </w:r>
          </w:hyperlink>
        </w:p>
        <w:p>
          <w:pPr>
            <w:pStyle w:val="Contents4"/>
            <w:tabs>
              <w:tab w:val="clear" w:pos="8176"/>
              <w:tab w:val="right" w:pos="9026" w:leader="dot"/>
            </w:tabs>
            <w:rPr/>
          </w:pPr>
          <w:hyperlink w:anchor="__RefHeading___Toc2933926_2870459653">
            <w:r>
              <w:rPr>
                <w:webHidden/>
                <w:rStyle w:val="IndexLink"/>
                <w:rtl w:val="true"/>
              </w:rPr>
              <w:t>اشارة</w:t>
            </w:r>
            <w:r>
              <w:rPr>
                <w:rStyle w:val="IndexLink"/>
                <w:rtl w:val="true"/>
              </w:rPr>
              <w:tab/>
            </w:r>
            <w:r>
              <w:rPr>
                <w:rStyle w:val="IndexLink"/>
              </w:rPr>
              <w:t>505</w:t>
            </w:r>
          </w:hyperlink>
        </w:p>
        <w:p>
          <w:pPr>
            <w:pStyle w:val="Contents4"/>
            <w:tabs>
              <w:tab w:val="clear" w:pos="8176"/>
              <w:tab w:val="right" w:pos="9026" w:leader="dot"/>
            </w:tabs>
            <w:rPr/>
          </w:pPr>
          <w:hyperlink w:anchor="__RefHeading___Toc2933928_2870459653">
            <w:r>
              <w:rPr>
                <w:webHidden/>
                <w:rStyle w:val="IndexLink"/>
                <w:rtl w:val="true"/>
              </w:rPr>
              <w:t>كتاب الزّكاة</w:t>
            </w:r>
            <w:r>
              <w:rPr>
                <w:rStyle w:val="IndexLink"/>
                <w:rtl w:val="true"/>
              </w:rPr>
              <w:tab/>
            </w:r>
            <w:r>
              <w:rPr>
                <w:rStyle w:val="IndexLink"/>
              </w:rPr>
              <w:t>510</w:t>
            </w:r>
          </w:hyperlink>
        </w:p>
        <w:p>
          <w:pPr>
            <w:pStyle w:val="Contents4"/>
            <w:tabs>
              <w:tab w:val="clear" w:pos="8176"/>
              <w:tab w:val="right" w:pos="9026" w:leader="dot"/>
            </w:tabs>
            <w:rPr/>
          </w:pPr>
          <w:hyperlink w:anchor="__RefHeading___Toc2933930_2870459653">
            <w:r>
              <w:rPr>
                <w:webHidden/>
                <w:rStyle w:val="IndexLink"/>
                <w:rtl w:val="true"/>
              </w:rPr>
              <w:t>كتاب الخمس</w:t>
            </w:r>
            <w:r>
              <w:rPr>
                <w:rStyle w:val="IndexLink"/>
                <w:rtl w:val="true"/>
              </w:rPr>
              <w:tab/>
            </w:r>
            <w:r>
              <w:rPr>
                <w:rStyle w:val="IndexLink"/>
              </w:rPr>
              <w:t>515</w:t>
            </w:r>
          </w:hyperlink>
        </w:p>
        <w:p>
          <w:pPr>
            <w:pStyle w:val="Contents4"/>
            <w:tabs>
              <w:tab w:val="clear" w:pos="8176"/>
              <w:tab w:val="right" w:pos="9026" w:leader="dot"/>
            </w:tabs>
            <w:rPr/>
          </w:pPr>
          <w:hyperlink w:anchor="__RefHeading___Toc2933932_2870459653">
            <w:r>
              <w:rPr>
                <w:webHidden/>
                <w:rStyle w:val="IndexLink"/>
                <w:rtl w:val="true"/>
              </w:rPr>
              <w:t>كتاب النّكاح</w:t>
            </w:r>
            <w:r>
              <w:rPr>
                <w:rStyle w:val="IndexLink"/>
                <w:rtl w:val="true"/>
              </w:rPr>
              <w:tab/>
            </w:r>
            <w:r>
              <w:rPr>
                <w:rStyle w:val="IndexLink"/>
              </w:rPr>
              <w:t>517</w:t>
            </w:r>
          </w:hyperlink>
        </w:p>
        <w:p>
          <w:pPr>
            <w:pStyle w:val="Contents4"/>
            <w:tabs>
              <w:tab w:val="clear" w:pos="8176"/>
              <w:tab w:val="right" w:pos="9026" w:leader="dot"/>
            </w:tabs>
            <w:rPr/>
          </w:pPr>
          <w:hyperlink w:anchor="__RefHeading___Toc2933934_2870459653">
            <w:r>
              <w:rPr>
                <w:webHidden/>
                <w:rStyle w:val="IndexLink"/>
                <w:rtl w:val="true"/>
              </w:rPr>
              <w:t>كتاب الفراق</w:t>
            </w:r>
            <w:r>
              <w:rPr>
                <w:rStyle w:val="IndexLink"/>
                <w:rtl w:val="true"/>
              </w:rPr>
              <w:tab/>
            </w:r>
            <w:r>
              <w:rPr>
                <w:rStyle w:val="IndexLink"/>
              </w:rPr>
              <w:t>527</w:t>
            </w:r>
          </w:hyperlink>
        </w:p>
        <w:p>
          <w:pPr>
            <w:pStyle w:val="Contents4"/>
            <w:tabs>
              <w:tab w:val="clear" w:pos="8176"/>
              <w:tab w:val="right" w:pos="9026" w:leader="dot"/>
            </w:tabs>
            <w:rPr/>
          </w:pPr>
          <w:hyperlink w:anchor="__RefHeading___Toc2933936_2870459653">
            <w:r>
              <w:rPr>
                <w:webHidden/>
                <w:rStyle w:val="IndexLink"/>
                <w:rtl w:val="true"/>
              </w:rPr>
              <w:t>كتاب المكاسب</w:t>
            </w:r>
            <w:r>
              <w:rPr>
                <w:rStyle w:val="IndexLink"/>
                <w:rtl w:val="true"/>
              </w:rPr>
              <w:tab/>
            </w:r>
            <w:r>
              <w:rPr>
                <w:rStyle w:val="IndexLink"/>
              </w:rPr>
              <w:t>536</w:t>
            </w:r>
          </w:hyperlink>
        </w:p>
        <w:p>
          <w:pPr>
            <w:pStyle w:val="Contents4"/>
            <w:tabs>
              <w:tab w:val="clear" w:pos="8176"/>
              <w:tab w:val="right" w:pos="9026" w:leader="dot"/>
            </w:tabs>
            <w:rPr/>
          </w:pPr>
          <w:hyperlink w:anchor="__RefHeading___Toc2933938_2870459653">
            <w:r>
              <w:rPr>
                <w:webHidden/>
                <w:rStyle w:val="IndexLink"/>
                <w:rtl w:val="true"/>
              </w:rPr>
              <w:t>كتاب الأيمان والنّذور والعهود والكفارات</w:t>
            </w:r>
            <w:r>
              <w:rPr>
                <w:rStyle w:val="IndexLink"/>
                <w:rtl w:val="true"/>
              </w:rPr>
              <w:tab/>
            </w:r>
            <w:r>
              <w:rPr>
                <w:rStyle w:val="IndexLink"/>
              </w:rPr>
              <w:t>547</w:t>
            </w:r>
          </w:hyperlink>
        </w:p>
        <w:p>
          <w:pPr>
            <w:pStyle w:val="Contents4"/>
            <w:tabs>
              <w:tab w:val="clear" w:pos="8176"/>
              <w:tab w:val="right" w:pos="9026" w:leader="dot"/>
            </w:tabs>
            <w:rPr/>
          </w:pPr>
          <w:hyperlink w:anchor="__RefHeading___Toc2933940_2870459653">
            <w:r>
              <w:rPr>
                <w:webHidden/>
                <w:rStyle w:val="IndexLink"/>
                <w:rtl w:val="true"/>
              </w:rPr>
              <w:t>كتاب العتق والتدبير والمكاتبة</w:t>
            </w:r>
            <w:r>
              <w:rPr>
                <w:rStyle w:val="IndexLink"/>
                <w:rtl w:val="true"/>
              </w:rPr>
              <w:tab/>
            </w:r>
            <w:r>
              <w:rPr>
                <w:rStyle w:val="IndexLink"/>
              </w:rPr>
              <w:t>552</w:t>
            </w:r>
          </w:hyperlink>
        </w:p>
        <w:p>
          <w:pPr>
            <w:pStyle w:val="Contents4"/>
            <w:tabs>
              <w:tab w:val="clear" w:pos="8176"/>
              <w:tab w:val="right" w:pos="9026" w:leader="dot"/>
            </w:tabs>
            <w:rPr/>
          </w:pPr>
          <w:hyperlink w:anchor="__RefHeading___Toc2933942_2870459653">
            <w:r>
              <w:rPr>
                <w:webHidden/>
                <w:rStyle w:val="IndexLink"/>
                <w:rtl w:val="true"/>
              </w:rPr>
              <w:t>كتاب الرّهن والإجارة والوصية والصّيد ونحوها</w:t>
            </w:r>
            <w:r>
              <w:rPr>
                <w:rStyle w:val="IndexLink"/>
                <w:rtl w:val="true"/>
              </w:rPr>
              <w:tab/>
            </w:r>
            <w:r>
              <w:rPr>
                <w:rStyle w:val="IndexLink"/>
              </w:rPr>
              <w:t>554</w:t>
            </w:r>
          </w:hyperlink>
        </w:p>
        <w:p>
          <w:pPr>
            <w:pStyle w:val="Contents4"/>
            <w:tabs>
              <w:tab w:val="clear" w:pos="8176"/>
              <w:tab w:val="right" w:pos="9026" w:leader="dot"/>
            </w:tabs>
            <w:rPr/>
          </w:pPr>
          <w:hyperlink w:anchor="__RefHeading___Toc2933944_2870459653">
            <w:r>
              <w:rPr>
                <w:webHidden/>
                <w:rStyle w:val="IndexLink"/>
                <w:rtl w:val="true"/>
              </w:rPr>
              <w:t>كتاب المواريث</w:t>
            </w:r>
            <w:r>
              <w:rPr>
                <w:rStyle w:val="IndexLink"/>
                <w:rtl w:val="true"/>
              </w:rPr>
              <w:tab/>
            </w:r>
            <w:r>
              <w:rPr>
                <w:rStyle w:val="IndexLink"/>
              </w:rPr>
              <w:t>570</w:t>
            </w:r>
          </w:hyperlink>
        </w:p>
        <w:p>
          <w:pPr>
            <w:pStyle w:val="Contents4"/>
            <w:tabs>
              <w:tab w:val="clear" w:pos="8176"/>
              <w:tab w:val="right" w:pos="9026" w:leader="dot"/>
            </w:tabs>
            <w:rPr/>
          </w:pPr>
          <w:hyperlink w:anchor="__RefHeading___Toc2933946_2870459653">
            <w:r>
              <w:rPr>
                <w:webHidden/>
                <w:rStyle w:val="IndexLink"/>
                <w:rtl w:val="true"/>
              </w:rPr>
              <w:t>كتاب أحكام القضاء</w:t>
            </w:r>
            <w:r>
              <w:rPr>
                <w:rStyle w:val="IndexLink"/>
                <w:rtl w:val="true"/>
              </w:rPr>
              <w:tab/>
            </w:r>
            <w:r>
              <w:rPr>
                <w:rStyle w:val="IndexLink"/>
              </w:rPr>
              <w:t>577</w:t>
            </w:r>
          </w:hyperlink>
        </w:p>
        <w:p>
          <w:pPr>
            <w:pStyle w:val="Contents4"/>
            <w:tabs>
              <w:tab w:val="clear" w:pos="8176"/>
              <w:tab w:val="right" w:pos="9026" w:leader="dot"/>
            </w:tabs>
            <w:rPr/>
          </w:pPr>
          <w:hyperlink w:anchor="__RefHeading___Toc2933948_2870459653">
            <w:r>
              <w:rPr>
                <w:webHidden/>
                <w:rStyle w:val="IndexLink"/>
                <w:rtl w:val="true"/>
              </w:rPr>
              <w:t>باب الجنايات</w:t>
            </w:r>
            <w:r>
              <w:rPr>
                <w:rStyle w:val="IndexLink"/>
                <w:rtl w:val="true"/>
              </w:rPr>
              <w:tab/>
            </w:r>
            <w:r>
              <w:rPr>
                <w:rStyle w:val="IndexLink"/>
              </w:rPr>
              <w:t>580</w:t>
            </w:r>
          </w:hyperlink>
        </w:p>
        <w:p>
          <w:pPr>
            <w:pStyle w:val="Contents4"/>
            <w:tabs>
              <w:tab w:val="clear" w:pos="8176"/>
              <w:tab w:val="right" w:pos="9026" w:leader="dot"/>
            </w:tabs>
            <w:rPr/>
          </w:pPr>
          <w:hyperlink w:anchor="__RefHeading___Toc2933950_2870459653">
            <w:r>
              <w:rPr>
                <w:webHidden/>
                <w:rStyle w:val="IndexLink"/>
                <w:rtl w:val="true"/>
              </w:rPr>
              <w:t>باب الحدود</w:t>
            </w:r>
            <w:r>
              <w:rPr>
                <w:rStyle w:val="IndexLink"/>
                <w:rtl w:val="true"/>
              </w:rPr>
              <w:tab/>
            </w:r>
            <w:r>
              <w:rPr>
                <w:rStyle w:val="IndexLink"/>
              </w:rPr>
              <w:t>587</w:t>
            </w:r>
          </w:hyperlink>
        </w:p>
        <w:p>
          <w:pPr>
            <w:pStyle w:val="Contents4"/>
            <w:tabs>
              <w:tab w:val="clear" w:pos="8176"/>
              <w:tab w:val="right" w:pos="9026" w:leader="dot"/>
            </w:tabs>
            <w:rPr/>
          </w:pPr>
          <w:hyperlink w:anchor="__RefHeading___Toc2933952_2870459653">
            <w:r>
              <w:rPr>
                <w:webHidden/>
                <w:rStyle w:val="IndexLink"/>
                <w:rtl w:val="true"/>
              </w:rPr>
              <w:t>باب الأمر بالمعروف والنّهي عن المنكر</w:t>
            </w:r>
            <w:r>
              <w:rPr>
                <w:rStyle w:val="IndexLink"/>
                <w:rtl w:val="true"/>
              </w:rPr>
              <w:tab/>
            </w:r>
            <w:r>
              <w:rPr>
                <w:rStyle w:val="IndexLink"/>
              </w:rPr>
              <w:t>593</w:t>
            </w:r>
          </w:hyperlink>
        </w:p>
        <w:p>
          <w:pPr>
            <w:pStyle w:val="Contents3"/>
            <w:tabs>
              <w:tab w:val="clear" w:pos="8459"/>
              <w:tab w:val="right" w:pos="9026" w:leader="dot"/>
            </w:tabs>
            <w:rPr/>
          </w:pPr>
          <w:hyperlink w:anchor="__RefHeading___Toc2933954_2870459653">
            <w:r>
              <w:rPr>
                <w:webHidden/>
                <w:rStyle w:val="IndexLink"/>
                <w:rtl w:val="true"/>
              </w:rPr>
              <w:t>مصادر المقدّمة والتّحقيق</w:t>
            </w:r>
            <w:r>
              <w:rPr>
                <w:rStyle w:val="IndexLink"/>
                <w:rtl w:val="true"/>
              </w:rPr>
              <w:tab/>
            </w:r>
            <w:r>
              <w:rPr>
                <w:rStyle w:val="IndexLink"/>
              </w:rPr>
              <w:t>597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24_98447"/>
      <w:bookmarkStart w:id="1" w:name="pg9124_98447"/>
      <w:bookmarkEnd w:id="1"/>
    </w:p>
    <w:p>
      <w:pPr>
        <w:pStyle w:val="Heading2"/>
        <w:numPr>
          <w:ilvl w:val="1"/>
          <w:numId w:val="1"/>
        </w:numPr>
        <w:rPr/>
      </w:pPr>
      <w:bookmarkStart w:id="2" w:name="pg9124_98447"/>
      <w:bookmarkStart w:id="3" w:name="__RefHeading___Toc2933058_2870459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دراسات علمیة</w:t>
      </w:r>
    </w:p>
    <w:p>
      <w:pPr>
        <w:pStyle w:val="BookText"/>
        <w:rPr/>
      </w:pPr>
      <w:r>
        <w:rPr>
          <w:rFonts w:ascii="Amiri" w:hAnsi="Amiri" w:eastAsia="Amiri" w:cs="Amiri"/>
          <w:color w:val="111111"/>
          <w:sz w:val="28"/>
          <w:sz w:val="28"/>
          <w:szCs w:val="28"/>
          <w:rtl w:val="true"/>
          <w:lang w:bidi="ar-SA"/>
        </w:rPr>
        <w:t>مجلَّة نصف سنويَّة تعنى بالأبحاث التَّخصّصيَّة في الحوزة العلميَّة</w:t>
      </w:r>
    </w:p>
    <w:p>
      <w:pPr>
        <w:pStyle w:val="BookText"/>
        <w:rPr/>
      </w:pPr>
      <w:r>
        <w:rPr>
          <w:rFonts w:ascii="Amiri" w:hAnsi="Amiri" w:eastAsia="Amiri" w:cs="Amiri"/>
          <w:color w:val="111111"/>
          <w:sz w:val="28"/>
          <w:sz w:val="28"/>
          <w:szCs w:val="28"/>
          <w:rtl w:val="true"/>
          <w:lang w:bidi="ar-SA"/>
        </w:rPr>
        <w:t xml:space="preserve">تصدر عن المدرسة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p>
    <w:p>
      <w:pPr>
        <w:pStyle w:val="BookText"/>
        <w:rPr/>
      </w:pPr>
      <w:r>
        <w:rPr>
          <w:rFonts w:ascii="IRNazanin" w:hAnsi="IRNazanin" w:eastAsia="IRNazanin"/>
          <w:color w:val="111111"/>
          <w:sz w:val="28"/>
          <w:sz w:val="28"/>
          <w:szCs w:val="28"/>
          <w:rtl w:val="true"/>
          <w:lang w:bidi="fa-IR"/>
        </w:rPr>
        <w:t>العددان التَّاسع والعاشر</w:t>
      </w:r>
    </w:p>
    <w:p>
      <w:pPr>
        <w:pStyle w:val="BookText"/>
        <w:rPr/>
      </w:pP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33060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الايداع في دار الكتب والوثائق ببغداد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الْمُؤْمِنُونَ لِيَنْفِرُوا كَافَّةً فَلَوْلَا نَفَرَ مِنْ كُلِّ فِرْقَةٍ مِنْهُمْ طَائِفَةٌ لِيَتَفَقَّهُوا فِي الدِّينِ وَلِيُنْذِرُوا قَوْمَهُمْ إِذَا رَجَعُوا إِلَيْهِمْ لَعَلَّهُمْ يَحْذَرُونَ التوبة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7" w:name="pg9124_98450"/>
    </w:p>
    <w:p>
      <w:pPr>
        <w:pStyle w:val="Heading2"/>
        <w:numPr>
          <w:ilvl w:val="1"/>
          <w:numId w:val="1"/>
        </w:numPr>
        <w:rPr/>
      </w:pPr>
      <w:bookmarkStart w:id="8" w:name="__RefHeading___Toc2933062_2870459653"/>
      <w:bookmarkStart w:id="9" w:name="_Toc3"/>
      <w:bookmarkEnd w:id="7"/>
      <w:bookmarkEnd w:id="8"/>
      <w:r>
        <w:rPr>
          <w:rtl w:val="true"/>
        </w:rPr>
        <w:t>الأسس المعتمدة للنشر</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ترحّب المجلَّة بإسهامات الباحثين الأفاضل في مختلف المجالات التي تهم طالب الأبحاث العليا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 والأُصول والرجال والحديث ونحوها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يُشترط في المادّة المُراد نشرها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مستوفية لأُصول البحث العلمي على مختلف المستويات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المنهجيّة والتوثيق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الأبحاث مكتوبة بخطّ واضح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توضع الهوامش في أسفل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يتراوح حجم البحث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القطع الوزيري بخطٍ متوسط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يزيد على ذلك يمكن جعله في حلقتين أو أكثر حسب نظر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شريطة استلام البحث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البحث قد نُشر أو أُرسل للنشر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يُذيَّلَ البحث بذكر المصادر التي اعتمدها الباحث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يخضع البحث لمراجعة هيئة استشارية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يُعاد إلى صاحبه سواء أنُشر أم لم يُنشر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للمجلَّة حق إعادة نشر البحوث التي نشرتها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يخضع ترتيب البحوث المنشورة في المجلَّة لاعتبارات فنيّة لا علاقة لها بمكانة الكاتب أو أهميّة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يُنشر في المجلَّة لا يعدو كونه مطارحات علميّة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يُعبّر بالضرورة عن رأي المجلَّة</w:t>
      </w:r>
      <w:r>
        <w:rPr>
          <w:rFonts w:eastAsia="Amiri" w:cs="Amiri" w:ascii="Amiri" w:hAnsi="Amiri"/>
          <w:color w:val="111111"/>
          <w:sz w:val="28"/>
          <w:szCs w:val="28"/>
          <w:rtl w:val="true"/>
          <w:lang w:bidi="ar-SA"/>
        </w:rPr>
        <w:t xml:space="preserve">. </w:t>
      </w:r>
      <w:bookmarkStart w:id="10" w:name="pg9124_98451"/>
    </w:p>
    <w:p>
      <w:pPr>
        <w:pStyle w:val="Heading2"/>
        <w:numPr>
          <w:ilvl w:val="1"/>
          <w:numId w:val="1"/>
        </w:numPr>
        <w:rPr/>
      </w:pPr>
      <w:bookmarkStart w:id="11" w:name="__RefHeading___Toc2933064_2870459653"/>
      <w:bookmarkStart w:id="12" w:name="_Toc4"/>
      <w:bookmarkEnd w:id="10"/>
      <w:bookmarkEnd w:id="11"/>
      <w:r>
        <w:rPr>
          <w:rtl w:val="true"/>
        </w:rPr>
        <w:t>محتويات العدد</w:t>
      </w:r>
      <w:bookmarkEnd w:id="12"/>
    </w:p>
    <w:p>
      <w:pPr>
        <w:pStyle w:val="BookText"/>
        <w:rPr/>
      </w:pPr>
      <w:r>
        <w:rPr>
          <w:rFonts w:ascii="Amiri" w:hAnsi="Amiri" w:eastAsia="Amiri" w:cs="Amiri"/>
          <w:color w:val="111111"/>
          <w:sz w:val="28"/>
          <w:sz w:val="28"/>
          <w:szCs w:val="28"/>
          <w:rtl w:val="true"/>
          <w:lang w:bidi="ar-SA"/>
        </w:rPr>
        <w:t>الافتتاحية</w:t>
      </w:r>
    </w:p>
    <w:p>
      <w:pPr>
        <w:pStyle w:val="BookText"/>
        <w:rPr/>
      </w:pPr>
      <w:r>
        <w:rPr>
          <w:rFonts w:ascii="Amiri" w:hAnsi="Amiri" w:eastAsia="Amiri" w:cs="Amiri"/>
          <w:color w:val="111111"/>
          <w:sz w:val="28"/>
          <w:sz w:val="28"/>
          <w:szCs w:val="28"/>
          <w:rtl w:val="true"/>
          <w:lang w:bidi="ar-SA"/>
        </w:rPr>
        <w:t xml:space="preserve">إدارة المجلة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ظاهرة استعمال جموع تكسير ٍ مختلفة في القرآن الكريم لمفرد واحد</w:t>
      </w:r>
    </w:p>
    <w:p>
      <w:pPr>
        <w:pStyle w:val="BookText"/>
        <w:rPr/>
      </w:pPr>
      <w:r>
        <w:rPr>
          <w:rFonts w:ascii="Amiri" w:hAnsi="Amiri" w:eastAsia="Amiri" w:cs="Amiri"/>
          <w:color w:val="111111"/>
          <w:sz w:val="28"/>
          <w:sz w:val="28"/>
          <w:szCs w:val="28"/>
          <w:rtl w:val="true"/>
          <w:lang w:bidi="ar-SA"/>
        </w:rPr>
        <w:t xml:space="preserve">بعض أساتذة الحوزة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حجية قول غير الأعلم</w:t>
      </w:r>
    </w:p>
    <w:p>
      <w:pPr>
        <w:pStyle w:val="BookText"/>
        <w:rPr/>
      </w:pPr>
      <w:r>
        <w:rPr>
          <w:rFonts w:ascii="Amiri" w:hAnsi="Amiri" w:eastAsia="Amiri" w:cs="Amiri"/>
          <w:color w:val="111111"/>
          <w:sz w:val="28"/>
          <w:sz w:val="28"/>
          <w:szCs w:val="28"/>
          <w:rtl w:val="true"/>
          <w:lang w:bidi="ar-SA"/>
        </w:rPr>
        <w:t xml:space="preserve">الشيخ جعفر اليعسوبي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موارد الأحكام الموسعة</w:t>
      </w:r>
    </w:p>
    <w:p>
      <w:pPr>
        <w:pStyle w:val="BookText"/>
        <w:rPr/>
      </w:pPr>
      <w:r>
        <w:rPr>
          <w:rFonts w:ascii="Amiri" w:hAnsi="Amiri" w:eastAsia="Amiri" w:cs="Amiri"/>
          <w:color w:val="111111"/>
          <w:sz w:val="28"/>
          <w:sz w:val="28"/>
          <w:szCs w:val="28"/>
          <w:rtl w:val="true"/>
          <w:lang w:bidi="ar-SA"/>
        </w:rPr>
        <w:t xml:space="preserve">الشيخ أحمد العوادي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دعوى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عمير وصفوان والبزنطي لا يرسلون إلّا عن ثقة</w:t>
      </w:r>
    </w:p>
    <w:p>
      <w:pPr>
        <w:pStyle w:val="BookText"/>
        <w:rPr/>
      </w:pPr>
      <w:r>
        <w:rPr>
          <w:rFonts w:ascii="Amiri" w:hAnsi="Amiri" w:eastAsia="Amiri" w:cs="Amiri"/>
          <w:color w:val="111111"/>
          <w:sz w:val="28"/>
          <w:sz w:val="28"/>
          <w:szCs w:val="28"/>
          <w:rtl w:val="true"/>
          <w:lang w:bidi="ar-SA"/>
        </w:rPr>
        <w:t xml:space="preserve">الشيخ حميد رمح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تحقيق حال جابر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الشيخ محمد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شرح المراسم العلوية في الأحكام النبوية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جواد الموسوي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124_98453"/>
      <w:bookmarkStart w:id="14" w:name="pg9124_98453"/>
      <w:bookmarkEnd w:id="14"/>
    </w:p>
    <w:p>
      <w:pPr>
        <w:pStyle w:val="Heading2"/>
        <w:numPr>
          <w:ilvl w:val="1"/>
          <w:numId w:val="1"/>
        </w:numPr>
        <w:rPr/>
      </w:pPr>
      <w:bookmarkStart w:id="15" w:name="pg9124_98453"/>
      <w:bookmarkStart w:id="16" w:name="__RefHeading___Toc2933066_2870459653"/>
      <w:bookmarkStart w:id="17" w:name="_Toc5"/>
      <w:bookmarkEnd w:id="15"/>
      <w:bookmarkEnd w:id="16"/>
      <w:r>
        <w:rPr>
          <w:rtl w:val="true"/>
        </w:rPr>
        <w:t>الافتتاحية</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الّذي علّم بالقلم علّم الإنسان ما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مدينة العلم وعلى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علم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وأبنائه الغُرِّ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يمرُّ زمنٌ طويل حتى نجد أنفسنا مرّة أخرى أمام مهمّة تهيئة عدد جديد من المجلَّة، وكلّما مضينا قُدماً في الأعداد نشعر بأننا نمضي خطوة إلى الأمام في طريق دعم البحث المستقل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 على أسس علميَّة يصلح لأنْ يكون وجهاً مضيئاً ومعبِّراً عمّا يدور من بحوث في أروقة الحوزات العلميَّة عامّة وحوزة النَّجف الأشرف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الواقع الّذي عكسته مجلَّتنا يجعلنا أمام مسؤوليَّة تتعاظم مع توالي الأعداد ألا وهي المحافظة على مستوى البحوث المنشورة من ناحية طريقة العرض والمضمون بنحوٍ تكون مؤهَّلة لانتجاعها من قبل الباحثين والمهتمِّين بقراءة البحوث المتخصِّصة في فنون الفقه الإسلامي بفروعه الرَّئيسيَّة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وكثيرة هي الموضوعات الّتي يمكن أنْ يعالجها الباحثون والكتّاب، بأسلوب يستحقّ القراءة والنَّشر، ويمكن للمهتمِّ بهذا المجال من العلم إذا ما تصفَّح الأعداد الثَّمانية السَّابقة أنْ يلمح فيها عناوينَ تجعله يتوقَّف رغبة في قراءتها وإحساساً منه بالحاجة إلى زيادة المعرفة في موضوعات معيَّنة أو تعميقها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ويرتبط سبب إفراز الاهتمام بتلك الموضوعات غالباً بمناحٍ معيَّنة من الحياة الفكريَّة أو العمليَّة العامَّة تلامس مرتكزات المسلم وفهمه في تصوراته الدِّينيَّة والفكريَّة المنبثقة عنها، فتتناغم معها تارة، ويقتُم الموقف منها أُخرى، وتتقاطع ثالثة، أو هكذا تبدو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يصل الأمر إلى درجة التَّأثير في الموقف العملي أحياناً؛ إذ غير خفي استناد المسلم في آرائه ومواقفه العمليَّة في كثير من القضايا إلى تصوّراته واعتقاداته الدِّينيَّة والتَّشريعيَّة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كلِّه نستوحي عمق الحاجة إلى ملامسة روح العصر في حركتنا العلميَّة موضوعاً وعرضاً وبياناً وحجَّة، لكي لا تظهر الأُسس التَّشريعيَّة وكأنَّها أوامر ونواهٍ وتصوّرات خالية من الملاكات أو منفصلة وغائبة عن أفق مصالح التَّشريع بالنسبة لغير عصرها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تحقَّق من تلك الغاية فيما سلف من الأعداد المنشورة قليلٌ؛ إذ لا زالت الموضوعات التَّقليديَّة أو الطَّرح المتعارف يحتلّ الحيّز الأكبر من جهد الباحثين ومساحة النَّشر، ونحن وإنْ كنّا ننظر بأُفق الرّاحة نسبيّاً لتواصل عدد من الأفاضل بالكتابة والبحث في المجلّة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التَّصور الّذي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الهدف الأسمى لكلِّ سعي علمي هو أنْ يكون فاعلاً ومتفاعلاً في بيئته ومن خلال ثقافة عصره، يجدّد ما بَليَ، ويُعالج ما استجدّ من صوره المختلفة سواء كان شبهاتٍ تطرح استُغلت استغلاقاً في فهم صورة علميَّة قديمة لا يستعصي على المشتبه نقضها، أو عوامل أثّرت في تراكم الجهد المعرفي للبشر عموماً ينتفع منه الباحثون كمقدِّمة للحكم الشَّرعي أو جهة منقِّحة للموضوع أو جانب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أنْ نرى مزيداً من الجهود في هذا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سعداء بما يتحقّق من الأثر على صفحات المجلَّة، فهناك يراع يفتِّش ويكتب، وقرائح تتلقَّى وتنقد، وقديم طريف يُحفظ من إهمال الزّمان أو يستخرج من خزائن المخطوطات فيُحقَّق ويُقابَل ويخرج بهيّاً على صفحات المجلَّة البيضاء ويزداد به ثراء التّراث ومعين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هذا وذاك تنمو الحركة الثَّقافيَّة والعلميَّة وتزداد حصون الشَّريعة أو تتوثَّق، وتنفق سوق العلم وتتنوَّق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في النّظر إخراج العددين التّاسع والعاشر مزدوجين في إصدار واحد؛ نظراً لسعة بعض البحوث وطبيعة اتصال موضوعها المانع من إمكانية تقسيمها إلى حلقات تتباعد في الزمن الفاصل بين كلّ عددين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توافق العمل على هذا العدد مع انصراف ثُلَّة من أفاضل وطلبة الحوزة العلميّة المباركة إلى ساحات الجهاد لكسر شوكة الإرهاب بعد تمدّده بتنظيماته المسمَّاة زوراً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الأراضي العراقيَّة ليعيث في الأرض فساداً ويملأها قتلاً ورعباً، وكادوا يهدِّدون الأماكن المقدَّسة بالتَّعدي على ناموس قدسيَّتها وهتك حرمتها لولا رجال مؤمنون </w:t>
      </w:r>
    </w:p>
    <w:p>
      <w:pPr>
        <w:pStyle w:val="BookText"/>
        <w:rPr/>
      </w:pPr>
      <w:r>
        <w:rPr>
          <w:rFonts w:ascii="Amiri" w:hAnsi="Amiri" w:eastAsia="Amiri" w:cs="Amiri"/>
          <w:color w:val="111111"/>
          <w:sz w:val="28"/>
          <w:sz w:val="28"/>
          <w:szCs w:val="28"/>
          <w:rtl w:val="true"/>
          <w:lang w:bidi="ar-SA"/>
        </w:rPr>
        <w:t>هبّوا لدفع غائلة المعتدين وفلّ حدّهم، فحفَّ فيمن حفَّ بهم متطوِّعون من فضلاء الحوزة العلميَّة يقوّون عنصر الإيمان فيهم ويحملون السِّلاح معهم، وثوى منهم شهداء نالوا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والشّهادة في سبيل حفظ النَّاموس المقدَّس في الدِّين والأعراض والنُّفوس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الظَّرف الّذي تنقسم فيه الجهود ويتشوَّش فيه البال لم تنقطع المشاركة العلميَّة في البحث والكتابة طالما كان العلم وتداوله يمنعان من انتشار عدوى التَّطرُّف وروح الكراهية والجهل الّذي تبني عليه تلك التَّنظيمات الإرهابيَّة المدَّعية للدِّين آمالها ونفوذها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المجاهدين بالسِّلاح يحاصرونهم في الأرض والآفاق، فالعاملون بالعلم يضيِّقون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منافذهم المسمِّمة للعقول والنُّفوس، ويبطلون دعايتهم المضلِّلة المعتمدة على الدَّغل في الدِّين وتفرقة المسلمين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نقرأ في العددين التّاسع والعاشر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نقرأ فيهما موضوعاً جديداً يرتبط بتدعيم الجانب الإعجازي البلاغي في القرآن الكريم لم يسبق أنْ طُرق بهذا المستوى وكان للمجلَّة قصب السِّبق في نشره، وهو بلا شكّ يعزّز من مكانة القرآن الكريم في الحجَّة والتَّشريع طالما كان أحد المصدرين الأساسيين والثّقل الأكبر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الفقه تنشر المجلَّة بحثاً عن مدى حجِّيَّة قول غير الأعلم، وما يمكن أنْ يستدلّ به عليها والموقف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وبحثاً آخر حول موارد الموسَّعات في الأحكام ودور تلك السِّعة في مقام الامتثال، وأهميَّتها في علاج ما يبدو من التَّعارض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ويعثر القارئ الكريم أيضاً على بحثين في الرِّجال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الاعتماد على مراسيل المشايخ الثّلاثة المعروفين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وصفوان، والبزنطي على أساس التزامهم بعدم الإرسال إلا عن الثّقات</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حلقة أخرى هي الثَّالثة في مسلسل البحث عن الرّاوي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الرّاوي المهم الّذي له آثار في كلتا المدرستين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اختصاصه بالمعرفة بهم وترك مَنْ عداهم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والجمهور ورواتهم الّذين اهتموا به ونقلوا عنه قبل أنْ يتحوَّل إلى </w:t>
      </w:r>
    </w:p>
    <w:p>
      <w:pPr>
        <w:pStyle w:val="BookText"/>
        <w:rPr/>
      </w:pPr>
      <w:r>
        <w:rPr>
          <w:rFonts w:ascii="IRNazanin" w:hAnsi="IRNazanin" w:eastAsia="IRNazanin"/>
          <w:color w:val="111111"/>
          <w:sz w:val="28"/>
          <w:sz w:val="28"/>
          <w:szCs w:val="28"/>
          <w:rtl w:val="true"/>
          <w:lang w:bidi="fa-IR"/>
        </w:rPr>
        <w:t xml:space="preserve">الاختصاص بآثار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ويعتني الباحث الصَّبور المجدّ في مواكبة هذه الشَّخصية في خصوص هذه الحلقة بتتبّع الخطوط العامَّة لآثار جابر الجعفي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غير الفقه من علوم التَّفسير والقرآن والعقائد والفضائل والأخلاق والتَّاريخ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وسيطالع القارئ الكريم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عوَّدته المجلَّة في صفحاتها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 لمخطوطةٍ منتقاة بعناية 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ويتوقَّع القائم على تحقيقها أنَّها أقدم شرح لكتاب المراسم للفقيه الشَّيخ حمزة بن عبد العزيز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الشّرح وإن لم يُعرَف مؤلِّفه على وجه التَّحديد بسبب ما أخنى عليه الزَّمان من آثار صروف الحدثان والنّقصان بفقد الأوراق الأولى منه، إلّا أنَّ بعض القرائن الدّاخليّة والخارجيّة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سيوافيك في مقدّمتها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أنَّ عصر الشَّارح قريب من عصر الماتن، بل يترقّى بالظَّنّ في زمن شخص الشَّارح حتّى يحصره بين تلامذة المحقّق ابن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ويأمل المحقّق من هذا الشّرح النّفيس أنْ يكون معيناً في تصحيح بعض العبائر في نسخة المتن المتداولة المطبوعة، كما يمكن الاعتناء به كمصدر لبعض الرِّوايات الّتي جاءت في الموسوعات الفقهيَّة مجهولة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نتقدَّم بالشُّكر الخالص إلى اللَّجنة العلميَّة المشرفة على استيفاء البحوث للسلامة العلميَّة الأساسيَّة لسعيها الجاد وتعاونها مع الباحثين، كما نشكر كلّ من وضع يداً في هذا العمل ليخرج أقرب ما ساعدت عليه الظُّروف إلى الضَّبط والإتقان، وأبعد ما تعاونت عليه الأيدي عن النَّقص في التَّرتيب والتَّنظيم، وعن التَّقصير في مراعاة قواعد النَّشر، فإذا وُجِدَ فيه عيب بعد ذلك فالمرجو حسن الظَّنّ والتَّنبيه لتداركه، وما توفيقنا إلّا بالله سبحانه وتعالى عليه توكَّلنا وإليه ننيب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إدارة المجلّة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ﻫ </w:t>
      </w:r>
      <w:bookmarkStart w:id="18" w:name="pg9124_98457"/>
    </w:p>
    <w:p>
      <w:pPr>
        <w:pStyle w:val="Heading2"/>
        <w:numPr>
          <w:ilvl w:val="1"/>
          <w:numId w:val="1"/>
        </w:numPr>
        <w:rPr/>
      </w:pPr>
      <w:bookmarkStart w:id="19" w:name="__RefHeading___Toc2933068_2870459653"/>
      <w:bookmarkStart w:id="20" w:name="_Toc6"/>
      <w:bookmarkEnd w:id="18"/>
      <w:bookmarkEnd w:id="19"/>
      <w:r>
        <w:rPr>
          <w:rtl w:val="true"/>
        </w:rPr>
        <w:t xml:space="preserve">ظاهرة استعمال جموع تكسير مختلفة في القرآن الكريم لمفرد واحد </w:t>
      </w:r>
      <w:r>
        <w:rPr>
          <w:rtl w:val="true"/>
        </w:rPr>
        <w:t xml:space="preserve">- </w:t>
      </w:r>
      <w:r>
        <w:rPr>
          <w:rtl w:val="true"/>
        </w:rPr>
        <w:t xml:space="preserve">بعضُ أساتذة الحوزة العلمية </w:t>
      </w:r>
      <w:r>
        <w:rPr>
          <w:rtl w:val="true"/>
        </w:rPr>
        <w:t>(</w:t>
      </w:r>
      <w:r>
        <w:rPr>
          <w:rtl w:val="true"/>
        </w:rPr>
        <w:t>دامت افاداته</w:t>
      </w:r>
      <w:r>
        <w:rPr>
          <w:rtl w:val="true"/>
        </w:rPr>
        <w:t>)</w:t>
      </w:r>
      <w:bookmarkEnd w:id="20"/>
    </w:p>
    <w:p>
      <w:pPr>
        <w:pStyle w:val="Heading3"/>
        <w:numPr>
          <w:ilvl w:val="2"/>
          <w:numId w:val="1"/>
        </w:numPr>
        <w:rPr/>
      </w:pPr>
      <w:bookmarkStart w:id="21" w:name="__RefHeading___Toc2933070_2870459653"/>
      <w:bookmarkStart w:id="22" w:name="_Toc7"/>
      <w:bookmarkEnd w:id="21"/>
      <w:r>
        <w:rPr>
          <w:rtl w:val="true"/>
        </w:rPr>
        <w:t>اشارة</w:t>
      </w:r>
      <w:bookmarkEnd w:id="2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قرآنيٌّ 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بظاهرة الانتقاء القرآنيّ لبعض الألفاظ وترجيحه على بدائله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أحد عوامل بلاغة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يتناول حالة استعمال جموع تكسير مختلفة في القرآن الكريم لمفرد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ويتناول البحث عن أسبابه اللّغويَّة والبلاغيَّة بمختلف أنواعها من التّكافؤ أو الامتيازات الدّلاليَّة والصّوتيَّة</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أفضل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فهذه رسالة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استعمال جموع تكسيرٍ مختلفة في القرآن الكريم لمفردٍ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ألّفتُها جواباً عمّا وقع من السّؤال عن ذلك</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الخوض في البحث أُوصي نفسي وسائر النّاظرين والباحثين في المواضيع العلميّة بتقوى الله تعالى فإنّ العلم من أهمّ مواطن التّقوى، والتّقوى هي غاية الإنسان المثلى في الحياة الّتي أناط الله بها كرامته، فمَن اتّقى الله بارك في عمله ويسّر له أمره وهَداه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وتتأكّد الحاجة إلى التّقوى فيما يتعلّق بالقرآن الكريم وتحليل رموزه وأسراره، إذ لا يأمن الباحث فيها مِنْ أنْ يكون ما ينسبه إلى الله تعالى كذباً وافتراءً عليه إذا سارع إلى الحكم ولم يتحرّز عن مطاوعة هواه وظنونه واستحساناته،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ويقع الكلام في فصول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الإشارة إلى إعجاز القرآن والظواهر القرآنية المتعلّقة به، وأهميّة البحث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عام لأسباب ظاهرة ترجيح بعض الألفاظ على بعضٍ وفق الاقتضاءات الأدبيّة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عن ظاهرة استعمال جموع تكسير مختلفة في القرآن الكريم لمفرد واحد</w:t>
      </w:r>
      <w:r>
        <w:rPr>
          <w:rFonts w:eastAsia="Amiri" w:cs="Amiri" w:ascii="Amiri" w:hAnsi="Amiri"/>
          <w:color w:val="111111"/>
          <w:sz w:val="28"/>
          <w:szCs w:val="28"/>
          <w:rtl w:val="true"/>
          <w:lang w:bidi="ar-SA"/>
        </w:rPr>
        <w:t xml:space="preserve">. </w:t>
      </w:r>
      <w:bookmarkStart w:id="23" w:name="pg9124_98461"/>
    </w:p>
    <w:p>
      <w:pPr>
        <w:pStyle w:val="Heading3"/>
        <w:numPr>
          <w:ilvl w:val="2"/>
          <w:numId w:val="1"/>
        </w:numPr>
        <w:rPr/>
      </w:pPr>
      <w:bookmarkStart w:id="24" w:name="__RefHeading___Toc2933072_2870459653"/>
      <w:bookmarkStart w:id="25" w:name="_Toc8"/>
      <w:bookmarkEnd w:id="23"/>
      <w:bookmarkEnd w:id="24"/>
      <w:r>
        <w:rPr>
          <w:rtl w:val="true"/>
        </w:rPr>
        <w:t>الفصل الأوَّل</w:t>
      </w:r>
      <w:r>
        <w:rPr>
          <w:rtl w:val="true"/>
        </w:rPr>
        <w:t xml:space="preserve">: </w:t>
      </w:r>
      <w:r>
        <w:rPr>
          <w:rtl w:val="true"/>
        </w:rPr>
        <w:t>إعجاز القرآن الكريم</w:t>
      </w:r>
      <w:bookmarkEnd w:id="25"/>
    </w:p>
    <w:p>
      <w:pPr>
        <w:pStyle w:val="Heading4"/>
        <w:numPr>
          <w:ilvl w:val="3"/>
          <w:numId w:val="1"/>
        </w:numPr>
        <w:rPr/>
      </w:pPr>
      <w:bookmarkStart w:id="26" w:name="__RefHeading___Toc2933074_2870459653"/>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لا شكّ في تميّز القرآن الكريم عن الكلام البشري بأعلى مراتب البلاغة البالغة حدّ الإعجاز على ما يقضي به الوجدان اللّغوي للعارفين باللّغة العربية الّذين يحسّون بمزايا الكلام ومستواه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عجز العرب المعاصرون لنزول القرآن الكريم عن معارضته بما يماثله في هذا المستوى الرّفيع رغم تحدّيهم بذلك في القرآن مراراً على ما ثبت في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شكّ في أنّ من أهمّ جوانب إعجازه، هو إعجازه من النّاحية البلاغية، إذ كان تخصيص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المعجزة الخالدة يتناسب مع تفوّق العرب في البلاغة وتفنّنها في أساليبها في عصره حتى عُقِدت النّوادي وأقيمت الأسواق للمباراة في الشّعر والخطابة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يؤّكد ذلك ما ورد في الحديث الشّريف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سأله ابنُ السّكّيت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بعث الله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بالعصا ويده البيضاء وآلة السّحر؟ وبعث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وعلى جميع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بالكلام والخطب؟ 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لمّا بعث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الغالب على أهل عصره السّحر، فأتاهم من عند الله بما لم يكن في وسعهم مثله، وما أبطل به سحرهم وأثبت به الحجّة عليهم وإنّ الله بعث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وقت قد ظهرت فيه الزّمانات</w:t>
      </w:r>
      <w:r>
        <w:rPr>
          <w:rStyle w:val="FootnoteAnchor"/>
          <w:rtl w:val="true"/>
        </w:rPr>
        <w:footnoteReference w:id="4"/>
      </w:r>
      <w:r>
        <w:rPr>
          <w:rFonts w:ascii="IRNazanin" w:hAnsi="IRNazanin" w:eastAsia="IRNazanin"/>
          <w:color w:val="111111"/>
          <w:sz w:val="28"/>
          <w:sz w:val="28"/>
          <w:szCs w:val="28"/>
          <w:rtl w:val="true"/>
          <w:lang w:bidi="fa-IR"/>
        </w:rPr>
        <w:t xml:space="preserve">، واحتاج النّاس إلى </w:t>
      </w:r>
      <w:bookmarkStart w:id="28" w:name="pg9124_98462"/>
    </w:p>
    <w:p>
      <w:pPr>
        <w:pStyle w:val="BookText"/>
        <w:rPr/>
      </w:pPr>
      <w:bookmarkEnd w:id="28"/>
      <w:r>
        <w:rPr>
          <w:rFonts w:ascii="Amiri" w:hAnsi="Amiri" w:eastAsia="Amiri" w:cs="Amiri"/>
          <w:color w:val="111111"/>
          <w:sz w:val="28"/>
          <w:sz w:val="28"/>
          <w:szCs w:val="28"/>
          <w:rtl w:val="true"/>
          <w:lang w:bidi="ar-SA"/>
        </w:rPr>
        <w:t>الطّبّ فأتاهم من عند الله بما لم يكن عندهم مثله، فأحيا لهم الموتى وأبرء الأكمه والأبرص بإذن الله وأثبت به الحجّة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وقتٍ كان الغالب على أهل عصره الخطب والكلام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من عند الله من مواعظه وحِكَمهِ ما أبطل به قولهم وأثبت به الحجّة عليهم، قال فقال ابن السّكّيت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ما رأيت مثلك قطّ</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2933076_2870459653"/>
      <w:bookmarkStart w:id="30" w:name="_Toc10"/>
      <w:bookmarkEnd w:id="29"/>
      <w:r>
        <w:rPr>
          <w:rtl w:val="true"/>
        </w:rPr>
        <w:t>محاور إعجازه</w:t>
      </w:r>
      <w:bookmarkEnd w:id="30"/>
    </w:p>
    <w:p>
      <w:pPr>
        <w:pStyle w:val="BookText"/>
        <w:rPr/>
      </w:pPr>
      <w:r>
        <w:rPr>
          <w:rFonts w:ascii="Amiri" w:hAnsi="Amiri" w:eastAsia="Amiri" w:cs="Amiri"/>
          <w:color w:val="111111"/>
          <w:sz w:val="28"/>
          <w:sz w:val="28"/>
          <w:szCs w:val="28"/>
          <w:rtl w:val="true"/>
          <w:lang w:bidi="ar-SA"/>
        </w:rPr>
        <w:t>ترجع بلاغة القرآن الكريم إلى محورين رئيسين هما بُعدان بمنزلة الصّورة والمادة للكلام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أسلوبه النّثريّ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فأسلوب الكلام القرآني قسم بديع من النّثر لم يُسبَق إليه، له شَبَه بالشعر من حيث توازنه، ولكنّه أمتن منه وأبلغ تأثيراً وأجمل صورة وشكلاً، وليس له وزن خاصّ يتحدّد به كما حُدِّدت الأوزان الشّعرية في علم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تصريفه للمعاني والألفاظ وانتقاؤه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 هذا المحور ظواهر متعدّدة في الكلام القرآني، وبالإمكان إرجاع قسم كبير منها إلى ظاهرتين رئيستين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ظاهرة التّحديد الكميّ والكيفيّ للكلام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الظّاهرتان وإنْ كانتا تمثّلان جانباً من جوانب إعجازه إلّا أنّ تحليلهما بحاجة إلى دراسة دقيقة تكشف عن رموزه وأسراره كي لا يتوهم بوجود نقاط سلبية</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2933078_2870459653"/>
      <w:bookmarkStart w:id="32" w:name="_Toc11"/>
      <w:bookmarkEnd w:id="31"/>
      <w:r>
        <w:rPr>
          <w:rtl w:val="true"/>
        </w:rPr>
        <w:t>ظاهرة التّحديد الكمّي وفروعها</w:t>
      </w:r>
      <w:bookmarkEnd w:id="3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التّحديد الكمّي للكلام القرآني بمعنى الإتيان بما يصحّ </w:t>
      </w:r>
      <w:bookmarkStart w:id="33" w:name="pg9124_98463"/>
    </w:p>
    <w:p>
      <w:pPr>
        <w:pStyle w:val="BookText"/>
        <w:rPr/>
      </w:pPr>
      <w:bookmarkEnd w:id="33"/>
      <w:r>
        <w:rPr>
          <w:rFonts w:ascii="Amiri" w:hAnsi="Amiri" w:eastAsia="Amiri" w:cs="Amiri"/>
          <w:color w:val="111111"/>
          <w:sz w:val="28"/>
          <w:sz w:val="28"/>
          <w:szCs w:val="28"/>
          <w:rtl w:val="true"/>
          <w:lang w:bidi="ar-SA"/>
        </w:rPr>
        <w:t>الاستغناء عن بعضه من غير خللٍ فيه وفي 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الظّاهرة فروع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القصة الواحدة كقصص أنبياء بني إسرائيل في مواضع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جملة واحدة في مواضع متقاربة كتكرار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في سورة الرّحمن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مفردات قد يُظنّ الاستغناء عنها،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أدوات زائدة يُظنّ أنّها لا تعطي معنى زائداً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حروف من قبيل الباء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أفعال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عَلِيمًا حَكِيمًا</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حيث إنّها لا تدلّ فيه على حدث ولا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كلمات ذات معانٍ ولكن لا حاجة إليها؛ لإمكانية فهم الكلام من دون ذكرها،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تَضِلَّ إِحْدَاهُمَا فَتُذَكِّرَ إِحْدَاهُمَا الْأُخْرَى</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حيث يصحّ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فتذكرها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حاجة هذه الظّاهرة إلى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الإتيان بما يُستغنى عنه يعدّ من قبيل الإطناب في الكلام من غير حكمة، وهو منافٍ لحكمة المتكلم، وثغرة في بلاغة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والتعرّض لتفسيرها خارج عن موضوع هذه الرّسالة</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2933080_2870459653"/>
      <w:bookmarkStart w:id="35" w:name="_Toc12"/>
      <w:bookmarkEnd w:id="34"/>
      <w:r>
        <w:rPr>
          <w:rtl w:val="true"/>
        </w:rPr>
        <w:t>ظاهرة التّحديد الكيفيّ وفروعها</w:t>
      </w:r>
      <w:bookmarkEnd w:id="3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التّحديد الكيفيّ بمعنى اختيار بعض الألفاظ أو المعاني دون بديلاتها في مواضع تصحّ جميع الألفاظ والمعاني فيها، وهي أيضاً ذات فروع متعدّدة </w:t>
      </w:r>
    </w:p>
    <w:p>
      <w:pPr>
        <w:pStyle w:val="BookText"/>
        <w:rPr/>
      </w:pPr>
      <w:r>
        <w:rPr>
          <w:rFonts w:ascii="Amiri" w:hAnsi="Amiri" w:eastAsia="Amiri" w:cs="Amiri"/>
          <w:color w:val="111111"/>
          <w:sz w:val="28"/>
          <w:sz w:val="28"/>
          <w:szCs w:val="28"/>
          <w:rtl w:val="true"/>
          <w:lang w:bidi="ar-SA"/>
        </w:rPr>
        <w:t>باعتبارات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الألفاظ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متّحدة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وثانية ألفاظ متقاربة تكون متفقة في أصل المعنى ومختلفة في 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تكون متباينة مع صحّة الإتيان بكل واحد منها، ونذكر لذلك 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أواخر الآيات في ذكر أوصافه تعالى، إذ لا يكون هناك تناسب مُلزِم للبعض المذكور بخصوصه بلحاظ موضوع الآية ظاهراً، ففي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عَلِيمًا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 حَلِيمًا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 خَبِيرًا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آيات كثيرة وصف آياته تعالى في الخلق، وفي بعضها تعقيب 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هذه المفاهيم متقاربة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إلى هذا المثال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بحدود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كتاب المفردات</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الألفاظ تارة تكون من مواد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تكون من مادة لغوية واحدة مع الاختلاف في الهيئة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الألفاظ تارة تكون من أنواع متعددة كالمفرد والجمع، أو الجمع واسم الجمع، أو المصدر والوصف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تكون من نوع واحد مع اختلاف الهيئة،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مصادر متعددة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أوصافاً متعددة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أفعالاً متعدّدة وإنْ </w:t>
      </w:r>
    </w:p>
    <w:p>
      <w:pPr>
        <w:pStyle w:val="BookText"/>
        <w:rPr/>
      </w:pPr>
      <w:r>
        <w:rPr>
          <w:rFonts w:ascii="Amiri" w:hAnsi="Amiri" w:eastAsia="Amiri" w:cs="Amiri"/>
          <w:color w:val="111111"/>
          <w:sz w:val="28"/>
          <w:sz w:val="28"/>
          <w:szCs w:val="28"/>
          <w:rtl w:val="true"/>
          <w:lang w:bidi="ar-SA"/>
        </w:rPr>
        <w:t>كان بعضها من الثّلاثي المجرّد وبعضها من المزيد مع صلاحية قيام أحدهما مكان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أسماء أجناس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جموعاً متعددة لمفردات متباينة أو متقاربة أو لمفرد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الحاجة إلى تفسير هذه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أنَّ هناك حاجة إلى تفسير هذه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التّفسير يجلّي وجوه إعجاز النّصّ القرآني حيث يبيّن ابتناء اختيار الألفاظ في القرآن على أساس مراعاة شؤونها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يدفع توهّم ضعف النّصّ القرآني من النّاحية البلاغيّة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الحالات الّتي تتأكدّ الحاجة فيها إلى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تتأكّد الحاجة إلى التّفسير في حالات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والتّخصيص، والعدول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ونعني به التزام لفظ معيّن من أحد لفظين أو ألفاظ صالحة لأداء المعنى في موارد كثيرة جداً، كاختيار جمع النَهْر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من القرآن الكريم، فإنّ هذا الالتزام قد يعدّ بلا حكمة دون مزيّة لأحد اللّفظين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يكون اختيار اللّفظ في مورد أو موردين أو نحو ذلك من قبيل الالتزام به؛ لأنّه يمكن أنْ تكون حالة شبه اتّفاقيّة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ونعني به التّفريق بين اللّفظين باستعمال كلّ منهما في مورد خاصّ مع تكرّر استعماله في كلٍّ من الموردين في موارد متعدّدة، نظير ما زعمه الرّاغب من تخصيص الملائكة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يرد العكس في مورد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الحالة تقتضي وجود نكتة معنويّة اقتضت هذه التّفرقة المتعمدّة وإلّا كان التزاماً بلا ملزم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التّخصيص في الحقيقة إلى انضمام التزامين مرتبطين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ملاحظة أنّ التّخصيص لا يتحقّق إلّا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عدم وجود نكتة أخرى اقتضت التّفرقة على هذا النّحو، إذْ مع وجود تلك النّكتة لا يحرز استناد تلك التّفرقة إلى مناسبة معنوية لكلٍّ من اللّفظين بمورد استعماله، بل قد تكون لنكتةٍ ملازمةٍ من قبيل ما يأتي في مناقشة الرّاغب في المثال السّابق من احتمال كون التّعبير عن الملائكة بالبَرَرَة في مورده مراعاة للسجع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تكرّر استعمال كل من اللّفظين في الموردين كي يزول احتمال كون استعمال اللّفظين على سبيل التّفنّن فيكون وقوع كلٍّ منهما في التّعبير عن موردٍ خاصٍ حالة اتّفاقيّة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لوحظ في كلام بعض أهل العلم التّسارع إلى استنباط التّخصيص من غير مراعاة هذا الشّرط من قبيل كلام الرّاغب في المثال السّابق، إذ ادّعى تخصيص البَرَرَة بالملائكة رغم وروده في موردٍ واحدٍ، فليلاحظ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ونعني به انتخاب أحد اللّفظين دون الآخر مع وجود نكتة مستدعية للعكس، فإنّه لا بُدَّ أنْ يكون انتخاب ذلك اللفظ مبنيّاً على نكتة أخرى أولى بالمراعاة، من قبيل ما لاحظناه من اختيار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للسجع في موضعين من القرآن الكريم مع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 كما اختير عليه في سائر المواضع</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القبيل انتخاب لفظ الجمع في مقام الإشارة إلى واحد كما في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إنَّه ورد في شأن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تصدّى جمع من المفسّرين لتحليل هذه الجهة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يظهر أنَّ مجرّد التّفرقة بين موردين في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تماثلا في الملابسات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وجود نكتة مستدعية لذلك</w:t>
      </w:r>
      <w:r>
        <w:rPr>
          <w:rStyle w:val="FootnoteAnchor"/>
          <w:rtl w:val="true"/>
        </w:rPr>
        <w:footnoteReference w:id="11"/>
      </w:r>
      <w:r>
        <w:rPr>
          <w:rFonts w:ascii="Amiri" w:hAnsi="Amiri" w:eastAsia="Amiri" w:cs="Amiri"/>
          <w:color w:val="111111"/>
          <w:sz w:val="28"/>
          <w:sz w:val="28"/>
          <w:szCs w:val="28"/>
          <w:rtl w:val="true"/>
          <w:lang w:bidi="ar-SA"/>
        </w:rPr>
        <w:t>، من قبيل 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بِالْقِسْطِ شُهَدَاءَ لِلَّهِ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لِلَّهِ شُهَدَاءَ بِالْقِسْطِ</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عكس الأمر في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حالات أخرى يظنّ تأكّد الحاجة إلى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يُظنّ تأكّد الحاجة إلى تفسير هذه الظّاهرة في بعض الحالات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استعمال كلٍّ من اللّفظين في القرآن الكريم، فإنّ اختيار أحد اللّفظين في بعض المواضع يكون بحاجة إلى تفسير هذا الاستعمال بصورة آكد فيما إذا استعمل اللّفظ الثّاني في بعضٍ آخر من المواضع ممّا إذا لم يستعمل اللّفظ الثّاني أصلاً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الصّحيح عدم تفاوت الحاجة في الحالتين؛ إذ استعمال اللّفظ الثّاني في موضعٍ آخر من القرآن لا يكسبه مزيّة خاصّة، بل غاية ما هناك دلالة استعماله في القرآن على بلوغه مستوى المفردة القرآنية في الفصاحة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الممكن إحراز بلوغ المفردة غير المستعملة فيه أيضاً نفس المستوى من الفصاحة؛ لأنَّ الفصاحة ليست صفة مجهولة في اللّفظ، بل هي حالة مشهودة بحسب الذّوق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اللّفظين أقرب إلى اللّفظ الآخر كأنْ يكونا جميعاً من مادّة واحدة ونوع واحد كمصدرين لفعل واحد، أو جمعين لمفرد واحد، فكلّما كانا كذلك كان اختيار أحدهما دون الآخر أحوج إلى تفسير هذه الظّاهرة ممّا إذا كان أبعد منه كأنْ يختلفا في المادّة أو في النّوع فيكون أحدهما مصدراً والآخر 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ملابسات اللّفظين في مورد استعمالهما متقاربة كوقوعهما وصفاً لموصوفٍ واحد فإنّ اختيار أحدهما في هذه الحالة أحوج منه لتفسير هذه الظّاهرة ممّا إذا اختلفت ملابسات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التّعبير بالجمع المكسّر عن الملائكة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وَيُرْسِلُ عَلَيْكُمْ حَفَظَةً</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دون الجمع السّالم أشدّ إثارةً للتساؤل بعد وقوع التّعبير عنهم بالجمع السّالم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عَلَيْكُمْ لَحَافِظِينَ</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ممّا لو لم يقع التّعبير به عنهم وإنْ كان قد وقع التّعبير به عن النّاس في عدّة آيات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وَالْحَافِظُونَ لِحُدُودِ اللَّهِ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هذه الجهات لا تُوجب شدّة الحاجة إلى تفسير هذه الظّاهرة، بل غاية ما هنالك أنّها لا تدع مجالاً لتوهّم خصوصيّة المادّة أو الموصوف في التّعبير الخاصّ كما توهم أحياناً في مواضع لم تكن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ظهر ممّا ذُكر أنَّ مورد سؤال السّائل هو أحد فروعٍ جزئيّة لظاهرة التّحديد الكيفيّ لمفردات القرآن الكريم، إلّا أنّ تخصيص السّائل مورد سؤاله باستعمال جموع تكسير مختلفة لموردٍ واحدٍ كأنّه نشأ عن تصوّر تأكّد السّؤال في هذه الحالة على أساس شدّة الحاجة إلى تفسير الظّاهرة في الحالتين الأوّليتين من الحالات الثّلاثة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استعمال جموع التّكسير في القرآن على أساس الحالة الأولى من تأكّد السّؤال الّتي ذكرناها</w:t>
      </w:r>
      <w:r>
        <w:rPr>
          <w:rStyle w:val="FootnoteAnchor"/>
          <w:rtl w:val="true"/>
        </w:rPr>
        <w:footnoteReference w:id="17"/>
      </w:r>
      <w:r>
        <w:rPr>
          <w:rFonts w:ascii="Amiri" w:hAnsi="Amiri" w:eastAsia="Amiri" w:cs="Amiri"/>
          <w:color w:val="111111"/>
          <w:sz w:val="28"/>
          <w:sz w:val="28"/>
          <w:szCs w:val="28"/>
          <w:rtl w:val="true"/>
          <w:lang w:bidi="ar-SA"/>
        </w:rPr>
        <w:t>مع استعمال كلٍّ من اللّفظين في الكلام القرآني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الجموعَ جموع تكسير على أساس الحالة الثّانية لتكون من صنفٍ واحدٍ لتأكّد السّؤال فيه عمّا لو كان أحدهما جمع تكسير والآخر جمعاً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أنَّا رجّحنا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مطلق حالة التّحديد الكيفيّ، بمعنى اختيار بعض المفردات المتماثلة في أداء المعنى على بعضٍ بملاحظة تعذّر تفسير فرع من فروع الظّاهرة بمفردها ما لم يلاحظ الأسباب العامّة الموجبة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حيث إنَّ كلّ فرعٍ من فروعها يمتاز بخصوصيات تطبيقية عقدنا بحثاً تطبيقيّاً حول تفسير اختيار بعض جموع الكلمة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نحدّد ذلك بما حدّده به السّائل لتماثل الحال في الحالات الجزئيّة لهذا الفرع فلا فرق مهم بين كون جميع الجموع جموعَ تكسير وبين كون بعضها جمعاً سالماً، ولا بين استعمالها جميعاً في القرآن أو استعمال بعضها، بل مستوى الحاجة إلى تفسير الظّاهرة واحد كما تقدّم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نعمّم البحث لتفسير ظاهرة التّحديد الكمّيّ لاختلاف الظّاهرتين من ناحية أسبابها وكيفيّة حلّها كما يظهر بالتأمّل في ذلك</w:t>
      </w:r>
      <w:r>
        <w:rPr>
          <w:rFonts w:eastAsia="Amiri" w:cs="Amiri" w:ascii="Amiri" w:hAnsi="Amiri"/>
          <w:color w:val="111111"/>
          <w:sz w:val="28"/>
          <w:szCs w:val="28"/>
          <w:rtl w:val="true"/>
          <w:lang w:bidi="ar-SA"/>
        </w:rPr>
        <w:t xml:space="preserve">. </w:t>
      </w:r>
      <w:bookmarkStart w:id="36" w:name="pg9124_98470"/>
    </w:p>
    <w:p>
      <w:pPr>
        <w:pStyle w:val="Heading3"/>
        <w:numPr>
          <w:ilvl w:val="2"/>
          <w:numId w:val="1"/>
        </w:numPr>
        <w:rPr/>
      </w:pPr>
      <w:bookmarkStart w:id="37" w:name="__RefHeading___Toc2933082_2870459653"/>
      <w:bookmarkStart w:id="38" w:name="_Toc13"/>
      <w:bookmarkEnd w:id="36"/>
      <w:bookmarkEnd w:id="37"/>
      <w:r>
        <w:rPr>
          <w:rtl w:val="true"/>
        </w:rPr>
        <w:t>الفصل الثّاني</w:t>
      </w:r>
      <w:r>
        <w:rPr>
          <w:rtl w:val="true"/>
        </w:rPr>
        <w:t xml:space="preserve">: </w:t>
      </w:r>
      <w:r>
        <w:rPr>
          <w:rtl w:val="true"/>
        </w:rPr>
        <w:t>في طرق الاهتداء إلى تشخيص المزايا المعنويّة واللّفظيّة للألفاظ</w:t>
      </w:r>
      <w:bookmarkEnd w:id="38"/>
    </w:p>
    <w:p>
      <w:pPr>
        <w:pStyle w:val="Heading4"/>
        <w:numPr>
          <w:ilvl w:val="3"/>
          <w:numId w:val="1"/>
        </w:numPr>
        <w:rPr/>
      </w:pPr>
      <w:bookmarkStart w:id="39" w:name="__RefHeading___Toc2933084_2870459653"/>
      <w:bookmarkStart w:id="40" w:name="_Toc14"/>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وهي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الذّوق الأدبيّ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الضّوابط الأدبيّة كالسّجع والموازنة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علامات أخرى مثل الالتزام في الكلام القرآني باستعمال أحد اللّفظين في التّعبير عن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والأساس الأوَّل في هذه المرحلة هو الذّوق الأدبي الّذي هو منبع الإحساس بخصوصيات الكلمة، وعلى هداه وُضِعَت الضّوابط الصّناعيّة لتلك المزايا في علوم البلاغة، إلّا أنّ تلك الضّوابط ليست قادرة على استيعاب الخصوصيّات المدركة بالذّوق،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يليه في الأهميّة الضّوابط الأدبيّة فإنّها تحليل للجهات المدرَكة بالذّوق فيما كان لها ضابط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لجملةٍ منها علماء البلاغة من غير 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يتعذّر وضع قاعدة عامّة يمكن أحياناً تحصيل منبّه خارجيّ على وجود مزيّة في الكلمة المختارة من خلال ملاحظة كيفيّة انتقاء المتكلّم الحكيم للألفاظ على ضوء مجموع كلماته حيث يظهر منها عنايته باختيار كلمة خاصّة دون بديلاتها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هنا التّعرض لتوضيح هذه الطّرق الثّلاثة بعض الشّيء مع تعقيب ذلك بشروط سلامة الطّريق الّذي يسلكه الباحث في الموضوع</w:t>
      </w:r>
      <w:r>
        <w:rPr>
          <w:rFonts w:eastAsia="Amiri" w:cs="Amiri" w:ascii="Amiri" w:hAnsi="Amiri"/>
          <w:color w:val="111111"/>
          <w:sz w:val="28"/>
          <w:szCs w:val="28"/>
          <w:rtl w:val="true"/>
          <w:lang w:bidi="ar-SA"/>
        </w:rPr>
        <w:t xml:space="preserve">. </w:t>
      </w:r>
      <w:bookmarkStart w:id="41" w:name="pg9124_98471"/>
    </w:p>
    <w:p>
      <w:pPr>
        <w:pStyle w:val="Heading4"/>
        <w:numPr>
          <w:ilvl w:val="3"/>
          <w:numId w:val="1"/>
        </w:numPr>
        <w:rPr/>
      </w:pPr>
      <w:bookmarkStart w:id="42" w:name="__RefHeading___Toc2933086_2870459653"/>
      <w:bookmarkStart w:id="43" w:name="_Toc15"/>
      <w:bookmarkEnd w:id="41"/>
      <w:bookmarkEnd w:id="42"/>
      <w:r>
        <w:rPr>
          <w:rtl w:val="true"/>
        </w:rPr>
        <w:t>الطريق الأوَّل</w:t>
      </w:r>
      <w:r>
        <w:rPr>
          <w:rtl w:val="true"/>
        </w:rPr>
        <w:t xml:space="preserve">: </w:t>
      </w:r>
      <w:r>
        <w:rPr>
          <w:rtl w:val="true"/>
        </w:rPr>
        <w:t>الذّوق الأدبيّ</w:t>
      </w:r>
      <w:bookmarkEnd w:id="43"/>
    </w:p>
    <w:p>
      <w:pPr>
        <w:pStyle w:val="Heading5"/>
        <w:numPr>
          <w:ilvl w:val="4"/>
          <w:numId w:val="1"/>
        </w:numPr>
        <w:rPr/>
      </w:pPr>
      <w:bookmarkStart w:id="44" w:name="__RefHeading___Toc2933088_2870459653"/>
      <w:bookmarkStart w:id="45" w:name="_Toc16"/>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وحيث إنَّا لم نطّلع على بحث عن الذّوق اللّغوي وتأثيره في استكشاف خصائص اللّغة ومزايا الكلام فلا بأس بتفصيل البحث عنه</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2933090_2870459653"/>
      <w:bookmarkStart w:id="47" w:name="_Toc17"/>
      <w:bookmarkEnd w:id="46"/>
      <w:r>
        <w:rPr/>
        <w:t>1</w:t>
      </w:r>
      <w:r>
        <w:rPr>
          <w:rtl w:val="true"/>
        </w:rPr>
        <w:t xml:space="preserve">. </w:t>
      </w:r>
      <w:r>
        <w:rPr>
          <w:rtl w:val="true"/>
        </w:rPr>
        <w:t>الذّوق وأنواعه</w:t>
      </w:r>
      <w:bookmarkEnd w:id="47"/>
    </w:p>
    <w:p>
      <w:pPr>
        <w:pStyle w:val="BookText"/>
        <w:rPr/>
      </w:pPr>
      <w:r>
        <w:rPr>
          <w:rFonts w:ascii="Amiri" w:hAnsi="Amiri" w:eastAsia="Amiri" w:cs="Amiri"/>
          <w:color w:val="111111"/>
          <w:sz w:val="28"/>
          <w:sz w:val="28"/>
          <w:szCs w:val="28"/>
          <w:rtl w:val="true"/>
          <w:lang w:bidi="ar-SA"/>
        </w:rPr>
        <w:t>الذّوق في اللّغة قوّة يُدرك بها طعم الشّيء، ولكن يتعارف إطلاقه على ما يعمّ ذلك وهو يرجع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الذّوق على القوى الذّهنيّة الّتي ترصد خصوصيات الأمور الّتي لا تخلو عن دقّة وخفاء فيُتاح للإنسان بفضلها أنْ يحسّ بها إحساساً وجدانيّاً وتكون في المجالات المختلفة للإدراك البشري، سواء كانت أموراً معنويّة كالحِكَم والأخلاق والآداب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معنويّة كالاجتماع والسياسة والصناعة والأدب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الأمور المعنويّة قد تجد بعض النّاس في أعلى درجات الصّفاء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لجهات موروثة ومكتسبة بالرّياضات المشروعة والأعمال الصّالحة والإقبال إلى الله تعالى والإعراض عمّا سواه من شؤون الدّنيا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كالأنبياء والأوصياء والأولياء وأهل التّقوى على اختلاف مراتبهم في ذلك فيدركون بأذواقهم من الحِكَم والمعاني العالية ما لا يدركه غالب النّاس</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تجد الأمر فيما لو قارنت بين النّاس في خصائص الآداب السّامية فمنهم من يحسّ التّناسبات الخفيّة المختلفة بحسب الملابسات الّتي تقتضي تلك الآداب، فتنبعث من نفسه وتخضع لها إرادته، ومنهم من لا يحسّ بها وإن أدركها أو تكلّفها عملاً مراعاة لجهات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الإحساس بحسن الأعمال أو قبحها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ضرباً من الذّوق والوجدان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الأمور غير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تجد بعض النّاس يتميّز بذوق يترصّد دقائق الأمور الاجتماعيّة ويتمكّن من تحليل واقعها حتى كأنَّ أسبابها الّتي تغيب عنه بمشهد منه وبمرأى، رغم أنك لا تجد مثل ذلك في غيره ممّن قد يشترك معه في الثّقافة أو يزيد عليه، أو حتّى يكون له تخصّص في علوم الاجتماع والسّياسة، ولعلّك لا تعدم أمثلة لهذه الظّاهرة في القادة الاجتماعيّين في التّاريخ الماضي والواقع المعاصر فتجد هناك قادة اهتدوا بالقدرة الذّهنيّة والذّوق الاجتماعي الفائق إلى وجوه حلّ المشاكل الاجتماعية وكيفية سوق المجتمع إلى غايات معيّنة بحدس ثاقب وبصيرة نيّرة، بينما قد يكون هناك قادة آخرون أخفقوا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فالأمور الّتي تتراءى للإنسان بذوقه في مثل ذلك ليست أموراً وهميةً تتراءى له بالإغراق في الفكر والخيال ولا هيّ مجرّد تحليلات علميّة متأثّرة بدرجة ثقافة الشّخص، وإنّما هي أمور واقعيّة يترصّدها الإنسان ويحسّ بها إحساساً مباشراً من خلال قوّة ذهنيّة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الذّوق على انطباعات نفسيّة تنشأ عن طبائع خاصّة من قبيل ذوق انتقاء الأطعمة والألبسة والعطور ونحوها، فإنّه يرجع إلى مدى انسجام اللّباس أو العطر الخاصّ مثلاً مع نفس الإنسان الّتي تتأثّر بالعوامل المختلفة من الاجتماع والجوّ والمحيط وغيرها، وكثيراً ما تختلف الأذواق في ذلك لاختلاف العوامل المؤثّرة في تكوين الانطباع النّفسي فترى أنّ قوماً يستحسنون عطراً أو لباساً ما قد يستقبحه قوم آخرون، فليس للحسن والقبح في هذه الأمور معيار واقعي فيكون أحد الحكمين باعتباره صواباً </w:t>
      </w:r>
      <w:bookmarkStart w:id="48" w:name="pg9124_98473"/>
    </w:p>
    <w:p>
      <w:pPr>
        <w:pStyle w:val="BookText"/>
        <w:rPr/>
      </w:pPr>
      <w:bookmarkEnd w:id="48"/>
      <w:r>
        <w:rPr>
          <w:rFonts w:ascii="Amiri" w:hAnsi="Amiri" w:eastAsia="Amiri" w:cs="Amiri"/>
          <w:color w:val="111111"/>
          <w:sz w:val="28"/>
          <w:sz w:val="28"/>
          <w:szCs w:val="28"/>
          <w:rtl w:val="true"/>
          <w:lang w:bidi="ar-SA"/>
        </w:rPr>
        <w:t>والآخر خطأ وإنّما يرجع إلى مدى ملائمتها للنفوس المختلفة في خصائصها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هناك موارد يختلف النّاظرون في تشخيص كون الذّوق فيها هل هو من قبيل القوى الإدراكيّة أو الانطباعات النّفسيّة؟ كما اختلف المتكلّمون والأصوليون في قضايا الحسن والقبح وإنْ كان الصّواب أنّها من قبيل الأولى</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2933092_2870459653"/>
      <w:bookmarkStart w:id="50" w:name="_Toc18"/>
      <w:bookmarkEnd w:id="49"/>
      <w:r>
        <w:rPr/>
        <w:t>2</w:t>
      </w:r>
      <w:r>
        <w:rPr>
          <w:rtl w:val="true"/>
        </w:rPr>
        <w:t xml:space="preserve">. </w:t>
      </w:r>
      <w:r>
        <w:rPr>
          <w:rtl w:val="true"/>
        </w:rPr>
        <w:t>نوع الذّوق الأدبيّ</w:t>
      </w:r>
      <w:bookmarkEnd w:id="50"/>
    </w:p>
    <w:p>
      <w:pPr>
        <w:pStyle w:val="BookText"/>
        <w:rPr/>
      </w:pPr>
      <w:r>
        <w:rPr>
          <w:rFonts w:ascii="Amiri" w:hAnsi="Amiri" w:eastAsia="Amiri" w:cs="Amiri"/>
          <w:color w:val="111111"/>
          <w:sz w:val="28"/>
          <w:sz w:val="28"/>
          <w:szCs w:val="28"/>
          <w:rtl w:val="true"/>
          <w:lang w:bidi="ar-SA"/>
        </w:rPr>
        <w:t>وأمَّا الذّوق الأدبيّ فلنا أنْ نتساءل هل هو قوّة إدراكيّة تتراءى بها أمور واقعيّة؟ أو أنَّه انطباع نفسي نتيجة مدى ملائمة اللّفظ والمعنى للنفس؟</w:t>
      </w:r>
    </w:p>
    <w:p>
      <w:pPr>
        <w:pStyle w:val="BookText"/>
        <w:rPr/>
      </w:pPr>
      <w:r>
        <w:rPr>
          <w:rFonts w:ascii="Amiri" w:hAnsi="Amiri" w:eastAsia="Amiri" w:cs="Amiri"/>
          <w:color w:val="111111"/>
          <w:sz w:val="28"/>
          <w:sz w:val="28"/>
          <w:szCs w:val="28"/>
          <w:rtl w:val="true"/>
          <w:lang w:bidi="ar-SA"/>
        </w:rPr>
        <w:t>والّذي نراه أنًّه لا ينبغي الشّكّ في كونه ضرباً من القوّة الإدراكيّة يترصّد بها المزايا اللّفظيّة والمعنويّة من خلال الإحساس بالتناسبات الصّوتيّة وأوزان الكلام ونكاته</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2933094_2870459653"/>
      <w:bookmarkStart w:id="52" w:name="_Toc19"/>
      <w:bookmarkEnd w:id="51"/>
      <w:r>
        <w:rPr/>
        <w:t>3</w:t>
      </w:r>
      <w:r>
        <w:rPr>
          <w:rtl w:val="true"/>
        </w:rPr>
        <w:t xml:space="preserve">. </w:t>
      </w:r>
      <w:r>
        <w:rPr>
          <w:rtl w:val="true"/>
        </w:rPr>
        <w:t>بين الذّوق الأدبيّ والوجدان اللّغويّ</w:t>
      </w:r>
      <w:bookmarkEnd w:id="52"/>
    </w:p>
    <w:p>
      <w:pPr>
        <w:pStyle w:val="BookText"/>
        <w:rPr/>
      </w:pPr>
      <w:r>
        <w:rPr>
          <w:rFonts w:ascii="Amiri" w:hAnsi="Amiri" w:eastAsia="Amiri" w:cs="Amiri"/>
          <w:color w:val="111111"/>
          <w:sz w:val="28"/>
          <w:sz w:val="28"/>
          <w:szCs w:val="28"/>
          <w:rtl w:val="true"/>
          <w:lang w:bidi="ar-SA"/>
        </w:rPr>
        <w:t>الوجدان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انطباع ذهني يحصل بالأنس بالكلمة من خلال ممارسة استعمالها وتكرّر سماعها في سياقات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المعيار المباشر الوحيد في تشخيص معاني المفردات اللّغوية، ولا يكفي فيه تتبّع استعمالات الكلمة والتأمّل في خصوصياتها ما لم توجب إحساساً نفسيّاً مباشراً بمعناه؛ لأنَّ ذلك وإنْ كان يهدي إلى المراد بها إجمالاً إلّا أنّه لا يمكن التّحكّم في نوع علاقة اللّفظ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علاقة حقيقية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 غياب الإحساس المباشر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يتّضح بذلك الوجه التّفصيلي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يبقى مستوياً بنوعٍ من الإجمال والإبهام، كما في معرفة معنى كلمةٍ من لغةٍ أجنبيةٍ لغير العارف بها عن طريق إخبار ثقة بذلك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الذّوق الأدبي والوجدان اللّغوي أنَّ وظيفة الثّاني هو تشخيص أصل </w:t>
      </w:r>
      <w:bookmarkStart w:id="53" w:name="pg9124_98474"/>
    </w:p>
    <w:p>
      <w:pPr>
        <w:pStyle w:val="BookText"/>
        <w:rPr/>
      </w:pPr>
      <w:bookmarkEnd w:id="53"/>
      <w:r>
        <w:rPr>
          <w:rFonts w:ascii="Amiri" w:hAnsi="Amiri" w:eastAsia="Amiri" w:cs="Amiri"/>
          <w:color w:val="111111"/>
          <w:sz w:val="28"/>
          <w:sz w:val="28"/>
          <w:szCs w:val="28"/>
          <w:rtl w:val="true"/>
          <w:lang w:bidi="ar-SA"/>
        </w:rPr>
        <w:t>مدلول الكلمة ومعناها دون مزاياها اللّفظيّة والمعنويّة، بل تشخيص تلك المزايا مرهون بالذّوق الأدبي</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2933096_2870459653"/>
      <w:bookmarkStart w:id="55" w:name="_Toc20"/>
      <w:bookmarkEnd w:id="54"/>
      <w:r>
        <w:rPr/>
        <w:t>4</w:t>
      </w:r>
      <w:r>
        <w:rPr>
          <w:rtl w:val="true"/>
        </w:rPr>
        <w:t xml:space="preserve">. </w:t>
      </w:r>
      <w:r>
        <w:rPr>
          <w:rtl w:val="true"/>
        </w:rPr>
        <w:t>الذّوق الأدبيّ إحساس صادق</w:t>
      </w:r>
      <w:bookmarkEnd w:id="55"/>
    </w:p>
    <w:p>
      <w:pPr>
        <w:pStyle w:val="BookText"/>
        <w:rPr/>
      </w:pPr>
      <w:r>
        <w:rPr>
          <w:rFonts w:ascii="Amiri" w:hAnsi="Amiri" w:eastAsia="Amiri" w:cs="Amiri"/>
          <w:color w:val="111111"/>
          <w:sz w:val="28"/>
          <w:sz w:val="28"/>
          <w:szCs w:val="28"/>
          <w:rtl w:val="true"/>
          <w:lang w:bidi="ar-SA"/>
        </w:rPr>
        <w:t>قد ظهر ممّا سبق أنَّ الذّوق الأدبيّ ضرب من الإحساس الصّادق بالمزيّة فلا يصدق على الإدراك المحضّ ولا على الإحساس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بالإدراك المحضّ استنباط النّكتة لا من خلال الإحساس بها وإنَّما بالتّدقيق الفكريّ المحضّ، كما قد يكون من هذا القبيل استنباط بعض العلماء لنكات حول مزايا الكلام القرآني لا يصدق إلّا قلّة منها، فربّما يحدس النّاظر بكون هذه القلّة الّتي أصابت الواقع إنَّما استخرجها لا بموجب الإحساس بها وإلّا لم يخطئ في الباقي، وإنَّما على أساس التّأمّل النّظري والقدرة 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معنى الذّوق هو الإحساس بالشّيء كما هو معناه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ننكر أنَّ الإحساس بالمزيّة المعنويّة أو اللّفظيّة قد يحتاج إلى نوعٍ من الدّقّة إلّا أنَّ ضرباً منها مغاير للتدقيق الفكري وهو أشبه بحالة جمع الحواس لإدراك أمرٍ حسّي كسماع صوت خفيّ أو إبصار منظر بعيد ونحو ذلك، ولا يبعد أنْ يكون كثير من مزايا الكلام القرآني ونكاته بحاجة إلى ضرب من التّفرّغ له والصّفاء القلبي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الإحساس الكاذب فهو الإحساس بمزيّة أو نكتة متوهّمة، وهذه المزيّة أو النّكتة وإنْ كانت تستنبط بالإدراك النّظري في الحقيقة، إلّا أنَّ الإدراك قد يتحوّل إلى حالة إحساس بالمُدْرَك نتيجةً لشدّة الإيمان واليقين النّفسي به، أو لكون المُدْرَك محسوساً كما أنَّ الحريص على رؤية الهلال أو على سماع صوت قد يراه أو يسمعه وإنْ لم يحدث ذلك خارجاً</w:t>
      </w:r>
      <w:r>
        <w:rPr>
          <w:rFonts w:eastAsia="Amiri" w:cs="Amiri" w:ascii="Amiri" w:hAnsi="Amiri"/>
          <w:color w:val="111111"/>
          <w:sz w:val="28"/>
          <w:szCs w:val="28"/>
          <w:rtl w:val="true"/>
          <w:lang w:bidi="ar-SA"/>
        </w:rPr>
        <w:t xml:space="preserve">. </w:t>
      </w:r>
      <w:bookmarkStart w:id="56" w:name="pg9124_98475"/>
    </w:p>
    <w:p>
      <w:pPr>
        <w:pStyle w:val="Heading5"/>
        <w:numPr>
          <w:ilvl w:val="4"/>
          <w:numId w:val="1"/>
        </w:numPr>
        <w:rPr/>
      </w:pPr>
      <w:bookmarkStart w:id="57" w:name="__RefHeading___Toc2933098_2870459653"/>
      <w:bookmarkStart w:id="58" w:name="_Toc21"/>
      <w:bookmarkEnd w:id="56"/>
      <w:bookmarkEnd w:id="57"/>
      <w:r>
        <w:rPr/>
        <w:t>5</w:t>
      </w:r>
      <w:r>
        <w:rPr>
          <w:rtl w:val="true"/>
        </w:rPr>
        <w:t xml:space="preserve">. </w:t>
      </w:r>
      <w:r>
        <w:rPr>
          <w:rtl w:val="true"/>
        </w:rPr>
        <w:t>مجالات الذّوق الأدبيّ</w:t>
      </w:r>
      <w:bookmarkEnd w:id="58"/>
    </w:p>
    <w:p>
      <w:pPr>
        <w:pStyle w:val="BookText"/>
        <w:rPr/>
      </w:pPr>
      <w:r>
        <w:rPr>
          <w:rFonts w:ascii="Amiri" w:hAnsi="Amiri" w:eastAsia="Amiri" w:cs="Amiri"/>
          <w:color w:val="111111"/>
          <w:sz w:val="28"/>
          <w:sz w:val="28"/>
          <w:szCs w:val="28"/>
          <w:rtl w:val="true"/>
          <w:lang w:bidi="ar-SA"/>
        </w:rPr>
        <w:t>إنَّ الإحساس بالمزايا اللّفظيّة والمعنويّة للكلمة أو الكلام هو وليد الذّوق الأدبيّ، وهو يرجع إلى مجالات عديدة تختلف حدودها بحسب مرتبة هذا الذّوق في الأشخاص ويمكن إرجاعها إلى مجالات رئيسة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بالألفاظ في نفسها وهي ذات 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الصّفات الصّوتيّة للكلمة من حيث الثّقل والخفّة والرقّة وغيرها، وهو ما عبّر عنه بعض الباحثين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جرس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وإليه يرجع الإحساس بمستوى الجمال الذّاتي للألفاظ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وزن الكلمة أو الجملة بمعنى إيقاعهما، ثُمَّ التّمكن من المقارنة بينه وبين غيرها من الكلمات والجمل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تتفرّع معرفة أوزان الشّعر وتوازن النّثر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بالمعاني في نفسها، وهو الإحساس بوقعها وخصائصها الدّقيقة والانتقال إلى ما يتمثّل فيها من الحيثيات المعنويّة الظّريفة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بالارتباط بين المعاني والألفاظ كالإحساس بالتّناسب الكامن بين الموادّ والهيئات بحسب خصائصها الصّوتيّة مع معانٍ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وسيتّضح جملة من تفاصيل ذلك في الفصل الثّالث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2933100_2870459653"/>
      <w:bookmarkStart w:id="60" w:name="_Toc22"/>
      <w:bookmarkEnd w:id="59"/>
      <w:r>
        <w:rPr/>
        <w:t>6</w:t>
      </w:r>
      <w:r>
        <w:rPr>
          <w:rtl w:val="true"/>
        </w:rPr>
        <w:t xml:space="preserve">. </w:t>
      </w:r>
      <w:r>
        <w:rPr>
          <w:rtl w:val="true"/>
        </w:rPr>
        <w:t>مراتب الذّوق الأدبيّ</w:t>
      </w:r>
      <w:bookmarkEnd w:id="60"/>
    </w:p>
    <w:p>
      <w:pPr>
        <w:pStyle w:val="BookText"/>
        <w:rPr/>
      </w:pPr>
      <w:r>
        <w:rPr>
          <w:rFonts w:ascii="Amiri" w:hAnsi="Amiri" w:eastAsia="Amiri" w:cs="Amiri"/>
          <w:color w:val="111111"/>
          <w:sz w:val="28"/>
          <w:sz w:val="28"/>
          <w:szCs w:val="28"/>
          <w:rtl w:val="true"/>
          <w:lang w:bidi="ar-SA"/>
        </w:rPr>
        <w:t>لا شكّ في أنَّ الذّوق الأدبيّ ليس متساوياً في الأشخاص بل هو ذو مراتب مختلفة في الصّفاء والعمق ضعفاً وشدّةً بحسب اختلاف المزايا المدركة به في الخفاء والدقّة، وهذا الاختلاف في مراتب الذّوق يكون على نحوين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التّوليد وعدمه، فقد يشترك ذوقان في إدراك مزايا كلام </w:t>
      </w:r>
    </w:p>
    <w:p>
      <w:pPr>
        <w:pStyle w:val="BookText"/>
        <w:rPr/>
      </w:pPr>
      <w:r>
        <w:rPr>
          <w:rFonts w:ascii="Amiri" w:hAnsi="Amiri" w:eastAsia="Amiri" w:cs="Amiri"/>
          <w:color w:val="111111"/>
          <w:sz w:val="28"/>
          <w:sz w:val="28"/>
          <w:szCs w:val="28"/>
          <w:rtl w:val="true"/>
          <w:lang w:bidi="ar-SA"/>
        </w:rPr>
        <w:t>خاصّ، ولكنْ يختلفان في القدرة على إيجاد مثله فيكون أحدهما قادراً على ذلك ونعبّر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الذّوق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الآخر عاجزاً عنه ونسمّي 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الذّوق المدرِك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حدّه إدراك المزايا فحسب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حالة مشهودة وجداناً، إذ نرى من أنفسنا الإحساس بجمال الخُطَب البليغة والأشعار الجميلة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كخُطَب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ولكنَّا لا نتمكن من إنشاء مثلها وإنْ استوفينا معرفة مزاياها وأسرارها، وليس ذلك إلّا لضعف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ذوقنا الأدبيّ لعدم بلوغه حدّ القدرة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الإبداع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يتخرّج حال الإنسان بنحو عامّ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وإنْ أحسّ بعظيم بلاغته إلّا أنَّه يعجز عن الإتيان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قد استعصى حلّ هذه الحالة على بعض المتكلمين</w:t>
      </w:r>
      <w:r>
        <w:rPr>
          <w:rStyle w:val="FootnoteAnchor"/>
          <w:rtl w:val="true"/>
        </w:rPr>
        <w:footnoteReference w:id="18"/>
      </w:r>
      <w:r>
        <w:rPr>
          <w:rFonts w:ascii="Amiri" w:hAnsi="Amiri" w:eastAsia="Amiri" w:cs="Amiri"/>
          <w:color w:val="111111"/>
          <w:sz w:val="28"/>
          <w:sz w:val="28"/>
          <w:szCs w:val="28"/>
          <w:rtl w:val="true"/>
          <w:lang w:bidi="ar-SA"/>
        </w:rPr>
        <w:t>فظنَّوا أنَّه بعد إدراك الإنسان لمزايا القرآن الكريم لا يكون عجزه عن الإتيان بمثله إلّا لأنَّه تعالى صرفهم عن ذلك بأنْ سلبهم القدرة على إنشاء مثله، وهو القول المعبّر عنه في علم الكلام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عليهم أنَّ الذّوق المدرِك لا يجب أنْ يكون مولّداً؛ لأنَّ التّوليد بحاجة إلى قوّة زائدة على الإدراك، فليس وجه إعجاز القرآن إلّا ما اعترف به الجميع من فصاحته المفرطة ونظمه الخاصّ وأسلوبه البديع</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ذكرناه حول الكلام البليغ يجري في كثير من الأمور الفنيّة مثل الخط، فإنَّ من النّاس مَنْ يدرك الخط الجميل، ولكنَّه لا يملك مهارة كتابة مثله، ومنهم مَنْ يدركه ويملك هذه المهارة، وهكذا الحال في سائر النّتاجات الفنيّة مثل القصص والمصنوعات اليدوية</w:t>
      </w:r>
      <w:r>
        <w:rPr>
          <w:rFonts w:eastAsia="Amiri" w:cs="Amiri" w:ascii="Amiri" w:hAnsi="Amiri"/>
          <w:color w:val="111111"/>
          <w:sz w:val="28"/>
          <w:szCs w:val="28"/>
          <w:rtl w:val="true"/>
          <w:lang w:bidi="ar-SA"/>
        </w:rPr>
        <w:t xml:space="preserve">. </w:t>
      </w:r>
      <w:bookmarkStart w:id="61" w:name="pg9124_98477"/>
    </w:p>
    <w:p>
      <w:pPr>
        <w:pStyle w:val="BookText"/>
        <w:rPr/>
      </w:pPr>
      <w:bookmarkEnd w:id="61"/>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مراتب الإدراك بأنْ يختلف الذّوقان في مدى الإحساس بمزايا الكلام لفظاً ومعنىً من وزنٍ وفصاحةٍ وتناسبٍ وامتيازٍ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من الاختلاف أيضاً حالة مشهودة بالمقارنة بين النّاس، وقد اعترف بطرف من ذلك علماء البلاغة حيث أشاروا إلى أنَّ الذّوق على قسمين سليم وسقيم، فالذّوق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الذّوق الّذي يَدرك تنافر حروف الكلمة ويحسّ بأوصافها ثقلاً وخفةً، والذّوق السّقيم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مراتب الذّوق الأدبيّ لا تنحصر في قسمين، وإنَّما هو على مستويات مختلفة في السّلامة والصّفاء، ويقلُّ مَنْ يخلو من مرتبة منها كما يقلُّ مَنْ يبلغ أقصاه من أبناء اللّغة العربية في العصور المتأخّرة،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وتنافر حروف الكلمة ذو مراتب مختلفة شدّة وضعفاً، ومن الجائز أنْ يكون هناك مَن يدرك التّنافر في بعض مراتبه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ومجال مدركات الذّوق لا ينحصر في تنافر الحروف كما تقدّم</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2933102_2870459653"/>
      <w:bookmarkStart w:id="63" w:name="_Toc23"/>
      <w:bookmarkEnd w:id="62"/>
      <w:r>
        <w:rPr/>
        <w:t>7</w:t>
      </w:r>
      <w:r>
        <w:rPr>
          <w:rtl w:val="true"/>
        </w:rPr>
        <w:t xml:space="preserve">. </w:t>
      </w:r>
      <w:r>
        <w:rPr>
          <w:rtl w:val="true"/>
        </w:rPr>
        <w:t>انحراف الذّوق الأدبيّ</w:t>
      </w:r>
      <w:bookmarkEnd w:id="63"/>
    </w:p>
    <w:p>
      <w:pPr>
        <w:pStyle w:val="BookText"/>
        <w:rPr/>
      </w:pPr>
      <w:r>
        <w:rPr>
          <w:rFonts w:ascii="Amiri" w:hAnsi="Amiri" w:eastAsia="Amiri" w:cs="Amiri"/>
          <w:color w:val="111111"/>
          <w:sz w:val="28"/>
          <w:sz w:val="28"/>
          <w:szCs w:val="28"/>
          <w:rtl w:val="true"/>
          <w:lang w:bidi="ar-SA"/>
        </w:rPr>
        <w:t>يلاحظ أنَّ الذّوق الأدبيّ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 ومنحرف، والفرق بين انحراف الذّوق وضعفه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الضّعيف لا يدرك ضرباً من المزايا الدّقيقة بينما الذّوق المنحرف يرى الكلام الخالي عن المزيّة واجداً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بينهما كالفرق بين من يتوقّف في الطّريق المستقيم إلى 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بظنّ وصوله إلى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ينحرف عن الطّريق إلى طريق آخر ولذلك كان الذّوق الضّعيف ضرباً من الذّوق المستقيم والذّوق المنحرف مقابلاً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وظاهرة الانحراف أيضاً حالة مشهودة في بعض النّاس</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يحدث أنْ يعتقد صاحب الذّوق الضّعيف مزيّة للكلام ليس بمزيّة، أو لا يتصف </w:t>
      </w:r>
      <w:bookmarkStart w:id="64" w:name="pg9124_98478"/>
    </w:p>
    <w:p>
      <w:pPr>
        <w:pStyle w:val="BookText"/>
        <w:rPr/>
      </w:pPr>
      <w:bookmarkEnd w:id="64"/>
      <w:r>
        <w:rPr>
          <w:rFonts w:ascii="Amiri" w:hAnsi="Amiri" w:eastAsia="Amiri" w:cs="Amiri"/>
          <w:color w:val="111111"/>
          <w:sz w:val="28"/>
          <w:sz w:val="28"/>
          <w:szCs w:val="28"/>
          <w:rtl w:val="true"/>
          <w:lang w:bidi="ar-SA"/>
        </w:rPr>
        <w:t>بها لكن لا لانحراف في الذّوق، وإنَّما لإدراك خاطئ، أو إحساس كاذب كما مرّ في الأمر الرّابع</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2933104_2870459653"/>
      <w:bookmarkStart w:id="66" w:name="_Toc24"/>
      <w:bookmarkEnd w:id="65"/>
      <w:r>
        <w:rPr/>
        <w:t>8</w:t>
      </w:r>
      <w:r>
        <w:rPr>
          <w:rtl w:val="true"/>
        </w:rPr>
        <w:t xml:space="preserve">. </w:t>
      </w:r>
      <w:r>
        <w:rPr>
          <w:rtl w:val="true"/>
        </w:rPr>
        <w:t>علوّ أذواق العرب في الجاهلية وصدر الإسلام وبعض مظاهر ذلك</w:t>
      </w:r>
      <w:bookmarkEnd w:id="66"/>
    </w:p>
    <w:p>
      <w:pPr>
        <w:pStyle w:val="BookText"/>
        <w:rPr/>
      </w:pPr>
      <w:r>
        <w:rPr>
          <w:rFonts w:ascii="Amiri" w:hAnsi="Amiri" w:eastAsia="Amiri" w:cs="Amiri"/>
          <w:color w:val="111111"/>
          <w:sz w:val="28"/>
          <w:sz w:val="28"/>
          <w:szCs w:val="28"/>
          <w:rtl w:val="true"/>
          <w:lang w:bidi="ar-SA"/>
        </w:rPr>
        <w:t xml:space="preserve">لا شكّ في أنَّ العرب في الجاهلية وصدر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القاطنين منهم بالحجاز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على مراتب عالية من الذّوق الأدبيّ، كما أنَّ تفاضل لغاتهم في الفصاحة إنَّما يرجع إلى تفاوتهم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يقال إنَّ لغة الحجاز أفضل من لغة تميم وغيرها فلا يعني ذلك إلّا ابتناء لغتهم على سليقة أدبيّة عالية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مظاهر هذا المعنى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المتأمّل في معاني الكلمات لغةً يجد أنَّ وضعهم لبعض الموادّ والهيئات لمعاني خاصّة مبنيّة على مناسبات دقيقة ملحوظة بين نغمة الأصوات الّتي تتألّف منها وبين تلك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رجع إلى هذا المعنى ما نسب إلى بعض العلماء من القول بكون دلالة الألفاظ ذاتيّة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 هيئات عامّة لمعانٍ نوعيّة كهيئات الصّفات والأفعال والمصادر والجموع فإنَّ هذه الهيئات لم تحدث بوضع عامّ واحد كأنْ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وضعت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 تكسير الثّلاثي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جروا فيها على الوضع المماثل في الموادّ المختلفة بحسب سليقتهم اللّغوية فانتزع من خلال تجمّع الأمثلة الكثيرة هذه الهيئات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اللّغات تبتني في مرحلة وضعها ونموّها على ترشّحات ذوقيّة قويّة من أهلها ربّما غفل عنها المتأخّرون من أبنائها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الالتزام بوضعٍ ثابت أو منظّم في أواخر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مبنى قواعد البناء والإعراب المذكورة في علم النّحو، فإنَّ هذا الالتزام لم ينشأ عن وضعٍ</w:t>
      </w:r>
      <w:bookmarkStart w:id="67" w:name="pg9124_98479"/>
    </w:p>
    <w:p>
      <w:pPr>
        <w:pStyle w:val="BookText"/>
        <w:rPr/>
      </w:pPr>
      <w:bookmarkEnd w:id="67"/>
      <w:r>
        <w:rPr>
          <w:rFonts w:ascii="Amiri" w:hAnsi="Amiri" w:eastAsia="Amiri" w:cs="Amiri"/>
          <w:color w:val="111111"/>
          <w:sz w:val="28"/>
          <w:sz w:val="28"/>
          <w:szCs w:val="28"/>
          <w:rtl w:val="true"/>
          <w:lang w:bidi="ar-SA"/>
        </w:rPr>
        <w:t>مسبقٍ عامٍّ لتلك القواعد قد راعاها العرب تعبّداً وتكلّفاً كما يراعيها المتعلّمون لها من أبناء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نشأ عن وجود مناسبات معيّنة اقتضت تلك الأمور كرفع العُمَد في الكلام كالمبتدأ والخبر والفاعل، ونصب الفضلة كالمفاعيل والحال والتمييز فكان التزامهم بذلك استجابة لتلك المناسبات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براعتهم في تعريف المعاني بالكناية والاستعارة والتشبيه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اهتداؤهم إلى سائر النّظم البلاغية المعنويّة واللّفظيّة كالأوزان الشّعريّة ووجوه المحسّنات النّثريّة كالسّجع والموازنة، وإحساسهم بها بأدواتهم بما أتاح لهم القدرة على مراعاتها من غير حاجة إلى القواعد الصّناعيّة الّتي وضعها علماء اللّغة بعد ذلك</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2933106_2870459653"/>
      <w:bookmarkStart w:id="69" w:name="_Toc25"/>
      <w:bookmarkEnd w:id="68"/>
      <w:r>
        <w:rPr/>
        <w:t>9</w:t>
      </w:r>
      <w:r>
        <w:rPr>
          <w:rtl w:val="true"/>
        </w:rPr>
        <w:t xml:space="preserve">. </w:t>
      </w:r>
      <w:r>
        <w:rPr>
          <w:rtl w:val="true"/>
        </w:rPr>
        <w:t>هبوط مستوى الذّوق العربيّ بعد ذلك وآثاره في العلوم الأدبيّة</w:t>
      </w:r>
      <w:bookmarkEnd w:id="69"/>
    </w:p>
    <w:p>
      <w:pPr>
        <w:pStyle w:val="BookText"/>
        <w:rPr/>
      </w:pPr>
      <w:r>
        <w:rPr>
          <w:rFonts w:ascii="Amiri" w:hAnsi="Amiri" w:eastAsia="Amiri" w:cs="Amiri"/>
          <w:color w:val="111111"/>
          <w:sz w:val="28"/>
          <w:sz w:val="28"/>
          <w:szCs w:val="28"/>
          <w:rtl w:val="true"/>
          <w:lang w:bidi="ar-SA"/>
        </w:rPr>
        <w:t>وقد هبط مستوى الذّوق العربي بعد الإسلام شيئاً فشيئاً كما ينعكس ذلك في ظواهر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مراعاة الظّواهر اللّغوية على انتزاع قواعد عامّة منها، والتّكلّف في العمل عليها، وفَقْد حالة الإحساس بالمناسبات الّتي اقتضتها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ترك هذا الهبوط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شمل أيضاً علماء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ظواهر سلبيّة متعدّدة في العلوم الأدبيّة، ولعلّ بالإمكان إرجاعها إلى ظواهر رئيسة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الإفراط في تفسير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اعتبارها أكثر من مستواها لدى العرب، فقد تكون مراعاة العرب لأمر ما في مستوى التّناسب فيعتبرها علماء اللّغة قاعدة ملزمة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ذلك في القواعد الإعرابيّة كما سيأتي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التّفريط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إهمال ظاهرة ما ولو لعدم التّوجّه إليها كإهمال اختلاف الكلمات الفصيحة في الجمال أو اختلاف جمال الكلام بحسبها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الخاطئ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تحليل الظّاهرة على وجهها الواقعي، وهو </w:t>
      </w:r>
      <w:bookmarkStart w:id="70" w:name="pg9124_98480"/>
    </w:p>
    <w:p>
      <w:pPr>
        <w:pStyle w:val="BookText"/>
        <w:rPr/>
      </w:pPr>
      <w:bookmarkEnd w:id="70"/>
      <w:r>
        <w:rPr>
          <w:rFonts w:ascii="Amiri" w:hAnsi="Amiri" w:eastAsia="Amiri" w:cs="Amiri"/>
          <w:color w:val="111111"/>
          <w:sz w:val="28"/>
          <w:sz w:val="28"/>
          <w:szCs w:val="28"/>
          <w:rtl w:val="true"/>
          <w:lang w:bidi="ar-SA"/>
        </w:rPr>
        <w:t>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يرجع ذلك إلى الخطأ في ترصّد الظّاهرة ممّا يوجب عدم تماميّة القاعدة المجعولة كضابط لها، كخطأ النّحاة في اعتبار مثل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صيغاً متعدّدة اعتباراً بالحروف الأصليّة مع أنّها جميعاً صيغة واحدة ضابطها إضافة الألف بعد ثاني حروف الكلمة أو على ثاني حروفها، واختلاف الحروف الأصلية يرجع إلى اختلاف المفردات في نفسها ولا دخالة لجموعها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يرجع الخطأ في تحليل الظّاهرة إلى مجرّد الخطأ في معرفة فقه اللّغة وتعليل وجه بناء العرب عليها فلا يوجب الضّابط المجعول لها، ومن هذا القبيل أكثر التّعليلات النّحوية والصّرفية لقواعد هذين العلمين، ففي جوّ غياب الذّوق المنبّه على التّناسب الطّبيعي في الالتزام بالظّاهرة تكثر التّعليلات المشتبهة طبعاً عند التّعدّي لتحليلها ومعرفة أُسسها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نجمتْ عن هذه الظّواهر آثارٌ سلبية عميقة وربّما مستوعبة في مختلف العلوم الأدبية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يكاد يتغيّر أركان بعض هذه العلوم على تقدير إصلاحها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وقع في علم الأصوات من الاعتقاد بأنَّ الألف وأختيها حروف مع أنَّها على حدّ الحركات، ورتبوا على ذلك أنَّ ما قبل الألف مفتوح، وما قبل الواو مضموم، وما قبل الياء مكسور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موضوع لذلك بعد كونها من قبيل الحركات، وقد وقعت أخطاء في علم الصّرف والنحو لا يسع المقام ذكرها</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2933108_2870459653"/>
      <w:bookmarkStart w:id="72" w:name="_Toc26"/>
      <w:bookmarkEnd w:id="71"/>
      <w:r>
        <w:rPr/>
        <w:t>10</w:t>
      </w:r>
      <w:r>
        <w:rPr>
          <w:rtl w:val="true"/>
        </w:rPr>
        <w:t xml:space="preserve">. </w:t>
      </w:r>
      <w:r>
        <w:rPr>
          <w:rtl w:val="true"/>
        </w:rPr>
        <w:t>اختلاف مدركات الذّوق الأدبيّ في مدى قبولها للبيان التّحليلي</w:t>
      </w:r>
      <w:bookmarkEnd w:id="72"/>
    </w:p>
    <w:p>
      <w:pPr>
        <w:pStyle w:val="BookText"/>
        <w:rPr/>
      </w:pPr>
      <w:r>
        <w:rPr>
          <w:rFonts w:ascii="Amiri" w:hAnsi="Amiri" w:eastAsia="Amiri" w:cs="Amiri"/>
          <w:color w:val="111111"/>
          <w:sz w:val="28"/>
          <w:sz w:val="28"/>
          <w:szCs w:val="28"/>
          <w:rtl w:val="true"/>
          <w:lang w:bidi="ar-SA"/>
        </w:rPr>
        <w:t>إنَّ مدركات الذّوق الأدبيّ على ثلاثة أقسام في مدى قبولها للبيان التّحليلي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يسهل تحليله سواء كانت مزايا معنويّة أو لفظيّة كالسّجع والموازنة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يعسر تحليله فيتوقّف على قدرة ذوقيّة وقدرة تحليليّة بالغة على ضوء التّسلّط على العلوم الأدبيّة وممارسة النّصوص الأدبيّة ومزاياها، وقد يختلف العلماء في محاولة تحليل ذلك على وجوه مختلفة، وممّا يندرج تحت ذلك تحصيل الفرق في بعض المفردات المتقاربة الّتي يشهد الذّوق اللّغوي بعدم ترادفها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يتعذّر تحليله أصلاً فهو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يدرك ولا يوصف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حالة مشهودة في النّكات المعنويّة والمزايا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النّكات المعنويّة فكثيراً ما يجد الإنسان الممارس جمالاً معنويّاً في الكلام مع أحد اللّفظين دون الآخر من دون قدرة على تحليله بالتأمّل والمقارنة بين مفهوميهما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من جهة خفائها وإلّا لتمكّن من بيانها صاحب الذّوق العالي الّذي يحسّ بها بوضوح وإنّما لدقّتها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المزايا اللّفظيّة فهو أوضح، فإنَّ اختلاف الألفاظ المفردة والمؤلّفة في الفصاحة وعدمها وكذلك اختلاف الفصيح منها في مستوى الرّوعة والجمال الذّاتي ممّا لا سبيل إلى تحليله؛ لأنَّه وليد مدى تناسب وانسجام الأصوات المجتمعة وكيفيّاتها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 والسّكون والحركة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التّناسب في كلّ كلمة أو كلام وليد حالة جزئيّة خاصّة، ولا سبيل إلى تحليل تلك الحالات الجزئية على ضوء صفات الحروف المجتمعة وتحصيل ضابط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سيتّضح أمثلة ذلك في الفصل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بعض علماء البلاغة إعطاء ضابط لفصاحة الكلمة على وجوه متعدّدة لكنْ استقر رأي المحقّقين منهم على أنَّه لا ضابط لذلك عدا الذّوق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 حول تنافر الحروف الّذي عُدَّ من الأمور المخلّة بفصاحة الكلمة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التّنافر بسبب بُعد المخارج وأنَّ الانتقال من أحدهما إلى الآخر كالطفرة، ولا </w:t>
      </w:r>
    </w:p>
    <w:p>
      <w:pPr>
        <w:pStyle w:val="BookText"/>
        <w:rPr/>
      </w:pPr>
      <w:r>
        <w:rPr>
          <w:rFonts w:ascii="Amiri" w:hAnsi="Amiri" w:eastAsia="Amiri" w:cs="Amiri"/>
          <w:color w:val="111111"/>
          <w:sz w:val="28"/>
          <w:sz w:val="28"/>
          <w:szCs w:val="28"/>
          <w:rtl w:val="true"/>
          <w:lang w:bidi="ar-SA"/>
        </w:rPr>
        <w:t xml:space="preserve">بسبب قربها وأنَّ الانتقال من أحدهما إلى الآخر كالمشي في القيد لما نجد غير متنافر من قريب المخرج كالجيش والشجّي وفي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البعيدة ما هو بخلافه كملع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أسرع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ذلك بسبب أنَّ الإخراج عن الحلق إلى الشّفّة أيسر من إدخاله من الشّفة إلى الحلق لما نجد من حسن غلب وبلغ وحلم وملح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أمر ذوقيّ فكل ما عدّه الذّوق الصّحيح ثقيلاً متعسر النّطق فهو متنافر سواء كان من قُرب المخارج أو بُعدها أو غير ذلك</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لهذا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ولهذا اكتفى المصنّف بالتمثيل ولم يتعرّض لتحقيقه وبيان سببه لتعذّر ضبطه، فالأوْلى أنْ يحال إلى سلامة الذّوق</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من أمثلة حالة تعذّر بيان المزايا المعنويّة واللفظيّة جميعاً الفارق النّوعي المحسوس بين النّصوص الأدبيّة المختلفة الصّادرة عن متكلّم عمّا صدر عن متكلّم آخر على وجهٍ يمكن أنْ يميّز به عدم صحة بعض ما كان للأوَّل فنسب إلى الثّاني وبالعكس، وليس ذلك إلّا لاختلاف القرائح والأذواق الأدبيّة المولّدة للكلام البليغ الّذي يُستشفّ من خلال مجموع كلماته وإنْ لم يكن سبيل إلى توصيفها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تمسّك بهذا المعنى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نهج البلاغة</w:t>
      </w:r>
      <w:r>
        <w:rPr>
          <w:rStyle w:val="FootnoteAnchor"/>
          <w:rtl w:val="true"/>
        </w:rPr>
        <w:footnoteReference w:id="21"/>
      </w:r>
      <w:r>
        <w:rPr>
          <w:rFonts w:ascii="IRNazanin" w:hAnsi="IRNazanin" w:eastAsia="IRNazanin"/>
          <w:color w:val="111111"/>
          <w:sz w:val="28"/>
          <w:sz w:val="28"/>
          <w:szCs w:val="28"/>
          <w:rtl w:val="true"/>
          <w:lang w:bidi="fa-IR"/>
        </w:rPr>
        <w:t xml:space="preserve">في إبطال دعوى كون ما ورد فيه مختلقاً ومجعولاً على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ضارباً لذلك أمثلة عديدة من خلال قصائد الشّعراء، بل القرآن الكريم نفسه</w:t>
      </w:r>
      <w:r>
        <w:rPr>
          <w:rFonts w:eastAsia="IRNazanin" w:cs="IRNazanin"/>
          <w:color w:val="111111"/>
          <w:sz w:val="28"/>
          <w:szCs w:val="28"/>
          <w:rtl w:val="true"/>
          <w:lang w:bidi="fa-IR"/>
        </w:rPr>
        <w:t xml:space="preserve">. </w:t>
      </w:r>
      <w:bookmarkStart w:id="73" w:name="pg9124_98483"/>
    </w:p>
    <w:p>
      <w:pPr>
        <w:pStyle w:val="Heading5"/>
        <w:numPr>
          <w:ilvl w:val="4"/>
          <w:numId w:val="1"/>
        </w:numPr>
        <w:rPr/>
      </w:pPr>
      <w:bookmarkStart w:id="74" w:name="__RefHeading___Toc2933110_2870459653"/>
      <w:bookmarkStart w:id="75" w:name="_Toc27"/>
      <w:bookmarkEnd w:id="73"/>
      <w:bookmarkEnd w:id="74"/>
      <w:r>
        <w:rPr/>
        <w:t>11</w:t>
      </w:r>
      <w:r>
        <w:rPr>
          <w:rtl w:val="true"/>
        </w:rPr>
        <w:t xml:space="preserve">. </w:t>
      </w:r>
      <w:r>
        <w:rPr>
          <w:rtl w:val="true"/>
        </w:rPr>
        <w:t>عدم كفاية التّدقيق النّظري عن الذّوق الأدبيّ</w:t>
      </w:r>
      <w:bookmarkEnd w:id="75"/>
    </w:p>
    <w:p>
      <w:pPr>
        <w:pStyle w:val="BookText"/>
        <w:rPr/>
      </w:pPr>
      <w:r>
        <w:rPr>
          <w:rFonts w:ascii="Amiri" w:hAnsi="Amiri" w:eastAsia="Amiri" w:cs="Amiri"/>
          <w:color w:val="111111"/>
          <w:sz w:val="28"/>
          <w:sz w:val="28"/>
          <w:szCs w:val="28"/>
          <w:rtl w:val="true"/>
          <w:lang w:bidi="ar-SA"/>
        </w:rPr>
        <w:t>يلاحظ أنَّ التّدقيق النّظري لا يكفي عن الذّوق الأدبيّ في استكشاف مزايا الكلمة والكلام حتّى فيما كانت المزيّة تقبل التّحليل والبيان؛ وذلك لأنَّ التّدقيق وإنْ كان يؤدي إلى استكشاف المزيّة أحياناً، إلّا أنَّه لا يؤدي إلى ذلك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طريق غير مأمون، إذْ ربّما تكون النّكتة المستنبطة نكتة مبذولة لا قيمة لها ذوقاً، أو تكون منتقضة بموارد أخرى لم يطّلع عليها النّاظر، وسيأتي لذلك أمثلة في الفصل الثّالث</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2933112_2870459653"/>
      <w:bookmarkStart w:id="77" w:name="_Toc28"/>
      <w:bookmarkEnd w:id="76"/>
      <w:r>
        <w:rPr>
          <w:rtl w:val="true"/>
        </w:rPr>
        <w:t>الطريق الثّاني</w:t>
      </w:r>
      <w:r>
        <w:rPr>
          <w:rtl w:val="true"/>
        </w:rPr>
        <w:t xml:space="preserve">: </w:t>
      </w:r>
      <w:r>
        <w:rPr>
          <w:rtl w:val="true"/>
        </w:rPr>
        <w:t>الضّوابط الأدبيّة</w:t>
      </w:r>
      <w:bookmarkEnd w:id="77"/>
    </w:p>
    <w:p>
      <w:pPr>
        <w:pStyle w:val="Heading5"/>
        <w:numPr>
          <w:ilvl w:val="4"/>
          <w:numId w:val="1"/>
        </w:numPr>
        <w:rPr/>
      </w:pPr>
      <w:bookmarkStart w:id="78" w:name="__RefHeading___Toc2933114_2870459653"/>
      <w:bookmarkStart w:id="79" w:name="_Toc29"/>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 xml:space="preserve">الطّريق الثّاني للاهتداء إلى مزايا الكلام الضّوابط الأدبيّة الّتي هي تحليلات عامّة لجوانب من مدركات الذّوق الأدبيّ، وقد تعرّض لها أو لطرف منها في علم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قسم البديع منها </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2933116_2870459653"/>
      <w:bookmarkStart w:id="81" w:name="_Toc30"/>
      <w:bookmarkEnd w:id="80"/>
      <w:r>
        <w:rPr/>
        <w:t>1</w:t>
      </w:r>
      <w:r>
        <w:rPr>
          <w:rtl w:val="true"/>
        </w:rPr>
        <w:t xml:space="preserve">. </w:t>
      </w:r>
      <w:r>
        <w:rPr>
          <w:rtl w:val="true"/>
        </w:rPr>
        <w:t>انقسام المزايا إلى ما يقبل الضّابط وما لا يقبله</w:t>
      </w:r>
      <w:bookmarkEnd w:id="81"/>
    </w:p>
    <w:p>
      <w:pPr>
        <w:pStyle w:val="BookText"/>
        <w:rPr/>
      </w:pPr>
      <w:r>
        <w:rPr>
          <w:rFonts w:ascii="Amiri" w:hAnsi="Amiri" w:eastAsia="Amiri" w:cs="Amiri"/>
          <w:color w:val="111111"/>
          <w:sz w:val="28"/>
          <w:sz w:val="28"/>
          <w:szCs w:val="28"/>
          <w:rtl w:val="true"/>
          <w:lang w:bidi="ar-SA"/>
        </w:rPr>
        <w:t>تنقسم المزايا اللّفظيّة والمعنويّة جميعاً إلى قسمين، قسم يقبل الضّابط، وقسم لا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المزايا اللّفظيّة فممّا لا يقبل الضّابط منها ما يتعلّق بالجمال الذّاتي للفظ بمفرده أو بموقعه في الجملة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يقبل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مزايا عدّة مذكورة في قسم المحسّنات اللّفظيّة من علم البديع كالسّجع والموازنة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المزايا المعنويّة فما لا يقبل الضّابط منها هو النّكات الجزئيّة المختلفة بحسب خصوصيات الموارد من قبيل ترجيح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أَوْهَنَ الْبُيُوتِ لَبَيْتُ الْعَنْكَبُوتِ</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يقبل الضّابط منها جهات مذكورة </w:t>
      </w:r>
      <w:bookmarkStart w:id="82" w:name="pg9124_98484"/>
    </w:p>
    <w:p>
      <w:pPr>
        <w:pStyle w:val="BookText"/>
        <w:rPr/>
      </w:pPr>
      <w:bookmarkEnd w:id="82"/>
      <w:r>
        <w:rPr>
          <w:rFonts w:ascii="Amiri" w:hAnsi="Amiri" w:eastAsia="Amiri" w:cs="Amiri"/>
          <w:color w:val="111111"/>
          <w:sz w:val="28"/>
          <w:sz w:val="28"/>
          <w:szCs w:val="28"/>
          <w:rtl w:val="true"/>
          <w:lang w:bidi="ar-SA"/>
        </w:rPr>
        <w:t>في المحسّنات المعنويّة من علم البديع كالطباق</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يظهر أنَّ علم البديع هو المتكفّل للمزايا النّوعيّة المعنويّة واللّفظيّة، إلّا أنَّهم لم ينبّهوا فيها على وجود مزايا أخرى جزئيّة للكلام، بل لم أجد التّنبيه على وجود مزايا لفظيّة من حيث اختلاف الألفاظ الفصيحة في مستوى الجمال حتّى في كلماتهم المتفرّقة في غضون كتب التّفسير ونحوها</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2933118_2870459653"/>
      <w:bookmarkStart w:id="84" w:name="_Toc31"/>
      <w:bookmarkEnd w:id="83"/>
      <w:r>
        <w:rPr/>
        <w:t>2</w:t>
      </w:r>
      <w:r>
        <w:rPr>
          <w:rtl w:val="true"/>
        </w:rPr>
        <w:t xml:space="preserve">. </w:t>
      </w:r>
      <w:r>
        <w:rPr>
          <w:rtl w:val="true"/>
        </w:rPr>
        <w:t>بعض المزايا المعنويّة واللّفظيّة العامّة</w:t>
      </w:r>
      <w:bookmarkEnd w:id="84"/>
    </w:p>
    <w:p>
      <w:pPr>
        <w:pStyle w:val="BookText"/>
        <w:rPr/>
      </w:pPr>
      <w:r>
        <w:rPr>
          <w:rFonts w:ascii="Amiri" w:hAnsi="Amiri" w:eastAsia="Amiri" w:cs="Amiri"/>
          <w:color w:val="111111"/>
          <w:sz w:val="28"/>
          <w:sz w:val="28"/>
          <w:szCs w:val="28"/>
          <w:rtl w:val="true"/>
          <w:lang w:bidi="ar-SA"/>
        </w:rPr>
        <w:t>ذكر علماء البديع طائفة من المزايا المعنويّة واللفظيّة، إلّا أنَّ جملة منها لا يخلو عن ملاحظات كالإرصاد والإدماج والجمع</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الإدماج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يُضمّن كلام سيق لمعنى مدحاً كان أو غيره معنى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يجمع بين متعدد اثنين أو أكثر في حكم واحد،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زِينَةُ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جملة منها وإنْ كانت لا تخلو عن نكتة إلّا أنَّه ممّا لا يليق بالكلام القرآني من قبيل التّورية والتوجيه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محتمل الضّدين، وهو إيراد الكلام محتملاً لوجهين مختلفين، أي متباينين متضادين كالمدح والذم مثلاً، ولا يكفي مجرد احتمال معنيين متغايرين كقول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عور ليت عينيه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تمني صحة العين العوراء فيكون دعاء له والعكس فيكون دعاء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السّكاكي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التّوجيه متشابهات القرآن باعتبارٍ وهو احتمالها لوجهين مختلفين وتفارقه باعتبار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الظّاهر أنَّه لا</w:t>
      </w:r>
    </w:p>
    <w:p>
      <w:pPr>
        <w:pStyle w:val="BookText"/>
        <w:rPr/>
      </w:pPr>
      <w:r>
        <w:rPr>
          <w:rFonts w:ascii="Amiri" w:hAnsi="Amiri" w:eastAsia="Amiri" w:cs="Amiri"/>
          <w:color w:val="111111"/>
          <w:sz w:val="28"/>
          <w:sz w:val="28"/>
          <w:szCs w:val="28"/>
          <w:rtl w:val="true"/>
          <w:lang w:bidi="ar-SA"/>
        </w:rPr>
        <w:t xml:space="preserve">تعلّق لشيء من المحسّنات المعنويّة بظاهرة اختيار بعض الكلمات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نحن بصدد تفسيرها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المحسّنات اللّفظيّة فأهمها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الجناس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تشابه اللّفظين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تماماً بالاتفاق في نوع الحروف وأعدادها وهيئاتها وترتيبها، أو في بعض ذلك، مع الاشتراك في أكثر من حرفين، ومن أمثلته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الحال من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 مطيّة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السّجع وهو توافق الفاصلتين من النّثر في الحرف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يعتبر فيه مضافاً إلى ذلك تماثل وزن آخر الكلمتين أو تقاربه بتماثل الحرفين أو الحروف الثّلاثة الأخيرة في حركاتها وسكناتها، أو تقاربها في ذلك، وينقسم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السّجع المطرف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تختلف الفاصلتان في الوّزن والتّقفية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الْأَرْضَ مِهَادًا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وَالْجِبَالَ أَوْتَادًا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السّجع المتوازي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تتّفق الفاصلتان في الوزن والتّقفية جميعاً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فِيهَا سُرُرٌ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وَأَكْوَابٌ مَوْضُوعَةٌ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تساوي الفاصلتين في الوزن دون التّقفية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وَنَمَارِقُ مَصْفُوفَةٌ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وَزَرَابِيُّ مَبْثُوثَةٌ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تناسب فقر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أوزان مجموع الجملتين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بأنْ تكون متساوية طولاً وقصراً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سِدْرٍ مَّخْضُودٍ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مَّمْدُودٍ</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 أو بأن تكون الثّانية أطول من الأولى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ولا يحسن عكس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تماثل سائر الألفاظ في الفقر المتساوية أو تقاربها من حيث الوزن، أو من حيث الحرف الأخير، أو من الجهتين معاً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وَآَتَيْنَاهُمَا الْكِتَابَ الْمُسْتَبِينَ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وَهَدَيْنَاهُمَا الصِّرَاطَ الْمُسْتَقِيمَ</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الْفُجَّارَ لَفِي جَحِيمٍ</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وقول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يطبع الأسجاع بجواهر لفظه ويقرع الأسماع بزواجر وعظه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المزيّتين الأخيرتين علماء البلاغة في ضمن تقسيمات السّجع والموازنة، مع أنَّه لا تعلّق لهما بذلك؛ لأنَّ السّجع والموازنة إنَّما هما من شؤون فواصل الجمل وأواخرها فتناسب صدورها مزيّة مستقلة ولا يوجب جمالاً في نفس السّجع أو الموازنة كما هو ظاهر</w:t>
      </w:r>
      <w:r>
        <w:rPr>
          <w:rFonts w:eastAsia="Amiri" w:cs="Amiri" w:ascii="Amiri" w:hAnsi="Amiri"/>
          <w:color w:val="111111"/>
          <w:sz w:val="28"/>
          <w:szCs w:val="28"/>
          <w:rtl w:val="true"/>
          <w:lang w:bidi="ar-SA"/>
        </w:rPr>
        <w:t xml:space="preserve">. </w:t>
      </w:r>
      <w:bookmarkStart w:id="85" w:name="pg9124_98487"/>
    </w:p>
    <w:p>
      <w:pPr>
        <w:pStyle w:val="Heading5"/>
        <w:numPr>
          <w:ilvl w:val="4"/>
          <w:numId w:val="1"/>
        </w:numPr>
        <w:rPr/>
      </w:pPr>
      <w:bookmarkStart w:id="86" w:name="__RefHeading___Toc2933120_2870459653"/>
      <w:bookmarkStart w:id="87" w:name="_Toc32"/>
      <w:bookmarkEnd w:id="85"/>
      <w:bookmarkEnd w:id="86"/>
      <w:r>
        <w:rPr/>
        <w:t>3</w:t>
      </w:r>
      <w:r>
        <w:rPr>
          <w:rtl w:val="true"/>
        </w:rPr>
        <w:t xml:space="preserve">. </w:t>
      </w:r>
      <w:r>
        <w:rPr>
          <w:rtl w:val="true"/>
        </w:rPr>
        <w:t>عدم استيعاب علماء البلاغة للمزايا اللّفظيّة</w:t>
      </w:r>
      <w:bookmarkEnd w:id="87"/>
    </w:p>
    <w:p>
      <w:pPr>
        <w:pStyle w:val="BookText"/>
        <w:rPr/>
      </w:pPr>
      <w:r>
        <w:rPr>
          <w:rFonts w:ascii="Amiri" w:hAnsi="Amiri" w:eastAsia="Amiri" w:cs="Amiri"/>
          <w:color w:val="111111"/>
          <w:sz w:val="28"/>
          <w:sz w:val="28"/>
          <w:szCs w:val="28"/>
          <w:rtl w:val="true"/>
          <w:lang w:bidi="ar-SA"/>
        </w:rPr>
        <w:t>ويلاحظ أنَّ هناك مزايا لم يشر إليها علماء البلاغة، من قبيل تناسب الوصف والموصوف، أو المعطوف والمعطوف عليه في الوزن، أو الحرف الأخير، وإنْ كان المتعاطفان جزءاً من جملة واحدة وليسا جملتين مستقلتين</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2933122_2870459653"/>
      <w:bookmarkStart w:id="89" w:name="_Toc33"/>
      <w:bookmarkEnd w:id="88"/>
      <w:r>
        <w:rPr>
          <w:rtl w:val="true"/>
        </w:rPr>
        <w:t>الطريق الثّالث</w:t>
      </w:r>
      <w:r>
        <w:rPr>
          <w:rtl w:val="true"/>
        </w:rPr>
        <w:t xml:space="preserve">: </w:t>
      </w:r>
      <w:r>
        <w:rPr>
          <w:rtl w:val="true"/>
        </w:rPr>
        <w:t>بعض العلامات الخارجية</w:t>
      </w:r>
      <w:bookmarkEnd w:id="89"/>
    </w:p>
    <w:p>
      <w:pPr>
        <w:pStyle w:val="BookText"/>
        <w:rPr/>
      </w:pPr>
      <w:r>
        <w:rPr>
          <w:rFonts w:ascii="Amiri" w:hAnsi="Amiri" w:eastAsia="Amiri" w:cs="Amiri"/>
          <w:color w:val="111111"/>
          <w:sz w:val="28"/>
          <w:sz w:val="28"/>
          <w:szCs w:val="28"/>
          <w:rtl w:val="true"/>
          <w:lang w:bidi="ar-SA"/>
        </w:rPr>
        <w:t>الطريق الثّالث للاهتداء إلى وجود مزيّة في الكلمة تشكّل علامة خارجيّة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التزام المتكلّم البليغ باستعمال كلمة ما بين بديلاتها ما لم يوجد مرجّح مقدّم عليه، فهذه الحالة تعبّر عن وجود مزيّة ما في الكلمة إنْ لم تكن معنوية فلفظيّة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الدّلالة على مراتب تبعاً لعدد استعمال الكلمة في موارد مختلفة، فكلّما تعدّدت استعمالات الكلمة كانت الدّلالة أقوى، وهي ترجع إلى مرتبتين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النّاقصة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يكون عدد موارد استعمال الكلمة على بديلاتها بحدٍّ يستشعر معه وجود مزيّة في الكلمة من غير أنْ يجزم بذلك، لاحتمال أنْ يكون ذلك على سبيل الاتفاق أو شبهه، وهي ذات مراحل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لا يبلغ استعمال الكلمة في نفسه حدّاً يوجب الجزم، ولكنَّه يكون منبّهاً للإنسان على مزيّة خفيّة في بادئ النّظر فينتقل الباحث إلى تلك المزية تفصيلاً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يبلغ عدد موارد اختيار الكلمة حدّاً يمثّل الالتزام به في التّعبير عن المعنى فلا ينفكّ عن مزيّة بمقتضى الحكمة</w:t>
      </w:r>
      <w:r>
        <w:rPr>
          <w:rFonts w:eastAsia="Amiri" w:cs="Amiri" w:ascii="Amiri" w:hAnsi="Amiri"/>
          <w:color w:val="111111"/>
          <w:sz w:val="28"/>
          <w:szCs w:val="28"/>
          <w:rtl w:val="true"/>
          <w:lang w:bidi="ar-SA"/>
        </w:rPr>
        <w:t xml:space="preserve">. </w:t>
      </w:r>
      <w:bookmarkStart w:id="90" w:name="pg9124_98488"/>
    </w:p>
    <w:p>
      <w:pPr>
        <w:pStyle w:val="Heading3"/>
        <w:numPr>
          <w:ilvl w:val="2"/>
          <w:numId w:val="1"/>
        </w:numPr>
        <w:rPr/>
      </w:pPr>
      <w:bookmarkStart w:id="91" w:name="__RefHeading___Toc2933124_2870459653"/>
      <w:bookmarkStart w:id="92" w:name="_Toc34"/>
      <w:bookmarkEnd w:id="90"/>
      <w:bookmarkEnd w:id="91"/>
      <w:r>
        <w:rPr>
          <w:rtl w:val="true"/>
        </w:rPr>
        <w:t>الفصل الثّالث</w:t>
      </w:r>
      <w:r>
        <w:rPr>
          <w:rtl w:val="true"/>
        </w:rPr>
        <w:t xml:space="preserve">: </w:t>
      </w:r>
      <w:r>
        <w:rPr>
          <w:rtl w:val="true"/>
        </w:rPr>
        <w:t>في تفسير ظاهرة استعمال جموع تكسير مختلفة لمفرد واحد في القرآن الكريم</w:t>
      </w:r>
      <w:bookmarkEnd w:id="92"/>
    </w:p>
    <w:p>
      <w:pPr>
        <w:pStyle w:val="Heading4"/>
        <w:numPr>
          <w:ilvl w:val="3"/>
          <w:numId w:val="1"/>
        </w:numPr>
        <w:rPr/>
      </w:pPr>
      <w:bookmarkStart w:id="93" w:name="__RefHeading___Toc2933126_2870459653"/>
      <w:bookmarkStart w:id="94" w:name="_Toc35"/>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تمهيد في ذكر أمور عديدة</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2933128_2870459653"/>
      <w:bookmarkStart w:id="96" w:name="_Toc36"/>
      <w:bookmarkEnd w:id="95"/>
      <w:r>
        <w:rPr>
          <w:rtl w:val="true"/>
        </w:rPr>
        <w:t>الأمر الأوَّل</w:t>
      </w:r>
      <w:r>
        <w:rPr>
          <w:rtl w:val="true"/>
        </w:rPr>
        <w:t xml:space="preserve">: </w:t>
      </w:r>
      <w:r>
        <w:rPr>
          <w:rtl w:val="true"/>
        </w:rPr>
        <w:t>انتساب هذه الظّاهرة</w:t>
      </w:r>
      <w:bookmarkEnd w:id="96"/>
    </w:p>
    <w:p>
      <w:pPr>
        <w:pStyle w:val="BookText"/>
        <w:rPr/>
      </w:pPr>
      <w:r>
        <w:rPr>
          <w:rFonts w:ascii="Amiri" w:hAnsi="Amiri" w:eastAsia="Amiri" w:cs="Amiri"/>
          <w:color w:val="111111"/>
          <w:sz w:val="28"/>
          <w:sz w:val="28"/>
          <w:szCs w:val="28"/>
          <w:rtl w:val="true"/>
          <w:lang w:bidi="ar-SA"/>
        </w:rPr>
        <w:t>قد عرفت فيما تقدم أنَّ هذه الظّاهرة تنتسب إلى ظاهرةٍ قرآنيةٍ كبرى في اختيار بعض الألفاظ المترادفة أو المتقاربة على بعض، ولهذه الظّاهرة فروع عدة باعتبارات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تلك الألفاظ من موادّ مختلفة،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مادّة لغويّة واحدة مع الاختلاف في الهيئة، كأثيم وآثم، وصبور وصابر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أنواع متعدّدة كالمفرد والجمع، أو الجمع واسم الجمع، أو المصدر والوصف،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نوع واحد مع اختلاف الهيئة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مصادر متعدّدة كمغفرة وغفران، ورحم ورحمة،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أوصافاً متعدّدة كشكور وشاكر، وعليم وعالم، وثالثهً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أفعالاً متعدّدة ولو بأنْ يكون بعضها من الثّلاثي المجرّد، وبعضها من المزيد مع اتحاد معناهما أو قربه، 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أسماء أجناس متعدّدة، 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جموعاً متعدّدة لمفردات متقاربة أو لمفرد واحد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الحالة الأخيرة قد تكون تلك الجموع جميعاً جمعاً سالماً كاختيار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مِنَ الْقَانِتِينَ</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 وقد يكون بعضها جمعاً سالماً، </w:t>
      </w:r>
      <w:bookmarkStart w:id="97" w:name="pg9124_98489"/>
    </w:p>
    <w:p>
      <w:pPr>
        <w:pStyle w:val="BookText"/>
        <w:rPr/>
      </w:pPr>
      <w:bookmarkEnd w:id="97"/>
      <w:r>
        <w:rPr>
          <w:rFonts w:ascii="Amiri" w:hAnsi="Amiri" w:eastAsia="Amiri" w:cs="Amiri"/>
          <w:color w:val="111111"/>
          <w:sz w:val="28"/>
          <w:sz w:val="28"/>
          <w:szCs w:val="28"/>
          <w:rtl w:val="true"/>
          <w:lang w:bidi="ar-SA"/>
        </w:rPr>
        <w:t>وبعض آخر جمع تكسير</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خطايا وخطيئات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 وراكعون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زرّاع وزارعون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وسُجُود وساجدون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سحرة وساحرون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قعود وقاعدون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وقائمون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وكفرة وكافرون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 وناصرون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ورثة ووارثون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أنبياء ونبيّون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وقد تكون جميعاً جمع تكسير، وهو موضوع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عن تفسير هذه الظّاهرة محاولة لاكتناه النّواحي الفنيّة والبلاغيّة في القرآن الكريم واستكشاف البُعد البلاغي لاختيار ألفاظ خاصة حيث ثبت تميّز القرآن الكريم على الكلام البشري بالبلاغة المعجزة</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2933130_2870459653"/>
      <w:bookmarkStart w:id="99" w:name="_Toc37"/>
      <w:bookmarkEnd w:id="98"/>
      <w:r>
        <w:rPr>
          <w:rtl w:val="true"/>
        </w:rPr>
        <w:t>الأمر الثّاني</w:t>
      </w:r>
      <w:r>
        <w:rPr>
          <w:rtl w:val="true"/>
        </w:rPr>
        <w:t xml:space="preserve">: </w:t>
      </w:r>
      <w:r>
        <w:rPr>
          <w:rtl w:val="true"/>
        </w:rPr>
        <w:t>أمثلة هذه الظّاهرة</w:t>
      </w:r>
      <w:bookmarkEnd w:id="99"/>
    </w:p>
    <w:p>
      <w:pPr>
        <w:pStyle w:val="BookText"/>
        <w:rPr/>
      </w:pPr>
      <w:r>
        <w:rPr>
          <w:rFonts w:ascii="Amiri" w:hAnsi="Amiri" w:eastAsia="Amiri" w:cs="Amiri"/>
          <w:color w:val="111111"/>
          <w:sz w:val="28"/>
          <w:sz w:val="28"/>
          <w:szCs w:val="28"/>
          <w:rtl w:val="true"/>
          <w:lang w:bidi="ar-SA"/>
        </w:rPr>
        <w:t>ولا بُدَّ من ذكر أمثلة هذه الظّاهرة ليتسنّى للباحث مطالعتها والتّأمّل في نكات الاختيار القرآني وعلّة ترجيح بعض الجموع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سطرناها في الجدول أدناه على ما استقرأناهُ بمعونة المعجم المفهرس لألفاظ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موضع ذكر الكلمات فيه ليسهل على الباحث ملاحظة الآيات الّتي حوتها كما ذكرنا عدد موارد استعمال كلّ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 المفرد —— الجمع المستعمل في القرآن —— المعجم المفهرس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أسير —— أسرى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ألف —— أُلوف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آلاف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 اللاتي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اللائي</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 —— إخوة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خليفة —— خلفاء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خلائف</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 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ساجد —— 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 ——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سِوار —— أسورة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شديد —— شداد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 شهود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 شهور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شيعة —— 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أشياع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ضعيف —— 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فاجر —— فجّار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كافر —— 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612</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ميْت —— أموات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نصيب</w:t>
      </w:r>
      <w:r>
        <w:rPr>
          <w:rStyle w:val="FootnoteAnchor"/>
          <w:rtl w:val="true"/>
        </w:rPr>
        <w:footnoteReference w:id="37"/>
      </w:r>
      <w:r>
        <w:rPr>
          <w:rFonts w:ascii="Amiri" w:hAnsi="Amiri" w:eastAsia="Amiri" w:cs="Amiri"/>
          <w:color w:val="111111"/>
          <w:sz w:val="28"/>
          <w:sz w:val="28"/>
          <w:szCs w:val="28"/>
          <w:rtl w:val="true"/>
          <w:lang w:bidi="ar-SA"/>
        </w:rPr>
        <w:t>—— نُصُب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نعمة —— 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708</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 نفوس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bookmarkStart w:id="100" w:name="pg9124_98491"/>
    </w:p>
    <w:p>
      <w:pPr>
        <w:pStyle w:val="BookText"/>
        <w:rPr/>
      </w:pPr>
      <w:bookmarkEnd w:id="100"/>
      <w:r>
        <w:rPr>
          <w:rFonts w:ascii="Amiri" w:hAnsi="Amiri" w:eastAsia="Amiri" w:cs="Amiri"/>
          <w:color w:val="111111"/>
          <w:sz w:val="28"/>
          <w:sz w:val="28"/>
          <w:szCs w:val="28"/>
          <w:rtl w:val="true"/>
          <w:lang w:bidi="ar-SA"/>
        </w:rPr>
        <w:t xml:space="preserve">وربَّما يظن مثل ذلك في موارد أخرى لا تصحّ بحسب الدّقة،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 وصحاف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القصعة</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2933132_2870459653"/>
      <w:bookmarkStart w:id="102" w:name="_Toc38"/>
      <w:bookmarkEnd w:id="101"/>
      <w:r>
        <w:rPr>
          <w:rtl w:val="true"/>
        </w:rPr>
        <w:t>الأمر الثّالث</w:t>
      </w:r>
      <w:r>
        <w:rPr>
          <w:rtl w:val="true"/>
        </w:rPr>
        <w:t xml:space="preserve">: </w:t>
      </w:r>
      <w:r>
        <w:rPr>
          <w:rtl w:val="true"/>
        </w:rPr>
        <w:t>ملاحظات على كلام السّائل</w:t>
      </w:r>
      <w:bookmarkEnd w:id="102"/>
    </w:p>
    <w:p>
      <w:pPr>
        <w:pStyle w:val="Heading5"/>
        <w:numPr>
          <w:ilvl w:val="4"/>
          <w:numId w:val="1"/>
        </w:numPr>
        <w:rPr/>
      </w:pPr>
      <w:bookmarkStart w:id="103" w:name="__RefHeading___Toc2933134_2870459653"/>
      <w:bookmarkStart w:id="104" w:name="_Toc39"/>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ويلاحظ أنَّ كلام السّائل لم يخلُ عن ملاحظات يحسن إلفات النّظر إليها لإنارة الموضوع، وذلك أنَّه سأل عن سرّ استعمال جموع تكسير مختلفة لمفردة واحدة في القرآن الكريم من النّاحية البلاغية ممثّلاً لذلك بأمثلة ثلاثة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أشهاد وشهود وشهداء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أنعام و أنعُم و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الملاحظات كما يلي</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2933136_2870459653"/>
      <w:bookmarkStart w:id="106" w:name="_Toc40"/>
      <w:bookmarkEnd w:id="105"/>
      <w:r>
        <w:rPr>
          <w:rtl w:val="true"/>
        </w:rPr>
        <w:t>الملاحظة الأُولى</w:t>
      </w:r>
      <w:bookmarkEnd w:id="106"/>
    </w:p>
    <w:p>
      <w:pPr>
        <w:pStyle w:val="BookText"/>
        <w:rPr/>
      </w:pPr>
      <w:r>
        <w:rPr>
          <w:rFonts w:ascii="Amiri" w:hAnsi="Amiri" w:eastAsia="Amiri" w:cs="Amiri"/>
          <w:color w:val="111111"/>
          <w:sz w:val="28"/>
          <w:sz w:val="28"/>
          <w:szCs w:val="28"/>
          <w:rtl w:val="true"/>
          <w:lang w:bidi="ar-SA"/>
        </w:rPr>
        <w:t>من حيث تحديد موضوع السّؤال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جموع تكسير مختلفة لمفرد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التّحديد ينحلّ إلى تحديدين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الجموع كُلّاَ ًمن قبيل جموع التّكسير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الجموع جميعاً مستعملة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السّائل لاحظ في التّحديد الأوَّل تأكّد السّؤال في هذه الحالة، لأنَّه كلّما كان أحد اللّفظين أقرب إلى الآخر كان اختيار أحدهما على الآخر أحوج إلى تفسيره ممّا إذا كانا متباعدين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فَرَضَ كون الجمعين من نوع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اتكسير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 لتقارب الكلمتين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بشأنه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التّقارب بين جموع التّكسير تقارب لفظي محضّ من حيث عدم انكسار وزن الكلمة بجمعها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تأثير لمثل ذلك في تشديد حاجة الظّاهرة إلى التّفسير، فكما يرد السّؤال عن وجه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 وسجّد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 وأشهاد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bookmarkStart w:id="107" w:name="pg9124_98492"/>
    </w:p>
    <w:p>
      <w:pPr>
        <w:pStyle w:val="BookText"/>
        <w:rPr/>
      </w:pPr>
      <w:bookmarkEnd w:id="1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 وكفرة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يرد مثله في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ساجدين وشاهدين وكافرين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قدّر وجود فرق معنويّ بين نوعي الجمع لم يوجب ذلك أيضاً خفة السّؤال حول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السّؤال إنَّما اتّجه على أساس وجود حكمة في الانتقاء القرآني للمفردات على بديلاتها، ولا فرق فيه مع وجود فارق معنوي طفيف ومع عدم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التّحديد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استعمال الجموع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لاحظ فيه أيضاً تأثيره في تأكّد السّؤال، لأنَّ في استعمال الجموع في القرآن دلالة على بلوغها مستوى المفرد القرآني في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لم يستعمل بعضها فيه فإنَّه يحتمل كون ذلك باعتبار عدم بلوغ الجمع المتروك إلى هذا المستوى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محلّ نظر؛ إذْ من الممكن إحراز بلوغ الجمع المتروك نفس المستوى بالذّوق اللّغوي العالي؛ إذْ الفصاحة ليست حالة مجهولة في اللّفظ، بل هي مشهودة بحسب الذّوق الأدبيّ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فرق مهمّ هناك بين كون الجموع جميعاً جموع تكسير أو جموع سلامة أو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كونها جميعاً مستعملة في القرآن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حدّدنا موضوع الرّسالة بذلك محافظة على اختصارها، على أنَّه نموذج يظهر بالبحث عنه الحال في الحالات المماثلة</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2933138_2870459653"/>
      <w:bookmarkStart w:id="109" w:name="_Toc41"/>
      <w:bookmarkEnd w:id="108"/>
      <w:r>
        <w:rPr>
          <w:rtl w:val="true"/>
        </w:rPr>
        <w:t>الملاحظة الثّانية</w:t>
      </w:r>
      <w:bookmarkEnd w:id="109"/>
    </w:p>
    <w:p>
      <w:pPr>
        <w:pStyle w:val="BookText"/>
        <w:rPr/>
      </w:pPr>
      <w:r>
        <w:rPr>
          <w:rFonts w:ascii="Amiri" w:hAnsi="Amiri" w:eastAsia="Amiri" w:cs="Amiri"/>
          <w:color w:val="111111"/>
          <w:sz w:val="28"/>
          <w:sz w:val="28"/>
          <w:szCs w:val="28"/>
          <w:rtl w:val="true"/>
          <w:lang w:bidi="ar-SA"/>
        </w:rPr>
        <w:t>من حيث تحديد جهة السّؤال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 البلاغيّة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التّحديد يوحي بأنَّه لا بُدَّ من سرٍّ بلاغي لها، وهذا غير تامّ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 فلإمكان أنْ يكون السّرّ أو بعض السّرّ في ذلك جهة 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باختلاف مداليل الجموع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نوع المعنى، بأنْ يكون بعضها أضيق معنىً من مفرده دون بعض، كما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يختصّ بأهل البادية دون مفرده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استيعاب مراتب الجمع بناءً على انقسام جموع التّكسير إلى قلّة وكثرة كما هو </w:t>
      </w:r>
      <w:bookmarkStart w:id="110" w:name="pg9124_98493"/>
    </w:p>
    <w:p>
      <w:pPr>
        <w:pStyle w:val="BookText"/>
        <w:rPr/>
      </w:pPr>
      <w:bookmarkEnd w:id="110"/>
      <w:r>
        <w:rPr>
          <w:rFonts w:ascii="Amiri" w:hAnsi="Amiri" w:eastAsia="Amiri" w:cs="Amiri"/>
          <w:color w:val="111111"/>
          <w:sz w:val="28"/>
          <w:sz w:val="28"/>
          <w:szCs w:val="28"/>
          <w:rtl w:val="true"/>
          <w:lang w:bidi="ar-SA"/>
        </w:rPr>
        <w:t>المعروف بين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فلأنَّه على تقدير عدم وجود سرّ لغويّ لهذا الاختيار فبالإمكان أنْ يكون هذا الاختيار على أساس تكافؤ الجموع وتساويها فاختير كلّ واحد منها في موضع أو مواضع تفنّناً، ولا يتعيّن أنْ يكون ذلك على أساس تفاضلها في جهة لفظية أو معنوّية كما سيأتي أيضاً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حذفنا هذا التّحديد من موضوع الرّسالة</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2933140_2870459653"/>
      <w:bookmarkStart w:id="112" w:name="_Toc42"/>
      <w:bookmarkEnd w:id="111"/>
      <w:r>
        <w:rPr>
          <w:rtl w:val="true"/>
        </w:rPr>
        <w:t>الملاحظة الثّالثة</w:t>
      </w:r>
      <w:bookmarkEnd w:id="112"/>
    </w:p>
    <w:p>
      <w:pPr>
        <w:pStyle w:val="BookText"/>
        <w:rPr/>
      </w:pPr>
      <w:r>
        <w:rPr>
          <w:rFonts w:ascii="Amiri" w:hAnsi="Amiri" w:eastAsia="Amiri" w:cs="Amiri"/>
          <w:color w:val="111111"/>
          <w:sz w:val="28"/>
          <w:sz w:val="28"/>
          <w:szCs w:val="28"/>
          <w:rtl w:val="true"/>
          <w:lang w:bidi="ar-SA"/>
        </w:rPr>
        <w:t>من حيث الأمثلة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والصّواب في هذا المثال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من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ذهب بعضهم إلى عكس هذا القول كالرّاغب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رباعي</w:t>
      </w:r>
      <w:r>
        <w:rPr>
          <w:rStyle w:val="FootnoteAnchor"/>
          <w:rtl w:val="true"/>
        </w:rPr>
        <w:footnoteReference w:id="39"/>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ثلاثي مضاعف</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على أوزان عدّة من جملتها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ككامل وكَمَلَة، وساحر وسَحَرَة، وكافر وكَفَرَة، وخازن وخَزَنَة، وصاحب وصَحَبَة، وجاهل وجَهَلَة، وفاجر </w:t>
      </w:r>
    </w:p>
    <w:p>
      <w:pPr>
        <w:pStyle w:val="BookText"/>
        <w:rPr/>
      </w:pPr>
      <w:r>
        <w:rPr>
          <w:rFonts w:ascii="Amiri" w:hAnsi="Amiri" w:eastAsia="Amiri" w:cs="Amiri"/>
          <w:color w:val="111111"/>
          <w:sz w:val="28"/>
          <w:sz w:val="28"/>
          <w:szCs w:val="28"/>
          <w:rtl w:val="true"/>
          <w:lang w:bidi="ar-SA"/>
        </w:rPr>
        <w:t>وفَجَرَة، وحامل وحَمَلَة، وكاتب وكَتَبَة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وفُعّل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من جملتها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نادراً كشاهد وأشهاد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الرّضي في شرح الشّافية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الغالب في فاعل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كشهَّد وغيَّب ونزَّل وقوَّم وصوَّم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ويكسّر أيضاً على فُعّال كزوّار وغُيّاب، وهما أصلٌ في جمع فاعل الوصف أعني فُعَّلاً وفعَّالاً، ويجيء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كثيراً، لكنْ لا كالأوَّلين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عَجَزَة وفَسَقَة وكَفَرَة وبَرَرَة</w:t>
      </w:r>
      <w:r>
        <w:rPr>
          <w:rStyle w:val="FootnoteAnchor"/>
          <w:rtl w:val="true"/>
        </w:rPr>
        <w:footnoteReference w:id="40"/>
      </w:r>
      <w:r>
        <w:rPr>
          <w:rFonts w:ascii="Amiri" w:hAnsi="Amiri" w:eastAsia="Amiri" w:cs="Amiri"/>
          <w:color w:val="111111"/>
          <w:sz w:val="28"/>
          <w:sz w:val="28"/>
          <w:szCs w:val="28"/>
          <w:rtl w:val="true"/>
          <w:lang w:bidi="ar-SA"/>
        </w:rPr>
        <w:t>وخَوَنَة وحَوَكَة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المضاعف فهو 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جمعاً للكلمات الثّلاثية</w:t>
      </w:r>
      <w:r>
        <w:rPr>
          <w:rStyle w:val="FootnoteAnchor"/>
          <w:rtl w:val="true"/>
        </w:rPr>
        <w:footnoteReference w:id="42"/>
      </w:r>
      <w:r>
        <w:rPr>
          <w:rFonts w:ascii="Amiri" w:hAnsi="Amiri" w:eastAsia="Amiri" w:cs="Amiri"/>
          <w:color w:val="111111"/>
          <w:sz w:val="28"/>
          <w:sz w:val="28"/>
          <w:szCs w:val="28"/>
          <w:rtl w:val="true"/>
          <w:lang w:bidi="ar-SA"/>
        </w:rPr>
        <w:t>كثوب وأثواب، وقول وأقوال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تأتي في الكلمات الرّباعيّة إلّا ندرةً وشذوذاً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أنواع الكلمات الثّلاثية الّتي يُجمع عليها المضاعف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وأسرار، ومدّ وأمداد، ومنّ وأمنان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 وأسنان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وأجداد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وأرباب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 وألفاف بل ذكر المحقّق الرّضي في شرح 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 في قلّة المضاعف ولا كثرتها إلّا أفعال كأمداد وأفنان وألباب</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فهو يختصّ بهذا الباب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فيتعيّن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كأخواتها الّتي هي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كأخواتها الّتي هي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وستأتي مناقشة من ذهب إلى عكس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يختلف مفرد الجمعين فلا يندرج استعمالهما تحت هذه الظّاهرة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والصواب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اللّغويون من غير خلاف</w:t>
      </w:r>
      <w:r>
        <w:rPr>
          <w:rStyle w:val="FootnoteAnchor"/>
          <w:rtl w:val="true"/>
        </w:rPr>
        <w:footnoteReference w:id="44"/>
      </w:r>
      <w:r>
        <w:rPr>
          <w:rFonts w:ascii="Amiri" w:hAnsi="Amiri" w:eastAsia="Amiri" w:cs="Amiri"/>
          <w:color w:val="111111"/>
          <w:sz w:val="28"/>
          <w:sz w:val="28"/>
          <w:szCs w:val="28"/>
          <w:rtl w:val="true"/>
          <w:lang w:bidi="ar-SA"/>
        </w:rPr>
        <w:t xml:space="preserve">وتقتضيه المقاييس الصّرفية، فإنَّ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قياساً جمعاً لفعيل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لنفس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ككريم وكرماء، وشريف وشرفاء، وحليم وحلماء، وعليم وعلماء، ورحيم ورحماء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 وأشهاد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فللغويين فيهما قولان</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 وأفعال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يردان جمعاً لكل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استعمل كل منهما في هذه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الشّهداء اسم للجمع عند سيبويه، وجمع عند الأخفش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حكاه 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سهو، وصوابه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اللّسان</w:t>
      </w:r>
      <w:r>
        <w:rPr>
          <w:rStyle w:val="FootnoteAnchor"/>
          <w:rtl w:val="true"/>
        </w:rPr>
        <w:footnoteReference w:id="46"/>
      </w:r>
      <w:r>
        <w:rPr>
          <w:rFonts w:ascii="Amiri" w:hAnsi="Amiri" w:eastAsia="Amiri" w:cs="Amiri"/>
          <w:color w:val="111111"/>
          <w:sz w:val="28"/>
          <w:sz w:val="28"/>
          <w:szCs w:val="28"/>
          <w:rtl w:val="true"/>
          <w:lang w:bidi="ar-SA"/>
        </w:rPr>
        <w:t xml:space="preserve">، فإنَّ الخلاف بين العلَمَين في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وصحب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أنعام وأنعم ونعم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غرض السّائل أنَّ مفردها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13" w:name="pg9124_98496"/>
    </w:p>
    <w:p>
      <w:pPr>
        <w:pStyle w:val="BookText"/>
        <w:rPr/>
      </w:pPr>
      <w:bookmarkEnd w:id="113"/>
      <w:r>
        <w:rPr>
          <w:rFonts w:ascii="Amiri" w:hAnsi="Amiri" w:eastAsia="Amiri" w:cs="Amiri"/>
          <w:color w:val="111111"/>
          <w:sz w:val="28"/>
          <w:sz w:val="28"/>
          <w:szCs w:val="28"/>
          <w:rtl w:val="true"/>
          <w:lang w:bidi="ar-SA"/>
        </w:rPr>
        <w:t xml:space="preserve">لأنَّه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الأبل أو ما يعم البقر 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غرضه أنَّ مفردها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النّون جمعان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الأنعم والنعم هما من المشتركات ولا تختصّ بالإبل فيكونان جمعاً للنعمة، كما يكونان جمعاً للنعم فيما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بتامّ، بل هما ذوا معنى واحد جمعاً للنعمة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النّعمة أعمّ من النِّعَم بمعنى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تتم المقدمة الّتي أردنا ذكرها، فلنتحدث في أصل الموضوع حول أسباب هذه الظّاهرة</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2933142_2870459653"/>
      <w:bookmarkStart w:id="115" w:name="_Toc43"/>
      <w:bookmarkEnd w:id="114"/>
      <w:r>
        <w:rPr>
          <w:rtl w:val="true"/>
        </w:rPr>
        <w:t>تفسير هذه الظّاهرة وذكر أسبابها</w:t>
      </w:r>
      <w:bookmarkEnd w:id="115"/>
    </w:p>
    <w:p>
      <w:pPr>
        <w:pStyle w:val="Heading5"/>
        <w:numPr>
          <w:ilvl w:val="4"/>
          <w:numId w:val="1"/>
        </w:numPr>
        <w:rPr/>
      </w:pPr>
      <w:bookmarkStart w:id="116" w:name="__RefHeading___Toc2933144_2870459653"/>
      <w:bookmarkStart w:id="117" w:name="_Toc44"/>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إنَّ لهذه الظّاهرة أسباباً عديدة نذكرها تباعاً، وقد ينطبق أكثر من سبب في مورد واحد فيتكرر ذكره في تلك الأسباب بهذا الاعتبار</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2933146_2870459653"/>
      <w:bookmarkStart w:id="119" w:name="_Toc45"/>
      <w:bookmarkEnd w:id="118"/>
      <w:r>
        <w:rPr>
          <w:rtl w:val="true"/>
        </w:rPr>
        <w:t>السّبب الأوَّل</w:t>
      </w:r>
      <w:r>
        <w:rPr>
          <w:rtl w:val="true"/>
        </w:rPr>
        <w:t xml:space="preserve">: </w:t>
      </w:r>
      <w:r>
        <w:rPr>
          <w:rtl w:val="true"/>
        </w:rPr>
        <w:t>تكافؤ الألفاظ معنىً ولفظاً</w:t>
      </w:r>
      <w:bookmarkEnd w:id="119"/>
    </w:p>
    <w:p>
      <w:pPr>
        <w:pStyle w:val="Heading6"/>
        <w:numPr>
          <w:ilvl w:val="5"/>
          <w:numId w:val="1"/>
        </w:numPr>
        <w:rPr/>
      </w:pPr>
      <w:bookmarkStart w:id="120" w:name="__RefHeading___Toc2933148_2870459653"/>
      <w:bookmarkStart w:id="121" w:name="_Toc46"/>
      <w:bookmarkEnd w:id="120"/>
      <w:r>
        <w:rPr>
          <w:rtl w:val="true"/>
        </w:rPr>
        <w:t>اشارة</w:t>
      </w:r>
      <w:bookmarkEnd w:id="12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يُظنّ أنَّ اختيار أحد اللّفظين المؤدّيين للمعنى على الآخر في القرآن الكريم لا بُدَّ أنْ يبتني على امتياز له على الآخر في جهة لغويّة أو بلاغيّة لفظاً أو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هذا الانطباع من كلمات كثير من علماء البلاغة حيث يتعرّضون لبيان وجه اختيار أحد </w:t>
      </w:r>
      <w:bookmarkStart w:id="122" w:name="pg9124_98497"/>
    </w:p>
    <w:p>
      <w:pPr>
        <w:pStyle w:val="BookText"/>
        <w:rPr/>
      </w:pPr>
      <w:bookmarkEnd w:id="122"/>
      <w:r>
        <w:rPr>
          <w:rFonts w:ascii="Amiri" w:hAnsi="Amiri" w:eastAsia="Amiri" w:cs="Amiri"/>
          <w:color w:val="111111"/>
          <w:sz w:val="28"/>
          <w:sz w:val="28"/>
          <w:szCs w:val="28"/>
          <w:rtl w:val="true"/>
          <w:lang w:bidi="ar-SA"/>
        </w:rPr>
        <w:t>اللّفظين على الآخر كالزّمخشري في الكشّاف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جرى عليه السّائل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أنَّ تكافؤ اللّفظين من النّواحي اللّفظيّة ِوالمعنويّة يصلح أساساً لانتخاب أحدهما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اختيار الآخر في موضع آخر تفنّناً أو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محيص للمتكلّم في هذه الحالة عن اختيار أحدهما، ومن ذلك يظهر أنَّ مجرّد اختيار كلمة ما في موضع من القرآن لا يعني بالضّرورة وجود مرجّح لها على بديلاتها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لا يمكن للإنسان أنْ ينفي وجود أيّة مزيّة بلاغيّة للّفظ المختار على غيره بمجرّد عدم الاطلاع عليه عادة؛ لأنّ هناك نواحياً بلاغيّةً منوطة بالذّوق البالغ في الدّقّة والصفاء ممّا لا يملكه إلّا ثلّة قليلة من أبناء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يصلح تفسير اختيار أحد اللّفظين على الآخر بالتكافؤ في عدّة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شرحها في الفصل الأوَّل</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2933150_2870459653"/>
      <w:bookmarkStart w:id="124" w:name="_Toc47"/>
      <w:bookmarkEnd w:id="123"/>
      <w:r>
        <w:rPr>
          <w:rtl w:val="true"/>
        </w:rPr>
        <w:t>من أمثلة هذه الحالة</w:t>
      </w:r>
      <w:bookmarkEnd w:id="124"/>
    </w:p>
    <w:p>
      <w:pPr>
        <w:pStyle w:val="BookText"/>
        <w:rPr/>
      </w:pPr>
      <w:r>
        <w:rPr>
          <w:rFonts w:ascii="Amiri" w:hAnsi="Amiri" w:eastAsia="Amiri" w:cs="Amiri"/>
          <w:color w:val="111111"/>
          <w:sz w:val="28"/>
          <w:sz w:val="28"/>
          <w:szCs w:val="28"/>
          <w:rtl w:val="true"/>
          <w:lang w:bidi="ar-SA"/>
        </w:rPr>
        <w:t>ولعلَّ من أمثلة تكافؤ اللّفظين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 في عدّة مواضع نذكرها ليتّضح للباحث قرب ملابسات استعمالهما أحياناً ويتسنّى له التّأمّل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أَزْوَاجَكُمُ اللاَّئِي تُظَاهِرُونَ مِنْهُنَّ أُمَّهَاتِكُمْ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أُمَّهَاتُهُمْ إِلاَّ اللاَّئِي وَلَدْنَهُمْ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وَاللاَّئِي يَئِسْنَ مِنْ الْمَحِيضِ مِنْ نِسَائِكُمْ إِنْ ارْتَبْتُمْ</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فَعِدَّتُهُنَّ ثَلاثَةُ أَشْهُرٍ وَاللاَّئِي لَمْ يَحِضْنَ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وَاللاَّتِي يَأْتِينَ الْفَاحِشَةَ مِنْ نِسَائِكُمْ</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وَأُمَّهَاتُكُمُ اللاَّتِي أَرْضَعْنَكُمْ وَأَخَوَاتُكُمْ مِنْ الرَّضَاعَةِ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 نِسَائِكُمْ وَرَبَائِبُكُمْ اللاَّتِي فِي حُجُورِكُمْ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نِسَائِكُمُ اللاَّتِي دَخَلْتُمْ بِهِنَّ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وَاللاَّتِي تَخَافُونَ نُشُوزَهُنَّ فَعِظُوهُنَّ وَاهْجُرُوهُنَّ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يَتَامَى النِّسَاءِ اللاَّتِي لا تُؤْتُونَهُنَّ مَا كُتِبَ لَهُنَّ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رَبِّكَ فَاسْأَلْهُ مَا بَالُ النِّسْوَةِ اللاَّتِي قَطَّعْنَ أَيْدِيَهُنَّ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وَالْقَوَاعِدُ مِنْ النِّسَاءِ اللاَّتِي لا يَرْجُونَ نِكَاحاً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أَحْلَلْنَا لَكَ أَزْوَاجَكَ اللاَّتِي آتَيْتَ أُجُورَهُنَّ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وَبَنَاتِ خَالِكَ وَبَنَاتِ خَالاتِكَ اللاَّتِي هَاجَرْنَ مَعَكَ</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 في مواضع نذكرها لنفس النّكتة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جَعَلَكُمْ خَلائِفَ الأَرْضِ</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جَعَلْنَاكُمْ خَلائِفَ فِي الأَرْضِ مِنْ بَعْدِهِمْ لِنَنْظُرَ كَيْفَ تَعْمَلُونَ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خَلائِفَ وَأَغْرَقْنَا الَّذِينَ كَذَّبُوا بِآيَاتِنَا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جَعَلَكُمْ خَلائِفَ فِي الأَرْضِ فَمَنْ كَفَرَ فَعَلَيْهِ كُفْرُهُ</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إِذْ جَعَلَكُمْ خُلَفَاءَ مِنْ بَعْدِ قَوْمِ نُوحٍ</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إِذْ جَعَلَكُمْ خُلَفَاءَ مِنْ بَعْدِ عَادٍ وَبَوَّأَكُمْ فِي الأَرْضِ</w:t>
      </w:r>
      <w:r>
        <w:rPr>
          <w:rFonts w:eastAsia="Amiri" w:cs="Amiri" w:ascii="Amiri" w:hAnsi="Amiri"/>
          <w:color w:val="111111"/>
          <w:sz w:val="28"/>
          <w:szCs w:val="28"/>
          <w:rtl w:val="true"/>
          <w:lang w:bidi="ar-SA"/>
        </w:rPr>
        <w:t>]</w:t>
      </w:r>
      <w:r>
        <w:rPr>
          <w:rStyle w:val="FootnoteAnchor"/>
          <w:rtl w:val="true"/>
        </w:rPr>
        <w:footnoteReference w:id="67"/>
      </w:r>
      <w:bookmarkStart w:id="125" w:name="pg9124_98500"/>
    </w:p>
    <w:p>
      <w:pPr>
        <w:pStyle w:val="BookText"/>
        <w:rPr/>
      </w:pPr>
      <w:bookmarkEnd w:id="12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وتشابه بل تماثل الملابسات في الطّائفتين ظاهر</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2933152_2870459653"/>
      <w:bookmarkStart w:id="127" w:name="_Toc48"/>
      <w:bookmarkEnd w:id="126"/>
      <w:r>
        <w:rPr>
          <w:rtl w:val="true"/>
        </w:rPr>
        <w:t>السّبب الثّاني</w:t>
      </w:r>
      <w:r>
        <w:rPr>
          <w:rtl w:val="true"/>
        </w:rPr>
        <w:t xml:space="preserve">: </w:t>
      </w:r>
      <w:r>
        <w:rPr>
          <w:rtl w:val="true"/>
        </w:rPr>
        <w:t>اختلاف الجمعين في نوع المعنى مع اتّحاد معنى المفرد</w:t>
      </w:r>
      <w:bookmarkEnd w:id="127"/>
    </w:p>
    <w:p>
      <w:pPr>
        <w:pStyle w:val="Heading6"/>
        <w:numPr>
          <w:ilvl w:val="5"/>
          <w:numId w:val="1"/>
        </w:numPr>
        <w:rPr/>
      </w:pPr>
      <w:bookmarkStart w:id="128" w:name="__RefHeading___Toc2933154_2870459653"/>
      <w:bookmarkStart w:id="129" w:name="_Toc49"/>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إنَّ هيئة الجمع وإنْ لم تقتضِ إلّا الدّلالة على تعدّد معنى مفرده إلّا أنَّه قد يطرأ عليه بالاستعمالات تغيّر 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أمثلة متعدّدة في اللّغة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الأَعْرَاب والعرب، فإنَّ الأوَّل جمع الثّاني على الصّحيح، ولكنَّهما مختلفان معنىً، ففي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نَزَل البادية، أَو جاوَرَ البَادِينَ وظعَنَ بظَعْنِهم، وانْتَوَى بانْتِوائهِم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أَعْرابٌ، ومَن نَزَلَ بلادَ الرِّيفِ واسْتَوْطَنَ المُدُنَ والقُرى العَربيةَ وغيرها ممّن يَنْتمِي إِلى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عَرَب، وإِنْ لم يكونوا فُصَحاءَ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وَلَكِنْ قُولُوا أَسْلَمْنَا</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فهؤلاء قوم من بوادي العرب قدموا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طمعاً في الصّدقات لا رغبةً في الإسلام فسمّاهم الله تعالى الأَعْرَاب ومثلهم الّذين ذكرهم الله في سورة التّوبة،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أَشَدُّ كُفْراً وَنِفَاقاً</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يَفْرِقُ بين العَرَبِ والأَعْراب والعَرَبيِّ والأَعْرابيِّ، ربما تَحامَلَ على العَرَب بما يتأَوّله في هذه الآية، وهو لا يميّز بين العَرَبِ والأَعْراب، ولا يجوز أَنْ يقال للمهاجرين والأَنصار أَعْرابٌ، إِنّما هم عَرَبٌ لأَنَّهم اسْتَوطَنُوا القُرَى العَرَبية، وسَكَنُوا المُدُنَ، وسواء منهم النّاشئ بالبَدْوِ ثُمَّ اسْتَوْطَنَ </w:t>
      </w:r>
    </w:p>
    <w:p>
      <w:pPr>
        <w:pStyle w:val="BookText"/>
        <w:rPr/>
      </w:pPr>
      <w:r>
        <w:rPr>
          <w:rFonts w:ascii="Amiri" w:hAnsi="Amiri" w:eastAsia="Amiri" w:cs="Amiri"/>
          <w:color w:val="111111"/>
          <w:sz w:val="28"/>
          <w:sz w:val="28"/>
          <w:szCs w:val="28"/>
          <w:rtl w:val="true"/>
          <w:lang w:bidi="ar-SA"/>
        </w:rPr>
        <w:t>القُرَى والنَّاشِىءُ بمكة ثم هاجر إِلى المدينة، فإِنْ لَحِقَتْ طائفةٌ منهم بأَهل البَدْوِ بعد هجرتهم، واقْتَنَوْا نَعَماً، ورَعَوْا مَسَاقِطَ الغَيْث بعد ما كانوا حاضِرَةً أَو مُهاجِرَةً،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تَعَرَّبوا أَي صاروا أَعْراباً، بعد ما كانوا 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في خُطْبتِه مُهاجِرٌ ليس بِأَعْرابيّ، جعل المُهاجِرَ ضِدَّ الأَعْرابيِّ</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ادّعى بعض اللّغويين أنَّ الأَعْراب 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الفارق المذكور، وهو غير متّجه، إذْ لا استبعاد في حصول الفرق بالتّطور، والأَعْرابي نسبة إلى الأَعْراب وليس مفرده لفظاً كما نسب إلى الصّحابة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إذا أصبح رمزاً لقوم خاصّين صار بمثابة اسم الجمع وصحّت النّسبة إليه بلفظه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بيوتات وأبابيت، وهما فيما قيل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هما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باختصاص الأوَّلين بالأشراف</w:t>
      </w:r>
      <w:r>
        <w:rPr>
          <w:rStyle w:val="FootnoteAnchor"/>
          <w:rtl w:val="true"/>
        </w:rPr>
        <w:footnoteReference w:id="71"/>
      </w:r>
      <w:r>
        <w:rPr>
          <w:rFonts w:ascii="Amiri" w:hAnsi="Amiri" w:eastAsia="Amiri" w:cs="Amiri"/>
          <w:color w:val="111111"/>
          <w:sz w:val="28"/>
          <w:sz w:val="28"/>
          <w:szCs w:val="28"/>
          <w:rtl w:val="true"/>
          <w:lang w:bidi="ar-SA"/>
        </w:rPr>
        <w:t>مع أنَّ مفردهما ومفرده عامّ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حكّام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ترد بمعنى القضاة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مَنْ حَكَمَ بشيء، ويجمع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 وَتُدْلُوا بِهَا إِلَى الْحُكَّامِ</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 ابْنِي مِنْ أَهْلِي وَإِنَّ وَعْدَكَ الْحَقُّ وَأَنْتَ أَحْكَمُ الْحَاكِمِينَ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130" w:name="pg9124_98502"/>
    </w:p>
    <w:p>
      <w:pPr>
        <w:pStyle w:val="BookText"/>
        <w:rPr/>
      </w:pPr>
      <w:bookmarkEnd w:id="130"/>
      <w:r>
        <w:rPr>
          <w:rFonts w:ascii="Amiri" w:hAnsi="Amiri" w:eastAsia="Amiri" w:cs="Amiri"/>
          <w:color w:val="111111"/>
          <w:sz w:val="28"/>
          <w:sz w:val="28"/>
          <w:szCs w:val="28"/>
          <w:rtl w:val="true"/>
          <w:lang w:bidi="ar-SA"/>
        </w:rPr>
        <w:t>وربّما وجّه ذلك في كلام بعض اللّغويين بأنَّ الحاكم معنى أخصّ وهو القاضي فيجمع على الحكّام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ذلك، ولكنَّ الغرض من ذكر هذه الأمثلة الاستئناس لأصل الفكرة فحسب</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2933156_2870459653"/>
      <w:bookmarkStart w:id="132" w:name="_Toc50"/>
      <w:bookmarkEnd w:id="131"/>
      <w:r>
        <w:rPr>
          <w:rtl w:val="true"/>
        </w:rPr>
        <w:t>من أمثلة هذه الحالة</w:t>
      </w:r>
      <w:r>
        <w:rPr>
          <w:rtl w:val="true"/>
        </w:rPr>
        <w:t>..</w:t>
      </w:r>
      <w:bookmarkEnd w:id="132"/>
    </w:p>
    <w:p>
      <w:pPr>
        <w:pStyle w:val="BookText"/>
        <w:rPr/>
      </w:pPr>
      <w:r>
        <w:rPr>
          <w:rFonts w:ascii="Amiri" w:hAnsi="Amiri" w:eastAsia="Amiri" w:cs="Amiri"/>
          <w:color w:val="111111"/>
          <w:sz w:val="28"/>
          <w:sz w:val="28"/>
          <w:szCs w:val="28"/>
          <w:rtl w:val="true"/>
          <w:lang w:bidi="ar-SA"/>
        </w:rPr>
        <w:t>ولعلّ من أمثلة هذه الحالة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عباد وعبيد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يطلق على العباد العابدين أو المخلَصين منهم، ويطلق أيضاً على مطلق النّاس بعناية مملوكيتهم لله تعالى فيساوق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فالعباد بالإطلاق الأوَّل أخصّ من العبد والعبيد،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 وَكَفَى بِرَبِّكَ وَكِيلاً</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وَعِبَادُ الرَّحْمَنِ الَّذِينَ يَمْشُونَ عَلَى الأَرْضِ هَوْناً وَإِذَا خَاطَبَهُمْ الْجَاهِلُونَ قَالُوا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يَبِيتُونَ لِرَبِّهِمْ سُجَّداً وَقِيَاماً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قيل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 نفس المعنى كما هو ظاهر، وهذا يدلّ على أنَّ استفادة معنى العبادة لم يكن بمجرّد الإضافة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العباد بالإطلاق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الأكثر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لأَتَّخِذَنَّ مِنْ عِبَادِكَ نَصِيباً مَفْرُوضاً</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تُعَذِّبْهُمْ فَإِنَّهُمْ عِبَادُكَ وَإِنْ تَغْفِرْ لَهُمْ فَإِنَّكَ أَنْتَ الْعَزِيزُ الْحَكِيمُ</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أَأَنْتُمْ أَضْلَلْتُمْ عِبَادِي هَؤُلاءِ أَمْ هُمْ ضَلُّوا السَّبِيلَ</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أَدُّوا إِلَيَّ عِبَادَ اللَّهِ إِنِّي لَكُمْ </w:t>
      </w:r>
    </w:p>
    <w:p>
      <w:pPr>
        <w:pStyle w:val="BookText"/>
        <w:rPr/>
      </w:pPr>
      <w:r>
        <w:rPr>
          <w:rFonts w:ascii="Amiri" w:hAnsi="Amiri" w:eastAsia="Amiri" w:cs="Amiri"/>
          <w:color w:val="111111"/>
          <w:sz w:val="28"/>
          <w:sz w:val="28"/>
          <w:szCs w:val="28"/>
          <w:rtl w:val="true"/>
          <w:lang w:bidi="ar-SA"/>
        </w:rPr>
        <w:t>رَسُولٌ أَمِينٌ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إطلاق العبيد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 وَأَنَّ اللَّهَ لَيْسَ بِظَلاَّمٍ لِّلْعَبِيدِ</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تنبّه إلى هذا الفرق الرّاغب في المفردات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وجمع العبد الّذي هو مسترق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العبد الّذي هو العابد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فالعبيد إذا أُضيف إلى الله أعمّ من العباد، ولهذا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فنبّه أنَّه لا يظلم من يختصّ بعبادته ومن انتسب إلى غيره من الّذين تسمّوا بعبد الشّمس وعبد اللّات ونحو ذلك</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هنا ملاحظتان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ينتبه إلى الإطلاق الثّاني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يساوق العبيد وبنى عليه تعيّن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إرادة الأعمّ، بل عليه يتّضح وجه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مواطن استعماله، فإنَّه يكون بعناية تفهيم الدّلالة على العبادة، لكنّه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العابدين إنَّما يوجّه اختياره في خصوص مواطن إرادة الدّلالة على العبادة واستعماله في غير ذلك فيستند إلى بعض الأسباب الآتية كجماله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وجه استعمال العبيد في الآية ونحوها فهو مراعاة السّجع</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للعباد المتضمّن لمعنى العبادة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هذا لخرج عن هذا السّبب واندرج في السّبب الرّابع الآتي، لأنَّه يتعدّد مفرد الجمعين بالدقّة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البحث في وجه استعمال جموع متعدّدة مع وحدة مفردها بحسب المعنى، ولكني لا </w:t>
      </w:r>
    </w:p>
    <w:p>
      <w:pPr>
        <w:pStyle w:val="BookText"/>
        <w:rPr/>
      </w:pPr>
      <w:r>
        <w:rPr>
          <w:rFonts w:ascii="IRNazanin" w:hAnsi="IRNazanin" w:eastAsia="IRNazanin"/>
          <w:color w:val="111111"/>
          <w:sz w:val="28"/>
          <w:sz w:val="28"/>
          <w:szCs w:val="28"/>
          <w:rtl w:val="true"/>
          <w:lang w:bidi="fa-IR"/>
        </w:rPr>
        <w:t>أحسّ بوجود هذا المعنى لمفرده</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يؤيّد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كَانَتَا تَحْتَ عَبْدَيْنِ مِنْ عِبَادِنَا صَالِحَيْنِ</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مستغنى عنها لو استفيد معنى العبادة من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عَلَيْكُمْ عِبَاداً لَنَا أُولِي بَأْسٍ شَدِيدٍ</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إلّا أنْ يدّعى ثقل هذا التّركيب مع التّثنية والمفرد ونظير الآية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آتَيْنَاهُ رَحْمَةً مِنْ عِنْدِنَا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أُريد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صفة العبادة استغنى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صالِحَيْن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الشّهادة بالصّلاح من الله تعالى أرفع من مجرّد العبادة ولذا تكرّر توصيف الأنبياء به أو ذكر مسألتهم الله تعالى أنْ يجعلهم من الصّالحين، قال تعالى عن يحيى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وَسَيِّداً وَحَصُوراً وَنَبِيّاً مِنْ الصَّالِحِينَ</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وَيُكَلِّمُ النَّاسَ فِي الْمَهْدِ وَكَهْلاً وَمِنْ الصَّالِحِينَ</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 جملة من أنبيائه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وَزَكَرِيَّا وَيَحْيَى وَعِيسَى وَإِلْيَاسَ كُلٌّ مِنْ الصَّالِحِينَ</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 فِي الدُّنْيَا وَالآخِرَةِ تَوَفَّنِي مُسْلِماً وَأَلْحِقْنِي بِالصَّالِحِينَ</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حُكْماً وَأَلْحِقْنِي بِالصَّالِحِينَ</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فَاجْتَبَاهُ رَبُّهُ فَجَعَلَهُ مِنَ الصَّالِحِينَ</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وَبَشَّرْنَاهُ بِإِسْحَقَ نَبِيّاً مِنَ الصَّالِحِينَ</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وَأَدْخِلْنِي بِرَحْمَتِكَ فِي عِبَادِكَ الصَّالِحِينَ</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لَنُدْخِلَنَّهُمْ فِي الصَّالِحِينَ</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إلى غيرها من الآيات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التّعبير عن الشّدّة الطّبيعيّة، فإنَّ الّذي أراه بحسب الوجدان اللّغوي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بالشّدّة المتعمّدة كشدّة الإنسان المؤمن على الكافر ولا يطلق على الشّدّة الطّبيعيّة، 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شديدة وسنين أشدّاء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ألوان أشدّاء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أشدّاء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وشداد يعمّ الأمرين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مِنْ بَعْدِ ذَلِكَ سَبْعٌ شِدَادٌ يَأْكُلْنَ مَا قَدَّمْتُمْ لَهُنَّ</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وَبَنَيْنَا فَوْقَكُمْ سَبْعاً شِدَاداً</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 غِلاظٌ شِدَادٌ</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من نبّه على هذا الفرق من اللّغويين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التّعبير عن الإخوّة النَسبيّة حيث اعترف اللّغويون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السّبب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يُستعمل في مقام التّعبير عن علاقة الصّداقة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ويساعد على ذلك تتبّع الاستعمالات، ولا شكّ أنَّ الالتزام بعدم الاستعمال ينعكس على اللّفظ فيوجب نحو اختصاص دلاليّ له بذلك وإنْ كان يظهر من بعض كلمات اللّغويين ادّعاء أنَّه مجرّد عدم 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الإخوّة حقيقة ليس إلّا الإخوّة النّسبيّة فإطلاقها في سائر العلائق الحميمة مجاز وتنزيل، ولا فرق في ذلك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ومعه يتعيّن أنْ يكون عدم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التّعبير عن سائر العلائق مجرّد التزام خارجي لا يرتبط بمدلول اللّفظ</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بل قد يكون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العلائق قد صار حقيقة بالتّطوّر فصار معناه أعمّ من الإخوّة الحقيقيّة والتّنزيليّة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أبلَغ دلالة على عمق علاقة الإيمان وكونها بمثابة علاقة </w:t>
      </w:r>
    </w:p>
    <w:p>
      <w:pPr>
        <w:pStyle w:val="BookText"/>
        <w:rPr/>
      </w:pPr>
      <w:r>
        <w:rPr>
          <w:rFonts w:ascii="Amiri" w:hAnsi="Amiri" w:eastAsia="Amiri" w:cs="Amiri"/>
          <w:color w:val="111111"/>
          <w:sz w:val="28"/>
          <w:sz w:val="28"/>
          <w:szCs w:val="28"/>
          <w:rtl w:val="true"/>
          <w:lang w:bidi="ar-SA"/>
        </w:rPr>
        <w:t xml:space="preserve">الإخوّة، ولو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 ما يأتي في السّبب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نفوس وأنفس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النّفس تستعمل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الدّلالة على الذّات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التّركيز عليه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نفسه إلى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إلى هذا الفرق بعض اللّغويين ففي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في كلام العرب يجري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خَرَجَتْ نَفْس فلان أَي رُوحُه، وفي نفس فلان أَنْ يفعل كذا وكذا، أَي في رُوعِه، والضَّرْب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النَّفْس فيه مَعْنى جُمْلَةِ الشّيء وحقيقته،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فلانٌ نَفْسَه وأَهلك نفسه، أَي أَوْقَعَ الإِهْلاك بذاته كلِّها وحقيقتِه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هذين ليسا معنيين مستقلين لها فتكون الكلمة مشتركة بينهما اشتراكاً لفظيّاً، بل معناه هو الذّات دائماً، ولكن قد تستعمل في مقام التّركيز عليه كسائر الألفاظ المستعملة في التّوكيد اللّفظي المذكورة في باب 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الوجدان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مقام التّعبير عن مجرّد الذّات فلا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القوم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تستعمل في كلا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الذّات والتّركيز عليه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فيتعيّن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إرادة التّركيز على الذّات بصيغة الجمع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صرّح بخلاف ما ذكرناه 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كلامه السّابق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والجمع من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 ونفوس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يبعد أنَّه جرى على القاعدة في مساوقة معنى الجمع لمعنى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 أنَّ النّحاة في ذكر ألفاظ التّوكيد اللّفظي في باب التّوابع لم يذكروا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يظهر منهم كونهم في مقام حصر تلك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الحاجب في الكافية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المعنوي بألفاظ محصورة وهي نفسه وعينه وكلاهما وكلّه وأجمع وأكتع وأبتع وأبصع فالأوَّلان يعمّان باختلاف صيغتهما وضميرهما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ونفسها وأنفسهما وأنفسهم وأنفسهن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يستدرك عليه الرّضي في شرحها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مالك في الألفيّة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بالنفس أو بالعين الاسم أكدّا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ضمير طابق المؤكّدا</w:t>
      </w:r>
    </w:p>
    <w:p>
      <w:pPr>
        <w:pStyle w:val="BookText"/>
        <w:rPr/>
      </w:pPr>
      <w:r>
        <w:rPr>
          <w:rFonts w:ascii="Amiri" w:hAnsi="Amiri" w:eastAsia="Amiri" w:cs="Amiri"/>
          <w:color w:val="111111"/>
          <w:sz w:val="28"/>
          <w:sz w:val="28"/>
          <w:szCs w:val="28"/>
          <w:rtl w:val="true"/>
          <w:lang w:bidi="ar-SA"/>
        </w:rPr>
        <w:t xml:space="preserve">واجمعهما بأفعل إنْ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واحداً تكن متبعا</w:t>
      </w:r>
      <w:r>
        <w:rPr>
          <w:rStyle w:val="FootnoteAnchor"/>
          <w:rtl w:val="true"/>
        </w:rPr>
        <w:footnoteReference w:id="10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هذا الحصر غير صحيح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يجمع بمعنى نفس الشّيء على أعيان قطعاً، بل أنكر بعض اللّغويين جمعه على عيون وأعين بالمعنى المذكور ففي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وعَيْنُ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وشخصه وأَصله، والجمع 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عَيناً، وهو هو بِعَيْنِه، وهذه أَعْيانُ دراهمِك ودراهِمُك بأَعْيانِها، عن اللّحياني، ولا يقال فيها أَعْيُنٌ ولا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أَقبل إِلا درهمي بعَيْنِه، وهؤلاء إِخوتك بأَعيانهم، ولا يقال </w:t>
      </w:r>
    </w:p>
    <w:p>
      <w:pPr>
        <w:pStyle w:val="BookText"/>
        <w:rPr/>
      </w:pPr>
      <w:r>
        <w:rPr>
          <w:rFonts w:ascii="Amiri" w:hAnsi="Amiri" w:eastAsia="Amiri" w:cs="Amiri"/>
          <w:color w:val="111111"/>
          <w:sz w:val="28"/>
          <w:sz w:val="28"/>
          <w:szCs w:val="28"/>
          <w:rtl w:val="true"/>
          <w:lang w:bidi="ar-SA"/>
        </w:rPr>
        <w:t>فيه بأَعينهم ولا عُيونهم</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فيما ذكره من عدم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عدم جمعه على 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ما ذكرناه تتبع الاستعمالات اللّغوية لكلمتي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ونهج البلاغة وغيرهما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فالنّفوس إنَّما استعملت في مقام التّعبير عن الذّات من غير تركيز،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النُّفُوسُ زُوِّجَتْ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 أَعْلَمُ بِمَا فِي نُفُوسِكُمْ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ولم تستعمل في القرآن في غير هاتين الآيتين، وفي نهج البلاغة استعملت في خمسة عشر موضعاً كلّها في ذاك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ونستعينه على هذه النفوس البطاء عمّا أمرت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النّفوس المختلفة والقلوب المتشتّتة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شَحَّتْ عَلَيْهَا نُفُوسُ قَوْمٍ، وسَخَتْ عَنْهَا نُفُوسُ 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فَشَحَّتْ عَلَيْهَا نُفُوسُ قَوْمٍ، وسَخَتْ عَنْهَا نُفُوسُ قَوْمٍ 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ومن ذلك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فارحموا نفوسكم فإنّكم قد جرّبتموها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والأنفس استعمل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في مورد التّعبير عن الذّات من غير تركيز عليه كالنفوس،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وَهَاجَرُوا وَجَاهَدُوا فِي سَبِيلِ اللَّهِ بِأَمْوَالِهِمْ وَأَنفُسِهِمْ أَعْظَمُ دَرَجَةً عِنْدَ اللَّهِ</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لِيُعَذِّبَهُمْ بِهَا فِي الْحَيَاةِ الدُّنْيَا وَتَزْهَقَ أَنفُسُهُمْ</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يَتَخَلَّفُوا عَنْ رَّسُولِ اللَّهِ وَلا يَرْغَبُوا بِأَنفُسِهِمْ عَنْ نَّفْسِهِ</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اسْتَكْبَرُوا فِي أَنفُسِهِمْ وَعَتَوْا عُتُوّاً كَبِيراً</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مورد التّعبير عن الذّات مع التّركيز عليها وهو الغالب،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كَانُوا أَنْفُسَهُمْ يَظْلِمُونَ</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شَهِدْنَا عَلَى أَنفُسِنَا</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ظَلَمْنَا أَنفُسَنَا</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يُضِلُّونَ إِلاَّ أَنْفُسَهُمْ</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133" w:name="pg9124_98511"/>
    </w:p>
    <w:p>
      <w:pPr>
        <w:pStyle w:val="BookText"/>
        <w:rPr/>
      </w:pPr>
      <w:bookmarkEnd w:id="133"/>
      <w:r>
        <w:rPr>
          <w:rFonts w:ascii="Amiri" w:hAnsi="Amiri" w:eastAsia="Amiri" w:cs="Amiri"/>
          <w:color w:val="111111"/>
          <w:sz w:val="28"/>
          <w:sz w:val="28"/>
          <w:szCs w:val="28"/>
          <w:rtl w:val="true"/>
          <w:lang w:bidi="ar-SA"/>
        </w:rPr>
        <w:t xml:space="preserve">هذا، ولكنَّ الأظهر أنَّ 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بحسب المعنى؛ لأنَّ نفس ليس بمعنى الذّات بل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معنى لأنْ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ذاته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ذات الشّيء، والتّركيز خارج عن مدلوله اللّفظي وإنَّما يستفاد باقتضاء المقام كما في غيره من ألفاظ التّأكيد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بعض اللّغويين في كلامه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فيندرج في السّبب الرّابع الآتي من اختلاف الجمعين في معنى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بالدّقة</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2933158_2870459653"/>
      <w:bookmarkStart w:id="135" w:name="_Toc51"/>
      <w:bookmarkEnd w:id="134"/>
      <w:r>
        <w:rPr>
          <w:rtl w:val="true"/>
        </w:rPr>
        <w:t>السّبب الثّالث</w:t>
      </w:r>
      <w:r>
        <w:rPr>
          <w:rtl w:val="true"/>
        </w:rPr>
        <w:t xml:space="preserve">: </w:t>
      </w:r>
      <w:r>
        <w:rPr>
          <w:rtl w:val="true"/>
        </w:rPr>
        <w:t>اختلاف الجمعين في الدّلالة على مراتب الجمع، بكون أحدهما جمع قلّة والآخر جمع كثرة</w:t>
      </w:r>
      <w:bookmarkEnd w:id="135"/>
    </w:p>
    <w:p>
      <w:pPr>
        <w:pStyle w:val="Heading6"/>
        <w:numPr>
          <w:ilvl w:val="5"/>
          <w:numId w:val="1"/>
        </w:numPr>
        <w:rPr/>
      </w:pPr>
      <w:bookmarkStart w:id="136" w:name="__RefHeading___Toc2933160_2870459653"/>
      <w:bookmarkStart w:id="137" w:name="_Toc52"/>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بناءً على القاعدة النّحويّة المعروفة</w:t>
      </w:r>
      <w:r>
        <w:rPr>
          <w:rStyle w:val="FootnoteAnchor"/>
          <w:rtl w:val="true"/>
        </w:rPr>
        <w:footnoteReference w:id="116"/>
      </w:r>
      <w:r>
        <w:rPr>
          <w:rFonts w:ascii="Amiri" w:hAnsi="Amiri" w:eastAsia="Amiri" w:cs="Amiri"/>
          <w:color w:val="111111"/>
          <w:sz w:val="28"/>
          <w:sz w:val="28"/>
          <w:szCs w:val="28"/>
          <w:rtl w:val="true"/>
          <w:lang w:bidi="ar-SA"/>
        </w:rPr>
        <w:t>في تقسيم الجموع إلى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وكثرة ومشترك بينهما، فجمع القلّة ما يدل على إرادة الثّلاثة إلى العشرة، وجمع الكثرة ما يدلّ على إرادة العشرة فما فوق، والمشترك بينهما ما يدلّ على إرادة الثّلاثة فما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 الجمع السّالم مشتركاً بين القسمين، وقُسّمت جموع التّكسير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وكثرة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 جمع القلّة هو أربعة أوزان،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عداها فجموع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يستعمل أحدهما مكان الآخر تجوّزاً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وجموع القلّة في الأمثلة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تمثّل أحد الجمعين في عشرة </w:t>
      </w:r>
    </w:p>
    <w:p>
      <w:pPr>
        <w:pStyle w:val="BookText"/>
        <w:rPr/>
      </w:pPr>
      <w:r>
        <w:rPr>
          <w:rFonts w:ascii="Amiri" w:hAnsi="Amiri" w:eastAsia="Amiri" w:cs="Amiri"/>
          <w:color w:val="111111"/>
          <w:sz w:val="28"/>
          <w:sz w:val="28"/>
          <w:szCs w:val="28"/>
          <w:rtl w:val="true"/>
          <w:lang w:bidi="ar-SA"/>
        </w:rPr>
        <w:t>من الأمثلة العشرين السّابقة، والباقي هي جموع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ذكره السّائل جمع قلّة، والباقي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يبرر اختيار بعض جموع الكلمة على بعض في الأمثلة العشرة بالفارق المعنوي بينها فإنْ كان معنى الجمع مراداً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أُريد القلّة بجمع القلّة والكثرة بجمع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نكتة اختيار بعضها المعيّن 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يرد معنى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استُعمل جمع القلّة في موضع إرادة الكثرة أو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نكتة هذا الاختيار نكتة بلاغيّة حيث يكون هذا الاستعمال مجازياً، والمجاز يزيد الكلام رونقاً وجمالاً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أنَّ هذا هو الفارق الوحيد الّذي اطلعنا عليه بين معاني الجموع في كلمات علماء اللّغة وإنْ كان هناك جمعٌ منهم ينكرون ظاهرة التّرادف في لغة واحدة ممّا يقتضي تفريقهم بين الجموع المتعدّدة لمفردٍ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لم تختلف في القلّة والكثرة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إنكارهم لها يشمل الهيئات العامّة كما يشمل الموادّ، بل الهيئات أوْلى بذلك وفق انطباعهم من كون وضع عدّة ألفاظ لمعنى مخالفاً للحكمة؛ لأنَّها تولّد كلمات مترادفة كثيرة، إلّا أنَّا لم نعثر على تفسير لهم للفرق بين مثل هذه الجموع بما لاحظناه من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ككتاب الفروق لأبي هلال العسكري، وكذا بما اطلعنا عليه في مطاوي الكتب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الباحث يجد بعض ما يُشير إلى ذلك بالتّتبع الزّائد إنْ لم يكونوا قد غفلوا عن هذه النّاحية من ظاهرة التّرادف الّتي هي من أهم نواحيها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أصل تماميّة تلك القاعدة، ثُمَّ في صلاحيتها لتفسير هذه الظّاهرة من النّاحية اللّغويّة والبلاغيّة نظر ومناقشة</w:t>
      </w:r>
      <w:r>
        <w:rPr>
          <w:rFonts w:eastAsia="Amiri" w:cs="Amiri" w:ascii="Amiri" w:hAnsi="Amiri"/>
          <w:color w:val="111111"/>
          <w:sz w:val="28"/>
          <w:szCs w:val="28"/>
          <w:rtl w:val="true"/>
          <w:lang w:bidi="ar-SA"/>
        </w:rPr>
        <w:t xml:space="preserve">. </w:t>
      </w:r>
      <w:bookmarkStart w:id="138" w:name="pg9124_98513"/>
    </w:p>
    <w:p>
      <w:pPr>
        <w:pStyle w:val="Heading6"/>
        <w:numPr>
          <w:ilvl w:val="5"/>
          <w:numId w:val="1"/>
        </w:numPr>
        <w:rPr/>
      </w:pPr>
      <w:bookmarkStart w:id="139" w:name="__RefHeading___Toc2933162_2870459653"/>
      <w:bookmarkStart w:id="140" w:name="_Toc53"/>
      <w:bookmarkEnd w:id="138"/>
      <w:bookmarkEnd w:id="139"/>
      <w:r>
        <w:rPr>
          <w:rtl w:val="true"/>
        </w:rPr>
        <w:t>إنكار انقسام الجمع إلى قلّة وكثرة</w:t>
      </w:r>
      <w:bookmarkEnd w:id="140"/>
    </w:p>
    <w:p>
      <w:pPr>
        <w:pStyle w:val="Heading6"/>
        <w:numPr>
          <w:ilvl w:val="5"/>
          <w:numId w:val="1"/>
        </w:numPr>
        <w:rPr/>
      </w:pPr>
      <w:bookmarkStart w:id="141" w:name="__RefHeading___Toc2933164_2870459653"/>
      <w:bookmarkStart w:id="142" w:name="_Toc54"/>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النّاحية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فيما يتعلّق بأصل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أوزان الجموع جميعاً إنَّما تعبّر عن معنى الاجتماع أو الاجتماع الثّلاثي فما فوق</w:t>
      </w:r>
      <w:r>
        <w:rPr>
          <w:rStyle w:val="FootnoteAnchor"/>
          <w:rtl w:val="true"/>
        </w:rPr>
        <w:footnoteReference w:id="117"/>
      </w:r>
      <w:r>
        <w:rPr>
          <w:rFonts w:ascii="Amiri" w:hAnsi="Amiri" w:eastAsia="Amiri" w:cs="Amiri"/>
          <w:color w:val="111111"/>
          <w:sz w:val="28"/>
          <w:sz w:val="28"/>
          <w:szCs w:val="28"/>
          <w:rtl w:val="true"/>
          <w:lang w:bidi="ar-SA"/>
        </w:rPr>
        <w:t>فحسب، ولا دلالة لشيءٍ منها على التّحديد المذكور على ما يقضي به الوجدان اللّغوي، إذْ لا ينساق من شيءٍ منها مفهوم العشرة كي تدلّ على كونها نهاية للجمع أو بداية له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نجد في إطلاق ما يسمّى بجمع القلّة على أكثر من عشرة، أو ما يسمّى بجمع الكثرة على أقلّ منها أيّة عناية، مع أنَّ إطلاق الكلمة على غير معناها بحاجة إلى عناية محسوسة، من قبيل إطلاق الشّمس على الوجه الحسن، أو الأسد على الرّجل الشّجاع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ذلك أمور</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2933166_2870459653"/>
      <w:bookmarkStart w:id="144" w:name="_Toc55"/>
      <w:bookmarkEnd w:id="143"/>
      <w:r>
        <w:rPr>
          <w:rtl w:val="true"/>
        </w:rPr>
        <w:t>الأمر الأوَّل</w:t>
      </w:r>
      <w:bookmarkEnd w:id="144"/>
    </w:p>
    <w:p>
      <w:pPr>
        <w:pStyle w:val="BookText"/>
        <w:rPr/>
      </w:pPr>
      <w:r>
        <w:rPr>
          <w:rFonts w:ascii="Amiri" w:hAnsi="Amiri" w:eastAsia="Amiri" w:cs="Amiri"/>
          <w:color w:val="111111"/>
          <w:sz w:val="28"/>
          <w:sz w:val="28"/>
          <w:szCs w:val="28"/>
          <w:rtl w:val="true"/>
          <w:lang w:bidi="ar-SA"/>
        </w:rPr>
        <w:t xml:space="preserve">إنَّه لو صحّ ذلك لم يجز استعمال جمع القلّة في أكثر من عشرة، ولا جمع الكثرة في أقلّ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تجوّزاً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لا شكّ في صحّة استعمالهما كذلك، كما هو واقع بكثرة في الاستعمالات القرآنية وغيرها، وقد اعترف به النّحاة صريحاً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التّجوّز مبني على وجود علاقة مصحّحة للمجاز، وليس هناك شيء من العلائق المذكورة في علم البلاغة في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صحّة أكثرها </w:t>
      </w:r>
      <w:bookmarkStart w:id="145" w:name="pg9124_98514"/>
    </w:p>
    <w:p>
      <w:pPr>
        <w:pStyle w:val="BookText"/>
        <w:rPr/>
      </w:pPr>
      <w:bookmarkEnd w:id="145"/>
      <w:r>
        <w:rPr>
          <w:rFonts w:ascii="Amiri" w:hAnsi="Amiri" w:eastAsia="Amiri" w:cs="Amiri"/>
          <w:color w:val="111111"/>
          <w:sz w:val="28"/>
          <w:sz w:val="28"/>
          <w:szCs w:val="28"/>
          <w:rtl w:val="true"/>
          <w:lang w:bidi="ar-SA"/>
        </w:rPr>
        <w:t>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تجد أنَّه لا يصحّ إطلاق بعض الأعداد وإرادة عدد آخر لغةً بأنْ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 أنَّ استعمال جموع القلّة والكثرة بعضها مكان بعض من قبيل استعمال بعض الأعداد مكان بعض، لأنَّها على القاعدة المذكورة تستبطن التّحديد بعدد معيّن</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2933168_2870459653"/>
      <w:bookmarkStart w:id="147" w:name="_Toc56"/>
      <w:bookmarkEnd w:id="146"/>
      <w:r>
        <w:rPr>
          <w:rtl w:val="true"/>
        </w:rPr>
        <w:t>الأمر الثّاني</w:t>
      </w:r>
      <w:bookmarkEnd w:id="147"/>
    </w:p>
    <w:p>
      <w:pPr>
        <w:pStyle w:val="BookText"/>
        <w:rPr/>
      </w:pPr>
      <w:r>
        <w:rPr>
          <w:rFonts w:ascii="Amiri" w:hAnsi="Amiri" w:eastAsia="Amiri" w:cs="Amiri"/>
          <w:color w:val="111111"/>
          <w:sz w:val="28"/>
          <w:sz w:val="28"/>
          <w:szCs w:val="28"/>
          <w:rtl w:val="true"/>
          <w:lang w:bidi="ar-SA"/>
        </w:rPr>
        <w:t xml:space="preserve">على تقدير صحّة هذا التّجوز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العلاقة المصحّحة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تفسير له من النّاحية البلاغيّة؛ لأنَّ هذا التّجوّز ممّا لا يتضمّن خيالاً وإثارة، ولا يزيد الكلام رونقاً وبهاءً حسب شهادة الذّوق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أنَّه لا بُدَّ في حسن استعمال المجاز من قبل الحكيم من وجود مصحّح بلاغيّ موجب لاختياره 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المصحّح اللّغويّ</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العدول عن التّعبير الحقيقي وإنْ كان يصحّ لغةً من دون نكتةٍ بعد وجود العلاقة، إلّا أنَّه ربّما كان مقتضى البلاغة اختيار التّعبير الصّريح في أداء المعنى ما لم يوجد دافع لاستعمال التّعبير المجازيّ</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2933170_2870459653"/>
      <w:bookmarkStart w:id="149" w:name="_Toc57"/>
      <w:bookmarkEnd w:id="148"/>
      <w:r>
        <w:rPr>
          <w:rtl w:val="true"/>
        </w:rPr>
        <w:t>الأمر الثّالث</w:t>
      </w:r>
      <w:bookmarkEnd w:id="14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لو كان الأمر كذلك لكان المناسب أنْ توضع في اللّغة صيغتان، لكلّ مفرد صيغة قلّة وصيغة كثرة للحاجة الاستعماليّة الماسّة إلى التّعبير عن معنى </w:t>
      </w:r>
      <w:bookmarkStart w:id="150" w:name="pg9124_98515"/>
    </w:p>
    <w:p>
      <w:pPr>
        <w:pStyle w:val="BookText"/>
        <w:rPr/>
      </w:pPr>
      <w:bookmarkEnd w:id="150"/>
      <w:r>
        <w:rPr>
          <w:rFonts w:ascii="Amiri" w:hAnsi="Amiri" w:eastAsia="Amiri" w:cs="Amiri"/>
          <w:color w:val="111111"/>
          <w:sz w:val="28"/>
          <w:sz w:val="28"/>
          <w:szCs w:val="28"/>
          <w:rtl w:val="true"/>
          <w:lang w:bidi="ar-SA"/>
        </w:rPr>
        <w:t xml:space="preserve">الجمع بلفظٍ في جميع مراتبه في كلّ مادّة من الموّاد، لكن الّذي تقضي به ملاحظة مفردات هيئات الجموع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ذكرت في علم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وضع جمعين مطّردين لكلّ هيئة، بل لغالب الهيئات جمع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قلّة، أو كثرة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ادّعى النّحاة أنَّه قد يستغنى بوضع أحد الجمعين في بعض المفردات عن وضع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هناك من داعٍ إلى وضع اللّفظ لمعنىً محدود مع ضرورة إهمال الحدّ في مرحلة الاستعمال باستعماله في غير موضع تواجد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تكلّف لا يليق ولا يقع عادة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ظاهرة من الظّواهر الطّبيعيّة للتجمّع البشري </w:t>
      </w:r>
      <w:r>
        <w:rPr>
          <w:rFonts w:eastAsia="Amiri" w:cs="Amiri" w:ascii="Amiri" w:hAnsi="Amiri"/>
          <w:color w:val="111111"/>
          <w:sz w:val="28"/>
          <w:szCs w:val="28"/>
          <w:rtl w:val="true"/>
          <w:lang w:bidi="ar-SA"/>
        </w:rPr>
        <w:t>- .</w:t>
      </w:r>
    </w:p>
    <w:p>
      <w:pPr>
        <w:pStyle w:val="Heading6"/>
        <w:numPr>
          <w:ilvl w:val="5"/>
          <w:numId w:val="1"/>
        </w:numPr>
        <w:rPr/>
      </w:pPr>
      <w:bookmarkStart w:id="151" w:name="__RefHeading___Toc2933172_2870459653"/>
      <w:bookmarkStart w:id="152" w:name="_Toc58"/>
      <w:bookmarkEnd w:id="151"/>
      <w:r>
        <w:rPr>
          <w:rtl w:val="true"/>
        </w:rPr>
        <w:t>الأمر الرّابع</w:t>
      </w:r>
      <w:bookmarkEnd w:id="152"/>
    </w:p>
    <w:p>
      <w:pPr>
        <w:pStyle w:val="BookText"/>
        <w:rPr/>
      </w:pPr>
      <w:r>
        <w:rPr>
          <w:rFonts w:ascii="Amiri" w:hAnsi="Amiri" w:eastAsia="Amiri" w:cs="Amiri"/>
          <w:color w:val="111111"/>
          <w:sz w:val="28"/>
          <w:sz w:val="28"/>
          <w:szCs w:val="28"/>
          <w:rtl w:val="true"/>
          <w:lang w:bidi="ar-SA"/>
        </w:rPr>
        <w:t xml:space="preserve">إنَّا لا نجد أي تقيّد في استعمالات جموع التّكسير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نشهد مثله في أي استعمال مجازي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يستعمل كلّ منهما في مكان الآخر مع توفّره من غير علّة ظاهرة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مثلاً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لو لاحظت الأمثلة التّسعة المتعلّقة بهذه الظّاهرة الّتي كان أحد جمْعَيها جمع قلّة، والآخر جمع كثرة، وجدتَ أنَّ انتخاب أحد الجمعين على الآخر، أو على سائر جموع الكلمة إنَّما يدور مدار مزيّة لفظيّة أو معنويّة من غير اكتراث بكون الجمع قلّة أو كثرة</w:t>
      </w:r>
      <w:r>
        <w:rPr>
          <w:rStyle w:val="FootnoteAnchor"/>
          <w:rtl w:val="true"/>
        </w:rPr>
        <w:footnoteReference w:id="120"/>
      </w:r>
      <w:r>
        <w:rPr>
          <w:rFonts w:ascii="Amiri" w:hAnsi="Amiri" w:eastAsia="Amiri" w:cs="Amiri"/>
          <w:color w:val="111111"/>
          <w:sz w:val="28"/>
          <w:sz w:val="28"/>
          <w:szCs w:val="28"/>
          <w:rtl w:val="true"/>
          <w:lang w:bidi="ar-SA"/>
        </w:rPr>
        <w:t>، وهذا أمر يُدرك بالذّوق الأدبيّ إجمالاً ويتضح تفصيله بعض الشّيء من خلال الأسباب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سائر تلك الأمثلة بالنّسبة إلى جموع القلّة لمفرداتها الّتي لم تستعمل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سائر الأمثلة الّتي لم يستعمل لها في </w:t>
      </w:r>
      <w:bookmarkStart w:id="153" w:name="pg9124_98516"/>
    </w:p>
    <w:p>
      <w:pPr>
        <w:pStyle w:val="BookText"/>
        <w:rPr/>
      </w:pPr>
      <w:bookmarkEnd w:id="153"/>
      <w:r>
        <w:rPr>
          <w:rFonts w:ascii="Amiri" w:hAnsi="Amiri" w:eastAsia="Amiri" w:cs="Amiri"/>
          <w:color w:val="111111"/>
          <w:sz w:val="28"/>
          <w:sz w:val="28"/>
          <w:szCs w:val="28"/>
          <w:rtl w:val="true"/>
          <w:lang w:bidi="ar-SA"/>
        </w:rPr>
        <w:t>القرآن إلّا جمعٌ واحدٌ إمَّا قلّة أو كثرة ولعلّها تنوف على مائة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بحاجة إلى وضع جداول للمفردات وجموعها في القرآن كي يتسنّى للباحث مطالعة استعمالاتها، إلّا أنَّ الوقت لا يتّسع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أنَّي لا أظنّ حاجة إلى ذلك في إبطال هذه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بلغ من شيوع استعمال أحد الجمعين مكان الآخر أنْ اعترف به النّحاة والصرفيون رغم أنَّه ليس من عادتهم التّعرّض للاستعمالات المجازيّة</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2933174_2870459653"/>
      <w:bookmarkStart w:id="155" w:name="_Toc59"/>
      <w:bookmarkEnd w:id="154"/>
      <w:r>
        <w:rPr>
          <w:rtl w:val="true"/>
        </w:rPr>
        <w:t>الأمر الخامس</w:t>
      </w:r>
      <w:bookmarkEnd w:id="155"/>
    </w:p>
    <w:p>
      <w:pPr>
        <w:pStyle w:val="BookText"/>
        <w:rPr/>
      </w:pP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 انقسام الجمع في اللّغة إلى قسمين ابتداءً إلّا أنَّها أصبحت للقلّة والكثرة جميعاً بالتطوّر الحاصل بالاستعمالات الهائلة لم يكن ذلك غلوّاً ومجازفةً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مثل هذا الانقسام ممّا يستحيل عادةً أنْ يبقى ظاهرة دائمة في اللّغة بعد أنْ لم يكن يوافق حاجةً استعماليةً كما لم نشهد مثله في شيءٍ من اللّغات الأخرى</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2933176_2870459653"/>
      <w:bookmarkStart w:id="157" w:name="_Toc60"/>
      <w:bookmarkEnd w:id="156"/>
      <w:r>
        <w:rPr>
          <w:rtl w:val="true"/>
        </w:rPr>
        <w:t>الأمر السّادس</w:t>
      </w:r>
      <w:bookmarkEnd w:id="157"/>
    </w:p>
    <w:p>
      <w:pPr>
        <w:pStyle w:val="BookText"/>
        <w:rPr/>
      </w:pPr>
      <w:r>
        <w:rPr>
          <w:rFonts w:ascii="Amiri" w:hAnsi="Amiri" w:eastAsia="Amiri" w:cs="Amiri"/>
          <w:color w:val="111111"/>
          <w:sz w:val="28"/>
          <w:sz w:val="28"/>
          <w:szCs w:val="28"/>
          <w:rtl w:val="true"/>
          <w:lang w:bidi="ar-SA"/>
        </w:rPr>
        <w:t>اختلافهم في حدّ الجمع في كلٍّ من القسمين وكذا في مصاديقهما اختلافاً معتدّاً به من غير حسمٍ للنزاع بحجّة، إلّا ما يدلّ على فساد أصل المبنى ككلّ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حدّ الجمع فالمعروف بين النّحاة أنَّ جمع الكثرة يبتدئ بالعشرة، وربّما سمّي بهذا الاعتبار بجمع الكثرة، ولكن عن السّعد التّفتازاني أنَّه يبتدئ من ثلاثة</w:t>
      </w:r>
      <w:r>
        <w:rPr>
          <w:rStyle w:val="FootnoteAnchor"/>
          <w:rtl w:val="true"/>
        </w:rPr>
        <w:footnoteReference w:id="121"/>
      </w:r>
      <w:r>
        <w:rPr>
          <w:rFonts w:ascii="Amiri" w:hAnsi="Amiri" w:eastAsia="Amiri" w:cs="Amiri"/>
          <w:color w:val="111111"/>
          <w:sz w:val="28"/>
          <w:sz w:val="28"/>
          <w:szCs w:val="28"/>
          <w:rtl w:val="true"/>
          <w:lang w:bidi="ar-SA"/>
        </w:rPr>
        <w:t>فيكون الفرق بينهما من ناحية النّهاية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قوله هذا يوافق كلمات الأصوليين الّذين بحثوا في أنَّ أقلّ الجمع اثنان أو ثلاثة من غير تفريق بين الجموع في ذلك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جهة مصاديق القسمين فالمعروف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جمع القلّة في أربعة أوزان من جموع التّكسير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أضاف بعضهم الجمع السّالم فقال إنَّه من قبيل جمع القلّة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58" w:name="pg9124_98517"/>
    </w:p>
    <w:p>
      <w:pPr>
        <w:pStyle w:val="BookText"/>
        <w:rPr/>
      </w:pPr>
      <w:bookmarkEnd w:id="158"/>
      <w:r>
        <w:rPr>
          <w:rFonts w:ascii="Amiri" w:hAnsi="Amiri" w:eastAsia="Amiri" w:cs="Amiri"/>
          <w:color w:val="111111"/>
          <w:sz w:val="28"/>
          <w:sz w:val="28"/>
          <w:szCs w:val="28"/>
          <w:rtl w:val="true"/>
          <w:lang w:bidi="ar-SA"/>
        </w:rPr>
        <w:t>وأنكر الزّجّاج ذلك محتجّاً بمثل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فِي الْغُرُفَاتِ آمِنُونَ</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جَنَّاتٍ وَعُيُونٍ</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القليل أغلب عليه لشبهه بالتّثنية</w:t>
      </w:r>
      <w:r>
        <w:rPr>
          <w:rStyle w:val="FootnoteAnchor"/>
          <w:rtl w:val="true"/>
        </w:rPr>
        <w:footnoteReference w:id="125"/>
      </w:r>
      <w:r>
        <w:rPr>
          <w:rFonts w:ascii="Amiri" w:hAnsi="Amiri" w:eastAsia="Amiri" w:cs="Amiri"/>
          <w:color w:val="111111"/>
          <w:sz w:val="28"/>
          <w:sz w:val="28"/>
          <w:szCs w:val="28"/>
          <w:rtl w:val="true"/>
          <w:lang w:bidi="ar-SA"/>
        </w:rPr>
        <w:t>، إلّا أنَّ مثل هذه الحجّة قائمة في جموع التّكسير، بل لا يحرز فيها غلبة استعمالها في القليل الّذي اعترف به في الجمع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آخرون عدّة أوزان أخرى من جموع التّكسير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المجموع مع جمعي السّالم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المقياس في تشخيص حقّ هذه الأقوال وباطلها</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2933178_2870459653"/>
      <w:bookmarkStart w:id="160" w:name="_Toc61"/>
      <w:bookmarkEnd w:id="159"/>
      <w:r>
        <w:rPr>
          <w:rtl w:val="true"/>
        </w:rPr>
        <w:t>الأمر السّابع</w:t>
      </w:r>
      <w:bookmarkEnd w:id="160"/>
    </w:p>
    <w:p>
      <w:pPr>
        <w:pStyle w:val="BookText"/>
        <w:rPr/>
      </w:pPr>
      <w:r>
        <w:rPr>
          <w:rFonts w:ascii="Amiri" w:hAnsi="Amiri" w:eastAsia="Amiri" w:cs="Amiri"/>
          <w:color w:val="111111"/>
          <w:sz w:val="28"/>
          <w:sz w:val="28"/>
          <w:szCs w:val="28"/>
          <w:rtl w:val="true"/>
          <w:lang w:bidi="ar-SA"/>
        </w:rPr>
        <w:t>إنَّ لازم ما ذكروه أنْ يكون هناك جموع لا تطلق على أقلّ من ثلاثين أو مائة، وذلك فيما إذا جمع كثرة على جمع قلّة أو مشترك بين القلّة والكثرة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مفرده لا يطلق على أقلّ من عشرة، وحيث إنَّ أقلّ الجمع على المعروف ثلاثة فيكون أقلّ الجمع ثلاثين، وإذا جُمع جمع الكثرة على جمع كثرة كان أقلّه مائة؛ لأنَّ أقل ما يطلق عليه مفرده عشرة، كما أنَّ العدد الّذي يقتضيه هو عشرة وضرب عشرة في مثلها يساوق مائة، وهذا ظاهر الفساد بحسب أي وجدان 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غير تامّة في نفسها</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حروف الجمع الأوَّل أُضيفت على المفرد أوَّلاًً فصار جمعاً، ثُمَّ أُضيفت حروف الجمع الثّاني فصار جمع الجمع، ففي المثال أُضيف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حرفي 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الهمزة في أوَّله والألف في 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أظافير بإضافة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ثانيه، وتبديل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وعلى هذا الاحتمال بنى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حروف الجمعين أُضيفت في آن واحد على المفرد للدلالة على جمعه فيكون الجمع للمفرد لا للجمع، وهذا هو الّذي يناسبه شهادة الوجدان اللّغويّ بعدم دلالة ما يعدّ جمعاً للجمع على أكثر من ثلاثة وإنْ كان يناسب أكثر منها من جهة التّفخيم الحاصل في اللّفظ، وإلّا لم يصح إطلاقه على أقلّ من تسعة، فلاحظ</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اشتراك جميع الجموع بين القلّة والكثرة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أنّا لم نطّلع إلّا على أمرين ممّا يمكن أنْ يكون منشأ لقول النّحاة بهذا التّقييم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تناسب بعض الجموع للدلالة على القلّة، كوزن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الكثرة كوزن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يأتي مثال ذلك في السّبب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مجرّد التّناسب لا يوجب اختلاف 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استعمال كلٍّ فيما هو أنسب ضرباً من الجمال المعنوي للكلام فحسب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تنقل عن الخنساء تتضمّن اعتبارها الجمع المؤنّث السّالم وبعض جموع التّكسير جموع قلّة، ففيها أنَّها قالت 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محكيّة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أجود بيت في قصيدتك الّتي عرضتها آنفاً؟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الجفنات الغرّ يلمعن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وأسيافنا يقطرن من نجدة دما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افتخارك وأنزرته في ثمانية مواضع في بيتك هذا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والجفنات ما دون العشر، ولو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يكون في الجبهة، ولو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أكثر اتّساعاً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واللّمع شيء يأتي بعد شيء مضى، ولو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أكثر؛ لأنَّ الإشراق أدوم من اللّمعان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أكثر إشراقاً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وأسيافنا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والأسياف ما دون العشر، ولو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والنّجدة باللام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والدماء أكثر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يحر جواباً</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أنَّ الخبر من وَضْعِ بعض الأدباء المولعين بمثل هذه الحكايات الأدبيّة كما نقل عن الزّجّاج</w:t>
      </w:r>
      <w:r>
        <w:rPr>
          <w:rStyle w:val="FootnoteAnchor"/>
          <w:rtl w:val="true"/>
        </w:rPr>
        <w:footnoteReference w:id="128"/>
      </w:r>
      <w:r>
        <w:rPr>
          <w:rFonts w:ascii="Amiri" w:hAnsi="Amiri" w:eastAsia="Amiri" w:cs="Amiri"/>
          <w:color w:val="111111"/>
          <w:sz w:val="28"/>
          <w:sz w:val="28"/>
          <w:szCs w:val="28"/>
          <w:rtl w:val="true"/>
          <w:lang w:bidi="ar-SA"/>
        </w:rPr>
        <w:t>إنكاره له قائلاً إنَّه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ومضمونه كافٍ في الحكم بوضعه، لضعف الانتقادات المذكورة، بل وضوح ضعف بعضها جدّاً بما يطول توضيحه، ولو لم يكن فيها إلّا إثبات كون الجمع المؤنث السّالم 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كثرة لكفى بعد مخالفته للوجدان اللّغويّ</w:t>
      </w:r>
      <w:r>
        <w:rPr>
          <w:rFonts w:eastAsia="Amiri" w:cs="Amiri" w:ascii="Amiri" w:hAnsi="Amiri"/>
          <w:color w:val="111111"/>
          <w:sz w:val="28"/>
          <w:szCs w:val="28"/>
          <w:rtl w:val="true"/>
          <w:lang w:bidi="ar-SA"/>
        </w:rPr>
        <w:t xml:space="preserve">. </w:t>
      </w:r>
      <w:bookmarkStart w:id="161" w:name="pg9124_98520"/>
    </w:p>
    <w:p>
      <w:pPr>
        <w:pStyle w:val="Heading6"/>
        <w:numPr>
          <w:ilvl w:val="5"/>
          <w:numId w:val="1"/>
        </w:numPr>
        <w:rPr/>
      </w:pPr>
      <w:bookmarkStart w:id="162" w:name="__RefHeading___Toc2933180_2870459653"/>
      <w:bookmarkStart w:id="163" w:name="_Toc62"/>
      <w:bookmarkEnd w:id="161"/>
      <w:bookmarkEnd w:id="162"/>
      <w:r>
        <w:rPr>
          <w:rtl w:val="true"/>
        </w:rPr>
        <w:t>عدم جدوى التّقسيم المذكور لتفسير هذه الظّاهرة</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جدوى التّقسيم المذكور في حلّ هذه الظّاهرة، لا في حالة استعمال جمع القلّة في القلّة والكثرة في الكثرة كنكتةٍ لغويّة، ولا في حالة العكس كنكتةٍ بلاغيّةٍ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الحالة الثّانية فلِما تقدَّم من أنَّ هذا المجاز لا يوجب زيادة الكلام رونقاً وجمالاً من النّاحية المعنويّة ليصح تفسيراً لاختياره على الحقيقة، فيكون استعماله بنفسه بحاجة إلى تفسير 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يزيد الحاجة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الحالة الأُولى فلأنَّ استعمال جمع القلّة في موضع جمع الكثرة وبالعكس إذا كان مجازاً يزيد رونق الكلام كما فرض في توجيه الحالة الثّانية فيتّجه السّؤال عن سّر عدم اختياره في موارد استعمال كلّ ِقسم في موضعه ليزداد الكلام بلاغةً وبهاءً، فلا بُدَّ هناك من تفسير للتفكيك بين الموارد في استعمال هذا المجاز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 تقسيم الجمع إلى قلّة وكثرة في تفسير هذه الظّاهرة</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2933182_2870459653"/>
      <w:bookmarkStart w:id="165" w:name="_Toc63"/>
      <w:bookmarkEnd w:id="164"/>
      <w:r>
        <w:rPr>
          <w:rtl w:val="true"/>
        </w:rPr>
        <w:t>السّبب الرّابع</w:t>
      </w:r>
      <w:r>
        <w:rPr>
          <w:rtl w:val="true"/>
        </w:rPr>
        <w:t xml:space="preserve">: </w:t>
      </w:r>
      <w:r>
        <w:rPr>
          <w:rtl w:val="true"/>
        </w:rPr>
        <w:t>اختلاف معنى الجمعين من جهة اختلاف معنى مفردهما بالدّقة</w:t>
      </w:r>
      <w:bookmarkEnd w:id="165"/>
    </w:p>
    <w:p>
      <w:pPr>
        <w:pStyle w:val="Heading6"/>
        <w:numPr>
          <w:ilvl w:val="5"/>
          <w:numId w:val="1"/>
        </w:numPr>
        <w:rPr/>
      </w:pPr>
      <w:bookmarkStart w:id="166" w:name="__RefHeading___Toc2933184_2870459653"/>
      <w:bookmarkStart w:id="167" w:name="_Toc64"/>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فإنَّه قد يكون لمفردٍ ما معنيان يجمع كليهما على وزنٍ، ويختصّ أحدهما بوزن آخر، فيتعيّن استعمال الوزن الأوَّل في التّعبير عن المعنى الّذي يختصّ جمعه به، فيجمع كل واحد بهيئة غير ما يجمع عليه الآخر، مثل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الباصرة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من معنييها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الباصرة والجارية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تطلق على الكافر في مقابل المؤمن، وعلى الزّرّاع، ويُجمع</w:t>
      </w:r>
    </w:p>
    <w:p>
      <w:pPr>
        <w:pStyle w:val="BookText"/>
        <w:rPr/>
      </w:pPr>
      <w:r>
        <w:rPr>
          <w:rFonts w:ascii="Amiri" w:hAnsi="Amiri" w:eastAsia="Amiri" w:cs="Amiri"/>
          <w:color w:val="111111"/>
          <w:sz w:val="28"/>
          <w:sz w:val="28"/>
          <w:szCs w:val="28"/>
          <w:rtl w:val="true"/>
          <w:lang w:bidi="ar-SA"/>
        </w:rPr>
        <w:t xml:space="preserve">بكلا المعنيين على الكفّار، ولكنْ لم يأتِ جمعه بمعنى الزّرّاع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فيختصّ به المعنى الأوَّل فمتى أُريد التّعبير عن جمع الزّرّاع تعيّن استعمال الكفّار،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غَيْثٍ أَعْجَبَ الْكُفَّارَ نَبَاتُهُ ثُمَّ يَهِيجُ فَتَرَاهُ مُصْفَرّاً</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أحد الاحتمالين 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بالكفّار الزّرّاع؛ لأنَّهم يغطّون البذر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الكفّار حقّ الله تعالى بدلالة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 الزّرّاع ليغيظ بهم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الكافر لا اختصاص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عنى الكفّار، وخصّهم بكونهم معجبين بالدّنيا وزخارفها وراكنين إليها</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والاحتمال الأوَّل أظهر، فإنَّه لا تناسب في تلك الآية لإرادة الكفّار في مقابل المؤمنين كما يشهد لذلك ما في الآية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 الزُّرَّاعَ</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الاجتناب عن التّعبير بالكفّار فيها أمكن أنْ يكون كراهة له بعد وقوع التّعبير في الآية بالكفّار مرّتين بما يقابل المؤمنين وإنْ عدّ مثل ذلك في علم البديع من المحسنات البديعيّة وسُمّي طباقاً، إلّا أنَّ حسنه في كلّ حالٍ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الكفّار في اللّغة بمعنى الزّرّاع ففي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من ستر شيئاً، فقد كَفَرَه وكَفَّره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والكافر الزّرَّاعُ لستره البذرَ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العرب للزَّرَّاعِ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لأَنَّه يَكْفُر البَذْر المَبْذورَ بتراب الأَرض المُثارة إِذا أَمَرّ عليها مالَقَه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لم يرد إطلاق الكافر والكفّار على الزّرّاع لغةً وإنَّما كان مجرّد تخريج على </w:t>
      </w:r>
    </w:p>
    <w:p>
      <w:pPr>
        <w:pStyle w:val="BookText"/>
        <w:rPr/>
      </w:pPr>
      <w:r>
        <w:rPr>
          <w:rFonts w:ascii="Amiri" w:hAnsi="Amiri" w:eastAsia="Amiri" w:cs="Amiri"/>
          <w:color w:val="111111"/>
          <w:sz w:val="28"/>
          <w:sz w:val="28"/>
          <w:szCs w:val="28"/>
          <w:rtl w:val="true"/>
          <w:lang w:bidi="ar-SA"/>
        </w:rPr>
        <w:t xml:space="preserve">معناه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السّتر والتّغطية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رجح الاحتمال الثّاني، وكأنَّ 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عن الأُنس الشديد للغويّين والمفسّرين بالمفاهيم الدّينيّة حتّى بالغوا في تفسير الألفاظ بها ولو أُريدت بها معانٍ لغويّة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نفوس وأنفس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ما مضى في السّبب الأوَّل من أنَّ النّفس بمعنى الذّات 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وبمعنى الرّوح 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توضيح شواهد ذلك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فيتعيّن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التّعبير عن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بعض اللّغوييّن من استعمال النّفوس جمعاً لنفس بمعنى الذّات لا شاهد عليه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يتّجه اندراجه في السّبب الأوَّل بناءً على أنَّ مفرده ذو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الرّوح كما قد يستفاد من كلام الرّاغب</w:t>
      </w:r>
      <w:r>
        <w:rPr>
          <w:rStyle w:val="FootnoteAnchor"/>
          <w:rtl w:val="true"/>
        </w:rPr>
        <w:footnoteReference w:id="133"/>
      </w:r>
      <w:r>
        <w:rPr>
          <w:rFonts w:ascii="Amiri" w:hAnsi="Amiri" w:eastAsia="Amiri" w:cs="Amiri"/>
          <w:color w:val="111111"/>
          <w:sz w:val="28"/>
          <w:sz w:val="28"/>
          <w:szCs w:val="28"/>
          <w:rtl w:val="true"/>
          <w:lang w:bidi="ar-SA"/>
        </w:rPr>
        <w:t>حيث لم يذكر غيره، وإنْ لم يمثّل له بما يناسب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بناءً على أنَّه بمعنى الذّات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باطل كما يظهر ممّا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وعبيد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ما مرّ عن الرّاغب في السّبب الأوَّل من كون مفرد الأوَّل العبد العابد، وفي الثّاني العبد بمعنى مطلق المملوك إذا ضمّ إلى ما ذكرناه من مجيئ العباد جمعاً للعبد بمعنى مطلق المملوك، فإذا أُريد التّعبير عن العباد العابدون جمعاً تعيّن التّعبير بالعباد، وقد سبق ما يتعلّق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أشياع وشِيَع جمعاً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يظهر من بعض اللّغويين كونهما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والشيعة من يتقوّى بهم الإنسان وينتشرون عنه، ومنه قيل للشجاع مشيع،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وشيع وأشياع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الآيات الّتي تضمنت استعمال الجمعين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يقال بالفرق بينهما على ضوء كلمات بعض اللّغويين ولو في الاستعمال القرآني،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فيها إلّا بمعنى الفِرَق جمعاً للشيعة بمعنى الفرقة، وذلك في آيات خمسة يشهد سياقها بذلك، أو يتعيّن ذلك فيها لا محالة،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يَلْبِسَكُمْ شِيَعاً وَيُذِيقَ بَعْضَكُمْ بَأْسَ بَعْضٍ</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وَكَانُوا شِيَعاً لَسْتَ مِنْهُمْ فِي شَيْءٍ</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وَجَعَلَ أَهْلَهَا شِيَعًا يَسْتَضْعِفُ طَائِفَةً مِنْهُمْ</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فَرَّقُوا دِينَهُمْ وَكَانُوا شِيَعًا كُلُّ حِزْبٍ بِمَا لَدَيْهِمْ فَرِحُونَ</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مِنْ قَبْلِكَ فِي شِيَعِ الْأَوَّلِينَ</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 فإنَّ إرادة الأنصار ونحوه بعيد فيه، وإنَّما الأقرب أنْ 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الأوَّلين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الأشياع فقد استعمل في موردين يناسب إرادة الأمثال كما فُسِّر به في كلمات المفسرين واللغويين</w:t>
      </w:r>
      <w:r>
        <w:rPr>
          <w:rStyle w:val="FootnoteAnchor"/>
          <w:rtl w:val="true"/>
        </w:rPr>
        <w:footnoteReference w:id="139"/>
      </w:r>
      <w:r>
        <w:rPr>
          <w:rFonts w:ascii="Amiri" w:hAnsi="Amiri" w:eastAsia="Amiri" w:cs="Amiri"/>
          <w:color w:val="111111"/>
          <w:sz w:val="28"/>
          <w:sz w:val="28"/>
          <w:szCs w:val="28"/>
          <w:rtl w:val="true"/>
          <w:lang w:bidi="ar-SA"/>
        </w:rPr>
        <w:t>،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أَهْلَكْنَا أَشْيَاعَكُمْ فَهَلْ مِنْ مُدَّكِرٍ</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وَحِيلَ </w:t>
      </w:r>
    </w:p>
    <w:p>
      <w:pPr>
        <w:pStyle w:val="BookText"/>
        <w:rPr/>
      </w:pPr>
      <w:r>
        <w:rPr>
          <w:rFonts w:ascii="Amiri" w:hAnsi="Amiri" w:eastAsia="Amiri" w:cs="Amiri"/>
          <w:color w:val="111111"/>
          <w:sz w:val="28"/>
          <w:sz w:val="28"/>
          <w:szCs w:val="28"/>
          <w:rtl w:val="true"/>
          <w:lang w:bidi="ar-SA"/>
        </w:rPr>
        <w:t>بَيْنَهُمْ وَبَيْنَ مَا يَشْتَهُونَ كَمَا فُعِلَ بِأَشْيَاعِهِمْ مِنْ قَبْلُ</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وإرادة الأنصار فيها بعيد</w:t>
      </w:r>
      <w:r>
        <w:rPr>
          <w:rStyle w:val="FootnoteAnchor"/>
          <w:rtl w:val="true"/>
        </w:rPr>
        <w:footnoteReference w:id="142"/>
      </w:r>
      <w:r>
        <w:rPr>
          <w:rFonts w:ascii="Amiri" w:hAnsi="Amiri" w:eastAsia="Amiri" w:cs="Amiri"/>
          <w:color w:val="111111"/>
          <w:sz w:val="28"/>
          <w:sz w:val="28"/>
          <w:szCs w:val="28"/>
          <w:rtl w:val="true"/>
          <w:lang w:bidi="ar-SA"/>
        </w:rPr>
        <w:t xml:space="preserve">، بل الظّاهر أنَّه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المثل ففي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مِثْله</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 أو جمع شيعة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يَرَوْنَ رأْيَ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عدّه في معانيها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ذكر اللّغويون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 وأشياع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جمعاً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معاً بمعنى الأنصار، ولكنَّه غير مراد، ولم يذكروا مجيء أشياع بمعنى الفِرَق، ولا الشيع بمعنى الأمثال، فلاحظ</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ويلحق بذلك صيغتا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تعليل ذكره الرّاغب، فإنَّ مفرد اللّفظين وإنْ كان مختلفاً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بذلك عن هذه الظّاهرة، إلَّا أنَّه ناسب التّعرض لهما من جهة ذكرهما في كلام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صيغتي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مورد واحد وهو قوله تعالى في وصف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كِرَامٍ بَرَرَةٍ</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وصفاً للناس المؤمنين في ستة مواضع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فَاغْفِرْ لَنَا ذُنُوبَنَا وَكَفِّرْ عَنَّا سَيِّئَاتِنَا وَتَوَفَّنَا مَعَ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الَّذِينَ اتَّقَوْا رَبَّهُمْ لَهُمْ جَنَّاتٌ تَجْرِي مِنْ تَحْتِهَا الْأَنْهَارُ خَالِدِينَ فِيهَا نُزُلًا مِنْ عِنْدِ اللَّهِ وَمَا عِنْدَ اللَّهِ خَيْرٌ لِلْأَبْرَارِ</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الْفُجَّارَ لَفِي جَحِيمٍ</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الْأَبْرَارِ لَفِي عِلِّيِّينَ</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والسّبب الأقرب في هذه التّفرقة عندي هو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أجمل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ذاتاً فاختيرت عليها إلَّا في تلك الآية مراعاة فيها للسجع، أو الموازنة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يأتي نظيره في السّبب السّادس من الأسباب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الآيتين الأوليتين تحقيقه فيهما للسجع والموازنة</w:t>
      </w:r>
      <w:r>
        <w:rPr>
          <w:rStyle w:val="FootnoteAnchor"/>
          <w:rtl w:val="true"/>
        </w:rPr>
        <w:footnoteReference w:id="15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علّل هذه التّفرقة الرّاغب الأصفهاني بما يشبه السّبب المذكور،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وجمع البارّ أبرار وبررة،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كِتَابَ الأَبْرَارِ لَفِي عِلِّيِّينَ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صفة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كِرَامٍ 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فبَرَرَة خصّ بها الملائكة في القرآن من حيث إنَّه 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عدلاً أبلغ من عادل</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تبعه على ذلك الفيروز آبادي صاحب القاموس في كتابه البصائر على ما نقله في تاج العروس</w:t>
      </w:r>
      <w:r>
        <w:rPr>
          <w:rStyle w:val="FootnoteAnchor"/>
          <w:rtl w:val="true"/>
        </w:rPr>
        <w:footnoteReference w:id="156"/>
      </w:r>
      <w:r>
        <w:rPr>
          <w:rFonts w:ascii="Amiri" w:hAnsi="Amiri" w:eastAsia="Amiri" w:cs="Amiri"/>
          <w:color w:val="111111"/>
          <w:sz w:val="28"/>
          <w:sz w:val="28"/>
          <w:szCs w:val="28"/>
          <w:rtl w:val="true"/>
          <w:lang w:bidi="ar-SA"/>
        </w:rPr>
        <w:t>حيث حكى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وخُصَّ المَلائِكَةُ بالبَرَرَةِ، من حيثُ إنَّه أبلغُ من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عبارة الرّاغب، ولم يعلّق الزبيدي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التّعليل يبتني على دعائم أربعة، لا يتمّ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دعامة قرآنيّة، وهي تخصيص الملائكة في القرآن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والنّاس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دعامة لغويّة، وهي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دعامة صرفيّة، وهي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دعامة بلاغيّة، وهي أنَّ مقتضى البلاغة التّعبير عن الملائكة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النّاس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لفضيلة الملائكة على النّاس</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الدّعامة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تخصيص كلٌّ من النّاس والملائكة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لو تمّت لاقتضت ضرورة وجود نكتة معنويّة مستدعية للتفريق بين الصّنفين في التّعبير، </w:t>
      </w:r>
      <w:bookmarkStart w:id="168" w:name="pg9124_98527"/>
    </w:p>
    <w:p>
      <w:pPr>
        <w:pStyle w:val="BookText"/>
        <w:rPr/>
      </w:pPr>
      <w:bookmarkEnd w:id="168"/>
      <w:r>
        <w:rPr>
          <w:rFonts w:ascii="Amiri" w:hAnsi="Amiri" w:eastAsia="Amiri" w:cs="Amiri"/>
          <w:color w:val="111111"/>
          <w:sz w:val="28"/>
          <w:sz w:val="28"/>
          <w:szCs w:val="28"/>
          <w:rtl w:val="true"/>
          <w:lang w:bidi="ar-SA"/>
        </w:rPr>
        <w:t>كما مرّ ذلك في البحث عن السّبب الأوَّل، وهذا بدوره يقوّي احتمال مراعاة النّكتة المعنويّة الّتي ذكرت كدعامة بلاغيّة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عدم تماميّة ذلك لعدّة جهات</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2933186_2870459653"/>
      <w:bookmarkStart w:id="170" w:name="_Toc65"/>
      <w:bookmarkEnd w:id="169"/>
      <w:r>
        <w:rPr>
          <w:rtl w:val="true"/>
        </w:rPr>
        <w:t>الجهة الأُولى</w:t>
      </w:r>
      <w:bookmarkEnd w:id="170"/>
    </w:p>
    <w:p>
      <w:pPr>
        <w:pStyle w:val="BookText"/>
        <w:rPr/>
      </w:pPr>
      <w:r>
        <w:rPr>
          <w:rFonts w:ascii="Amiri" w:hAnsi="Amiri" w:eastAsia="Amiri" w:cs="Amiri"/>
          <w:color w:val="111111"/>
          <w:sz w:val="28"/>
          <w:sz w:val="28"/>
          <w:szCs w:val="28"/>
          <w:rtl w:val="true"/>
          <w:lang w:bidi="ar-SA"/>
        </w:rPr>
        <w:t>إنَّ بالإمكان أنْ يكون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المورد المذكور لا من جهة وقوعه وصفاً للملائكة، بل مراعاة لمزيّة لفظيّة وهي تماثل الآية مع طرفيها على نحو السّجع أو الموازنة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 هذا الاحتمال كافٍ في عدم صحّة ادعاء التّخصيص كما تقدّم</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2933188_2870459653"/>
      <w:bookmarkStart w:id="172" w:name="_Toc66"/>
      <w:bookmarkEnd w:id="171"/>
      <w:r>
        <w:rPr>
          <w:rtl w:val="true"/>
        </w:rPr>
        <w:t>الجهة الثّانية</w:t>
      </w:r>
      <w:bookmarkEnd w:id="172"/>
    </w:p>
    <w:p>
      <w:pPr>
        <w:pStyle w:val="BookText"/>
        <w:rPr/>
      </w:pPr>
      <w:r>
        <w:rPr>
          <w:rFonts w:ascii="Amiri" w:hAnsi="Amiri" w:eastAsia="Amiri" w:cs="Amiri"/>
          <w:color w:val="111111"/>
          <w:sz w:val="28"/>
          <w:sz w:val="28"/>
          <w:szCs w:val="28"/>
          <w:rtl w:val="true"/>
          <w:lang w:bidi="ar-SA"/>
        </w:rPr>
        <w:t>وقوع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الإنسان ولكن مخصّصا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وَبَرّاً بِوَالِدَيْهِ وَلَمْ يَكُنْ جَبَّاراً عَصِيّا</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وبالأُم في قوله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وَبَرّاً بِوَالِدَتِي وَلَمْ يَجْعَلْنِي جَبَّاراً شَقِيّاً</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والبرّ بالأبوين جزء من الإيمان وخصلة من خصاله، فالتعبير به عن الإنسان ينفي تخصيص الملائكة بوصف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فرق بين المفرد والجمع</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2933190_2870459653"/>
      <w:bookmarkStart w:id="174" w:name="_Toc67"/>
      <w:bookmarkEnd w:id="173"/>
      <w:r>
        <w:rPr>
          <w:rtl w:val="true"/>
        </w:rPr>
        <w:t>الجهة الثّالثة</w:t>
      </w:r>
      <w:bookmarkEnd w:id="174"/>
    </w:p>
    <w:p>
      <w:pPr>
        <w:pStyle w:val="Heading6"/>
        <w:numPr>
          <w:ilvl w:val="5"/>
          <w:numId w:val="1"/>
        </w:numPr>
        <w:rPr/>
      </w:pPr>
      <w:bookmarkStart w:id="175" w:name="__RefHeading___Toc2933192_2870459653"/>
      <w:bookmarkStart w:id="176" w:name="_Toc68"/>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وكذلك ينفي ذلك ما ورد من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النّاس؛ إذْ لا فرق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إذْ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أبلغ من البارّ إنْ كان من جهة كونه مصدراً، والتوصيف بالمصدر أبلغ من التّوصيف بالوصف فالبِرّ بالكسر مصدر أيضاً دون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جهة كونه وصفاً مصوغاً للمبالغة فلا يقصر التَّوصيف بالمصدر عنه في ذلك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التّعبير بالبِرّ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المؤمنين في موضعين من القرآن الكريم، قال </w:t>
      </w:r>
      <w:bookmarkStart w:id="177" w:name="pg9124_98528"/>
    </w:p>
    <w:p>
      <w:pPr>
        <w:pStyle w:val="BookText"/>
        <w:rPr/>
      </w:pPr>
      <w:bookmarkEnd w:id="177"/>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 قِبَلَ الْمَشْرِقِ وَالْمَغْرِبِ وَلَكِنَّ الْبِرَّ مَنْ آمَنَ بِاللَّهِ وَالْيَوْمِ الآخِرِ وَالْمَلائِكَةِ وَالْكِتَابِ</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الْبِرُّ بِأَنْ تَأْتُوا الْبُيُوتَ مِنْ ظُهُورِهَا وَلَكِنَّ الْبِرَّ مَنْ اتَّقَى وَأْتُوا الْبُيُوتَ مِنْ أَبْوَابِهَا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ذلك، فإنَّ تخصيص الملائكة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يتحقّق فيما لو كانت موارد التّعبير عنهم بذلك متعدّدة حتّى لا يحتمل أنْ يكون على سبيل التّفنّن في اختيار الألفاظ المتماثلة المعنى، فلا يكفي وقوع التّعبير عنهم بذلك في مورد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الدعامة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إنْ كان على أساس كون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مبالغة فهو مردود بوضوح، فإنَّه لم يعدّ أحد من النّحاة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أوزان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على أساس قياسه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فهو محلّ نظر من عدّة جهات</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2933194_2870459653"/>
      <w:bookmarkStart w:id="179" w:name="_Toc69"/>
      <w:bookmarkEnd w:id="178"/>
      <w:r>
        <w:rPr>
          <w:rtl w:val="true"/>
        </w:rPr>
        <w:t>الجهة الأولى</w:t>
      </w:r>
      <w:bookmarkEnd w:id="179"/>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اللّغويون والنحاة</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ولكنْ علّل كونه مبالغة في كلام بعضهم بوجهٍ غير ما ذكرناه، ففي اللّسان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وصف بجميع الجنس مبالغةً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على الفَضْل وحاز جميعَ الرِّياسة والنُّبْل ونحو ذلك، فوُصِف بالجنس أَجمع تمكيناً لهذا الموضع وتوكيداً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خطأ، فإنَّ فيه خلطاً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محلّى بالألف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مجرداً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هو الّذي يقتضي الوصف بجميع الجنس، كما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هو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فهو إنَّما يقتضي كون الرّجل عدلاً، لا كونه جميع العدل، كما أنَّه 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يقتضِ أنَّه الإنسان فحسب، وإنَّما يقتضي ذلك 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الجنسيّة كما هو ظاهر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يكون مصدراً؛ لأنَّه يقتضي تجسّد العدالة في الموصوف بمعنى أنَّه كلّه</w:t>
      </w:r>
      <w:bookmarkStart w:id="180" w:name="pg9124_98529"/>
    </w:p>
    <w:p>
      <w:pPr>
        <w:pStyle w:val="BookText"/>
        <w:rPr/>
      </w:pPr>
      <w:bookmarkEnd w:id="180"/>
      <w:r>
        <w:rPr>
          <w:rFonts w:ascii="Amiri" w:hAnsi="Amiri" w:eastAsia="Amiri" w:cs="Amiri"/>
          <w:color w:val="111111"/>
          <w:sz w:val="28"/>
          <w:sz w:val="28"/>
          <w:szCs w:val="28"/>
          <w:rtl w:val="true"/>
          <w:lang w:bidi="ar-SA"/>
        </w:rPr>
        <w:t xml:space="preserve">عدالة،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الإحسان فلم يذكر أحدٌ من اللّغويين ولا الرّاغب وروده مصدراً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يرد مصدراً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صدقها ووفى بها، وهو غير مراد في الآيات</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2933196_2870459653"/>
      <w:bookmarkStart w:id="182" w:name="_Toc70"/>
      <w:bookmarkEnd w:id="181"/>
      <w:r>
        <w:rPr>
          <w:rtl w:val="true"/>
        </w:rPr>
        <w:t>الجهة الثّانية</w:t>
      </w:r>
      <w:bookmarkEnd w:id="182"/>
    </w:p>
    <w:p>
      <w:pPr>
        <w:pStyle w:val="BookText"/>
        <w:rPr/>
      </w:pPr>
      <w:r>
        <w:rPr>
          <w:rFonts w:ascii="Amiri" w:hAnsi="Amiri" w:eastAsia="Amiri" w:cs="Amiri"/>
          <w:color w:val="111111"/>
          <w:sz w:val="28"/>
          <w:sz w:val="28"/>
          <w:szCs w:val="28"/>
          <w:rtl w:val="true"/>
          <w:lang w:bidi="ar-SA"/>
        </w:rPr>
        <w:t xml:space="preserve">إنَّه لو قدّر وروده مصدراً فلا دليل على اختصاصه بالمعنى المصدريّ، بل من الجائز اشتراكه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بالتّطوّر</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إفادة المعنى المصدري للمبالغة ينشأ عن طبيعة هذا المعنى؛ لأنَّ مضمونه حدث محضّ دون ذات، فيكون حمله على الذّات تصويراً لتجسدّ الحدث في الذّات، فإذا تغيّر معناه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وحدث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بصيرورته وصفاً فَقَدَ نكتة إفادة المبالغة لا محالة،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المعنى المصدريّ والوصفيّ، كما لا يبعد الالتزام به في عدّة ألفاظ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وعليه فحيث إنَّ إرادة المعنى المصدريّ يكون تجوّزاً ولا قرينة عليه فيُحمل على إرادة المعنى الوصفيّ</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2933198_2870459653"/>
      <w:bookmarkStart w:id="184" w:name="_Toc71"/>
      <w:bookmarkEnd w:id="183"/>
      <w:r>
        <w:rPr>
          <w:rtl w:val="true"/>
        </w:rPr>
        <w:t>الجهة الثّالثة</w:t>
      </w:r>
      <w:bookmarkEnd w:id="184"/>
    </w:p>
    <w:p>
      <w:pPr>
        <w:pStyle w:val="Heading6"/>
        <w:numPr>
          <w:ilvl w:val="5"/>
          <w:numId w:val="1"/>
        </w:numPr>
        <w:rPr/>
      </w:pPr>
      <w:bookmarkStart w:id="185" w:name="__RefHeading___Toc2933200_2870459653"/>
      <w:bookmarkStart w:id="186" w:name="_Toc72"/>
      <w:bookmarkEnd w:id="185"/>
      <w:r>
        <w:rPr>
          <w:rtl w:val="true"/>
        </w:rPr>
        <w:t>اشارة</w:t>
      </w:r>
      <w:bookmarkEnd w:id="18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نفس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قرينة على أنَّ المراد به المعنى الوصفيّ دون المصدريّ، فإنَّ الجمع منه لا يستعمل حيث يراد به المصدر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اللّغويون في أمثاله كعدل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يظهر من كلماتهم دعوى صحّة استعماله فيما لو أُطلق المصدر على الذّات مبالغةً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الأظهر عدم تماميّة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على القول بأنَّ المجاز ليس استعمالاً للّفظ في غير معناه، وإنَّما ينزّل غير </w:t>
      </w:r>
      <w:bookmarkStart w:id="187" w:name="pg9124_98530"/>
    </w:p>
    <w:p>
      <w:pPr>
        <w:pStyle w:val="BookText"/>
        <w:rPr/>
      </w:pPr>
      <w:bookmarkEnd w:id="187"/>
      <w:r>
        <w:rPr>
          <w:rFonts w:ascii="Amiri" w:hAnsi="Amiri" w:eastAsia="Amiri" w:cs="Amiri"/>
          <w:color w:val="111111"/>
          <w:sz w:val="28"/>
          <w:sz w:val="28"/>
          <w:szCs w:val="28"/>
          <w:rtl w:val="true"/>
          <w:lang w:bidi="ar-SA"/>
        </w:rPr>
        <w:t>المعنى منزلة المعنى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وأُريد الرّجل الشّجاع لم يستعمل الأسد في الرّجل الشّجاع كمعنى للّفظ، وإنَّما استعمل في نفس الحيوان المفترس، ولكن نزّل الرّجل الشّجاع منزلة الأسد كما عليه 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هذا القول تكون هناك ملازمة واضحة بين صحّة جمع المصدر حيث يراد به المصدر حقيقة وحيث يراد به الذّات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فيما يعدّ جمعاً للمصدر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للمعنى الوصفيّ بما أنَّه معنى حقيقي للكلمة، كما يشهد به الوجدان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فرق بين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فيما نراه، فإنَّ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ثابتة في الشّخص، فلا يطلق على الشّخص بمجرّد صدور البرّ منه مرة واحدة،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ذو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يستعمل كذلك، وأخرى يستعمل للدّلالة على فعل حادث للشخص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بارّ بك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سأبرّك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إلى هذا الفرق أشار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تلميذه اللّيث في العين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ببرّ وهو بارّ غداً</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أي يصدق نفي صفة البرّ عمّن سوف يبرّ غداً حيث يكون برّه هذا حالة مفردة أو شبه مفردة لا حالة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اللّغويين فجعلوا اللّفظين ككلمتين مترادفتين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الدّعامة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فيلاحظ عليها أمور</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2933202_2870459653"/>
      <w:bookmarkStart w:id="189" w:name="_Toc73"/>
      <w:bookmarkEnd w:id="188"/>
      <w:r>
        <w:rPr>
          <w:rtl w:val="true"/>
        </w:rPr>
        <w:t>الأمر الأوَّل</w:t>
      </w:r>
      <w:bookmarkEnd w:id="18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الصّحيح في الموضوع هو العكس بمعنى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مقتضى المقاييس العامّة المذكورة في علم الصّرف بملاحظة الفارق اللّفظي بين الكلمتين، ولا حجّة في قول اللّغويين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w:t>
      </w:r>
    </w:p>
    <w:p>
      <w:pPr>
        <w:pStyle w:val="BookText"/>
        <w:rPr/>
      </w:pPr>
      <w:r>
        <w:rPr>
          <w:rFonts w:ascii="Amiri" w:hAnsi="Amiri" w:eastAsia="Amiri" w:cs="Amiri"/>
          <w:color w:val="111111"/>
          <w:sz w:val="28"/>
          <w:sz w:val="28"/>
          <w:szCs w:val="28"/>
          <w:rtl w:val="true"/>
          <w:lang w:bidi="ar-SA"/>
        </w:rPr>
        <w:t xml:space="preserve">اتفاقهم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الموضوع أربط بتطبيق القواعد العامّة المبنيّة على تتبع الأمثلة واستقرائها من مداليل لغويّة خاصّة يُعتمد فيها على أقوال آحاد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رباعي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ثلاثي مضاعف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على أوزان عدّة من جملتها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وكملة، وساحر وسحرة، وكافر وكفرة، وصاحب وصحبة، وجاهل وجهلة، وحامل وحملة، وحافظ وحفظة، وكاتب وكتبة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فُعّال وفُعّل، وليس من جملتها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الرّضي في شرح الشّافية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الغالب في فاعل الوصف فُعّل كشُهّد وغُيّب ونُزّل وقُوّم وصُوّم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ويُكسّر أيضاً على فُعّال كزُوّار وغيّاب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أصل في جمع فاعل الوصف أعني فُعَّلاً وفعّالاً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على فعلة أيضاً كثيراً لكنْ لا كالأوَّلي نحو عجزة وفسقة وكفرة وبررة وخونة وحركة</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في كلامه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المضاعف فهو 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جمعاً للكلمات الثّلاثية</w:t>
      </w:r>
      <w:r>
        <w:rPr>
          <w:rStyle w:val="FootnoteAnchor"/>
          <w:rtl w:val="true"/>
        </w:rPr>
        <w:footnoteReference w:id="165"/>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تأتي في الكلمات الرّباعية إلّا ندرة وشذوذاً كشاهد وأشهاد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أنواع الكلمات الثّلاثية الّتي يُجمع عليها المضاعف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وأسرار، ومدّ وأمداد، ومنّ وأمنان، وسنّ وأسنان، وجدّ وأجداد، </w:t>
      </w:r>
      <w:bookmarkStart w:id="190" w:name="pg9124_98532"/>
    </w:p>
    <w:p>
      <w:pPr>
        <w:pStyle w:val="BookText"/>
        <w:rPr/>
      </w:pPr>
      <w:bookmarkEnd w:id="190"/>
      <w:r>
        <w:rPr>
          <w:rFonts w:ascii="Amiri" w:hAnsi="Amiri" w:eastAsia="Amiri" w:cs="Amiri"/>
          <w:color w:val="111111"/>
          <w:sz w:val="28"/>
          <w:sz w:val="28"/>
          <w:szCs w:val="28"/>
          <w:rtl w:val="true"/>
          <w:lang w:bidi="ar-SA"/>
        </w:rPr>
        <w:t>وربّ وأرباب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ذكر المحقّق الرّضي في شرح الشّافية</w:t>
      </w:r>
      <w:r>
        <w:rPr>
          <w:rStyle w:val="FootnoteAnchor"/>
          <w:rtl w:val="true"/>
        </w:rPr>
        <w:footnoteReference w:id="166"/>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 في قلّة المضاعف ولا كثرته إلّا أفعال كأمداد وأفنان وألباب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يختصّ بهذا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فيتعيّن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كأخواتها الّتي هي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كأخواتها الّتي هي على وزن أفعال جمعاً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وقد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بانعكاس الفرق المعنوي السّابق بين المفردين في هذين الجمعين حسب ما يشهد به الوجدان اللّغوي الدّقيق</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2933204_2870459653"/>
      <w:bookmarkStart w:id="192" w:name="_Toc74"/>
      <w:bookmarkEnd w:id="191"/>
      <w:r>
        <w:rPr>
          <w:rtl w:val="true"/>
        </w:rPr>
        <w:t>الأمر الثّاني</w:t>
      </w:r>
      <w:bookmarkEnd w:id="192"/>
    </w:p>
    <w:p>
      <w:pPr>
        <w:pStyle w:val="BookText"/>
        <w:rPr/>
      </w:pPr>
      <w:r>
        <w:rPr>
          <w:rFonts w:ascii="Amiri" w:hAnsi="Amiri" w:eastAsia="Amiri" w:cs="Amiri"/>
          <w:color w:val="111111"/>
          <w:sz w:val="28"/>
          <w:sz w:val="28"/>
          <w:szCs w:val="28"/>
          <w:rtl w:val="true"/>
          <w:lang w:bidi="ar-SA"/>
        </w:rPr>
        <w:t>إنَّه لو قُدّر أنَّ قول اللّغوي حجّة في الموضوع كان قول الرّاغب والفيروزآبادي في ذلك معارَضاً بقول جماعة أُخرى من اللّغويين حيث صرّحوا بما ذكرناه، كما في مواضع متعددة من لسان العرب</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برّ من قوم أبرار، وبارّ من قوم بررة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ثانٍ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وجمع البرّ الأبرار، وجمع البارّ البررة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موضع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البرّ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التّكرار الواقع في اللّسان كثيراً ينشأ عن أنَّه جَمعَ عدّة كتب لغوية على ما ذكره في مقدّمته</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وقد كان من المناسب أنْ يُخرَّج نصّ كلّ كتاب منها من مصدره في الطّبعة الحديثة لكي يتضح قائلوا الأقوال المنقولة فيغني عن مراجعة تلك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غفل ابن منظور نفسه عن أهميّة هذه الجهة للناظر فأهملها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غير حذف مكرّراتها، وعليه فهو يُمثّل بتكراره قول عدّة من</w:t>
      </w:r>
    </w:p>
    <w:p>
      <w:pPr>
        <w:pStyle w:val="BookText"/>
        <w:rPr/>
      </w:pPr>
      <w:r>
        <w:rPr>
          <w:rFonts w:ascii="Amiri" w:hAnsi="Amiri" w:eastAsia="Amiri" w:cs="Amiri"/>
          <w:color w:val="111111"/>
          <w:sz w:val="28"/>
          <w:sz w:val="28"/>
          <w:szCs w:val="28"/>
          <w:rtl w:val="true"/>
          <w:lang w:bidi="ar-SA"/>
        </w:rPr>
        <w:t>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العبارة المتوسطة هي لابن الأثير في النّهاية</w:t>
      </w:r>
      <w:r>
        <w:rPr>
          <w:rStyle w:val="FootnoteAnchor"/>
          <w:rtl w:val="true"/>
        </w:rPr>
        <w:footnoteReference w:id="169"/>
      </w:r>
      <w:r>
        <w:rPr>
          <w:rFonts w:ascii="Amiri" w:hAnsi="Amiri" w:eastAsia="Amiri" w:cs="Amiri"/>
          <w:color w:val="111111"/>
          <w:sz w:val="28"/>
          <w:sz w:val="28"/>
          <w:szCs w:val="28"/>
          <w:rtl w:val="true"/>
          <w:lang w:bidi="ar-SA"/>
        </w:rPr>
        <w:t xml:space="preserve">، ولا يبعد أنْ يكون الباقي للجوهري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الصِّحاح، أو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تهذيب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هؤلاء أرجح لأنَّهم أكثر عدداً، ولأنَّ قولهم أقرب إلى الاسترسال من قول الرّاغب والفيروزآبادي؛ لأنَّهم كانوا في صدد تشخيص الموضوع بنحو طبيعي، وأمَّا العلمان فهما أقرب إلى الانحياز إلى جهة معيّنة، حيث كانا بصدد تبرير ما ظنّاه من تخصيص الملائكة بلفظ البررة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 هناك قسماً آخر من كلمات اللّغويين مجملة المعنى فلا يمكن استظهار ما اُعتبر جمعاً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اللّفظين استظهاراً جازماً</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في اللّسان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برّ بذي قرابته، وبارّ من قوم بررة وأبرار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في القاموس مع التّاج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البِرِّ، كالبارّ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أبْرارٌ وَبَرَرَةٌ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والبار، ج أبرار وبررة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خطأ مطبعي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يُستظهر من هذه الأقوال بعض الاحتمالات خاصّة، فيستفاد من كلام العين والقاموس أنَّ اللّفظين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المذكور أصالة، أو يُستفاد منهما وممّا ذكره في اللّسان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مقتضى اللّف والنشر المرتّب، أو يستفاد ممَّا في اللّسان أنَّهما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لذكره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 أنَّه لا سبيل إلى استظهار جازم لمعنى ما من هذه الكلمات، بل هي كلمات مجملة يتكرر أمثالها في كتب اللّغة من غير مراعاة النّكات الّتي أشرنا إليها كما في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شهد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والشاهِدُ والشَّهيد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 والجمع شُهَداء وشُهَّدٌ وأَشْهادٌ وشُهودٌ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بذلك على ما يظهر بالتأمل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جمعاً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اللّف والنشر المرتّب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إرادة بعض هؤلاء لما احتملناه بحسب التّناسب كما يظهر من الكلام المنقول عن صاحب القاموس في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يقول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مقتضى اللّف والنشر المرتّب في كلامه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9124_98534"/>
    </w:p>
    <w:p>
      <w:pPr>
        <w:pStyle w:val="Heading6"/>
        <w:numPr>
          <w:ilvl w:val="5"/>
          <w:numId w:val="1"/>
        </w:numPr>
        <w:rPr/>
      </w:pPr>
      <w:bookmarkStart w:id="194" w:name="__RefHeading___Toc2933206_2870459653"/>
      <w:bookmarkStart w:id="195" w:name="_Toc75"/>
      <w:bookmarkEnd w:id="193"/>
      <w:bookmarkEnd w:id="194"/>
      <w:r>
        <w:rPr>
          <w:rtl w:val="true"/>
        </w:rPr>
        <w:t>الأمر الثّالث</w:t>
      </w:r>
      <w:bookmarkEnd w:id="195"/>
    </w:p>
    <w:p>
      <w:pPr>
        <w:pStyle w:val="BookText"/>
        <w:rPr/>
      </w:pPr>
      <w:r>
        <w:rPr>
          <w:rFonts w:ascii="Amiri" w:hAnsi="Amiri" w:eastAsia="Amiri" w:cs="Amiri"/>
          <w:color w:val="111111"/>
          <w:sz w:val="28"/>
          <w:sz w:val="28"/>
          <w:szCs w:val="28"/>
          <w:rtl w:val="true"/>
          <w:lang w:bidi="ar-SA"/>
        </w:rPr>
        <w:t>إنَّ قول الرّاغب في ذلك متناقض صدراً وذيلاً فبينا صرّح في صدر كلامه بكون اللّفظين جمعاً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به فرّق بينهما في ذيله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هناك نقصٌ في النّسخة المطبوعة، والصواب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وجمع البارّ والبَرّ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أبرار وبررة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تكون هذه الجملة برمتها زيادةً لكونها تكراراً لما ذكر بعدها في مقام بيان النّكتة البلاغية، أو يكون هناك تحريف على وجه آخر كما لا يخلو المطبوع من الكتاب عن بعض التّحريفات الغريبة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6" w:name="__RefHeading___Toc2933208_2870459653"/>
      <w:bookmarkStart w:id="197" w:name="_Toc76"/>
      <w:bookmarkEnd w:id="196"/>
      <w:r>
        <w:rPr>
          <w:rtl w:val="true"/>
        </w:rPr>
        <w:t>الأمر الرّابع</w:t>
      </w:r>
      <w:bookmarkEnd w:id="197"/>
    </w:p>
    <w:p>
      <w:pPr>
        <w:pStyle w:val="BookText"/>
        <w:rPr/>
      </w:pPr>
      <w:r>
        <w:rPr>
          <w:rFonts w:ascii="Amiri" w:hAnsi="Amiri" w:eastAsia="Amiri" w:cs="Amiri"/>
          <w:color w:val="111111"/>
          <w:sz w:val="28"/>
          <w:sz w:val="28"/>
          <w:szCs w:val="28"/>
          <w:rtl w:val="true"/>
          <w:lang w:bidi="ar-SA"/>
        </w:rPr>
        <w:t xml:space="preserve">إنَّ الوجدان اللّغوي لا يشهد بوجود فارق معنويّ بين الجمعين على وفق ما ادُّعي في المفردين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الفرق المعنوي بين المفردين ينعكس على جمعهما لا محالة طبيعة</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2933210_2870459653"/>
      <w:bookmarkStart w:id="199" w:name="_Toc77"/>
      <w:bookmarkEnd w:id="198"/>
      <w:r>
        <w:rPr>
          <w:rtl w:val="true"/>
        </w:rPr>
        <w:t>الأمر الخامس</w:t>
      </w:r>
      <w:bookmarkEnd w:id="199"/>
    </w:p>
    <w:p>
      <w:pPr>
        <w:pStyle w:val="Heading6"/>
        <w:numPr>
          <w:ilvl w:val="5"/>
          <w:numId w:val="1"/>
        </w:numPr>
        <w:rPr/>
      </w:pPr>
      <w:bookmarkStart w:id="200" w:name="__RefHeading___Toc2933212_2870459653"/>
      <w:bookmarkStart w:id="201" w:name="_Toc78"/>
      <w:bookmarkEnd w:id="200"/>
      <w:r>
        <w:rPr>
          <w:rtl w:val="true"/>
        </w:rPr>
        <w:t>اشارة</w:t>
      </w:r>
      <w:bookmarkEnd w:id="20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قُدّر أنَّه ليس هناك أيّ فارق لفظيّ أو معنويّ أو حجّة أُخرى </w:t>
      </w:r>
    </w:p>
    <w:p>
      <w:pPr>
        <w:pStyle w:val="BookText"/>
        <w:rPr/>
      </w:pPr>
      <w:r>
        <w:rPr>
          <w:rFonts w:ascii="Amiri" w:hAnsi="Amiri" w:eastAsia="Amiri" w:cs="Amiri"/>
          <w:color w:val="111111"/>
          <w:sz w:val="28"/>
          <w:sz w:val="28"/>
          <w:szCs w:val="28"/>
          <w:rtl w:val="true"/>
          <w:lang w:bidi="ar-SA"/>
        </w:rPr>
        <w:t>على كون أحد اللّفظين جمعاً لإحدى الكلمتين بخصوصها تساوت الاحتمالات الموجودة في ذلك وهي 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اخترناه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الأمر بالعكس كما اختاره الرّاغب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يكونا جميعاً جمعاً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فيكونوا قد استغنوا بجمع إحدى الكلمتين عن جمع الأُخرى، كما رُبّما يقع الاستغناء في اللّغة ببناء هيئة من كلمة ببنائها من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يكونا جمعاً للفظين معاً كما قد تُجمع الكلمة الواحدة بلغاتها المتعددة على وزن واحد كاسمٍ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بلغاته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يمتنع أنْ يُجمع لفظين على هيئة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يكون هذا الاحتمال الأخير هو المتعيّن بعد فرض فقدان أيّة مزيّة معنويّة أو لفظيّة تُعيِّن أحد الجمعين لإحدى الكلمتين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أنَّ الواضع لأحد الجمعين أو كليهما قد 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بخصوصه، إلّا أنَّ مجرّد لحاظ الواضع لا تأثير له في تعيين ذلك ما لم ينعكس ذلك على المدلول الوضعيّ للكلمة،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نجد أيُّ وجه لما ذهب إليه الرّاغب في ما ذكره في جمع الكلمتين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نظنّه أنَّه تأثّر في ذلك بما رآه من تشابه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احتوائهما على الألف، وتماثل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خلّوهما عنها مع قربهما من جمع المضاعف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وحجج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صرّة وصرر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صدق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عدم وجود أيّة قاعدة صرفيّة أو جهة معنويّة تقتضي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أخطأ في ذلك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تفطّنه؛ لأنَّ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ألف جمع لا ألف مفرد، ويختلف عنه </w:t>
      </w:r>
    </w:p>
    <w:p>
      <w:pPr>
        <w:pStyle w:val="BookText"/>
        <w:rPr/>
      </w:pPr>
      <w:r>
        <w:rPr>
          <w:rFonts w:ascii="Amiri" w:hAnsi="Amiri" w:eastAsia="Amiri" w:cs="Amiri"/>
          <w:color w:val="111111"/>
          <w:sz w:val="28"/>
          <w:sz w:val="28"/>
          <w:szCs w:val="28"/>
          <w:rtl w:val="true"/>
          <w:lang w:bidi="ar-SA"/>
        </w:rPr>
        <w:t xml:space="preserve">بأنَّه بعد الرّاء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المفرد بعد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الالتزام بحذف ألفه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سُنّة لغة العرب لم تجرِ على جعل الجمع أقرب إلى المفرد مهما أمكن، بل أنَّها جرت في مثل هذه الجموع المكسّرة على بُعد الجمع عن المفرد، فترى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مطّردٌ في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الخالي عن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لحذف ألفه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ذكر ينهدم أساس النّكتة المذكورة، بل تنقلب إلى نكتة سلبية مؤكِّدة للتساؤل السّابق، فإنَّه إذا كان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الملائكة أنسب فلماذا عبّر عنهم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 في التّعبير عن النّاس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مقتضى التّناسب هو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الدّعامّة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مقتضى البلاغة التّعبير عن النّاس الأحياء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الملائكة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أبلغ من الأبرار؛ نظراً إلى كون الملائكة أفضل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تامّ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الآيات الّتي تضمّنت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بصدد توصيفه تعالى لمنزلة الأبرار وجزائهم، وهي آيات 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الَّذِينَ اتَّقَوْا رَبَّهُمْ لَهُمْ جَنَّاتٌ تَجْرِي مِنْ تَحْتِهَا الْأَنْهَارُ خَالِدِينَ فِيهَا نُزُلًا مِنْ عِنْدِ اللَّهِ وَمَا عِنْدَ اللَّهِ خَيْرٌ لِلْأَبْرَارِ</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202" w:name="pg9124_98537"/>
    </w:p>
    <w:p>
      <w:pPr>
        <w:pStyle w:val="BookText"/>
        <w:rPr/>
      </w:pPr>
      <w:bookmarkEnd w:id="20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الْفُجَّارَ لَفِي جَحِيمٍ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الْأَبْرَارِ لَفِي عِلِّيِّينَ</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الْأَرَائِكِ يَنْظُرُونَ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 استخدام هذه الكلمة في سياق طلب المؤمنين أنْ يجعلهم تعالى مع الأبرار وهو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ذكره دعاء أولي الألباب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رَبَّنَا فَاغْفِرْ لَنَا ذُنُوبَنَا وَكَفِّرْ عَنَّا سَيِّئَاتِنَا وَتَوَفَّنَا مَعَ الْأَبْرَارِ</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والنّكتة المذكورة غير تامّة في شيء من الصّنفين لجهات مشتركة ومختصّة</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2933214_2870459653"/>
      <w:bookmarkStart w:id="204" w:name="_Toc79"/>
      <w:bookmarkEnd w:id="203"/>
      <w:r>
        <w:rPr>
          <w:rtl w:val="true"/>
        </w:rPr>
        <w:t>الجهة الأُولى</w:t>
      </w:r>
      <w:bookmarkEnd w:id="204"/>
    </w:p>
    <w:p>
      <w:pPr>
        <w:pStyle w:val="BookText"/>
        <w:rPr/>
      </w:pPr>
      <w:r>
        <w:rPr>
          <w:rFonts w:ascii="Amiri" w:hAnsi="Amiri" w:eastAsia="Amiri" w:cs="Amiri"/>
          <w:color w:val="111111"/>
          <w:sz w:val="28"/>
          <w:sz w:val="28"/>
          <w:szCs w:val="28"/>
          <w:rtl w:val="true"/>
          <w:lang w:bidi="ar-SA"/>
        </w:rPr>
        <w:t>إنَّ هذه النّكتة لا تنسجم مع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المؤمنين في بعض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مقتضاها التّعبير عنهم فيها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ذلك، كما لا ينسجم مع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أيضاً، إذْ البرّ بالأبوين خصلة من خصال الإيمان، فإذا ناسب التّعبير عن المؤمن بلحاظ هذا الجزء كان التّعبير به بلحاظ مجموع إحسانه وإيمانه أشدّ مناسبة وأوْلى فلا تكون تلك النّكتة مطّردة</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2933216_2870459653"/>
      <w:bookmarkStart w:id="206" w:name="_Toc80"/>
      <w:bookmarkEnd w:id="205"/>
      <w:r>
        <w:rPr>
          <w:rtl w:val="true"/>
        </w:rPr>
        <w:t>الجهة الثّانية</w:t>
      </w:r>
      <w:bookmarkEnd w:id="20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على تقدير كون البرّ أبلغ كان تناسب التّعبير به في الصّنف الأوَّل محفوظاً؛ لأنَّ مضمونها إشادة بمقام الأبرار عند الله تعالى بنحو عامّ، فلو عبّر بالبرّ لدلّ ذلك على اعتبار مزيد الإحسان والتقوى في الكرامة عند الله تعالى ونيل ثوابه</w:t>
      </w:r>
      <w:r>
        <w:rPr>
          <w:rFonts w:eastAsia="Amiri" w:cs="Amiri" w:ascii="Amiri" w:hAnsi="Amiri"/>
          <w:color w:val="111111"/>
          <w:sz w:val="28"/>
          <w:szCs w:val="28"/>
          <w:rtl w:val="true"/>
          <w:lang w:bidi="ar-SA"/>
        </w:rPr>
        <w:t xml:space="preserve">. </w:t>
      </w:r>
      <w:bookmarkStart w:id="207" w:name="pg9124_98538"/>
    </w:p>
    <w:p>
      <w:pPr>
        <w:pStyle w:val="BookText"/>
        <w:rPr/>
      </w:pPr>
      <w:bookmarkEnd w:id="207"/>
      <w:r>
        <w:rPr>
          <w:rFonts w:ascii="Amiri" w:hAnsi="Amiri" w:eastAsia="Amiri" w:cs="Amiri"/>
          <w:color w:val="111111"/>
          <w:sz w:val="28"/>
          <w:sz w:val="28"/>
          <w:szCs w:val="28"/>
          <w:rtl w:val="true"/>
          <w:lang w:bidi="ar-SA"/>
        </w:rPr>
        <w:t>فتُخرَّج بذلك مخرَج سائر الآيات الّتي جعلت الكرامة لأبلغ مراتب التّقوى والصلاح الّتي يندر تحققّها في النّاس من 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وَعَلَى رَبِّهِمْ يَتَوَكَّلُونَ</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لِلزَّكَاةِ 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عَلَى صَلَوَاتِهِمْ يُحَافِظُونَ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الْوَارِثُونَ</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وَبَشِّرِ الْمُخْبِتِينَ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ذُكِرَ اللَّهُ وَجِلَتْ قُلُوبُهُمْ وَالصَّابِرِينَ عَلَى مَا أَصَابَهُمْ وَالْمُقِيمِي الصَّلَاةِ وَمِمَّا رَزَقْنَاهُمْ يُنْفِقُونَ</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2933218_2870459653"/>
      <w:bookmarkStart w:id="209" w:name="_Toc81"/>
      <w:bookmarkEnd w:id="208"/>
      <w:r>
        <w:rPr>
          <w:rtl w:val="true"/>
        </w:rPr>
        <w:t>الجهة الثّالثة</w:t>
      </w:r>
      <w:bookmarkEnd w:id="20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 أنَّ قوله تعالى في سورة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xml:space="preserve">وإنْ كان توصيفاً لمنزلة الأبرار بنحو عامّ إلّا أنَّه على ما ورد في شأن نزولها ناظر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إنَّ علياً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قد نذرا صيام أيام ثلاثة، فصاموها على الماء وقد أعطوا فطورهم فيها لمسكين ويتيم وأسير فوردت في شأنهم هذه السّورة</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على الرّأي المعروف للشيعة الإماميّة </w:t>
      </w:r>
      <w:bookmarkStart w:id="210" w:name="pg9124_98539"/>
    </w:p>
    <w:p>
      <w:pPr>
        <w:pStyle w:val="BookText"/>
        <w:rPr/>
      </w:pPr>
      <w:bookmarkEnd w:id="210"/>
      <w:r>
        <w:rPr>
          <w:rFonts w:ascii="Amiri" w:hAnsi="Amiri" w:eastAsia="Amiri" w:cs="Amiri"/>
          <w:color w:val="111111"/>
          <w:sz w:val="28"/>
          <w:sz w:val="28"/>
          <w:szCs w:val="28"/>
          <w:rtl w:val="true"/>
          <w:lang w:bidi="ar-SA"/>
        </w:rPr>
        <w:t xml:space="preserve">أفضل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ذلك في علم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فكان بالإمكان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النّظر إليهم في المورد وإنْ كان لسان الآية لساناً عامّاً، كما رُبّما وقع مثله في مواضع أخرى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تماميّة تلك النّكتة في الآيات الخمسة الّتي كانت في مقام الإشادة بمقام الأبرار عند الله تعالى، إلّا أنَّه لا يتم في الآية السّادسة الّتي وردت فيها في سياق طلب المؤمنين أنْ يجعلهم الله تعالى مع الأبرار،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فَاغْفِرْ لَنَا ذُنُوبَنَا وَكَفِّرْ عَنَّا سَيِّئَاتِنَا وَتَوَفَّنَا مَعَ الْأَبْرَارِ</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بل ربّما كان الأوْلى في هذا المقام أنْ يسأل الإنسان أنْ يحشره الله تعالى مع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عدم تماميّة التّعليل الّذي ذكره الرّاغب من جهات كثيرة تفوق خمس عشرة جهة، وفي ذلك عظة واعتبار للناظر في عدم التّسارع إلى الجزم بما يتراءى له بدواً من التّعليلات في حلّ مثل هذه الظّاهرة، ومذكّر له بمراعاة تقوى الله تعالى مخافة أنْ يكون ممّن افترى على الله كذباً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افْتَرَى عَلَى اللَّهِ كَذِبًا</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2933220_2870459653"/>
      <w:bookmarkStart w:id="212" w:name="_Toc82"/>
      <w:bookmarkEnd w:id="211"/>
      <w:r>
        <w:rPr>
          <w:rtl w:val="true"/>
        </w:rPr>
        <w:t>السّبب الخامس</w:t>
      </w:r>
      <w:r>
        <w:rPr>
          <w:rtl w:val="true"/>
        </w:rPr>
        <w:t xml:space="preserve">: </w:t>
      </w:r>
      <w:r>
        <w:rPr>
          <w:rtl w:val="true"/>
        </w:rPr>
        <w:t xml:space="preserve">أروعيّة تمثيل بعض الجموع </w:t>
      </w:r>
      <w:r>
        <w:rPr>
          <w:rtl w:val="true"/>
        </w:rPr>
        <w:t xml:space="preserve">- </w:t>
      </w:r>
      <w:r>
        <w:rPr>
          <w:rtl w:val="true"/>
        </w:rPr>
        <w:t xml:space="preserve">من حيث حروفها وهيئاتها </w:t>
      </w:r>
      <w:r>
        <w:rPr>
          <w:rtl w:val="true"/>
        </w:rPr>
        <w:t xml:space="preserve">- </w:t>
      </w:r>
      <w:r>
        <w:rPr>
          <w:rtl w:val="true"/>
        </w:rPr>
        <w:t>لبعض جوانب المعنى</w:t>
      </w:r>
      <w:bookmarkEnd w:id="212"/>
    </w:p>
    <w:p>
      <w:pPr>
        <w:pStyle w:val="Heading6"/>
        <w:numPr>
          <w:ilvl w:val="5"/>
          <w:numId w:val="1"/>
        </w:numPr>
        <w:rPr/>
      </w:pPr>
      <w:bookmarkStart w:id="213" w:name="__RefHeading___Toc2933222_2870459653"/>
      <w:bookmarkStart w:id="214" w:name="_Toc83"/>
      <w:bookmarkEnd w:id="213"/>
      <w:r>
        <w:rPr>
          <w:rtl w:val="true"/>
        </w:rPr>
        <w:t>اشارة</w:t>
      </w:r>
      <w:bookmarkEnd w:id="21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تفاوت الألفاظ بخصوصياتها الصّوتيّة في درجة تمثيلها للمعنى وتعبيرها عن بعض ملامحه، فيكون اللّفظ الشّديد أوفى تصويراً للمعنى الشّديد وأوْلى بالاختيار في مقام التّركيز على شدّته، وهكذا اللّفظ السّهل الرّقيق في التّعبير عن المعنى </w:t>
      </w:r>
    </w:p>
    <w:p>
      <w:pPr>
        <w:pStyle w:val="BookText"/>
        <w:rPr/>
      </w:pPr>
      <w:r>
        <w:rPr>
          <w:rFonts w:ascii="Amiri" w:hAnsi="Amiri" w:eastAsia="Amiri" w:cs="Amiri"/>
          <w:color w:val="111111"/>
          <w:sz w:val="28"/>
          <w:sz w:val="28"/>
          <w:szCs w:val="28"/>
          <w:rtl w:val="true"/>
          <w:lang w:bidi="ar-SA"/>
        </w:rPr>
        <w:t>السّهل، واللّفظ الثّقيل المتنافر الحروف في التّعبير عن المعنى القبيح لإيجاد النّفرة عن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لذلك اختير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أَلَكُمُ الذَّكَرُ وَلَهُ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إِذاً قِسْمَةٌ ضِيزَى</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اعتبر علماء البلاغة تنافر حروف الكلمة حاجزاً دون فصاحتها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أنَّه لا بُدَّ من قياس اللّفظ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يمنع التّنافر من فصاحة الكلمة حيث يقع في لفظ يعبّر عن معنى لا تحدث الحاجة إلى تصويره قبيحاً مستهجناً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إذا كان في لفظ يمثّل معنى قبيحاً كان حسناً، وكذا إذا دلّ على معنى قد يتعلّق الغرض بتصوير كونه قبيحاً فإنَّه لا يمنع عن فصاحة الكلمة، لكنْ إذا استعمل في غير مورد تعلّق الغرض بتصوير قبحه فربّما يمنع عن بلاغة الكلام لعدم مطابقته لمقتضى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كان فقد تنبّه الباحثون المعاصرون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الصّوتيّة</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الأمثلة المذكورة لها لا تخلو غالباً من 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حيث الإفراط، أو التّفريط</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الصّوتيّة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ضرب من الخيال والوهم، بمعنى أنَّ اللّفظ لم يكن هو الّذي يوحي بالمعنى، وإنَّما التّفكر والتعمّق في ذات المعنى وصورته وتجسيده في الذّهن هو الّذي أوجب الانتقال إلى تلك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الاستغراق في انتزاع تناسب بين اللّفظ والمعنى هو الّذي خيّل تحقّق هذا التّناسب واقعاً كما أنَّ مَنْ أصرّ على رؤية الهلال ربمّا تراءى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يحدث ذلك خارجاً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الحالة هي الّتي عبّرنا عنها بالإفراط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من أمثلة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عن الفاء العاطفة في كلّ من اختلط وأصبح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وَاضْرِبْ لَهُمْ مَّثَلَ الْحَيَاةِ الدُّنْيَا كَمَاءٍ أَنزَلْنَاهُ مِنْ السَّمَاءِ فَاخْتَلَطَ بِهِ نَبَاتُ الأَرْضِ فَأَصْبَحَ هَشِيماً تَذْرُوهُ الرِّيَاحُ</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إنَّ فيها ترتيباً وتعقيباً يصكّ السّمع في دلالة وقوع الأمر دون حائل وبلا فاصل تعبيراً عن الخسران النّهائي والحرمان المتواصل دفعة واحدة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تزيد دلالة الفاء في الآية على معناها الوضعي اللّغوي من العطف والتّرتيب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وأروعيّتها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من جهة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الفصل بين الحدثين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يقلّل من بلاغة الكلام وليس من جهة دلالة الفاء على التّعقيب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الدّلالة تستند إلى مادّة اللّفظ، أي طبيعة المعنى ولم تكن لمزيّة صوتيّة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يعرف استناد الدّلالة إلى عمق مفاد اللّفظ وهذه الحالة هي الّتي عبّرنا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أمثلة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ترجيح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أَوْهَنَ الْبُيُوتِ لَبَيْتُ الْعَنْكَبُوتِ</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قيل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بالضّعف المتناهي لا بمجرّد الضّعف من ناحية طبيعة حروفها وخواصّها الصّوتيّة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والواقع أنَّ الوهن ليس مرادفاً للضعف لغة وإنْ كانا متشابهين وإنَّما هو ضدّ الاستحكام فهو يتعلّق بانحلال أصل الشّيء وبنيته، والضعف إنَّما يعني الهبوط في مستواه وكيفيّته، ولذلك يوصف البناء والعظم ونحوهما بالوهن دون الضّعف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w:t>
      </w:r>
    </w:p>
    <w:p>
      <w:pPr>
        <w:pStyle w:val="BookText"/>
        <w:rPr/>
      </w:pPr>
      <w:r>
        <w:rPr>
          <w:rFonts w:ascii="Amiri" w:hAnsi="Amiri" w:eastAsia="Amiri" w:cs="Amiri"/>
          <w:color w:val="111111"/>
          <w:sz w:val="28"/>
          <w:sz w:val="28"/>
          <w:szCs w:val="28"/>
          <w:rtl w:val="true"/>
          <w:lang w:bidi="ar-SA"/>
        </w:rPr>
        <w:t>موهون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إِنِّي وَهَنَ الْعَظْمُ مِنِّي</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وتوصيف بيت العنكبوت بالوهن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كان أبلغ من الضّعف؛ لأنَّ انحلال أصل الشّيء أشدّ من مجرّد الضّعف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لإشعاره بالضّعف المتناهي وإلّا لكان الأنسب اختياره في كلّ مورد أُريد التّعبير عن الضّعف البالغ في القرآن الكريم وغيره، ولم يقع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لما ذكرنا ذكر الوهن والضّعف معاً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نَبِيٍّ قَاتَلَ مَعَهُ رِبِّيُّونَ كَثِيرٌ فَمَا وَهَنُوا لِمَا أَصَابَهُمْ فِي سَبِيلِ اللَّهِ وَمَا ضَعُفُوا وَمَا اسْتَكَانُوا</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فذكر عدم الوهن أوَّلاً ثُمَّ عطف عليه عدم الضّعف لكون الأوَّل أعمق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 سمة الدّلالة الصّوتيّة أنَّها دلالة ناقصة في مستوى الإشعار، وإنَّما ينتبه إليها الإنسان في حالة جذب المعنى بحسب الملابسات لها ويحتاج إلى نوع تفرّغ وتأمل في الكلام كي يحسّ به الإنسان بما تعنيه نبرات الألفاظ من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بُدَّ فيه من ذوق رهيف وحسٍ أدبي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أمثلته في غير هذه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تُتْلَى عَلَيْهِمْ آَيَاتُ الرَّحْمَنِ خَرُّوا سُجَّدًا وَبُكِيًّا</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تشديد الياء فيه أروع تصويراً فيما أرى لحالة البكاء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فَوَرَبِّكَ لَنَحْشُرَنَّهُمْ وَالشَّيَاطِينَ ثُمَّ لَنُحْضِرَنَّهُمْ حَوْلَ جَهَنَّمَ جِثِيًّا</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نُنَجِّي </w:t>
      </w:r>
      <w:bookmarkStart w:id="215" w:name="pg9124_98543"/>
    </w:p>
    <w:p>
      <w:pPr>
        <w:pStyle w:val="BookText"/>
        <w:rPr/>
      </w:pPr>
      <w:bookmarkEnd w:id="215"/>
      <w:r>
        <w:rPr>
          <w:rFonts w:ascii="Amiri" w:hAnsi="Amiri" w:eastAsia="Amiri" w:cs="Amiri"/>
          <w:color w:val="111111"/>
          <w:sz w:val="28"/>
          <w:sz w:val="28"/>
          <w:szCs w:val="28"/>
          <w:rtl w:val="true"/>
          <w:lang w:bidi="ar-SA"/>
        </w:rPr>
        <w:t>الَّذِينَ اتَّقَوْا وَنَذَرُ الظَّالِمِينَ فِيهَا جِثِيًّا</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فإنَّ كسر الجيم يجعل الكلمة أروع تصويراً لحالة</w:t>
      </w:r>
    </w:p>
    <w:p>
      <w:pPr>
        <w:pStyle w:val="BookText"/>
        <w:rPr/>
      </w:pPr>
      <w:r>
        <w:rPr>
          <w:rFonts w:ascii="Amiri" w:hAnsi="Amiri" w:eastAsia="Amiri" w:cs="Amiri"/>
          <w:color w:val="111111"/>
          <w:sz w:val="28"/>
          <w:sz w:val="28"/>
          <w:szCs w:val="28"/>
          <w:rtl w:val="true"/>
          <w:lang w:bidi="ar-SA"/>
        </w:rPr>
        <w:t>الجثو على الرّكبة من ضمّها</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2933224_2870459653"/>
      <w:bookmarkStart w:id="217" w:name="_Toc84"/>
      <w:bookmarkEnd w:id="216"/>
      <w:r>
        <w:rPr>
          <w:rtl w:val="true"/>
        </w:rPr>
        <w:t>من أمثلة هذه الحالة</w:t>
      </w:r>
      <w:bookmarkEnd w:id="217"/>
    </w:p>
    <w:p>
      <w:pPr>
        <w:pStyle w:val="Heading6"/>
        <w:numPr>
          <w:ilvl w:val="5"/>
          <w:numId w:val="1"/>
        </w:numPr>
        <w:rPr/>
      </w:pPr>
      <w:bookmarkStart w:id="218" w:name="__RefHeading___Toc2933226_2870459653"/>
      <w:bookmarkStart w:id="219" w:name="_Toc85"/>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ولعلّ من أمثلة ذلك الموارد التّالية</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2933228_2870459653"/>
      <w:bookmarkStart w:id="221" w:name="_Toc86"/>
      <w:bookmarkEnd w:id="220"/>
      <w:r>
        <w:rPr>
          <w:rtl w:val="true"/>
        </w:rPr>
        <w:t>المورد الأوَّل</w:t>
      </w:r>
      <w:bookmarkEnd w:id="221"/>
    </w:p>
    <w:p>
      <w:pPr>
        <w:pStyle w:val="BookText"/>
        <w:rPr/>
      </w:pPr>
      <w:r>
        <w:rPr>
          <w:rFonts w:ascii="Amiri" w:hAnsi="Amiri" w:eastAsia="Amiri" w:cs="Amiri"/>
          <w:color w:val="111111"/>
          <w:sz w:val="28"/>
          <w:sz w:val="28"/>
          <w:szCs w:val="28"/>
          <w:rtl w:val="true"/>
          <w:lang w:bidi="ar-SA"/>
        </w:rPr>
        <w:t xml:space="preserve">أفضليّة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يَأْتُوكُمْ أُسَارَى تُفَادُوهُمْ وَهُوَ مُحَرَّمٌ عَلَيْكُم</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فإنَّه من جهة ضمّ أوَّله وزيادة الألف في ثالثه أروع تصويراً لحالة الأسر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اقتضى السّياق تمثيل تلك الحالة لوقوع الكلمة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اختير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موضعين آخرين لم يقتضِ الكلام العناية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أنَّه أخصر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لِنَبِيٍّ أَنْ يَكُونَ لَهُ أَسْرَى حَتَّى يُثْخِنَ فِي الْأَرْضِ</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لِمَنْ فِي أَيْدِيكُمْ مِنَ الْأَسْرَى</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2" w:name="__RefHeading___Toc2933230_2870459653"/>
      <w:bookmarkStart w:id="223" w:name="_Toc87"/>
      <w:bookmarkEnd w:id="222"/>
      <w:r>
        <w:rPr>
          <w:rtl w:val="true"/>
        </w:rPr>
        <w:t>المورد الثّاني</w:t>
      </w:r>
      <w:bookmarkEnd w:id="223"/>
    </w:p>
    <w:p>
      <w:pPr>
        <w:pStyle w:val="BookText"/>
        <w:rPr/>
      </w:pPr>
      <w:r>
        <w:rPr>
          <w:rFonts w:ascii="Amiri" w:hAnsi="Amiri" w:eastAsia="Amiri" w:cs="Amiri"/>
          <w:color w:val="111111"/>
          <w:sz w:val="28"/>
          <w:sz w:val="28"/>
          <w:szCs w:val="28"/>
          <w:rtl w:val="true"/>
          <w:lang w:bidi="ar-SA"/>
        </w:rPr>
        <w:t xml:space="preserve">أفضليّة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تمثيله للكثرة، كما يؤيّد ذلك عدّ النّحاة الأوَّل من جموع الكثرة الّتي قيل إنَّ أقلّها عشرة، والثّاني من جموع القلّة الّتي قيل إنَّ أقصاها عشرة كما سبق</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ولعلّه لذلك اختير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ما طلبه المشركون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أُلْقِيَ عَلَيْهِ أَسْوِرَةٌ مِّنْ ذَهَبٍ أَوْ جَاءَ مَعَهُ الْمَلَائِكَةُ مُقْتَرِنِينَ</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حُليّ أهل الجنّة في جميع المواضع الأربعة الّتي تتعلّق بهم،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 فِيهَا مِنْ أَسَاوِرَ مِنْ ذَهَبٍ وَيَلْبَسُونَ ثِيَابًا خُضْرًا</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 فِيهَا مِنْ أَسَاوِرَ مِنْ ذَهَبٍ وَلُؤْلُؤًا وَلِبَاسُهُمْ فِيهَا حَرِيرٌ</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 فِيهَا مِنْ أَسَاوِرَ مِنْ ذَهَبٍ وَلُؤْلُؤًا وَلِبَاسُهُمْ فِيهَا حَرِيرٌ</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وَحُلُّوا أَسَاوِرَ مِنْ فِضَّةٍ وَسَقَاهُمْ رَبُّهُمْ شَرَابًا طَهُورًا</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وكأنّ الرّاغب قد تراءت له نكتة أخرى في هذه التّفرقة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أسورة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أساور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الأسورة في الذّهب وتخصيصها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الفضّة وتخصيصه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تختصّ بغير هذا الكتاب</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وإنْ لم يذكر النّكتة الّتي تراءت له إلّا أنّه يظهر أنَّ أساسها اختصاص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بالذهب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عرفت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الذّهب في ثلاثة مواضع أخرى فكأنَّه لم يستوعب تلك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يتكرّر في </w:t>
      </w:r>
      <w:bookmarkStart w:id="224" w:name="pg9124_98545"/>
    </w:p>
    <w:p>
      <w:pPr>
        <w:pStyle w:val="BookText"/>
        <w:rPr/>
      </w:pPr>
      <w:bookmarkEnd w:id="224"/>
      <w:r>
        <w:rPr>
          <w:rFonts w:ascii="Amiri" w:hAnsi="Amiri" w:eastAsia="Amiri" w:cs="Amiri"/>
          <w:color w:val="111111"/>
          <w:sz w:val="28"/>
          <w:sz w:val="28"/>
          <w:szCs w:val="28"/>
          <w:rtl w:val="true"/>
          <w:lang w:bidi="ar-SA"/>
        </w:rPr>
        <w:t xml:space="preserve">كلماته حيث يذكر نكتة أو تفسيراً يبتني على عدم استيعاب الآيات كما مرّ في تفرقته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السّبب الثّاني</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2933232_2870459653"/>
      <w:bookmarkStart w:id="226" w:name="_Toc88"/>
      <w:bookmarkEnd w:id="225"/>
      <w:r>
        <w:rPr>
          <w:rtl w:val="true"/>
        </w:rPr>
        <w:t>المورد الثّالث</w:t>
      </w:r>
      <w:bookmarkEnd w:id="226"/>
    </w:p>
    <w:p>
      <w:pPr>
        <w:pStyle w:val="BookText"/>
        <w:rPr/>
      </w:pPr>
      <w:r>
        <w:rPr>
          <w:rFonts w:ascii="Amiri" w:hAnsi="Amiri" w:eastAsia="Amiri" w:cs="Amiri"/>
          <w:color w:val="111111"/>
          <w:sz w:val="28"/>
          <w:sz w:val="28"/>
          <w:szCs w:val="28"/>
          <w:rtl w:val="true"/>
          <w:lang w:bidi="ar-SA"/>
        </w:rPr>
        <w:t xml:space="preserve">أفضليّة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تمثيل دقّة الشّهادة واستيعابها لخصوصيّات المشهود لتناسب ذلك مع ما يحتوي عليه من ضمتين متتابعتين ومتبوعتين 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استعمل دونهما في الإشارة إليه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تَعْمَلُونَ مِنْ عَمَلٍ إِلَّا كُنَّا عَلَيْكُمْ شُهُودًا إِذْ تُفِيضُونَ فِيهِ</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في موضعين آخرين يأتي تحليلهما في الأسباب الآتية</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2933234_2870459653"/>
      <w:bookmarkStart w:id="228" w:name="_Toc89"/>
      <w:bookmarkEnd w:id="227"/>
      <w:r>
        <w:rPr>
          <w:rtl w:val="true"/>
        </w:rPr>
        <w:t>المورد الرّابع</w:t>
      </w:r>
      <w:bookmarkEnd w:id="228"/>
    </w:p>
    <w:p>
      <w:pPr>
        <w:pStyle w:val="BookText"/>
        <w:rPr/>
      </w:pPr>
      <w:r>
        <w:rPr>
          <w:rFonts w:ascii="Amiri" w:hAnsi="Amiri" w:eastAsia="Amiri" w:cs="Amiri"/>
          <w:color w:val="111111"/>
          <w:sz w:val="28"/>
          <w:sz w:val="28"/>
          <w:szCs w:val="28"/>
          <w:rtl w:val="true"/>
          <w:lang w:bidi="ar-SA"/>
        </w:rPr>
        <w:t xml:space="preserve">أفضليّة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تمثيل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يؤيّده عدّ النّحاة الأوّل جمع كثرة، والثّاني جمع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جهة تناسبه مع الكثرة بضمتين متتابعتين ومتبوعتين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لذلك اختير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يذكر تحديد للعدد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 إِنَّ اللَّهَ لَذُو فَضْلٍ عَلَى النَّاسِ وَلَكِنَّ أَكْثَرَ النَّاسِ لَا يَشْكُرُونَ</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كما اختير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العدد في موضعين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أَلَنْ يَكْفِيَكُمْ أَنْ يُمِدَّكُمْ رَبُّكُمْ بِثَلَاثَةِ آَلَافٍ مِنَ الْمَلَائِكَةِ مُنْزَلِينَ</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يُمْدِدْكُمْ رَبُّكُمْ بِخَمْسَةِ آَلَافٍ مِنَ الْمَلَائِكَةِ مُسَوِّمِينَ</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229" w:name="pg9124_98546"/>
    </w:p>
    <w:p>
      <w:pPr>
        <w:pStyle w:val="Heading6"/>
        <w:numPr>
          <w:ilvl w:val="5"/>
          <w:numId w:val="1"/>
        </w:numPr>
        <w:rPr/>
      </w:pPr>
      <w:bookmarkStart w:id="230" w:name="__RefHeading___Toc2933236_2870459653"/>
      <w:bookmarkStart w:id="231" w:name="_Toc90"/>
      <w:bookmarkEnd w:id="229"/>
      <w:bookmarkEnd w:id="230"/>
      <w:r>
        <w:rPr>
          <w:rtl w:val="true"/>
        </w:rPr>
        <w:t>المورد الخامس</w:t>
      </w:r>
      <w:bookmarkEnd w:id="231"/>
    </w:p>
    <w:p>
      <w:pPr>
        <w:pStyle w:val="BookText"/>
        <w:rPr/>
      </w:pPr>
      <w:r>
        <w:rPr>
          <w:rFonts w:ascii="Amiri" w:hAnsi="Amiri" w:eastAsia="Amiri" w:cs="Amiri"/>
          <w:color w:val="111111"/>
          <w:sz w:val="28"/>
          <w:sz w:val="28"/>
          <w:szCs w:val="28"/>
          <w:rtl w:val="true"/>
          <w:lang w:bidi="ar-SA"/>
        </w:rPr>
        <w:t xml:space="preserve">أفضليّة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تمثيل الأُخوّة بما اشتمل عليه من فخامة بالألف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في علاقة الصّداقة ونحوها ويستعمل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تمثيل العلاقة النّسبيّة حتى 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أَهلُ البَصْرة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في النّسَب، والإِخْوان في الصداقة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إِخواني وأَصْدِقائي، فإِذا كان أَخاه في النّسَب قالوا إِخْوَتي</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خطأ كما ذكر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للأَصْدِقاء وغير الأَصْدِقاء إِخْوة وإِخْوان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ولم يعنِ النّسب،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بُيُوتِ إِخْوَانِكُمْ</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وهذا في النّسَب،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فَإِخْوَانُكُمْ فِي الدِّينِ وَمَوَالِيكُمْ</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العَزاء وإِخْوان العَمل وما أَشبه ذلك إِنَّما يريدون أَصحابه ومُلازِمِيه، وقد يجوز أَنْ يَعْنوا به أَنَّهم إِخْوانه أَي إِخْوَتُه الّذين وُلِدُوا معه، وإِنْ لم يُولَد العَزاء ولا العمَل ولا غير ذلك من الأَغْراض، غير أَنَّا لم نسمعهم يقولون إِخْوة العَزاء ولا إِخْوة العمَل ولا غيرهما، إِنَّما هو إِخْوان، ولو قالوه لجَاز، وكل ذلك على المثَل، قال لبيد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يَنْجَحُ إِخْوان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دَأَبَ وتحرَّك ولم يُقِمْ، قال الرّاعي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الشَّوْقِ إِخْوان العَزاء هَيُوجُ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يَصْبِرُون فلا يَجْزَعون ولا يَخْشعون والذين هم أَشِقَّاء العمَل والعَزاء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أَخوك وربّما خانَك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ما يستعمل </w:t>
      </w:r>
    </w:p>
    <w:p>
      <w:pPr>
        <w:pStyle w:val="BookText"/>
        <w:rPr/>
      </w:pPr>
      <w:r>
        <w:rPr>
          <w:rFonts w:ascii="Amiri" w:hAnsi="Amiri" w:eastAsia="Amiri" w:cs="Amiri"/>
          <w:color w:val="111111"/>
          <w:sz w:val="28"/>
          <w:sz w:val="28"/>
          <w:szCs w:val="28"/>
          <w:rtl w:val="true"/>
          <w:lang w:bidi="ar-SA"/>
        </w:rPr>
        <w:t>الإِخْوانُ في الأَصْدِقاء والإِخْوةُ في الوِلادة</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ما ذكرنا عدم استعمال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إخوة في القرآن لتمثيل علاقة معنويّة بل استعمل إخوان دائماً،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الْمُبَذِّرِينَ كَانُوا إِخْوَانَ الشَّيَاطِينِ</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 وَفِرْعَوْنُ وَإِخْوَانُ لُوطٍ</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فَأَلَّفَ بَيْنَ قُلُوبِكُمْ فَأَصْبَحْتُمْ بِنِعْمَتِهِ إِخْوَانًا</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وَلِإِخْوَانِنَا الَّذِينَ سَبَقُونَا بِالْإِيمَانِ</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تَكُونُوا كَالَّذِينَ كَفَرُوا وَقَالُوا لِإِخْوَانِهِمْ</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قَالُوا لِإِخْوَانِهِمْ وَقَعَدُوا لَوْ أَطَاعُونَا مَا قُتِلُوا</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آَبَائِهِمْ وَذُرِّيَّاتِهِمْ وَإِخْوَانِهِمْ وَاجْتَبَيْنَاهُمْ</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وَإِخْوَانُهُمْ يَمُدُّونَهُمْ فِي الْغَيِّ ثُمَّ لَا يُقْصِرُونَ</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يَعْلَمُ اللَّهُ الْمُعَوِّقِينَ مِنْكُمْ وَالْقَائِلِينَ لِإِخْوَانِهِمْ هَلُمَّ إِلَيْنَا</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نَافَقُوا يَقُولُونَ لِإِخْوَانِهِمُ الَّذِينَ كَفَرُوا</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232" w:name="pg9124_98548"/>
    </w:p>
    <w:p>
      <w:pPr>
        <w:pStyle w:val="BookText"/>
        <w:rPr/>
      </w:pPr>
      <w:bookmarkEnd w:id="232"/>
      <w:r>
        <w:rPr>
          <w:rFonts w:ascii="Amiri" w:hAnsi="Amiri" w:eastAsia="Amiri" w:cs="Amiri"/>
          <w:color w:val="111111"/>
          <w:sz w:val="28"/>
          <w:sz w:val="28"/>
          <w:szCs w:val="28"/>
          <w:rtl w:val="true"/>
          <w:lang w:bidi="ar-SA"/>
        </w:rPr>
        <w:t>نعم، ورد في مورد واحد استعمال الإخوة لنكتة معنوية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النّكتة هي تنزيل علاقة الإيمان منزلة علاقة الإخوة النّسبية؛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يتعارف استعماله في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عن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دالّ على ذلك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العلاقة النّسبيّة في عدة آيات مراعاة لتوازنه مع المعطوف والمعطوف عليه ونحو ذلك ممّا يأتي في السّبب التّاسع، ولم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إلّا لبيان العلاقة النّسبيّة، إلّا في آية الحجرات المتقدّمة على سبيل المبالغة في تمثيل عمق علاقة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لا يبعد القول بعموم إخوان لسائر العلائق الحميمة الّتي يصحّ تنزيلها منزلة علاقة الإخوة النّسبيّة لما مرّ في 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فيندرج هذا المثال في السّبب الرّابع من اختلاف معنى المفردين بالدّقة إذا التزمنا بأنّ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بمعناه، وإنْ خصصنا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بعلاقة الإخوّة النّسبيّة كان مرجعه إلى كون إخوان أعمّ معنى من مفرده وهو ضرب من السّبب الأوّل غير الأمثلة المذكورة فيه، فإنّ تلك الأمثلة كانت من صيرورة أحد الجمعين أخصّ معنىً من مفرده، فلاحظ وتأملّ</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2933238_2870459653"/>
      <w:bookmarkStart w:id="234" w:name="_Toc91"/>
      <w:bookmarkEnd w:id="233"/>
      <w:r>
        <w:rPr>
          <w:rtl w:val="true"/>
        </w:rPr>
        <w:t>المورد السّادس</w:t>
      </w:r>
      <w:bookmarkEnd w:id="23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الدّلالة على شدّة الضّعف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الانسجام الصّوتي مع كسرة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اختير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 تَرَكُوا مِنْ خَلْفِهِمْ ذُرِّيَّةً ضِعَافًا خَافُوا عَلَيْهِمْ</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حيث كان الموضوع يقتضي التّركيز على حالة الضّعف بخلاف المواضع الثّلاثة الّتي استعملت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حقيقة ما يدعى من الدّلالة الاجتماعية والإيحائية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بعض المُحْدَثين</w:t>
      </w:r>
      <w:r>
        <w:rPr>
          <w:rStyle w:val="FootnoteAnchor"/>
          <w:rtl w:val="true"/>
        </w:rPr>
        <w:footnoteReference w:id="225"/>
      </w:r>
      <w:r>
        <w:rPr>
          <w:rFonts w:ascii="Amiri" w:hAnsi="Amiri" w:eastAsia="Amiri" w:cs="Amiri"/>
          <w:color w:val="111111"/>
          <w:sz w:val="28"/>
          <w:sz w:val="28"/>
          <w:szCs w:val="28"/>
          <w:rtl w:val="true"/>
          <w:lang w:bidi="ar-SA"/>
        </w:rPr>
        <w:t>ضربين آخرين من الدّلالة للألفاظ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وفسّرت بالدّلالة الّتي تستقل بها الكلمة عمّا سواها بما توحيه من فهم معيّن خاصّ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الإيحائية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وفسّرت بالدّلالة الّتي يوحي بها اللّفظ بالأصداء والمؤثّرات في النّفس فيكون له وقع خاصّ يسيطر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يوحيه لفظ يوازيه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مجال الانفعالات النّفسيّة والتّأثّر الدّاخلي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تتضمّن هذه الكلمات ونحوها ممّا قيل في بيانهما ذكراً لمنبع هاتين الدّلالتين، فإنْ كان هو اللّفظ أو الصّوت رجعتا إلى الدّلالة الوضعيّة أو الصّوتية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فما هو؟ والأمثلة المذكورة لهما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لا دلالة مضافة للّفظ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الدّلالة صوتية، أو وضعيّة، أو هناك نكتة معنويّة اقتضتها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بعض أمثلة هاتين الدّلالتين ليتّضح للباحث حال أصل الدّلالة وحال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أمثلة الدّلالة 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أَعْمَالُهُمْ كَسَرَابٍ بِقِيعَةٍ يَحْسَبُهُ الظَّمْآَنُ مَاءً حَتَّى إِذَا جَاءَهُ لَمْ يَجِدْهُ شَيْئًا وَوَجَدَ اللَّهَ عِنْدَهُ فَوَفَّاهُ حِسَابَهُ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ذات دلالة خاصّة لا تفي بها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هلال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قال</w:t>
      </w:r>
    </w:p>
    <w:p>
      <w:pPr>
        <w:pStyle w:val="BookText"/>
        <w:rPr/>
      </w:pPr>
      <w:r>
        <w:rPr>
          <w:rFonts w:ascii="Amiri" w:hAnsi="Amiri" w:eastAsia="Amiri" w:cs="Amiri"/>
          <w:color w:val="111111"/>
          <w:sz w:val="28"/>
          <w:sz w:val="28"/>
          <w:szCs w:val="28"/>
          <w:rtl w:val="true"/>
          <w:lang w:bidi="ar-SA"/>
        </w:rPr>
        <w:t xml:space="preserve">يحسبه الرّائي ماءً لم يقع موقع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الظمآن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الظّمآن أشدّ فاقة إليه وأعظم حرصاً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بمعنى الّذي عطش عطشاً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والعدول عن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نكتتين معنويتين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السّراب إنَّما يحسبه ماء مَنْ اشتدّ به العطش، فكان حرصه على الماء حاجزاً عن الحدس بواقع كونه سراباً؛ لأنَّ الإنسان إذا حرص على شيء ربّما تراءى له وصدّق بوجوده، كمن بالغ في طلب الهلال في ناحية من السّماء فإنّه يراه ويصدّق بوجوده ولو كان في غير مكانه كما يتّفق ذلك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ربّما كان الغرض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تشبيه أعمال الكفّار بالسّراب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حالة نفس الكفّار يوم القيامة بالظمآن حيث يعلّقون أملاً كبيراً على أعمالهم الّتي يظنّونها حسنة كالصّدقات الّتي منع جحودهم وكفرهم من قبولها فإذا حضر الحساب لم يجدوها شيئاً ووجدوا الله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جيء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تتضمّن الآية هذا التّشبيه، كما أنَّه لو جيء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بلاغة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بدلالتها على شدّة العطش تشير إلى عظيم الفقر والحاجة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السّابق عن أبي هلال لا يتضمّن ذكر النّكتة الّتي اقتضت تمثيل شدّة الفاقة وعظيم الفقر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لامرأتي نوح ولوط وهما زوجتان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لامرأة فرعون وهي زوجته دون ريب في كلٍّ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اِمْرَأَتَ نُوحٍ وَامْرَأَتَ لُوطٍ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اِمْرَأتَ فِرْعَوْنَ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الاستعمال الدّقيق ذو دلالة اجتماعية</w:t>
      </w:r>
    </w:p>
    <w:p>
      <w:pPr>
        <w:pStyle w:val="BookText"/>
        <w:rPr/>
      </w:pPr>
      <w:r>
        <w:rPr>
          <w:rFonts w:ascii="Amiri" w:hAnsi="Amiri" w:eastAsia="Amiri" w:cs="Amiri"/>
          <w:color w:val="111111"/>
          <w:sz w:val="28"/>
          <w:sz w:val="28"/>
          <w:szCs w:val="28"/>
          <w:rtl w:val="true"/>
          <w:lang w:bidi="ar-SA"/>
        </w:rPr>
        <w:t xml:space="preserve">رائعة، وهي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حيث تكون الزّوجة هي مناط الموقف حكمة وآية، أو تشريعاً وحكماً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فاذا تعطّلت آيتها من السّكن والمودّة والرّحمة بخيانة أو تباين في العقيدة فامرأة لا زوج، فبالخيانة الدّينيّة الّتي أحدثتها امرأتا نوح ولوط قد انفصلت عرى الزّوجيّة وعاد كلّ زوج منهما امرأة فحسب، كما تعطّلت آية الزّوجيّة في امرأة فرعون بكفره وإيمانها فعادا حقيقتين مختلفتين لا تربطهما رابطة من سكن ولا صلة من مودّة فعادت زوجته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التّعليل خاطئ جدّاً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الآية ما يقتضي العناية بتفهيم معنى الزّوجيّة؛ لأنَّ الغرض منها بيان أنّ مصير المرأة الخائنة لا يتأثر بصلاح زوجها كما يظهر بملاحظة جميع الآية،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وَاِمْرَأَتَ لُوطٍ كَانَتَا تَحْتَ عَبْدَيْنِ مِنْ عِبَادِنَا صَالِحَيْنِ فَخَانَتَاهُمَا فَلَمْ يُغْنِيَا عَنْهُمَا مِنْ اللَّهِ شَيْئاً وَقِيلَ ادْخُلا النَّارَ مَعَ الدَّاخِلِينَ ﲎ وَضَرَبَ اللَّهُ مَثَلاً لِلَّذِينَ آمَنُوا اِمْرَأَتَ فِرْعَوْنَ إِذْ قَالَتْ رَبِّ ابْنِ لِي عِنْدَكَ بَيْتاً فِي الْجَنَّةِ وَنَجِّنِي مِنْ فِرْعَوْنَ وَعَمَلِهِ وَنَجِّنِي مِنْ الْقَوْمِ الظَّالِمِينَ</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ذلك أنَّ في طيّ هذين التّمثيلين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الزّمخشري</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تعريضاً بزوجتي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المذكورتين في أوّل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وحفصة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فرط منهما من التّظاهر على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كرهه وتحذير لهما على أغلظ وجه وأشدّه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تتكّلا على أنّهما زوجا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الفضل لا ينفعهما إلّا مع كونهما مخلصتين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وأسرار التّنزيل ورموزه في كلّ باب بالغة من اللّطف والخفاء حدّاً يدقّ عن تفطّن العالم ويزلّ عن تبصره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علاقة الزّوجيّة مفادة في الآية الأولى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كَانَتَا تَحْتَ عَبْدَيْنِ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الثّانية بعطفها على الأولى فاستغنى فيها عن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تحت كافر مستكبر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الظّاهر أنَّ نفس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تستبطن علاقة الزّوجيّة بينهما وتدلّ عليها، كما أنَّ إضافة الرّجل إلى المرأة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العلاقة لا تنشأ عن مجرّد الإضافة، إذ يكفي في الإضافة أدنى ملابسة فيصحّ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زوجته ممّن له بها علاقة كأُخته وأُمّه، ولكن الدّلالة على الزّوجيّة هنا معنى تستبطنه الكلمة ذاتها لا لمجردّ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نجد ملاحظة هذه النّكتة في الاستعمالات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خيانة ونحوها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أَزْوَاجِكُمْ وَأَوْلادِكُمْ عَدُوّاً لَكُمْ فَاحْذَرُوهُمْ</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يعدّ 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يَرْمُونَ أَزْوَاجَهُمْ وَلَمْ يَكُنْ لَهُمْ شُهَدَاءُ إِلاَّ أَنفُسُهُمْ فَشَهَادَةُ أَحَدِهِمْ أَرْبَعُ شَهَادَاتٍ بِاللَّهِ إِنَّهُ لَمِنْ الصَّادِقِينَ</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صَلَحَ مِنْ آبَائِهِمْ وَأَزْوَاجِهِمْ وَذُرِّيَّاتِهِمْ</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جاء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لا تقتضي تلك النّكتة اعتبار </w:t>
      </w:r>
    </w:p>
    <w:p>
      <w:pPr>
        <w:pStyle w:val="BookText"/>
        <w:rPr/>
      </w:pPr>
      <w:r>
        <w:rPr>
          <w:rFonts w:ascii="Amiri" w:hAnsi="Amiri" w:eastAsia="Amiri" w:cs="Amiri"/>
          <w:color w:val="111111"/>
          <w:sz w:val="28"/>
          <w:sz w:val="28"/>
          <w:szCs w:val="28"/>
          <w:rtl w:val="true"/>
          <w:lang w:bidi="ar-SA"/>
        </w:rPr>
        <w:t xml:space="preserve">الزّوجيّة كأنْ لم تكن، كما في امرأة أبي 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وامرأة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بَلَغَنِي الْكِبَرُ وَامْرَأَتِي عَاقِرٌ</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خِفْتُ الْمَوَالِيَ مِنْ وَرَائِي وَكَانَتْ امْرَأَتِي عَاقِراً 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وَيَرِثُ مِنْ آَلِ يَعْقُوبَ وَاجْعَلْهُ رَبِّ 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زَكَرِيَّا إِنَّا نُبَشِّرُكَ بِغُلَامٍ اسْمُهُ يَحْيَى لَمْ نَجْعَلْ لَهُ مِنْ قَبْلُ سَمِيًّا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أَنَّى يَكُونُ لِي غُلامٌ وَكَانَتْ امْرَأَتِي عَاقِراً وَقَدْ بَلَغْتُ مِنْ الْكِبَرِ عِتِيّاً</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 وامرأة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نِسْوَةٌ فِي الْمَدِينَةِ امْرَأَتُ الْعَزِيزِ تُرَاوِدُ فَتَاهَا عَنْ نَفْسِهِ</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الْمَلِكُ ائْتُونِي بِهِ فَلَمَّا جَاءَهُ الرَّسُولُ قَالَ ارْجِعْ إِلَى رَبِّكَ فَاسْأَلْهُ مَا بَالُ النِّسْوَةِ اللَّاتِي قَطَّعْنَ أَيْدِيَهُنَّ إِنَّ رَبِّي بِكَيْدِهِنَّ عَلِيمٌ</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 اشْتَرَاهُ مِنْ مِّصْرَ لامْرَأَتِهِ أَكْرِمِي مَثْوَاهُ</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امْرَأَةٌ خَافَتْ مِنْ بَعْلِهَا نُشُوزاً أَوْ إِعْرَاضاً</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 اختيار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أجمليتها منها لفظاً على ما يدرك بالذوق الأدبيّ، وسيأتي بيان الجمال اللّفظي في السّبب السّادس</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أمثلة الدّلالة الإيحائيّة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قيل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فإنّها تحمل إلى الذّهن كلّ معاني الغلظة والثّبات والمجاهدة، وتوحي بأبعاد الصبر واليقظة والحذر، لا الشّدّة في مقابل الضّعف فحسب، بل تذهب إلى أكثر من هذا فتشير إيحائياً لتحرّك النّفوس وتهزّ الضّمائر إلى التّفاني في ذات الله وإلى التّشدّد في أحكام الله وإلى التّنفيذ لأوامر الله، فلا لومة لائم ولا غضب عاتب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أنّه لا دلالة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معنى الغلظة والشّدّة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المعاني إنّما استفيد بالإغراق في التّأمّل في المعنى وشؤونه ولا تعلّق لذلك باللّفظ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عن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مِنَ الْقَانِتِينَ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منها الزّركشي دلالة ايحائيّة برفع مستوى مريم فيها إلى مصافّ الرّجال ممّن وصفوا بالجدّ والصبر والمثابرة على أسمى مراتب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إيذاناً بأنّ وضعها في العباد جدّاً واجتهاداً وعلماً وتبصّراً ورفعة من الله لدرجاتها في أوصاف الرّجال القانتين وطريقهم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هذه الدّلالة موهومة، فإنّ صيغة الجمع المذكر تطلق على المذكر والمؤنث مختلطين كما تطلق على المذكر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في القرآن الكريم شاملةً لهما ما لم يذكر معها الجمع المؤنث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واختيار هذه الصيغة في هذه الآية مراعاة للسجع لا غير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تقدير صحّة تلك النّكتة فمرجعها إلى التّشبيه والتّنزيل، فهل موارد التّشبيه جميعاً مندرجة في الدّلالة الإيحائيّة؟</w:t>
      </w:r>
      <w:r>
        <w:rPr>
          <w:rFonts w:eastAsia="Amiri" w:cs="Amiri" w:ascii="Amiri" w:hAnsi="Amiri"/>
          <w:color w:val="111111"/>
          <w:sz w:val="28"/>
          <w:szCs w:val="28"/>
          <w:rtl w:val="true"/>
          <w:lang w:bidi="ar-SA"/>
        </w:rPr>
        <w:t xml:space="preserve">! </w:t>
      </w:r>
      <w:bookmarkStart w:id="235" w:name="pg9124_98555"/>
    </w:p>
    <w:p>
      <w:pPr>
        <w:pStyle w:val="BookText"/>
        <w:rPr/>
      </w:pPr>
      <w:bookmarkEnd w:id="235"/>
      <w:r>
        <w:rPr>
          <w:rFonts w:ascii="Amiri" w:hAnsi="Amiri" w:eastAsia="Amiri" w:cs="Amiri"/>
          <w:color w:val="111111"/>
          <w:sz w:val="28"/>
          <w:sz w:val="28"/>
          <w:szCs w:val="28"/>
          <w:rtl w:val="true"/>
          <w:lang w:bidi="ar-SA"/>
        </w:rPr>
        <w:t>وإنّما ذكرنا هاتين الدّلالتين هنا لكي يكون الباحث على بصيرة من ذلك عسى أنْ يجد لهما تفسيراً ومعنى ويتمكّن من تفسير جانب من هذه الظّاهرة لهما كما احتملنا تفسير جانب منها بالدّلالة الصّوتيّة</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2933240_2870459653"/>
      <w:bookmarkStart w:id="237" w:name="_Toc92"/>
      <w:bookmarkEnd w:id="236"/>
      <w:r>
        <w:rPr>
          <w:rtl w:val="true"/>
        </w:rPr>
        <w:t>السّبب السّادس</w:t>
      </w:r>
      <w:r>
        <w:rPr>
          <w:rtl w:val="true"/>
        </w:rPr>
        <w:t xml:space="preserve">: </w:t>
      </w:r>
      <w:r>
        <w:rPr>
          <w:rtl w:val="true"/>
        </w:rPr>
        <w:t>أروعيّة بعض الجموع من بعض من حيث جمالها الذّاتي</w:t>
      </w:r>
      <w:bookmarkEnd w:id="237"/>
    </w:p>
    <w:p>
      <w:pPr>
        <w:pStyle w:val="Heading6"/>
        <w:numPr>
          <w:ilvl w:val="5"/>
          <w:numId w:val="1"/>
        </w:numPr>
        <w:rPr/>
      </w:pPr>
      <w:bookmarkStart w:id="238" w:name="__RefHeading___Toc2933242_2870459653"/>
      <w:bookmarkStart w:id="239" w:name="_Toc93"/>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لا شكّ عند مَنْ ملك الذّوق الأدبي في أنّ بعض الألفاظ أجمل من بعض في حدّ ذاتها وإنْ تساوت مداليلها الوضعيّة والصّوتيّة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النّقطة من أدق النّقاط الّتي لا ينتبه لها إلّا بالحسّ المرهف والذّوق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هذه الجهة لم نجد من نبّه عليها من علماء البلاغة واللّغة من قدامى ومُحدَثين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تعرّض علماء البلاغة لكون الألفاظ مختلفة بحسب حروفها من حيث الفصاحة وعدمها، ولكن هذا الاختلاف راجع إلى تفاوتها في أصل الحسن والقبح، وهذا غير تفاوت الألفاظ الفصيحة الحسنة في درجة الجمال الذّاتي فهما مستويان 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سبيل إلى إعطاء ضابط معيّن لجمال الكلمة من حيث حروفها وحركاتها؛ لأنّه وليد مدى تناسب وانسجام الأصوات المجتمعة وكيفياتها من المدّ والسّكون والحركة مقاسةً بالمعنى، وهذا التّناسب في كلّ كلمة أو كلام وليد حالة جزئيّة خاصّة لا جامع بينها وبين غيرها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قد استقرّ رأي المحقّقين من علماء البلاغة على عدم ضابط لفصاحة الكلمة وعدمها وإنْ كان قد تناول بعضهم إعطاء ضابط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ابن الأثير من كلام له حول تنافر الحروف الّذي عدّ من الأمور المخلّة بفصاحة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بعض تلك المحاولات وتفنيدها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التّنافر بسبب بُعد المخارج وأنَّ الانتقال من أحدهما إلى </w:t>
      </w:r>
      <w:bookmarkStart w:id="240" w:name="pg9124_98556"/>
    </w:p>
    <w:p>
      <w:pPr>
        <w:pStyle w:val="BookText"/>
        <w:rPr/>
      </w:pPr>
      <w:bookmarkEnd w:id="240"/>
      <w:r>
        <w:rPr>
          <w:rFonts w:ascii="Amiri" w:hAnsi="Amiri" w:eastAsia="Amiri" w:cs="Amiri"/>
          <w:color w:val="111111"/>
          <w:sz w:val="28"/>
          <w:sz w:val="28"/>
          <w:szCs w:val="28"/>
          <w:rtl w:val="true"/>
          <w:lang w:bidi="ar-SA"/>
        </w:rPr>
        <w:t>الآخر كالطفرة، ولا بسبب قربها وأنَّ الانتقال من أحدهما إلى الآخر كالمشي في القيد لما نجد غير متنافر من قريب المخرج كالجيش والشجيّ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البعيدة ما هو بخلافه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أسرع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بسبب أنّ الإخراج عن الحلق إلى الشّفة أيسر من إدخاله من الشّفة إلى الحلق لما نجد من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هذا أمر ذوقيّ، فكلّ ما عدّه الذّوق الصّحيح ثقيلاً متعسّر النّطق فهو متنافر سواء كان من قُرب المخارج أو بُعدها أو غير ذلك</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الأمر كذلك في الفصاحة فهو بعينه الحال في الجمال اللّفظي؛ لأنَّهما مستويان من حقيقة واحدة وإنْ كان مستوى الجمال أدقّ وأعلى</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فالمناط في تشخيص كل منهما الذّوق الأدبيّ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المقدّمة أنَّ ضرباً من المزايا اللّفظيّة ممّا يدرك ولا يوصف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علماء البلاغة جعلوا الذّوق على مرتبتين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يدرك تنافر حروف الكلمة ويحسّ بأوصافها ثقلاً وخفّةً، وسقيم لا يحسّ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أنّ الذّوق الأدبيّ ذو مراتب متعدّدة تختلف في السّلامة والصّفاء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مَنْ يخلو عن مرتبة منها كما يقلّ من أبناء اللّغة العربيّة في العصور المتأخّرة</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2933244_2870459653"/>
      <w:bookmarkStart w:id="242" w:name="_Toc94"/>
      <w:bookmarkEnd w:id="241"/>
      <w:r>
        <w:rPr>
          <w:rtl w:val="true"/>
        </w:rPr>
        <w:t>من أمثلة هذه الحالة</w:t>
      </w:r>
      <w:bookmarkEnd w:id="24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تندرج جملة من أمثلة هذه الظّاهرة تحت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فيرجح أحد الجمعين على الآخر لأجمليته منه لفظاً، إلّا فيما اقتضت مزيّة أوْلى بالمراعاة كالسّجع </w:t>
      </w:r>
    </w:p>
    <w:p>
      <w:pPr>
        <w:pStyle w:val="BookText"/>
        <w:rPr/>
      </w:pPr>
      <w:r>
        <w:rPr>
          <w:rFonts w:ascii="Amiri" w:hAnsi="Amiri" w:eastAsia="Amiri" w:cs="Amiri"/>
          <w:color w:val="111111"/>
          <w:sz w:val="28"/>
          <w:sz w:val="28"/>
          <w:szCs w:val="28"/>
          <w:rtl w:val="true"/>
          <w:lang w:bidi="ar-SA"/>
        </w:rPr>
        <w:t>والموازنة انتخاب ذاك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السّجع ونحوه ممّا يرجع إلى جمال الكلام ككلّ وهو أوْلى بالمراعاة من جمال كلمة في حدّ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أجمليّة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السّجود من جهة تكرّر الجيم فيه، والجيم حرف جميل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لذلك اختير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جمعه كلّما وقع في أثناء الآية وهو أحد عشر موضعاً</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فَوْقَهُمُ الطُّورَ بِمِيثَاقِهِمْ وَقُلْنَا لَهُمُ ادْخُلُوا الْبَابَ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حِطَّةٌ وَادْخُلُوا الْبَابَ سُجَّدًا نَغْفِرْ لَكُمْ خَطِيئَاتِكُمْ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أَبَوَيْهِ عَلَى الْعَرْشِ وَخَرُّوا لَهُ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يَتَفَيَّأُ ظِلَالُهُ عَنِ الْيَمِينِ وَالشَّمَائِلِ سُجَّدًا لِلَّهِ وَهُمْ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يُتْلَى عَلَيْهِمْ يَخِرُّونَ لِلْأَذْقَانِ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تُتْلَى عَلَيْهِمْ آَيَاتُ الرَّحْمَنِ خَرُّوا سُجَّدًا وَبُكِيًّا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فَأُلْقِيَ السَّحَرَةُ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يَبِيتُونَ لِرَبِّهِمْ سُجَّدًا وَقِيَامًا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يُؤْمِنُ بِآَيَاتِنَا الَّذِينَ إِذَا ذُكِّرُوا بِهَا خَرُّوا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وإنّما اختير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آيتين مراعاة لآخر الآية، 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طَهِّرَا بَيْتِيَ لِلطَّائِفِينَ وَالْعَاكِفِينَ وَالرُّكَّعِ السُّجُودِ</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 بَيْتِيَ لِلطَّائِفِينَ وَالْقَائِمِينَ وَالرُّكَّعِ السُّجُودِ</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ووجه أولويّة السّجود بآخر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يحقّق انحداراً طبيعيّاً لما قبلها إلى آخرها كأنَّه تنزّل من الأعلى إلى الأدنى، فتأمّل جيداً في الآيتين تجد روعة ذكر الجمعين المتضمّنين للألف أوَّلاً 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جيء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الوزن لم يتحقّق هذا الانحدار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تقارب آخر الآيتين مع آخر باقي الآيات في الوزن فأواخر ما بعد الآية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وأواخر طرفي الآية الثّانية من أوّل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رأيي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جمع سالم كما لم يرد اختياره إلّا في أواخر الآيات مراعاة لها في تسعة مواضع</w:t>
      </w:r>
      <w:r>
        <w:rPr>
          <w:rStyle w:val="FootnoteAnchor"/>
          <w:rtl w:val="true"/>
        </w:rPr>
        <w:footnoteReference w:id="244"/>
      </w:r>
      <w:r>
        <w:rPr>
          <w:rFonts w:ascii="Amiri" w:hAnsi="Amiri" w:eastAsia="Amiri" w:cs="Amiri"/>
          <w:color w:val="111111"/>
          <w:sz w:val="28"/>
          <w:sz w:val="28"/>
          <w:szCs w:val="28"/>
          <w:rtl w:val="true"/>
          <w:lang w:bidi="ar-SA"/>
        </w:rPr>
        <w:t>، وفي موضع آخر رعاية لما عطف عليه من الطّرفين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حالة تساويهما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اختير في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مورداً أُريد بمعظمها ما يساوق العبيد وببعضها ما يتضمّن معنى العبادة كما مرّ في 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اختيار العبيد إلّا في خمسة مواضع في أواخر الآيات من</w:t>
      </w:r>
    </w:p>
    <w:p>
      <w:pPr>
        <w:pStyle w:val="BookText"/>
        <w:rPr/>
      </w:pPr>
      <w:r>
        <w:rPr>
          <w:rFonts w:ascii="Amiri" w:hAnsi="Amiri" w:eastAsia="Amiri" w:cs="Amiri"/>
          <w:color w:val="111111"/>
          <w:sz w:val="28"/>
          <w:sz w:val="28"/>
          <w:szCs w:val="28"/>
          <w:rtl w:val="true"/>
          <w:lang w:bidi="ar-SA"/>
        </w:rPr>
        <w:t>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لَيْسَ بِظَلَّامٍ لِّلْعَبِيدِ</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أَيْدِيكُمْ وَأَنَّ اللَّهَ لَيْسَ بِظَلَّامٍ لِلْعَبِيدِ</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يَدَاكَ وَأَنَّ اللَّهَ لَيْسَ بِظَلَّامٍ لِلْعَبِيدِ</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 وقريب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وَمَنْ أَسَاءَ فَعَلَيْهَا وَمَا رَبُّكَ بِظَلَّامٍ لِّلْعَبِيدِ</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الْقَوْلُ لَدَيَّ وَمَا أَنَا بِظَلَّامٍ لِلْعَبِيدِ</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في السّبب الثّاني ذكر أنَّ الرّاغب علّل اختيار العبيد بكونه أعمّ من العباد لتضمّنها معنى العبادة، لكنْ ذكرنا أنَّ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يتضمّن هذا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اختير في أثناء الآيات وأواخرها في مواضع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الْمُتَّقِينَ كَالْفُجَّارِ</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الْفُجَّارَ لَفِي جَحِيمٍ</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كِتَابَ الْفُجَّارِ لَفِي سِجِّينٍ</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واختير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واحد مراعاة لآخِر الآية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الْكَفَرَةُ الْفَجَرَةُ </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الأخيرة تحقّق لها مع الآيات الأربعة سجعاً لطيفاً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تحقّق لها مع ما قبلها من الآيات قرباً وتشابهاً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جيء بدلها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لها وَقع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اختير في عشرين موضعاً</w:t>
      </w:r>
      <w:r>
        <w:rPr>
          <w:rStyle w:val="FootnoteAnchor"/>
          <w:rtl w:val="true"/>
        </w:rPr>
        <w:footnoteReference w:id="255"/>
      </w:r>
      <w:r>
        <w:rPr>
          <w:rFonts w:ascii="Amiri" w:hAnsi="Amiri" w:eastAsia="Amiri" w:cs="Amiri"/>
          <w:color w:val="111111"/>
          <w:sz w:val="28"/>
          <w:sz w:val="28"/>
          <w:szCs w:val="28"/>
          <w:rtl w:val="true"/>
          <w:lang w:bidi="ar-SA"/>
        </w:rPr>
        <w:t xml:space="preserve">وقع فيها في أثناء الكلام من غير تناسب مُلزِم، ولم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موضعٍ واحدٍ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الْكَفَرَةُ الْفَجَرَةُ</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رعاية لتماثلها في الوزن مع الوصف الثّاني لموصوفه وهو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قيل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مناسباً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من 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نفس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تماثلها في المعنى، فإنّه لا يبعد أجمليتها منه، ولذلك اختيرت عليه في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مورداً</w:t>
      </w:r>
      <w:r>
        <w:rPr>
          <w:rStyle w:val="FootnoteAnchor"/>
          <w:rtl w:val="true"/>
        </w:rPr>
        <w:footnoteReference w:id="257"/>
      </w:r>
      <w:r>
        <w:rPr>
          <w:rFonts w:ascii="Amiri" w:hAnsi="Amiri" w:eastAsia="Amiri" w:cs="Amiri"/>
          <w:color w:val="111111"/>
          <w:sz w:val="28"/>
          <w:sz w:val="28"/>
          <w:szCs w:val="28"/>
          <w:rtl w:val="true"/>
          <w:lang w:bidi="ar-SA"/>
        </w:rPr>
        <w:t xml:space="preserve">ولم يرد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موردين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النُّفُوسُ زُوِّجَتْ</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 أَعْلَمُ بِمَا فِي نُفُوسِكُمْ</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ولعلّ هناك مزيّة أوْلى بالمراعاة في الموردين اقتضت ترجيح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المزايا الآتية في الأسباب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يبعد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ذاك العدد الكثير مع مختلف الملابسات من غير مزيّة؛ لأنَّه نوع من الالتزام بالكلمة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يتعلّق بأمثلة هذه الظّاهرة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ويُلحق بها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مثال ذكره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وإنْ كانا متقاربين لفظاً، لكنّ الأُولى أجمل من الأخرى؛ ولذلك اختيرت عليها في أثناء الكلام وأواخره في مواضع شتى من القرآن الكريم ولم تُختر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آية واحدة مراعاةً للسجع كما مرّ تفصيل ذلك في السّبب الرّابع، كما مرّ هناك أنَّ الرّاغب علّل التّفرقة بين الجمعين بما يرجع إلى تأثير اختلاف معنى مفرديهما في ذلك، وتعرّضنا لنقده تفصيلاً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يُلحق بها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صيغتي شهود وأشهاد حيث اختيرت عليهما في عشرين مورداً</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ولكنَّه قد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شهيد بمعنى المقتول في سبيل الله،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مختلف الملابسات واختير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ثلاثة وَقعَ في اثنين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في آخر الآية لحفظ تناسبها مع ما اقترن بها من الآيات، ووقع الثّالث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تَعْمَلُونَ مِنْ عَمَلٍ إِلاَّ كُنَّا عَلَيْكُمْ شُهُوداً إِذْ</w:t>
      </w:r>
      <w:bookmarkStart w:id="243" w:name="pg9124_98562"/>
    </w:p>
    <w:p>
      <w:pPr>
        <w:pStyle w:val="BookText"/>
        <w:rPr/>
      </w:pPr>
      <w:bookmarkEnd w:id="243"/>
      <w:r>
        <w:rPr>
          <w:rFonts w:ascii="Amiri" w:hAnsi="Amiri" w:eastAsia="Amiri" w:cs="Amiri"/>
          <w:color w:val="111111"/>
          <w:sz w:val="28"/>
          <w:sz w:val="28"/>
          <w:szCs w:val="28"/>
          <w:rtl w:val="true"/>
          <w:lang w:bidi="ar-SA"/>
        </w:rPr>
        <w:t>تُفِيضُونَ فِيهِ</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في السّبب الخامس احتمال استناد اختياره فيها إلى أروعيّة تصويره لدقّة الشّهادة في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موضعين وقع في أحدهما في آخر الآية</w:t>
      </w:r>
      <w:r>
        <w:rPr>
          <w:rStyle w:val="FootnoteAnchor"/>
          <w:rtl w:val="true"/>
        </w:rPr>
        <w:footnoteReference w:id="262"/>
      </w:r>
      <w:r>
        <w:rPr>
          <w:rFonts w:ascii="Amiri" w:hAnsi="Amiri" w:eastAsia="Amiri" w:cs="Amiri"/>
          <w:color w:val="111111"/>
          <w:sz w:val="28"/>
          <w:sz w:val="28"/>
          <w:szCs w:val="28"/>
          <w:rtl w:val="true"/>
          <w:lang w:bidi="ar-SA"/>
        </w:rPr>
        <w:t>، ورُبّما كان اختياره في الموضع الآخر</w:t>
      </w:r>
      <w:r>
        <w:rPr>
          <w:rStyle w:val="FootnoteAnchor"/>
          <w:rtl w:val="true"/>
        </w:rPr>
        <w:footnoteReference w:id="263"/>
      </w:r>
      <w:r>
        <w:rPr>
          <w:rFonts w:ascii="Amiri" w:hAnsi="Amiri" w:eastAsia="Amiri" w:cs="Amiri"/>
          <w:color w:val="111111"/>
          <w:sz w:val="28"/>
          <w:sz w:val="28"/>
          <w:szCs w:val="28"/>
          <w:rtl w:val="true"/>
          <w:lang w:bidi="ar-SA"/>
        </w:rPr>
        <w:t>لنكتة ما أوْلى بالمراعاة من قبيل ما يأتي في السّبب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ذلك نظر وتأمّل؛ لاحتمال استناد اختياره في تلك المواضع إلى السّبب العاشر الآتي</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2933246_2870459653"/>
      <w:bookmarkStart w:id="245" w:name="_Toc95"/>
      <w:bookmarkEnd w:id="244"/>
      <w:r>
        <w:rPr>
          <w:rtl w:val="true"/>
        </w:rPr>
        <w:t>السّبب السّابع</w:t>
      </w:r>
      <w:r>
        <w:rPr>
          <w:rtl w:val="true"/>
        </w:rPr>
        <w:t xml:space="preserve">: </w:t>
      </w:r>
      <w:r>
        <w:rPr>
          <w:rtl w:val="true"/>
        </w:rPr>
        <w:t>أولويّة بعض الجمع من بعضٍ في آخر الجملة لتحقيق سجع، أو موازنة ونحو ذلك</w:t>
      </w:r>
      <w:bookmarkEnd w:id="245"/>
    </w:p>
    <w:p>
      <w:pPr>
        <w:pStyle w:val="Heading6"/>
        <w:numPr>
          <w:ilvl w:val="5"/>
          <w:numId w:val="1"/>
        </w:numPr>
        <w:rPr/>
      </w:pPr>
      <w:bookmarkStart w:id="246" w:name="__RefHeading___Toc2933248_2870459653"/>
      <w:bookmarkStart w:id="247" w:name="_Toc96"/>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لا شكّ في أنَّ تقارب آخر الجملتين زينة للكلام يزداد به رونقاً وجمالاً، وقد تنبّه إلى أصل هذا المعنى علماء البلاغة حيث عَدّوا من جملة المحسِّنات اللّفظيّة في علم البديع السّجع والموازنة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فالسّجع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 الفاصلتين من النّثر في الحرف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أنَّه يعتبر فيه أو في حسنه نحو تماثل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الحرفين أو الحروف الثّلاثة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الوزن على النّحو التّالي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ما قبل الحرف الأخير حرف علة</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ألفاً وجب تماثلهما في </w:t>
      </w:r>
    </w:p>
    <w:p>
      <w:pPr>
        <w:pStyle w:val="BookText"/>
        <w:rPr/>
      </w:pPr>
      <w:r>
        <w:rPr>
          <w:rFonts w:ascii="Amiri" w:hAnsi="Amiri" w:eastAsia="Amiri" w:cs="Amiri"/>
          <w:color w:val="111111"/>
          <w:sz w:val="28"/>
          <w:sz w:val="28"/>
          <w:szCs w:val="28"/>
          <w:rtl w:val="true"/>
          <w:lang w:bidi="ar-SA"/>
        </w:rPr>
        <w:t xml:space="preserve">ذلك فلا يحسُن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واواً أو ياءً كان تماثلها أوْلى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جاز أنْ يكون أحدهما واواً والآخر ياءً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لتقارب الواو والياء وبُعدهما عن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ما قبل الحرف الأخير غير حروف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أحدهما ساكناً وجب أنْ يكون الآخر كذلك، فلا يحسُن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بالحركات الثّلاثة في عينها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متحركاً كان التّماثل في نوع الحركة أوْلى، ولكن يجوز الاختلاف فيها، ومع الاختلاف يكون الاختلاف بالفتح والكسر أو بالفتح والضمّ أوْلى من الاختلاف بالكسر والضمّ؛ لأنَّ الفتحة أقرب إلى الضّمّة والكسرة من إحداهما إلى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ما قبل الحرف الأخير في أحدهما حرف علّة لم يجز أنْ يكون في الآخر حرفاً صحيحاً فلا يحسُن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هناك حرف علّة قبل حرفين من الأخير في إحدى الفاصلتين لم يحسن أنْ يكون في الآخر حرف صحيح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 كان ألفاً وجب كون الآخر كذلك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واواً أو ياءً كان التّماثل أوْلى وإنْ جاز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تقارب الكلمتين في السّجع يكون على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تكونا مختلفتين في الوزن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الْأَرْضَ مِهَادًا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وَالْجِبَالَ أَوْتَادًا</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ويسمى ذلك بالسّجع المطرّف</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متفقتين في الوزن تماماً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فِيهَا سُرُرٌ مَّرْفُوعَةٌ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وَأَكْوَابٌ مَّوْضُوعَةٌ</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ويسمى 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السّجع المتوازي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علماء البلاغة قسماً ثالثاً لاحظوا فيه توافق مجموع كلمات الجملتين وسموه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السّجع المرصّع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يطبع الأسجاع بجواهر لفظه، ويقرع الأسماع بزواجر وعظه</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توافق سائر كلمات الجملتين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الكلمة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مزيّة مستقلة لا تعلّق لها بالسّجع؛ فإنَّه من أوصاف أواخر الجمل، ولا تأثير لتماثل صدر الجملتين في زيادة جمال أواخرهما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نكتةٌ أُخرى في الموضوع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يفرض اختلاف وزن الكلمتين في السّجع المطرّف إلّا أنَّ للاختلاف درجاتٍ ومراتب وكلما كان الاختلاف أقلّ والأوزان أقرب كان السّجع أكثر جمالاً، فليس الاختلاف الجزئي في الوزن مانعاً عن حسن الكلام بمزيد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متى ما كانت حروف الكلمتين متساوية كان السّجع أكثر جمالاً من حالة اختلافهما بالزيادة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ممّا يشهد به الذّوق الأدبيّ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الموازنة فهي فيما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الفاصلتين في الوزن دون التّقفية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وَنَمَارِقُ مَصْفُوفَةٌ ﲫ وَزَرَابِيُّ مَبْثُوثَةٌ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ورُبّما قسّموها إلى قسمين بلحاظ مدى تماثل أو تقارب مجموع كلمات الجملتين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وَآَتَيْنَاهُمَا الْكِتَابَ الْمُسْتَبِينَ ﳈ</w:t>
      </w:r>
    </w:p>
    <w:p>
      <w:pPr>
        <w:pStyle w:val="BookText"/>
        <w:rPr/>
      </w:pPr>
      <w:r>
        <w:rPr>
          <w:rFonts w:ascii="Amiri" w:hAnsi="Amiri" w:eastAsia="Amiri" w:cs="Amiri"/>
          <w:color w:val="111111"/>
          <w:sz w:val="28"/>
          <w:sz w:val="28"/>
          <w:szCs w:val="28"/>
          <w:rtl w:val="true"/>
          <w:lang w:bidi="ar-SA"/>
        </w:rPr>
        <w:t>وَهَدَيْنَاهُمَا الصِّرَاطَ الْمُسْتَقِيمَ</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خلط بين مزيّتين؛ لأنَّ تماثل باقي أجزاء الجملتين مزيّة أُخرى كما مضى مثل ذلك في السّجع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فهاتان مزيّتان تتعلقان بآخر الجمل المتعاطفة قد ذكرها علماء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تقارب الفاصلتين في الوزن، فإنّه مزيّة بلاغيّة وإنْ لم تتساويا فيه على ما اعتبروه في الموازنة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الحالة كثيرة التّحقّق في القرآن الكريم، ففي سورة الحجّ مثلاً جاء في آخر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المعلوم وجود نحو انسجام بينها وإنْ اختلف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وزناً مع طرفيه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أنّهما أوْلى ممّا لو كان بديلهما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أنَّ هذا ضربٌ من الموازنة لم يتنبّهوا له، ولكنّها موازنة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تكون الموازنة مطلق تقارب الفاصلتين في الوزن، ولكنّها على مرتبتين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وناقصة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والناقصة منها على درجات ووجوه، لكنْ يعتبر فيها ما اعتبرناه في السّجع من التّقارب في الحرفين الأخيرين، أو الحروف الثّلاثة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أوْلى بذلك؛ لأنَّ حسنها يرتكز على الوزن فحسب دون الاشتراك في الحرف الأخير كما كان في السّجع</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الغرض في المقام استكناه المزايا البلاغيّة ولكنْ بيان هذا المقدار ممّا اقتضاه الموضوع</w:t>
      </w:r>
      <w:r>
        <w:rPr>
          <w:rFonts w:eastAsia="Amiri" w:cs="Amiri" w:ascii="Amiri" w:hAnsi="Amiri"/>
          <w:color w:val="111111"/>
          <w:sz w:val="28"/>
          <w:szCs w:val="28"/>
          <w:rtl w:val="true"/>
          <w:lang w:bidi="ar-SA"/>
        </w:rPr>
        <w:t xml:space="preserve">. </w:t>
      </w:r>
      <w:bookmarkStart w:id="248" w:name="pg9124_98566"/>
    </w:p>
    <w:p>
      <w:pPr>
        <w:pStyle w:val="Heading6"/>
        <w:numPr>
          <w:ilvl w:val="5"/>
          <w:numId w:val="1"/>
        </w:numPr>
        <w:rPr/>
      </w:pPr>
      <w:bookmarkStart w:id="249" w:name="__RefHeading___Toc2933250_2870459653"/>
      <w:bookmarkStart w:id="250" w:name="_Toc97"/>
      <w:bookmarkEnd w:id="248"/>
      <w:bookmarkEnd w:id="249"/>
      <w:r>
        <w:rPr>
          <w:rtl w:val="true"/>
        </w:rPr>
        <w:t>من أمثلة هذه الحالة</w:t>
      </w:r>
      <w:bookmarkEnd w:id="250"/>
    </w:p>
    <w:p>
      <w:pPr>
        <w:pStyle w:val="Heading6"/>
        <w:numPr>
          <w:ilvl w:val="5"/>
          <w:numId w:val="1"/>
        </w:numPr>
        <w:rPr/>
      </w:pPr>
      <w:bookmarkStart w:id="251" w:name="__RefHeading___Toc2933252_2870459653"/>
      <w:bookmarkStart w:id="252" w:name="_Toc98"/>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ولهذه الحالة موارد كثيرة في أمثلة هذه الظّاهرة اقتضى مراعاة السّجع أو الموازنة اختيار أحد الجمعين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هناك عامل أو عوامل أُخرى أيضاً موجبة لاختيار 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كان مراعاة السّجع أو الموازنة تقديماً لهما على مزيّة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تقسيم تلك الأمثلة</w:t>
      </w:r>
      <w:r>
        <w:rPr>
          <w:rStyle w:val="FootnoteAnchor"/>
          <w:rtl w:val="true"/>
        </w:rPr>
        <w:footnoteReference w:id="269"/>
      </w:r>
      <w:r>
        <w:rPr>
          <w:rFonts w:ascii="Amiri" w:hAnsi="Amiri" w:eastAsia="Amiri" w:cs="Amiri"/>
          <w:color w:val="111111"/>
          <w:sz w:val="28"/>
          <w:sz w:val="28"/>
          <w:szCs w:val="28"/>
          <w:rtl w:val="true"/>
          <w:lang w:bidi="ar-SA"/>
        </w:rPr>
        <w:t>إلى قسمين</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2933254_2870459653"/>
      <w:bookmarkStart w:id="254" w:name="_Toc99"/>
      <w:bookmarkEnd w:id="253"/>
      <w:r>
        <w:rPr>
          <w:rtl w:val="true"/>
        </w:rPr>
        <w:t>القسم الأوَّل</w:t>
      </w:r>
      <w:bookmarkEnd w:id="254"/>
    </w:p>
    <w:p>
      <w:pPr>
        <w:pStyle w:val="BookText"/>
        <w:rPr/>
      </w:pPr>
      <w:r>
        <w:rPr>
          <w:rFonts w:ascii="Amiri" w:hAnsi="Amiri" w:eastAsia="Amiri" w:cs="Amiri"/>
          <w:color w:val="111111"/>
          <w:sz w:val="28"/>
          <w:sz w:val="28"/>
          <w:szCs w:val="28"/>
          <w:rtl w:val="true"/>
          <w:lang w:bidi="ar-SA"/>
        </w:rPr>
        <w:t xml:space="preserve">الجموع الّتي لم ترد إلّا في آخر الآية، وفي هذا القسم لم نستبعد أنْ يكون اختيار تلك الجموع مراعاةً للسّجع أو الموازنة؛ تقديماً لها على مزيّة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كالجمال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والحجّ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 واختير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عشر موضعاً آخر كما مَرّ تفصيل ذلك في السّبب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خمسة مواضع واختير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آخر كما مَرّ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 السّجع والموازنة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يظهر بمراجعة تلك الآيات وطرفيها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مورد واحد واختير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w:t>
      </w:r>
      <w:bookmarkStart w:id="255" w:name="pg9124_98567"/>
    </w:p>
    <w:p>
      <w:pPr>
        <w:pStyle w:val="BookText"/>
        <w:rPr/>
      </w:pPr>
      <w:bookmarkEnd w:id="255"/>
      <w:r>
        <w:rPr>
          <w:rFonts w:ascii="Amiri" w:hAnsi="Amiri" w:eastAsia="Amiri" w:cs="Amiri"/>
          <w:color w:val="111111"/>
          <w:sz w:val="28"/>
          <w:sz w:val="28"/>
          <w:szCs w:val="28"/>
          <w:rtl w:val="true"/>
          <w:lang w:bidi="ar-SA"/>
        </w:rPr>
        <w:t>مواضع كما مَرّ تفصيل القول فيه هناك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بها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واحد، وقد اختير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مواضع كما سبقت الإشارة إليه هناك، ومضى تفصيل القول فيه في أوّل السّبب الرّابع</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2933256_2870459653"/>
      <w:bookmarkStart w:id="257" w:name="_Toc100"/>
      <w:bookmarkEnd w:id="256"/>
      <w:r>
        <w:rPr>
          <w:rtl w:val="true"/>
        </w:rPr>
        <w:t>القسم الآخر</w:t>
      </w:r>
      <w:bookmarkEnd w:id="257"/>
    </w:p>
    <w:p>
      <w:pPr>
        <w:pStyle w:val="BookText"/>
        <w:rPr/>
      </w:pPr>
      <w:r>
        <w:rPr>
          <w:rFonts w:ascii="Amiri" w:hAnsi="Amiri" w:eastAsia="Amiri" w:cs="Amiri"/>
          <w:color w:val="111111"/>
          <w:sz w:val="28"/>
          <w:sz w:val="28"/>
          <w:szCs w:val="28"/>
          <w:rtl w:val="true"/>
          <w:lang w:bidi="ar-SA"/>
        </w:rPr>
        <w:t>الجموع الّتي وردت في آخر الآية تارة، وفي أثنائها أخرى، والغالب فيها وجود مزيّة أُخرى مقتضية لترجيحها على بديلاتها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احتملناه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آخر البحث عن السّبب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يَهَبُ لِمَنْ يَشَاءُ إِنَاثاً وَيَهَبُ لِمَنْ يَشَاءُ الذُّكُورَ</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 فِي بُطُونِ هَذِهِ الأَنْعَامِ خَالِصَةٌ لِّذُكُورِنَا وَمُحَرَّمٌ عَلَى أَزْوَاجِنَا</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في الموضع الأوّل يناسب جميع آيات تلك السّورة عدا ست آيات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وأواخرها من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الكلمة تحقّق للآية سجعاً وموازنة بالنسبة إلى سائر تلك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مستوياتهما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في الموضع الآخر فرُبّما كان اختياره مستنداً إلى السّبب العاشر الآتي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اختير عليه كلمة ذكران في موضعين</w:t>
      </w:r>
      <w:r>
        <w:rPr>
          <w:rStyle w:val="FootnoteAnchor"/>
          <w:rtl w:val="true"/>
        </w:rPr>
        <w:footnoteReference w:id="274"/>
      </w:r>
      <w:r>
        <w:rPr>
          <w:rFonts w:ascii="Amiri" w:hAnsi="Amiri" w:eastAsia="Amiri" w:cs="Amiri"/>
          <w:color w:val="111111"/>
          <w:sz w:val="28"/>
          <w:sz w:val="28"/>
          <w:szCs w:val="28"/>
          <w:rtl w:val="true"/>
          <w:lang w:bidi="ar-SA"/>
        </w:rPr>
        <w:t>في الأثناء، كما سيأتي ما يحتمل في وجهه في السّببين التّاسع والعاشر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مواضع ثلاثة اثنان منها في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عَلَى مَا يَفْعَلُونَ بِالْمُؤْمِنِينَ شُهُودٌ</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وأواخر آيات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وَبَنِينَ شُهُوداً</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وأواخر بعض طرفيها من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تَعْمَلُونَ مِنْ عَمَلٍ إِلاَّ كُنَّا عَلَيْكُمْ شُهُوداً إِذْ تُفِيضُونَ فِيهِ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الأوَّلين ممّا يتوقّف عليه السّجع والموازنة وإنْ كان مشتركاً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الحرف الأخير؛ لأنَّهما لا يتحقّقان إلَّا بين ما يكون قبل آخره ألفاً وبين ما كان قبل آخره واواً، أو ياءً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الموضع الثّالث فقد سبق ما يحتمل في وجهه في السّبب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موردين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الأَشْهَادُ هَؤُلاءِ الَّذِينَ كَذَبُوا عَلَى رَبِّهِمْ</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وأواخر بعض طرفيها من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الآية الثّانية يحقّق لها موازنة وسجعاً بالنسبة إلى طرفيها ولا تحقّق 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اختياره في الموضع الأوّل فرُبّما كان مستنداً إلى السّبب العاشر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خمسة مواضع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وقع في أحدها في آخر الآية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أَحْيَاءً وَأَمْوَاتاً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وطرفيها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نَجْعَلْ الأَرْضَ كِفَاتاً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فِيهَا رَوَاسِيَ شَامِخَاتٍ وَأَسْقَيْنَاكُمْ مَاءً فُرَاتاً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ولو اختير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يتحقّق السّجع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اختياره في سائر المواضع فرُبّما كان مستنداً إلى بعض الأسباب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كان في أحدها في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تعالى في آخر سورة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ذَلِكَ بِقَادِرٍ عَلَى أَنْ يُحْيِيَ الْمَوْتَى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وأواخر ما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اختير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يتحقّق التّماثل بين أواخر الآيات</w:t>
      </w:r>
      <w:r>
        <w:rPr>
          <w:rFonts w:eastAsia="Amiri" w:cs="Amiri" w:ascii="Amiri" w:hAnsi="Amiri"/>
          <w:color w:val="111111"/>
          <w:sz w:val="28"/>
          <w:szCs w:val="28"/>
          <w:rtl w:val="true"/>
          <w:lang w:bidi="ar-SA"/>
        </w:rPr>
        <w:t>.</w:t>
      </w:r>
      <w:bookmarkStart w:id="258" w:name="pg9124_98570"/>
    </w:p>
    <w:p>
      <w:pPr>
        <w:pStyle w:val="BookText"/>
        <w:rPr/>
      </w:pPr>
      <w:bookmarkEnd w:id="258"/>
      <w:r>
        <w:rPr>
          <w:rFonts w:ascii="Amiri" w:hAnsi="Amiri" w:eastAsia="Amiri" w:cs="Amiri"/>
          <w:color w:val="111111"/>
          <w:sz w:val="28"/>
          <w:sz w:val="28"/>
          <w:szCs w:val="28"/>
          <w:rtl w:val="true"/>
          <w:lang w:bidi="ar-SA"/>
        </w:rPr>
        <w:t>وأمَّا اختياره في سائر المواضع فقد يستند إلى بعض الأسباب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وقع في ثمانية مواضع في آخر الآية</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وجه اختياره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السّبب الأوّل والسّادس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ورد في مواضع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أحدها</w:t>
      </w:r>
      <w:r>
        <w:rPr>
          <w:rStyle w:val="FootnoteAnchor"/>
          <w:rtl w:val="true"/>
        </w:rPr>
        <w:footnoteReference w:id="281"/>
      </w:r>
      <w:r>
        <w:rPr>
          <w:rFonts w:ascii="Amiri" w:hAnsi="Amiri" w:eastAsia="Amiri" w:cs="Amiri"/>
          <w:color w:val="111111"/>
          <w:sz w:val="28"/>
          <w:sz w:val="28"/>
          <w:szCs w:val="28"/>
          <w:rtl w:val="true"/>
          <w:lang w:bidi="ar-SA"/>
        </w:rPr>
        <w:t>في آخر الآية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وَبَنَيْنَا فَوْقَكُمْ سَبْعاً شِدَاداً</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 وهو قريب من سائر الكلمات الواقعة في أواخر آيات السّورة فمن طرفيها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ثجّاجاً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ويلحق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ورد في ستّة مواضع وقع في اثنين منها في آخر الآية، كما تقدّم في البحث عن السّبب الرّابع</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2933258_2870459653"/>
      <w:bookmarkStart w:id="260" w:name="_Toc101"/>
      <w:bookmarkEnd w:id="259"/>
      <w:r>
        <w:rPr>
          <w:rtl w:val="true"/>
        </w:rPr>
        <w:t>السّبب الثّامن</w:t>
      </w:r>
      <w:r>
        <w:rPr>
          <w:rtl w:val="true"/>
        </w:rPr>
        <w:t xml:space="preserve">: </w:t>
      </w:r>
      <w:r>
        <w:rPr>
          <w:rtl w:val="true"/>
        </w:rPr>
        <w:t>أولويّة بعض الجموع من بعض في أثناء الجملة لتحقيق توازن لها مع جملة أخرى</w:t>
      </w:r>
      <w:bookmarkEnd w:id="260"/>
    </w:p>
    <w:p>
      <w:pPr>
        <w:pStyle w:val="BookText"/>
        <w:rPr/>
      </w:pPr>
      <w:r>
        <w:rPr>
          <w:rFonts w:ascii="Amiri" w:hAnsi="Amiri" w:eastAsia="Amiri" w:cs="Amiri"/>
          <w:color w:val="111111"/>
          <w:sz w:val="28"/>
          <w:sz w:val="28"/>
          <w:szCs w:val="28"/>
          <w:rtl w:val="true"/>
          <w:lang w:bidi="ar-SA"/>
        </w:rPr>
        <w:t>لا شك في أنّ تماثل وزن الجملتين المتعاطفتين أو تقارب وزنهما مزيّةٌ لفظيّةٌ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تنبّه لذلك علماء البلاغة إلّا أنّهم لم يذكروا ذلك كمزيّة مستقلّة وإنّما ذكروها في أقسام السّجع والموازنة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ذكروا في أقسام الجمع أنّ منها السّجع المطرف، وهو ما تساوت جميع ألفاظ الجملتين فيه، وذكر ابن الأثير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السّجع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الفاصلتان متساويتين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السَّائِلَ فَلَا تَنْهَرْ</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الثّاني أطول من الأوّل، لا طولاً يخرجه عن الاعتدال كثيراً، وإلّا كان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الآخر أقصر من الأوّل وهو عندي عيب فاحش؛ لأنّ السّمع قد استوفى أمده في الأوّل بطوله فإذا جاء الثّاني قصيراً يبقى الإنسان عند سماعه كمن يريد الانتهاء إلى غاية فيعثر دونها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بعضهم في أقسام الموازنة تماثل جميع ألفاظ الجملتين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تقاربها من حيث الوزن من غير اختصاص بالكلمة الأخيرة من قبيل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وَآَتَيْنَاهُمَا الْكِتَابَ الْمُسْتَبِينَ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وَهَدَيْنَاهُمَا الصِّرَاطَ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سبق أنّ هذه المزيّة مزيّة مستقلّة لا تعلّق لها بالسّجع والموازنة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كان فقد يخرّج على هذا السّبب بعض موارد الأمثلة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النُّجُومُ انكَدَرَتْ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الْجِبَالُ سُيِّرَتْ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الْعِشَارُ 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الْوُحُوشُ حُشِرَتْ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الْبِحَارُ سُجِّرَتْ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النُّفُوسُ 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الْمَوْءُودَةُ سُئِلَتْ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المناسب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لكون ما قبل الآخر في كلّ منهما حرف علّة وإنْ كان أحدهما واواً والآخر ألفاً، إلّا أنّ أحدهما إلى الآخر أقرب منهما إلى الحرف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أنْ يعلّل بهذا السّبب ما أمكن فيه تغيير الجملة المعطوفة على وجه يتناسبان حتّى مع الجمع الآخر وزناً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الْفُجَّارَ لَفِي جَحِيمٍ</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 فإنّه لا يصحّ تعليل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تعليل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بالّتناسب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تغييرهما معاً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البررة لفي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الفجرة لفي 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قد يُفسّر بهذا السّبب اختيار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الْأَرَائِكِ يَنْظُرُونَ</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لأنّها تجعل صدر الآية الأولى كالثانية محتوياً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علماء البديع طائفةً من المزايا المعنويّة واللّفظيّة في الكلام إلّا أنّ جملة منها لا تخلو في أصلها عن ملاحظات كما يسمّى بالإرصاد والإدماج والجمع</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جملة أخرى منها وإنْ لم تخلُ عن نكتة إلّا أنّه ممّا لا يليق بالكلام القرآني من قبيل التّورية والتّوجيه</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في باقيها ما يمكن أنْ يُفسّر به جانب من هذه الظّاهرة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عدا السّجع والموازنة الّذين سبقا في السّبب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bookmarkStart w:id="261" w:name="pg9124_98573"/>
    </w:p>
    <w:p>
      <w:pPr>
        <w:pStyle w:val="Heading5"/>
        <w:numPr>
          <w:ilvl w:val="4"/>
          <w:numId w:val="1"/>
        </w:numPr>
        <w:rPr/>
      </w:pPr>
      <w:bookmarkStart w:id="262" w:name="__RefHeading___Toc2933260_2870459653"/>
      <w:bookmarkStart w:id="263" w:name="_Toc102"/>
      <w:bookmarkEnd w:id="261"/>
      <w:bookmarkEnd w:id="262"/>
      <w:r>
        <w:rPr>
          <w:rtl w:val="true"/>
        </w:rPr>
        <w:t>السّبب التّاسع</w:t>
      </w:r>
      <w:r>
        <w:rPr>
          <w:rtl w:val="true"/>
        </w:rPr>
        <w:t xml:space="preserve">: </w:t>
      </w:r>
      <w:r>
        <w:rPr>
          <w:rtl w:val="true"/>
        </w:rPr>
        <w:t>أولويّة بعض الجموع من بعض لتحقيق تماثل أو توازن مع كلمة أخرى في نفس الجملة</w:t>
      </w:r>
      <w:bookmarkEnd w:id="263"/>
    </w:p>
    <w:p>
      <w:pPr>
        <w:pStyle w:val="Heading6"/>
        <w:numPr>
          <w:ilvl w:val="5"/>
          <w:numId w:val="1"/>
        </w:numPr>
        <w:rPr/>
      </w:pPr>
      <w:bookmarkStart w:id="264" w:name="__RefHeading___Toc2933262_2870459653"/>
      <w:bookmarkStart w:id="265" w:name="_Toc103"/>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وهذه أيضاً مزيّة لفظيّة ظاهرة بالذّوق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في داخل الجملة كالسّجع والموازنة في آخرها، وإنْ لم نطّلع على ذكر علماء البلاغة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تكون على أنحاء</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2933264_2870459653"/>
      <w:bookmarkStart w:id="267" w:name="_Toc104"/>
      <w:bookmarkEnd w:id="266"/>
      <w:r>
        <w:rPr>
          <w:rtl w:val="true"/>
        </w:rPr>
        <w:t>النّحو الأوَّل</w:t>
      </w:r>
      <w:r>
        <w:rPr>
          <w:rtl w:val="true"/>
        </w:rPr>
        <w:t xml:space="preserve">: </w:t>
      </w:r>
      <w:r>
        <w:rPr>
          <w:rtl w:val="true"/>
        </w:rPr>
        <w:t>أنْ يكون لتناسب الموصوف والوصف، والمقصود بهما</w:t>
      </w:r>
      <w:r>
        <w:rPr>
          <w:rtl w:val="true"/>
        </w:rPr>
        <w:t>...</w:t>
      </w:r>
      <w:bookmarkEnd w:id="267"/>
    </w:p>
    <w:p>
      <w:pPr>
        <w:pStyle w:val="BookText"/>
        <w:rPr/>
      </w:pPr>
      <w:r>
        <w:rPr>
          <w:rFonts w:ascii="Amiri" w:hAnsi="Amiri" w:eastAsia="Amiri" w:cs="Amiri"/>
          <w:color w:val="111111"/>
          <w:sz w:val="28"/>
          <w:sz w:val="28"/>
          <w:szCs w:val="28"/>
          <w:rtl w:val="true"/>
          <w:lang w:bidi="ar-SA"/>
        </w:rPr>
        <w:t>أنْ يكون لتناسب الموصوف والوصف، والمقصود بهما ما يعمّ الوصف في المصطلح النّحوي فيعمّ الحال والخبر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أمثلة ذلك في غير هذه الظّاهرة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زِينَةُ الْحَيَاةِ الدُّنْيَا وَالْبَاقِيَاتُ الصَّالِحَاتُ خَيْرٌ عِنْدَ رَبِّكَ ثَوَابًا وَخَيْرٌ أَمَلًا</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 اللَّهُ الَّذِينَ اهْتَدَوْا هُدىً وَالْبَاقِيَاتُ الصَّالِحَاتُ خَيْرٌ عِنْدَ رَبِّكَ ثَوَابًا وَخَيْرٌ مَرَدًّا</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ولم أطّلع على مثال لهذا النّحو في هذه الظّاهرة</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2933266_2870459653"/>
      <w:bookmarkStart w:id="269" w:name="_Toc105"/>
      <w:bookmarkEnd w:id="268"/>
      <w:r>
        <w:rPr>
          <w:rtl w:val="true"/>
        </w:rPr>
        <w:t>النّحو الثّاني</w:t>
      </w:r>
      <w:r>
        <w:rPr>
          <w:rtl w:val="true"/>
        </w:rPr>
        <w:t xml:space="preserve">: </w:t>
      </w:r>
      <w:r>
        <w:rPr>
          <w:rtl w:val="true"/>
        </w:rPr>
        <w:t>أنْ يكون لتناسب وصفين لموصوف واحد، ومن ذلك</w:t>
      </w:r>
      <w:r>
        <w:rPr>
          <w:rtl w:val="true"/>
        </w:rPr>
        <w:t>..</w:t>
      </w:r>
      <w:bookmarkEnd w:id="269"/>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لتناسبه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وعكس ذلك لتناسب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غلاظ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 غِلاظٌ شِدَادٌ</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 صحيفة لتوصيفه بوصف لم تتوسّطه</w:t>
      </w:r>
      <w:bookmarkStart w:id="270" w:name="pg9124_98574"/>
    </w:p>
    <w:p>
      <w:pPr>
        <w:pStyle w:val="BookText"/>
        <w:rPr/>
      </w:pPr>
      <w:bookmarkEnd w:id="270"/>
      <w:r>
        <w:rPr>
          <w:rFonts w:ascii="Amiri" w:hAnsi="Amiri" w:eastAsia="Amiri" w:cs="Amiri"/>
          <w:color w:val="111111"/>
          <w:sz w:val="28"/>
          <w:sz w:val="28"/>
          <w:szCs w:val="28"/>
          <w:rtl w:val="true"/>
          <w:lang w:bidi="ar-SA"/>
        </w:rPr>
        <w:t>الألف لِتناسب السّجع في عدة آيات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يُرِيدُ كُلُّ امْرِئٍ مِّنْهُمْ أَنْ يُؤْتَى صُحُفاً مُّنَشَّرَةً</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مِّنَ اللَّهِ يَتْلُوا صُحُفاً مُّطَهَّرَةً</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لَفِي الصُّحُفِ الأُولَى</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لتناسبه مع الأحياء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أَمْوَاتٌ غَيْرُ أَحْيَاءٍ وَمَا يَشْعُرُونَ أَيَّانَ يُبْعَثُونَ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أمثلته في غير هذه الظّاهرة اختيار الجمع السّالم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جموع التّكسير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وَبَشِّرْ الْمُؤْمِنِينَ</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1" w:name="__RefHeading___Toc2933268_2870459653"/>
      <w:bookmarkStart w:id="272" w:name="_Toc106"/>
      <w:bookmarkEnd w:id="271"/>
      <w:r>
        <w:rPr>
          <w:rtl w:val="true"/>
        </w:rPr>
        <w:t>النّحو الثّالث</w:t>
      </w:r>
      <w:r>
        <w:rPr>
          <w:rtl w:val="true"/>
        </w:rPr>
        <w:t xml:space="preserve">: </w:t>
      </w:r>
      <w:r>
        <w:rPr>
          <w:rtl w:val="true"/>
        </w:rPr>
        <w:t>أنْ يكون لتناسب المعطوف والمعطوف عليه، ومن أمثلة ذلك</w:t>
      </w:r>
      <w:r>
        <w:rPr>
          <w:rtl w:val="true"/>
        </w:rPr>
        <w:t>..</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لِتناسبه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باعتبار احتوائها على الألف،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آيات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آبَاءَكُمْ وَإِخْوَانَكُمْ أَوْلِيَاءَ</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وَأَبْنَاؤُكُمْ وَإِخْوَانُكُمْ وَأَزْوَاجُكُمْ</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بُيُوتِ آبَائِكُمْ أَوْ بُيُوتِ أُمَّهَاتِكُمْ أَوْ بُيُوتِ </w:t>
      </w:r>
    </w:p>
    <w:p>
      <w:pPr>
        <w:pStyle w:val="BookText"/>
        <w:rPr/>
      </w:pPr>
      <w:r>
        <w:rPr>
          <w:rFonts w:ascii="Amiri" w:hAnsi="Amiri" w:eastAsia="Amiri" w:cs="Amiri"/>
          <w:color w:val="111111"/>
          <w:sz w:val="28"/>
          <w:sz w:val="28"/>
          <w:szCs w:val="28"/>
          <w:rtl w:val="true"/>
          <w:lang w:bidi="ar-SA"/>
        </w:rPr>
        <w:t>إِخْوَانِكُمْ</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تَعْلَمُوا آبَاءَهُمْ فَإِخْوَانُكُمْ فِي الدِّينِ وَمَوَالِيكُمْ</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آبَائِهِمْ وَذُرِّيَّاتِهِمْ وَإِخْوَانِهِمْ وَاجْتَبَيْنَاهُمْ</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عَلَيْهِنَّ فِي آبَائِهِنَّ وَلَا أَبْنَائِهِنَّ وَلَا إِخْوَانِهِنَّ وَلا أَبْنَاءِ إِخْوَانِهِنَّ وَلا أَبْنَاءِ أَخَوَاتِهِنَّ وَلا نِسَائِهِنَّ</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لمماثلته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احتوائهما على ألف قبل الآخر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يُزَوِّجُهُمْ ذُكْرَاناً وَإِنَاثاً وَيَجْعَلُ مَنْ يَشَاءُ عَقِيماً</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لمماثلته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احتواء الألف في الوسط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 عَلَيْهِمْ بِصِحَافٍ مِّنْ ذَهَبٍ وَأَكْوَابٍ</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وقد مرّ القول فيهما في السّبب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لمماثلته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وَالصَّالِحِينَ مِنْ عِبَادِكُمْ وَإِمَائِكُمْ</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لمناسبته مع الأحياء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يَسْتَوِي الأَحْيَاءُ وَلا الأَمْوَاتُ</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فِي سَبِيلِ اللَّهِ أَمْوَاتاً بَلْ </w:t>
      </w:r>
      <w:bookmarkStart w:id="273" w:name="pg9124_98576"/>
    </w:p>
    <w:p>
      <w:pPr>
        <w:pStyle w:val="BookText"/>
        <w:rPr/>
      </w:pPr>
      <w:bookmarkEnd w:id="273"/>
      <w:r>
        <w:rPr>
          <w:rFonts w:ascii="Amiri" w:hAnsi="Amiri" w:eastAsia="Amiri" w:cs="Amiri"/>
          <w:color w:val="111111"/>
          <w:sz w:val="28"/>
          <w:sz w:val="28"/>
          <w:szCs w:val="28"/>
          <w:rtl w:val="true"/>
          <w:lang w:bidi="ar-SA"/>
        </w:rPr>
        <w:t>أَحْيَاءٌ عِنْدَ رَبِّهِمْ يُرْزَقُونَ</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يُقْتَلُ فِي سَبِيلِ اللَّهِ أَمْوَاتٌ بَلْ أَحْيَاءٌ وَلَكِنْ لا تَشْعُرُونَ</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نَجْعَلْ الأَرْضَ كِفَاتاً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وَأَمْوَاتاً</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لمناسبته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ابتداء كل منها بالهمزة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يَرْتَابُوا وَجَاهَدُوا بِأَمْوَالِهِمْ وَأَنفُسِهِمْ فِي سَبِيلِ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الْخَاسِرِينَ الَّذِينَ خَسِرُوا أَنْفُسَهُمْ وَأَهْلِيهِمْ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4" w:name="__RefHeading___Toc2933270_2870459653"/>
      <w:bookmarkStart w:id="275" w:name="_Toc107"/>
      <w:bookmarkEnd w:id="274"/>
      <w:r>
        <w:rPr>
          <w:rtl w:val="true"/>
        </w:rPr>
        <w:t>النّحو الرابع</w:t>
      </w:r>
      <w:r>
        <w:rPr>
          <w:rtl w:val="true"/>
        </w:rPr>
        <w:t xml:space="preserve">: </w:t>
      </w:r>
      <w:r>
        <w:rPr>
          <w:rtl w:val="true"/>
        </w:rPr>
        <w:t>أنْ يكون على غير الأنحاء السّابقة</w:t>
      </w:r>
      <w:r>
        <w:rPr>
          <w:rtl w:val="true"/>
        </w:rPr>
        <w:t xml:space="preserve">, </w:t>
      </w:r>
      <w:r>
        <w:rPr>
          <w:rtl w:val="true"/>
        </w:rPr>
        <w:t>ومن أمثلة ذلك</w:t>
      </w:r>
      <w:r>
        <w:rPr>
          <w:rtl w:val="true"/>
        </w:rPr>
        <w:t>..</w:t>
      </w:r>
      <w:bookmarkEnd w:id="2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الْكُفَّارُ لِمَنْ عُقْبَى الدَّارِ</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 لتناسبه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كفرة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 لتناسبه 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أَكُفَّارُكُمْ خَيْرٌ مِنْ أُوْلَئِكُمْ</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xml:space="preserve">، لتناسبه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أمثلته في غير هذه الظّاهرة اختيار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جموع </w:t>
      </w:r>
    </w:p>
    <w:p>
      <w:pPr>
        <w:pStyle w:val="BookText"/>
        <w:rPr/>
      </w:pPr>
      <w:r>
        <w:rPr>
          <w:rFonts w:ascii="Amiri" w:hAnsi="Amiri" w:eastAsia="Amiri" w:cs="Amiri"/>
          <w:color w:val="111111"/>
          <w:sz w:val="28"/>
          <w:sz w:val="28"/>
          <w:szCs w:val="28"/>
          <w:rtl w:val="true"/>
          <w:lang w:bidi="ar-SA"/>
        </w:rPr>
        <w:t xml:space="preserve">تكسيره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 وبُراء وأبراء وأبرياء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لِي عَمَلِي وَلَكُمْ عَمَلُكُمْ أَنْتُمْ بَرِيئُونَ مِمَّا أَعْمَلُ وَأَنَا بَرِيءٌ مِمَّا تَعْمَلُونَ</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xml:space="preserve">لأنّ لفظ الجمع السّالم أنسب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انحفاظ هيئة المفرد فيه بخلاف الجمع المكسّر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يصحّ تعليل هذه الظّاهرة بهذا السّبب فيما إذا اقترن الجمع المختار بما يناسبه وبما يناسب الجمع الآخر جميعاً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كَانُوا آبَاءَهُمْ أَوْ أَبْنَاءَهُمْ أَوْ إِخْوَانَهُمْ أَوْ عَشِيرَتَهُمْ</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 إذ 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 لناسب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آبائهم وأبنائهم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من ذلك اختيار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 فإنّ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ناسبت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يناسب الخمر والميسر، إلّا أنْ يكون التّناسب المذكور أشدّ من جهة تماثل الأزلام والأنصاب في الوزن تماماً، واختلاف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والميسر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 تامّاً فلو جيء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نمطاً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التّناسب بين الأزلام والأنصاب أولى بالمراعاة من جهة انفراد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وزنه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والميسر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اثنان، وهذا ليس ببعيد وإلّا رُبّما تعيّن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لاختصاره اللّفظي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لا يصحّ تعليلها بذلك مع إمكان تغيير في الجملة بما يناسب الجمع الآخر كاختيار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 فإنّه وإنْ كان مناسباً بتماثله مع </w:t>
      </w:r>
      <w:bookmarkStart w:id="276" w:name="pg9124_98578"/>
    </w:p>
    <w:p>
      <w:pPr>
        <w:pStyle w:val="BookText"/>
        <w:rPr/>
      </w:pPr>
      <w:bookmarkEnd w:id="2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بالإمكان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وارد في اللّغة وإنْ لم يستعمل في القرآن الكريم فيتماثلان أيضاً</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2933272_2870459653"/>
      <w:bookmarkStart w:id="278" w:name="_Toc108"/>
      <w:bookmarkEnd w:id="277"/>
      <w:r>
        <w:rPr>
          <w:rtl w:val="true"/>
        </w:rPr>
        <w:t>السّبب العاشر</w:t>
      </w:r>
      <w:r>
        <w:rPr>
          <w:rtl w:val="true"/>
        </w:rPr>
        <w:t xml:space="preserve">: </w:t>
      </w:r>
      <w:r>
        <w:rPr>
          <w:rtl w:val="true"/>
        </w:rPr>
        <w:t>أجمليّة الجملة مع أحد الجمعين منها مع الجمع الآخر</w:t>
      </w:r>
      <w:bookmarkEnd w:id="278"/>
    </w:p>
    <w:p>
      <w:pPr>
        <w:pStyle w:val="BookText"/>
        <w:rPr/>
      </w:pPr>
      <w:r>
        <w:rPr>
          <w:rFonts w:ascii="Amiri" w:hAnsi="Amiri" w:eastAsia="Amiri" w:cs="Amiri"/>
          <w:color w:val="111111"/>
          <w:sz w:val="28"/>
          <w:sz w:val="28"/>
          <w:szCs w:val="28"/>
          <w:rtl w:val="true"/>
          <w:lang w:bidi="ar-SA"/>
        </w:rPr>
        <w:t xml:space="preserve">لا تتحقّق الأجملية بحصول تماثل وتوازن بين كلمتين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السّبب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لحصول نحو آخر من الانسجام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يماثل الجمال اللّفظي في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مضى في السّبب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ذاك وليد اجتماع حروف خاصّة بكيفيات خاصّة مقاسة بالمعنى، فكذلك حال هذا النّحو في الكلام وليس الفرق بينهما إلّا في أنّ موطن هذا هو الجملة وموطن ذاك هو الكلمة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أنّ المعيار في تشخيصه هو الذّوق الأدبي الرّفيع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الجمال اللّفظي للكلمة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إلى استخراج ضابط له؛ لأنّه في كلّ مورد وليد حالة جزئيّة تختصّ به، فرُبّما كان الموضع في الجملة يتطلّب كلمة قصيرة وأخرى كلمة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تتطلّب كلمة تحتوي على ارتفاع بالألف أو نزول بالواو أو هبوط بالياء، وقد تتطلّب كلمة أُدغم أحد حرفيها في الآخر، أو كلمة لم يقع فيها ذلك</w:t>
      </w:r>
      <w:r>
        <w:rPr>
          <w:rStyle w:val="FootnoteAnchor"/>
          <w:rtl w:val="true"/>
        </w:rPr>
        <w:footnoteReference w:id="316"/>
      </w:r>
      <w:r>
        <w:rPr>
          <w:rFonts w:ascii="Amiri" w:hAnsi="Amiri" w:eastAsia="Amiri" w:cs="Amiri"/>
          <w:color w:val="111111"/>
          <w:sz w:val="28"/>
          <w:sz w:val="28"/>
          <w:szCs w:val="28"/>
          <w:rtl w:val="true"/>
          <w:lang w:bidi="ar-SA"/>
        </w:rPr>
        <w:t>إلى غير ذلك ممّا يدرك بالذّوق الأدبيّ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النّقطة أيضاً من أخفى النّواحي الفنية الّتي لم أجد من نبّه عليها من الباحثين من قدامى ومحدَثين رغم أنّها في رأيي من أهمّ العوامل الموجبة لاختيار بعض الكلمات </w:t>
      </w:r>
    </w:p>
    <w:p>
      <w:pPr>
        <w:pStyle w:val="BookText"/>
        <w:rPr/>
      </w:pPr>
      <w:r>
        <w:rPr>
          <w:rFonts w:ascii="Amiri" w:hAnsi="Amiri" w:eastAsia="Amiri" w:cs="Amiri"/>
          <w:color w:val="111111"/>
          <w:sz w:val="28"/>
          <w:sz w:val="28"/>
          <w:szCs w:val="28"/>
          <w:rtl w:val="true"/>
          <w:lang w:bidi="ar-SA"/>
        </w:rPr>
        <w:t>على بعض في الكلام القرآني، ولكنْ قلَّ مَنْ يدركه من أبناء اللّغة العربية في العصور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والعامل الّذي يدور عليه هذا النّحو من الجمال هو مدى تناسب وزن الكلمة مع وزن ما يحيط بها في الجملة، فإنّ لأوزان الجملة الواحدة تداخلاً خاصّاً، ومن أمثلة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هذه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في حالة الإضافة فنجد أنّه كلّما أضيف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استعمل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حيث أضيف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وحيث أضيف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موارد ثلاثة أضيف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للتوازن بين المعطوف والمعطوف عليه كما مرّ في السّبب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أضيف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فكأنّهما يتطلّبان مضافاً طويلاً ولا يناسب مضافاً مختصراً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محسوس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عكس ذلك حيث أضيف إلى الضّمير فإنّه اختير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ياء المتكلّم في مقام النّداء ونحوه فإنّه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المثال ممّا يوضح مدى دقّة الانتقاء القرآني في ملاحظة انسجام أوزان الكلمات كما يبيّن مدى عدم قبول هذا المعنى لضابطة عامّة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فكثيراً ما يبدو للإنسان اعتبارات يظنها علّة في حسن وقع الكلمة في الجملة فيجد مواضع أخرى توجد فيها نفس العلّة ولا يحسن فيها الكلمة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بالممارسة والتتبع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أنّه قد يتراءى للإنسان أنّ المضاف كلّما كان أخف كان أولى؛ لأنّ الإضافة تجعل الكلمتين قريبتين من كلمة واحدة فيجتمع ثقلهما، وتخفيف هذا الثّقل مع </w:t>
      </w:r>
    </w:p>
    <w:p>
      <w:pPr>
        <w:pStyle w:val="BookText"/>
        <w:rPr/>
      </w:pPr>
      <w:r>
        <w:rPr>
          <w:rFonts w:ascii="Amiri" w:hAnsi="Amiri" w:eastAsia="Amiri" w:cs="Amiri"/>
          <w:color w:val="111111"/>
          <w:sz w:val="28"/>
          <w:sz w:val="28"/>
          <w:szCs w:val="28"/>
          <w:rtl w:val="true"/>
          <w:lang w:bidi="ar-SA"/>
        </w:rPr>
        <w:t>إمكانه مزيّة بلاغيّة؛ ولذلك عدّ علماء البلاغة تتابع الإضافات مخلّا ً بفصاحة الكلام كقول القائل</w:t>
      </w:r>
      <w:r>
        <w:rPr>
          <w:rStyle w:val="FootnoteAnchor"/>
          <w:rtl w:val="true"/>
        </w:rPr>
        <w:footnoteReference w:id="3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حمامَةَ جَرعا حَوْمَةِ الجَنْدَلِ اسْجَعي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تجد أنّه اختير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أضيف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بالتتبع يظهر أنّ هناك حالات لا يحسن فيها تخفيف المضاف كما عرفت في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شابههما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مع الإضافة إلى الضّمير إلّا في ضمير المتكلم، ولذلك ينبغي أن يكون ذكر العلّة على سبيل التّقريب والتوضيح فقط، لا على سبيل العلّة المنطقية الّتي تمثّل السّبب الواقعي ويكون مطّرداً لا محالة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أنّ جانباً كبيراً من إعجاز القرآن في رأيي مدلول لهذا الضّرب من التّناسق الوزني بين الكلمات في الجملة القرآنية فتأمّل جيداً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حسناً عظيماً في جمال وزن الجملة حيث ابتدأ بكلمة خالية عن الألف، ثُمَّ بكلمتين تتوسّطهما الألف، ثُمَّ استراح إلى كلمة ما قبل آخرها ياء حتى يخيّل إلى الباحث أنّ اللفظ ينطلق من نقطة فيرتفع ثُمَّ ينحدر ثانياً كالخط التّالي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الألف تمثّل حالة ارتفاع، والياء حالة انحدار ونزول، ولو قلبت الكلمات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الرّحيم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ارتباك وزن الجملة فإنّ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بعد استراحة في آخر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حذفت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قصراً غير مناسب في وزنها، ولو حذفت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الجملة كأنّها مبتورة وزناً في حدّ ذاتها، ومن أمعن النّظر حقّه وأنصف وكان له ذوق في ذلك لوجد منه أمراً </w:t>
      </w:r>
    </w:p>
    <w:p>
      <w:pPr>
        <w:pStyle w:val="BookText"/>
        <w:rPr/>
      </w:pPr>
      <w:r>
        <w:rPr>
          <w:rFonts w:ascii="Amiri" w:hAnsi="Amiri" w:eastAsia="Amiri" w:cs="Amiri"/>
          <w:color w:val="111111"/>
          <w:sz w:val="28"/>
          <w:sz w:val="28"/>
          <w:szCs w:val="28"/>
          <w:rtl w:val="true"/>
          <w:lang w:bidi="ar-SA"/>
        </w:rPr>
        <w:t>عجيباً جدّاً، لاسيّما أنّ هذه المرحلة من مراعاة وزن الجملة وموسيقاه لم يكن عن تنازل عن شيء ممّا يقتضيه المعنى، بل المعاني المختارة إنّما اختيرت أيضاً على أعلى أسس الانتقاء في مراعاة النّكات والتّناسبات، فمن نظر إلى ألفاظ القرآن ومعانيه وجد أنّ كُلّا ً منها كأنّه اختير في حالة من الحريّة بالنسبة إلى الآخر للمحافظة على أعلى درجات الانتقاء والاصطفاء في كلتا المرحلتين ممّا مثّل الإعجاز في أوضح معانيه في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ليس من العجيب أنْ تجد اجتماع هذا السّبب مع الأسباب السّابقة في مقتضياتها، بمعنى أنّ الكلمة الّتي اقتضت الأسباب المعنوية واللّفظية اختيارها كانت في نفس الحالة أمراً ضرورياً في وزن الجملة حتى يعجب الباحث في أنّه كيف اجتمعت الخصال المختلفة في تلك الكلمة فكان اختيارها استجابة لجميع المناسبات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رأيي أنَّ أغلب موارد تلك الأمثلة كان اختيار الجمعين متأثّراً بهذا السّبب ونحن نتعرض لعدة أمثلة مقرّبةً وجه اقتضاء وزن الجملة لأحد الجمعين دون الآخر، ثُمَّ نذكر مثالاً للباقي من غير توضيح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أَتَأْتُونَ الذُّكْرَانَ مِنَ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فإنّه يحقّق للجملة وزناً مناسباً بطوله، بينما لو بدّل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وزن الجملة كما يدركه الذّوق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للجملة في نفسها أوزاناً مناسبة وأوزاناً غير مناسبة وإنْ لم يمكن تحديد ذلك، وأوزان الكلام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ضرب بديع من النّثر لم يسبق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أوزان متناسبة وإنْ اختلفت طولاً وقصراً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وزن الجملة أقصر، وهو لا يوجب </w:t>
      </w:r>
    </w:p>
    <w:p>
      <w:pPr>
        <w:pStyle w:val="BookText"/>
        <w:rPr/>
      </w:pPr>
      <w:r>
        <w:rPr>
          <w:rFonts w:ascii="Amiri" w:hAnsi="Amiri" w:eastAsia="Amiri" w:cs="Amiri"/>
          <w:color w:val="111111"/>
          <w:sz w:val="28"/>
          <w:sz w:val="28"/>
          <w:szCs w:val="28"/>
          <w:rtl w:val="true"/>
          <w:lang w:bidi="ar-SA"/>
        </w:rPr>
        <w:t>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القصر على نوعين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قصراً في نوع الوزن وذاته، وهو غير قادح، بل غالب الأوزان الحسنة قصيرة؛ لأنّ الوزن أكثر تمثّلاً في الجملة القصيرة منه في الجملة الطّويلة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قصراً في الجملة عن لحوق الوزن الطّويل أو القصير المناسب، وهو مخلّ ببلاغة الكلام، والفرق بين النّوعين لا يُدرَك إلّا بضرب من الذّوق الأدبيّ الدّقيق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مِنْ قَبْلِكَ فِي شِيَعِ الأَوَّلِينَ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فإنّه لمكان قصره أنسب باختياره في مقام الإضافة إلى كلمة طويلة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موردين آخرين أُضيف فيها إلى الضّمير؛ نظراً إلى قصر لفظ الضّمير، وهما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أَهْلَكْنَا أَشْيَاعَكُمْ فَهَلْ مِنْ مُّدَّكِرٍ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وَحِيلَ بَيْنَهُمْ وَبَيْنَ مَا يَشْتَهُونَ كَمَا فُعِلَ بِأَشْيَاعِهِمْ مِنْ 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يعلّل بمثل هذا السّبب عدّة موارد من غير هذه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يدور الأمر فيه بين اختيار الجمع السّالم أو جمع التّكسير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الجمع السّالم بحذف نونه في حالة الإضافة يكون أخفّ</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ستّة من القرآن الكريم أُضيف فيها جميعاً فحذفت نونه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خَسِرُوا أَنْفُسَهُمْ </w:t>
      </w:r>
    </w:p>
    <w:p>
      <w:pPr>
        <w:pStyle w:val="BookText"/>
        <w:rPr/>
      </w:pPr>
      <w:r>
        <w:rPr>
          <w:rFonts w:ascii="Amiri" w:hAnsi="Amiri" w:eastAsia="Amiri" w:cs="Amiri"/>
          <w:color w:val="111111"/>
          <w:sz w:val="28"/>
          <w:sz w:val="28"/>
          <w:szCs w:val="28"/>
          <w:rtl w:val="true"/>
          <w:lang w:bidi="ar-SA"/>
        </w:rPr>
        <w:t>وَأَهْلِيهِمْ</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ونظيره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آَمَنُوا إِنَّ الْخَاسِرِينَ الَّذِينَ خَسِرُوا أَنْفُسَهُمْ وَأَهْلِيهِمْ يَوْمَ الْقِيَامَةِ</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تُطْعِمُونَ أَهْلِيكُمْ</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لَكَ الْمُخَلَّفُونَ مِنَ الْأَعْرَابِ شَغَلَتْنَا أَمْوَالُنَا وَأَهْلُونَا</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ظَنَنْتُمْ أَنْ لَنْ يَنْقَلِبَ الرَّسُولُ وَالْمُؤْمِنُونَ إِلَى أَهْلِيهِمْ</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كثيرة</w:t>
      </w:r>
      <w:r>
        <w:rPr>
          <w:rStyle w:val="FootnoteAnchor"/>
          <w:rtl w:val="true"/>
        </w:rPr>
        <w:footnoteReference w:id="324"/>
      </w:r>
      <w:r>
        <w:rPr>
          <w:rFonts w:ascii="Amiri" w:hAnsi="Amiri" w:eastAsia="Amiri" w:cs="Amiri"/>
          <w:color w:val="111111"/>
          <w:sz w:val="28"/>
          <w:sz w:val="28"/>
          <w:szCs w:val="28"/>
          <w:rtl w:val="true"/>
          <w:lang w:bidi="ar-SA"/>
        </w:rPr>
        <w:t xml:space="preserve">أُضيف فيها فإنّه وإنْ كان أخفّ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ينقصه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حذف النّون بالإضافة يجعل الفصل بينهما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اختير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كلّما أُضيف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الظّاهر، فأُضيف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موردين ممّا يشير إلى أنّ اختياره لطلب الخفّة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الظّاهر إلّا إلى كلمات أربعة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وَالنَّصَارَى نَحْنُ أَبْنَاءُ اللَّهِ وَأَحِبَّاؤُهُ</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وقد اقتضاه فيها التّناسب مع الأحبّاء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اقْتُلُوا أَبْنَاءَ الَّذِينَ آمَنُوا مَعَهُ وَاسْتَحْيُوا نِسَاءَهُمْ</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 وقد يُفسّر ذلك باقتضائه التّناسب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w:t>
      </w:r>
    </w:p>
    <w:p>
      <w:pPr>
        <w:pStyle w:val="BookText"/>
        <w:rPr/>
      </w:pPr>
      <w:r>
        <w:rPr>
          <w:rFonts w:ascii="Amiri" w:hAnsi="Amiri" w:eastAsia="Amiri" w:cs="Amiri"/>
          <w:color w:val="111111"/>
          <w:sz w:val="28"/>
          <w:sz w:val="28"/>
          <w:szCs w:val="28"/>
          <w:rtl w:val="true"/>
          <w:lang w:bidi="ar-SA"/>
        </w:rPr>
        <w:t>يمكن تبديلها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ثلاثة</w:t>
      </w:r>
      <w:r>
        <w:rPr>
          <w:rStyle w:val="FootnoteAnchor"/>
          <w:rtl w:val="true"/>
        </w:rPr>
        <w:footnoteReference w:id="327"/>
      </w:r>
      <w:r>
        <w:rPr>
          <w:rFonts w:ascii="Amiri" w:hAnsi="Amiri" w:eastAsia="Amiri" w:cs="Amiri"/>
          <w:color w:val="111111"/>
          <w:sz w:val="28"/>
          <w:sz w:val="28"/>
          <w:szCs w:val="28"/>
          <w:rtl w:val="true"/>
          <w:lang w:bidi="ar-SA"/>
        </w:rPr>
        <w:t xml:space="preserve">، ورُبّما أوجب تكافؤ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من قبله فكان تكراره موجباً لضرب من التّماثل بين الكلمات المتعاطفة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ضرب من أنسبيّته معهما، فإنّ الموضع قد يتطلَّب كلمة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اختيرت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أُضيف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يشير إلى أنّ المضاف إلى الضّمير يحسن أنْ يكون طويلاً في الجملة لقصر لفظ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كلّما أضيف إلى ياء المتكلم اختيرت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مواضع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لجمالها معه مطلقاً أو في مقام النّداء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 وعلى الثّاني يكون اختياره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وَاجْنُبْنِي وَبَنِيَّ</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 مراعاة للتناسب مع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اجنبني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 عن الألف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طَهِّرَا بَيْتِي لِلطَّائِفِينَ وَالْعَاكِفِينَ وَالرُّكَّعِ السُّجُودِ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وقريب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 بَيْتِيَ لِلطَّائِفِينَ وَالْقَائِمِينَ وَالرُّكَّعِ السُّجُودِ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انحداراً طبيعياً للكلام من الأعلى إلى الأدنى لترتيبها في الوزن،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الأثقل بطولها ومدّها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استراح الكلام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الحاوية في آخرها للمدّ الواويّ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لرُبّما كان الانتقال إليه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كالسُّقوط من الأعلى، وكان الانتقال منه إلى السُّجود بعد كمال انحدار الوزن انتقالاً لم يقتضه الوزن، ولو اختير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يتحقّق انحداراً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بل كان الانتقال إليه بعد كمال الوزن، ولكن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 انحدارَ الوزن إليه، فإنّ في اختيار الكلمة المحتوية في أواخرها على الواو والياء في آخر الجملة انحداراً طبيعيّاً لها؛ ولذلك كان وقوع مثل هذه الكلمة في آخر الكلام يحقّق له توازناً خاصّاً، كما يكثر ذلك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مرّت الإشارة إلى هذه النّكتة في السّبب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عكس ذلك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يَبِيتُونَ لِرَبِّهِمْ سُجَّداً وَقِيَاماً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فإنّه لثقله بالتشديد كان أوْلى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اللّفظة الّتي تحتوي على الألف من قبيل اللّفظ القائم، والانتقال إليها انتقال إلى 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طبيعة المدّ الألفيّ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اللّفظة الّتي تحتوي على الواو قبل آخرها من قبيل اللّفظ القاعد، واللّفظة الّتي تحتوي على الياء من قبيل اللّفظ المضطجع بتناسب طبيعة المدّ الواوي واليائي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فاختيار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يُحقّق الارتفاع الطّبيعي لوزن الجملة ولو اختير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الارتفاع غير طبيعي؛ لخفّة هذا اللّفظ وتناسبه للاستراحة به، فيكون الارتفاع بعده مخلاً بوزن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ظاهر بالذّوق الأدبيّ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فلأنّه وإنْ كان يحقّق انحداراً للكلام لكن لم يكن بحاجة إليه، لأنّه في وسط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 xml:space="preserve">كانت رعاية التّماثل مع 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 وسُجَّد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ركوع وسجود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فرُبّما كان من جهة تناسب الموضع مع اللّفظ الثّقيل، فإنّه لا حاجة إلى انحدار الوزن في وسط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يُنبّه الباحث على أنّ أيّة مزيّة ليست مزيّة مطلقة، بل لكلٍّ منها موضع، وللتزاحم بينها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أمثلة أربعة أوضحنا خلالها نكات نوعيّة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يأتي أمثلة أخرى قد يصعب تحليل النّكتة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بمزيد من الممارسة والتتبع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نذكرها إيكالاً لمعرفة السّبب فيه إلى الذّوق الأدبيّ، فعلى النّاظر أنْ يستبدل أحد الجمعين المستعمل فيها إلى الجمع الآخر فيختبر فيها تفاضل جمال الكلام في الحالين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أفضليّة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بتركيبه الخفيف في أكثر موارد انتخابه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إِخْوَةُ يُوسُفَ</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يُوسُفَ وَإِخْوَتِهِ آيَاتٌ لِلسَّائِلِينَ</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أَنْ نَّزَغَ الشَّيْطَانُ بَيْنِي وَبَيْنَ إِخْوَتِي</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كَانُوا إِخْوَةً رِّجَالاً وَنِسَاءً</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بتركيبه الثّقيل في أكثر موارد انتخابه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 وَلإِخْوَانِنَا الَّذِينَ سَبَقُونَا بِالإِيمَانِ</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فَأَلَّفَ بَيْنَ قُلُوبِكُمْ فَأَصْبَحْتُمْ بِنِعْمَتِهِ إِخْوَاناً</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أفضليّة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بتركيبه الخفيف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لِنَبِيٍّ أَنْ يَكُونَ لَهُ أَسْرَى حَتَّى يُثْخِنَ فِي الأَرْضِ</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لِّمَنْ فِي أَيْدِيكُمْ مِّنْ الأَسْرَى</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أفضليّة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بتركيبه الممدود بالألف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أَلَنْ يَكْفِيَكُمْ أَنْ يُمِدَّكُمْ رَبُّكُمْ بِثَلاثَةِ آلافٍ مِنْ الْمَلائِكَةِ</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يُمْدِدْكُمْ رَبُّكُمْ بِخَمْسَةِ آلافٍ مِنْ الْمَلائِكَةِ مُسَوِّمِينَ</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وعكس ذلك بأفضليّة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بتركيبه الواوي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خَرَجُوا مِنْ دِيَارِهِمْ وَهُمْ أُلُوفٌ</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أفضليّة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بتركيبه الواويّ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بتركيبه الألفيّ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يَهَبُ لِمَنْ يَشَاءُ إِنَاثاً وَيَهَبُ لِمَنْ يَشَاءُ الذُّكُورَ</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 ولعلّ وجهه انحدار التّركيب الواويّ بعد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الألفيّ كما قد يظهر ممّا سبق أوّلاً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وأفضليّته أيضاً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 فِي بُطُونِ هَذِهِ الأَنْعَامِ خَالِصَةٌ لِّذُكُورِنَا وَمُحَرَّمٌ عَلَى أَزْوَاجِنَا</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رغم تناسب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وجهها تكرّر النّون بالإضافة </w:t>
      </w:r>
    </w:p>
    <w:p>
      <w:pPr>
        <w:pStyle w:val="BookText"/>
        <w:rPr/>
      </w:pPr>
      <w:r>
        <w:rPr>
          <w:rFonts w:ascii="Amiri" w:hAnsi="Amiri" w:eastAsia="Amiri" w:cs="Amiri"/>
          <w:color w:val="111111"/>
          <w:sz w:val="28"/>
          <w:sz w:val="28"/>
          <w:szCs w:val="28"/>
          <w:rtl w:val="true"/>
          <w:lang w:bidi="ar-SA"/>
        </w:rPr>
        <w:t xml:space="preserve">فيما لو استخدم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أفضليّة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بتركيبه الثّقيل بالتشديد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مواضع انتخابه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فَأُلْقِيَ السَّحَرَةُ سُجَّداً</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وَادْخُلُوا الْبَابَ سُجَّداً</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أفضليّة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بتركيبه الخفيف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تَعْمَلُونَ مِنْ عَمَلٍ إِلاَّ كُنَّا عَلَيْكُمْ شُهُوداً إِذْ تُفِيضُونَ فِيهِ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وعكس ذلك في غالب المواضع حيث كان الأفضل كلمة أطول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الممتاز بتركيبه الطّويل الممدود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الأَشْهَادُ هَؤُلاءِ الَّذِينَ كَذَبُوا عَلَى رَبِّهِمْ</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يَقُومُ الأَشْهَادُ</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بِالْقِسْطِ شُهَدَاءَ لِلَّهِ</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وَلِيَعْلَمَ اللَّهُ الَّذِينَ آَمَنُوا وَيَتَّخِذَ مِنْكُمْ شُهَدَاءَ</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وليرجع الباحث في ملاحظة باقي الأمثلة إلى المعجم المفهرس لألفاظ القرآن الكريم</w:t>
      </w:r>
      <w:r>
        <w:rPr>
          <w:rFonts w:eastAsia="Amiri" w:cs="Amiri" w:ascii="Amiri" w:hAnsi="Amiri"/>
          <w:color w:val="111111"/>
          <w:sz w:val="28"/>
          <w:szCs w:val="28"/>
          <w:rtl w:val="true"/>
          <w:lang w:bidi="ar-SA"/>
        </w:rPr>
        <w:t xml:space="preserve">. </w:t>
      </w:r>
      <w:bookmarkStart w:id="279" w:name="pg9124_98589"/>
    </w:p>
    <w:p>
      <w:pPr>
        <w:pStyle w:val="Heading5"/>
        <w:numPr>
          <w:ilvl w:val="4"/>
          <w:numId w:val="1"/>
        </w:numPr>
        <w:rPr/>
      </w:pPr>
      <w:bookmarkStart w:id="280" w:name="__RefHeading___Toc2933274_2870459653"/>
      <w:bookmarkStart w:id="281" w:name="_Toc109"/>
      <w:bookmarkEnd w:id="279"/>
      <w:bookmarkEnd w:id="280"/>
      <w:r>
        <w:rPr>
          <w:rtl w:val="true"/>
        </w:rPr>
        <w:t>السّبب الحادي عشر</w:t>
      </w:r>
      <w:r>
        <w:rPr>
          <w:rtl w:val="true"/>
        </w:rPr>
        <w:t xml:space="preserve">: </w:t>
      </w:r>
      <w:r>
        <w:rPr>
          <w:rtl w:val="true"/>
        </w:rPr>
        <w:t>أخفيَّة لفظ أحد الجمعين من الآخر</w:t>
      </w:r>
      <w:bookmarkEnd w:id="281"/>
    </w:p>
    <w:p>
      <w:pPr>
        <w:pStyle w:val="BookText"/>
        <w:rPr/>
      </w:pPr>
      <w:r>
        <w:rPr>
          <w:rFonts w:ascii="Amiri" w:hAnsi="Amiri" w:eastAsia="Amiri" w:cs="Amiri"/>
          <w:color w:val="111111"/>
          <w:sz w:val="28"/>
          <w:sz w:val="28"/>
          <w:szCs w:val="28"/>
          <w:rtl w:val="true"/>
          <w:lang w:bidi="ar-SA"/>
        </w:rPr>
        <w:t>وهذا الأمر يتمّ بقلّة حروفه فإنّ اختياره حينئذ يكون ضرباً من الإيجاز الّذي تقتضيه الحكمة، لكن هذه النّقطة إنّما توجب اختيار إحدى الكلمتين في حالة التّكافؤ من حيث المزايا اللّفظيّة والمعنويّة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مزيّة حيث لا مزيّة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ناسب ذكرها في آخرها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ورُبّما يُناَقش في أصل كونه مزيّة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المتكلّم مختار بين اللّفظين المتكافئين وإنْ اختلفا طولاً وقصراً؛ استناداً إلى وقوع ذلك في الاستعمالات القرآنيّة، فمن ذلك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عَلَيْهِنَّ فِي آبَائِهِنَّ وَلا أَبْنَائِهِنَّ وَلا إِخْوَانِهِنَّ وَلا أَبْنَاءِ إِخْوَانِهِنَّ وَلا أَبْنَاءِ أَخَوَاتِهِنَّ وَلا نِسَائِهِنَّ وَلا مَا مَلَكَتْ أَيْمَانُهُنَّ</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 والشاهد في المضاف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إخْوَانِهِنَّ وَأخَوَاتِهِنَّ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يَصحّ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إخوانهن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 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 إِلاَّ لِبُعُولَتِهِنَّ أَوْ آبَائِهِنَّ أَوْ آبَاءِ بُعُولَتِهِنَّ أَوْ أَبْنَائِهِنَّ أَوْ أَبْنَاءِ بُعُولَتِهِنَّ أَوْ إِخْوَانِهِنَّ أَوْ بَنِي إِخْوَانِهِنَّ أَوْ بَنِي أَخَوَاتِهِنَّ أَوْ نِسَائِهِنَّ أَوْ مَا مَلَكَتْ أَيْمَانُهُنَّ</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الآية وإنْ كان يحقّق التّناسب مع الجموع السّابقة عليها، ولكنّ رجحان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اختصارها أوجب تكافؤهما على أقلّ تقدير ولذلك اختيرت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يجب اختيار اللّفظ الأخصر مع التّكافؤ وجب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الأحزاب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الصّحيح عدم اتّجاه هذه المناقشة؛ لأنَّ اقتضاء الحكمة والبلاغة لمراعاة </w:t>
      </w:r>
    </w:p>
    <w:p>
      <w:pPr>
        <w:pStyle w:val="BookText"/>
        <w:rPr/>
      </w:pPr>
      <w:r>
        <w:rPr>
          <w:rFonts w:ascii="Amiri" w:hAnsi="Amiri" w:eastAsia="Amiri" w:cs="Amiri"/>
          <w:color w:val="111111"/>
          <w:sz w:val="28"/>
          <w:sz w:val="28"/>
          <w:szCs w:val="28"/>
          <w:rtl w:val="true"/>
          <w:lang w:bidi="ar-SA"/>
        </w:rPr>
        <w:t>الإيجاز أصل محكم لا غبار عليه، كما ذكره علماء البلاغة في علم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الإيجاز كما يتحقّق بقلّة الكلمات مع كثرة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بدون 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إيجاز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 وإمَّا مع الحذف لجملة أو لكلمة أو لحرف كما قالوا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أَكُ بَغِيّاً</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فإنَّه كذلك يتحقّق مع اختيار اللّفظ الأخصر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هذا ضرب من إيجاز القصر؛ إذْ لا حذف فيه من الكلمة وإنْ كان أشبه بحالة حذف الحرف من إيجاز الحذف؛ لأنّ الإيجاز يحصل فيهما بقلّة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حذف الحرف الواحد ضرباً من الإيجاز كما ذكره علماء البلاغة فإنّ الإتيان بلفظٍ أقلّ حروفاً أوْلى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 بأنّ أخفيّة الكلمة يوجب لها ضرباً من الجمال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الأمثلة الّتي قد يتوهم فيها اختيار اللّفظ الأطول في القرآن الكريم فهي ليست من قبيل حالة التّكافؤ بالتّحرّي والدّقّة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المثال المتقدم إنّما اختيرت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الإخوان والأخوات في آية الأحزاب انسجاماً مع الجموع الثّلاثة الّتي قبلها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مضافاً إلى 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إليهما فهي كلمات سبعة متماثلة، فكان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 على القاعدة السّابقة من تقديم كلّ مزيّة على الإيجاز اللّفظي، وهذا من شواهد تلك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آية النّور فإنّما عُدِل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لمجرد الاختصار، بل بملاحظة مجموع جهات ثلاثة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جهةٍ كانت الألفاظ المماثلة فيها كثيرة جداً، فقد سبقت موضع تلك الكلمة </w:t>
      </w:r>
    </w:p>
    <w:p>
      <w:pPr>
        <w:pStyle w:val="BookText"/>
        <w:rPr/>
      </w:pPr>
      <w:r>
        <w:rPr>
          <w:rFonts w:ascii="Amiri" w:hAnsi="Amiri" w:eastAsia="Amiri" w:cs="Amiri"/>
          <w:color w:val="111111"/>
          <w:sz w:val="28"/>
          <w:sz w:val="28"/>
          <w:szCs w:val="28"/>
          <w:rtl w:val="true"/>
          <w:lang w:bidi="ar-SA"/>
        </w:rPr>
        <w:t xml:space="preserve">جموع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ولحقها جمعان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المجموع مضافاً إلى 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المضاف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ألفاظاً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بعينها كانت قد ذكرت مرتين قبل ذكر المضاف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المماثلة معها في الحروف والوزن كانت قد ذكرت مرتين فكان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أُخريين يوجب الملل من ناحية عدد الجموع المتماثلة؛ إذْ يصبح في حالة اختيار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عشرة لفظة، ومن ناحية التّماثل التّام أو شبه التّام بين كثير منها إذْ تتكرر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أربعة، وبإضافة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المتكرر تكون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يقلّل عدد الجموع المتماثلة إلى تسعة ويَنقص من حالة التّماثل التّام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كان يوجب تنوّع الكلمات في الجملة الّتي تماثل كثيرٌ من مفرداتها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يتوقف تماثل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إِخْوَانِهِنَّ وَبَنِي أَخَوَاتِهِنَّ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لكفاية عجزهما وهو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 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إيجاد التّماثل بينها وما عطف عليهما أو عُطفتا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ذات مزايا في الموضع؛ لأنّها أخصر في ذاتها، ولأنّها أنسبُ بالإضافة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 وأخوات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المضاف كلما خَفّ كان أوْلى كما تقدّم في السّبب السّابق، ولذا اختيرت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الموارد الكثيرة الّتي أضيفت فيها إلى اسم ظاهر عدا خمسة موارد تمثّل الآية موردين منها لأسبابٍ خاصّة كما مرّ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فبملاحظة مجموع هذه الجهات كان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تتماثل الحال في آيتي الأحزاب والنّور حتى كأنْ يكون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الأُولى دليلاً </w:t>
      </w:r>
    </w:p>
    <w:p>
      <w:pPr>
        <w:pStyle w:val="BookText"/>
        <w:rPr/>
      </w:pPr>
      <w:r>
        <w:rPr>
          <w:rFonts w:ascii="Amiri" w:hAnsi="Amiri" w:eastAsia="Amiri" w:cs="Amiri"/>
          <w:color w:val="111111"/>
          <w:sz w:val="28"/>
          <w:sz w:val="28"/>
          <w:szCs w:val="28"/>
          <w:rtl w:val="true"/>
          <w:lang w:bidi="ar-SA"/>
        </w:rPr>
        <w:t>على جواز انتخاب الأطول مع وجود الأخصر واجداً لنفس المزايا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الواقع إنّ هذه الآية تضرب مثلاً رائعاً في عمق مستوى التّدقيق في مرحلة الانتقاء القرآني للكلمات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تعطي هذا التّعمق رقماً قياسياً لم يحضرني مثيل له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نقطة نختلف فيها مع اللّغويين تؤثّر في تشخيص عدد حروف الكلمة وهي حرفيّة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والواو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وسجود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لديهم حرفيّة الثّلاثة وقد عدّوها ساكنة واعتبروا ما قبل الألف مفتوحاً، وما قبل الياء مكسوراً، وما قبل الواو مضموماً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ولكنّا لا نرى حرفيّتها وإنّما نراها بحسب الوجدان الدّقيق كيفيّات على الحروف الّتي قبلها، فإنّ الفرق بين الحرف وكيفيّته حسبما قد يتراءى من كلمات الأدباء أنّ الحرف ذا جوهر خاصّ، والكيفيّة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كالسكون والحركات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أنحاء تشكّل ذاك الجوهر، وكأنّه لأجل ذلك يضعون الحركات على الحروف</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الثّلاثة لا جوهر لها بحسب الحسّ الوجداني، بل هي كيفيّات مختلفة على الحروف في مقابل السّكون والحركات الثّلاثة، فالألف نحو ارتفاع وامتداد للحروف إلى الأعلى، والياء نحو انخفاض لها، والواو نحو ثالث</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رأيي أنّه يسهل تشخيص ذلك بالتأمّل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في الواو والياء؛ فإنّ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متحقِّق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وسجود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وإنّما يتحقّق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شاسع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علائم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نجد حركة على ما قبلها بالدّقّة،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تجد في الثّاني فتحة كما في الأوَّل أو امتداداً على الباء؟ ثم تأمّل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تجد في الثّاني منهما ضمّة وكسرة كما في الأول أو حالة أخرى أشدّ من الحركتين؟</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حروفاً فكيف وجبت حركات خاصّة فيما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تأثير لحرف في تحقّق حرف آخر، فهذا مُنّبه على أنّها حالات يظن لها نحو تسانخ مع الحركات الثّلاث فاعتبرت تلك الحركات على ما عُدّ قبلها لوضوح عدم قبول ما قبلها لحركات مباينة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كانت حروفاً فكيف لزمها السّكون، مع أنّ جوهر الحرف لا يُعيِّن الكيفيّة الّتي يُنطَق عليها، فإنّ أيَّ نوع من الأصوات لا يأبى النُّطق به على أنحاء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هاتين العلامتين في الواو والياء قبولهما وما قبلهما السّكون والحركات الثّلاثة جميعاً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ظبي ودلو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تباين ذاتي بينهما في ذلك،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وشهود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حرف يمكن النّطق به بمفرده على نحو صوت شبه ممدود وهو غير ممكن في هذه الثّلاثة، ولو كانت حروفاً صلحت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قُدِّر أنّها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الابتداء بالساكن إنْ كان محالاً في النّطق بحرفين فإنّه لا شكّ في إمكان إيجاد الصوت الحرفيّ من غير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منبِّهات على أنّ الثّلاثة ليست بحروف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لتوضيح تأثير هذا السّبب في تفسير تلك الظّاهرة من المقارنة بين الجموع الماضية في أمثلتها في جدول، ثمَّ الإشارة إلى بعض الموارد الّتي يصحّ أو يحتمل استنادها إليه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يلي هذا الجدول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الإشارة فيه إلى الفرق بين رأينا ورأي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حرفيّة الثّلاثة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إخوة —— أقلّ من —— إخوان —— بحرف على رأي اللّغويين وبحالة</w:t>
      </w:r>
      <w:r>
        <w:rPr>
          <w:rStyle w:val="FootnoteAnchor"/>
          <w:rtl w:val="true"/>
        </w:rPr>
        <w:footnoteReference w:id="357"/>
      </w:r>
      <w:r>
        <w:rPr>
          <w:rFonts w:ascii="Amiri" w:hAnsi="Amiri" w:eastAsia="Amiri" w:cs="Amiri"/>
          <w:color w:val="111111"/>
          <w:sz w:val="28"/>
          <w:sz w:val="28"/>
          <w:szCs w:val="28"/>
          <w:rtl w:val="true"/>
          <w:lang w:bidi="ar-SA"/>
        </w:rPr>
        <w:t>على رأينا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أسرى —— أقلّ من —— أُسارى —— بحرف على رأي اللّغويين وبحالة على رأينا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أُلوف —— أقلّ من —— آلاف —— بحرف على رأي اللّغويين وبحالة على رأينا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اللاتي —— مساوية —— اللاتي —— في الحروف والحالات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خلفاء —— مساوية —— خلائف —— في الحروف والحالات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ذكور —— أقلّ من —— ذُكران —— بحرف على رأي اللّغويين وبحالة على رأينا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سجود —— أقلّ من —— سُجّد —— بحرف على رأينا وتزيد عليه بحالة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أساور —— أقلّ من —— أسورة —— بحرف على رأينا وتزيد عليه بحالة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شداد —— أقلّ من —— أشداء —— بحرفين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شهود —— مساوٍ مع —— أشهاد —— في الحروف والحالات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شهور —— أقلّ من —— أشهر —— بحرف على رأينا وتزيد عليه بحالة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 —— أقلّ من —— أشياع —— بحرف على رأي اللّغويين وبحالة على رأينا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صحف —— أقلّ من —— صِحاف —— بحرف على رأي اللّغويين وبحالة على رأينا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ضِعاف —— أقلّ من —— ضعفاء —— بحرف</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 مساوٍ مع —— عباد —— في الحرف والحالات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فجرة —— أقلّ من —— فجّار —— بحرف على رأي اللّغويين وبحالة على رأينا</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كفرة —— أقلّ من —— كفّار —— بحرف على رأي اللّغويين وبحالة على رأينا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موتى —— أقلّ من —— أموات —— بحرف</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نُصب —— أقلّ من —— أنصاب —— بحرفين على رأي اللّغويين وبحرف وحالة على </w:t>
      </w:r>
    </w:p>
    <w:p>
      <w:pPr>
        <w:pStyle w:val="BookText"/>
        <w:rPr/>
      </w:pPr>
      <w:r>
        <w:rPr>
          <w:rFonts w:ascii="Amiri" w:hAnsi="Amiri" w:eastAsia="Amiri" w:cs="Amiri"/>
          <w:color w:val="111111"/>
          <w:sz w:val="28"/>
          <w:sz w:val="28"/>
          <w:szCs w:val="28"/>
          <w:rtl w:val="true"/>
          <w:lang w:bidi="ar-SA"/>
        </w:rPr>
        <w:t>رأينا</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أقلّ من —— أنعم —— بحرف</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نفوس —— أقلّ من —— أنفس —— بحرف على رأينا ويزيد عليه بحالة</w:t>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العامل في خفّة الكلمة ليس مجرّد قلّة حروفها، بل لكيفيّاتها تأثير في ذلك، فالحالات الثّلاثة عندنا أثقل من الحركات الثّلاثة، والسكون وإنْ كان ثقلها دون ثقل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بأنّ الكسرة أثقل من الضّمّة، وهما من الفتحة، والثّلاثة من السّكون، وكذا الياء من الواو، وهما من الألف، بل الحروف ذاتها بعضها أثقل من بعض، ولكن زيادة حروف الكلمة تُعدُّ من أهمّ عوامل الثّقل وأبرزها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 خفّة الكلمة يصلح أنْ يكون جزءاً من السّرّ في اختيار الأخفّ من تلك الجموع في جميع موارد أخفيّة أحدها من الآخر، إلّا أنّا نشير إلى أهمّ تلك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حيث لم يكن داعٍ لاختيار إخوان من قبيل ما مرّ في السّبب السّادس والتّاسع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موردين حيث لم تكن جهة توجب اختياره من قبيل ما مرّ في السّبب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موردين حيث لم تكن جهة توجب اختياره من قبيل ما مرّ في السّبب التّاسع والعاشر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الفارق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تكن جهة توجب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ما مرّ في السّبب التّاسع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ثمانية موارد حيث لم تكن جهة موجبة </w:t>
      </w:r>
      <w:bookmarkStart w:id="282" w:name="pg9124_98596"/>
    </w:p>
    <w:p>
      <w:pPr>
        <w:pStyle w:val="BookText"/>
        <w:rPr/>
      </w:pPr>
      <w:bookmarkEnd w:id="282"/>
      <w:r>
        <w:rPr>
          <w:rFonts w:ascii="Amiri" w:hAnsi="Amiri" w:eastAsia="Amiri" w:cs="Amiri"/>
          <w:color w:val="111111"/>
          <w:sz w:val="28"/>
          <w:sz w:val="28"/>
          <w:szCs w:val="28"/>
          <w:rtl w:val="true"/>
          <w:lang w:bidi="ar-SA"/>
        </w:rPr>
        <w:t>لاختياره من قبيل ما مرّ في السّبب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حيث لم تكن جهة موجبة لاختياره من قبيل ما مرّ في السّبب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حيث لم تكن جهة لاختياره من قبيل ما مرّ في السّبب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أهمّ موارد تأثير عامل الخفّة في انتخاب أحد الجمعين، أو ربّما كان العامل الوحيد في أكثر تلك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موردين حيث لم تكن جهة لاختياره من قبيل ما مرّ في السّبب العاشر</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2933276_2870459653"/>
      <w:bookmarkStart w:id="284" w:name="_Toc110"/>
      <w:bookmarkEnd w:id="283"/>
      <w:r>
        <w:rPr>
          <w:rtl w:val="true"/>
        </w:rPr>
        <w:t>حالات التّزاحم بين مزايا مختلفة</w:t>
      </w:r>
      <w:bookmarkEnd w:id="284"/>
    </w:p>
    <w:p>
      <w:pPr>
        <w:pStyle w:val="Heading5"/>
        <w:numPr>
          <w:ilvl w:val="4"/>
          <w:numId w:val="1"/>
        </w:numPr>
        <w:rPr/>
      </w:pPr>
      <w:bookmarkStart w:id="285" w:name="__RefHeading___Toc2933278_2870459653"/>
      <w:bookmarkStart w:id="286" w:name="_Toc111"/>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ويلاحظ أنّه قد يحدث تزاحم بين مزايا مختلفة فلا بدَّ من ترجيح الأقوى والأنسب بينها، وقد أشرنا خلال بعض الأسباب الأخيرة إلى بعض تلك الحالات، ونذكر هنا بعضها</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2933280_2870459653"/>
      <w:bookmarkStart w:id="288" w:name="_Toc112"/>
      <w:bookmarkEnd w:id="287"/>
      <w:r>
        <w:rPr>
          <w:rtl w:val="true"/>
        </w:rPr>
        <w:t>الحالة الأُولى</w:t>
      </w:r>
      <w:bookmarkEnd w:id="288"/>
    </w:p>
    <w:p>
      <w:pPr>
        <w:pStyle w:val="BookText"/>
        <w:rPr/>
      </w:pPr>
      <w:r>
        <w:rPr>
          <w:rFonts w:ascii="Amiri" w:hAnsi="Amiri" w:eastAsia="Amiri" w:cs="Amiri"/>
          <w:color w:val="111111"/>
          <w:sz w:val="28"/>
          <w:sz w:val="28"/>
          <w:szCs w:val="28"/>
          <w:rtl w:val="true"/>
          <w:lang w:bidi="ar-SA"/>
        </w:rPr>
        <w:t>في حالة تزاحم الإيجاز اللّفظي مع سائر المزايا فإنّه يتعيّن اختيار سائر المزايا عليه، فإنّ الإيجاز اللّفظي إنّما هو مزيّة حيث لا مزيّة أخرى فهو إنّما يوجب اختيار إحدى الكلمتين في حالة التّكافؤ من حيث المزايا اللّفظيّة والمعنويّة، ولذا ناسب ذكرها في آخرها، ويشهد على ذلك أنّك لو لاحظت كثيراً من الآيات القرآنية تأتى لك أنْ تقترح اختصاراً في الآية مع حفظ المعنى وليس السّبب في عدم مراعاة هذا الاختصار إلّا توّفر أسباب أخرى اقتضت العكس، وقد مرّ بعض أمثلة هذه الحالة</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2933282_2870459653"/>
      <w:bookmarkStart w:id="290" w:name="_Toc113"/>
      <w:bookmarkEnd w:id="289"/>
      <w:r>
        <w:rPr>
          <w:rtl w:val="true"/>
        </w:rPr>
        <w:t>الحالة الثّانية</w:t>
      </w:r>
      <w:bookmarkEnd w:id="29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حالة تزاحم الجمال اللّفظي للكلمة المفردة مع الجمال اللّفظي </w:t>
      </w:r>
    </w:p>
    <w:p>
      <w:pPr>
        <w:pStyle w:val="BookText"/>
        <w:rPr/>
      </w:pPr>
      <w:r>
        <w:rPr>
          <w:rFonts w:ascii="Amiri" w:hAnsi="Amiri" w:eastAsia="Amiri" w:cs="Amiri"/>
          <w:color w:val="111111"/>
          <w:sz w:val="28"/>
          <w:sz w:val="28"/>
          <w:szCs w:val="28"/>
          <w:rtl w:val="true"/>
          <w:lang w:bidi="ar-SA"/>
        </w:rPr>
        <w:t>للجملة أو الجمل المتعدّدة ككلّ لتحقيق سجع أو موازنة أو غير ذلك ممّا مرّ في السّبب العاشر يترجّح حفظ الجمال النّفسي للجملة ككلّ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أروع حالات التّزاحم الّتي تمثّل مدى دقة الانتقاء القرآني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عَلَيْهِنَّ فِي آَبَائِهِنَّ وَلَا أَبْنَائِهِنَّ وَلَا إِخْوَانِهِنَّ وَلَا أَبْنَاءِ إِخْوَانِهِنَّ وَلَا أَبْنَاءِ أَخَوَاتِهِنَّ وَلَا نِسَائِهِنَّ وَلَا مَا مَلَكَتْ أَيْمَانُهُنَّ</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فاختيرت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بني وإن كان أخصر رعاية لتماثلها مع سائر الجموع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يُبْدِينَ زِينَتَهُنَّ إِلَّا لِبُعُولَتِهِنَّ أَوْ آَبَائِهِنَّ أَوْ آَبَاءِ بُعُولَتِهِنَّ أَوْ أَبْنَائِهِنَّ أَوْ أَبْنَاءِ بُعُولَتِهِنَّ أَوْ إِخْوَانِهِنَّ أَوْ بَنِي إِخْوَانِهِنَّ أَوْ بَنِي أَخَوَاتِهِنَّ أَوْ نِسَائِهِنَّ أَوْ مَا مَلَكَتْ أَيْمَانُهُنَّ</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رغم تماثله مع الآية الأولى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لمّا كان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تكرارها أربع مرات متقاربة مع قرب لفظها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تكرر الجموع المتماثلة فيه بعدد أكثر ممّا قد يوجب مجموعه المَلَل من كثرة التّماثل والتكرار، ثُمَّ كان نفس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إليهما مناسباً في الوزن مع الجموع المقترنة بالجملتين فكان نحواً من التّماثل حاصلاً بين الجملتين وما عطفتا عليه ولو مع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رجح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ونؤكّد هنا على نسبيّة كل مزيّة بحسب الحالات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ونذكر من أمثلة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أنَّ تكرار الكلمة في الجملة غير مستحسن، وبذلك علّل الزّمخشري وغيره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أَلْفَ سَنَةٍ إِلَّا </w:t>
      </w:r>
    </w:p>
    <w:p>
      <w:pPr>
        <w:pStyle w:val="BookText"/>
        <w:rPr/>
      </w:pPr>
      <w:r>
        <w:rPr>
          <w:rFonts w:ascii="Amiri" w:hAnsi="Amiri" w:eastAsia="Amiri" w:cs="Amiri"/>
          <w:color w:val="111111"/>
          <w:sz w:val="28"/>
          <w:sz w:val="28"/>
          <w:szCs w:val="28"/>
          <w:rtl w:val="true"/>
          <w:lang w:bidi="ar-SA"/>
        </w:rPr>
        <w:t>خَمْسِينَ عَامًا</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مع أنّك عرفت حسن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الأولى وكذا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التّحرّز بتبديلهما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لعلّ 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تَقُومُ السَّاعَةُ يُقْسِمُ الْمُجْرِمُونَ مَا لَبِثُوا غَيْرَ سَاعَةٍ</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نؤكّد على أنَّ بعض المزايا البديعية ممّا لا يناسب مستوى الكلام القرآني من قبيل مزيّة الطّباق التّام بمعنى تكرار لفظ بمعنيين، فإنّه وإنْ كان لا يخلو عن نكتة إلّا أنَّ كل نكتة تعجب الإنسان لا يحسن في كل مستوى كما هو معلوم، ولعلّه لذلك اختير لفظ الزّرّاع على لفظ الكفار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يُعْجِبُ الزُّرَّاعَ لِيَغِيظَ بِهِمُ الْكُفَّارَ</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لتكرر الكفار بالمعنى المقابل للمؤمنين في الآية مرتين رغم اختيار لفظ الكفار على الزّرّاع في نظيرها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غَيْثٍ أَعْجَبَ الْكُفَّارَ نَبَاتُهُ</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291" w:name="pg9124_98599"/>
    </w:p>
    <w:p>
      <w:pPr>
        <w:pStyle w:val="Heading3"/>
        <w:numPr>
          <w:ilvl w:val="2"/>
          <w:numId w:val="1"/>
        </w:numPr>
        <w:rPr/>
      </w:pPr>
      <w:bookmarkStart w:id="292" w:name="__RefHeading___Toc2933284_2870459653"/>
      <w:bookmarkStart w:id="293" w:name="_Toc114"/>
      <w:bookmarkEnd w:id="291"/>
      <w:bookmarkEnd w:id="292"/>
      <w:r>
        <w:rPr>
          <w:rtl w:val="true"/>
        </w:rPr>
        <w:t>البحث ومصادره</w:t>
      </w:r>
      <w:bookmarkEnd w:id="293"/>
    </w:p>
    <w:p>
      <w:pPr>
        <w:pStyle w:val="BookText"/>
        <w:rPr/>
      </w:pPr>
      <w:r>
        <w:rPr>
          <w:rFonts w:ascii="Amiri" w:hAnsi="Amiri" w:eastAsia="Amiri" w:cs="Amiri"/>
          <w:color w:val="111111"/>
          <w:sz w:val="28"/>
          <w:sz w:val="28"/>
          <w:szCs w:val="28"/>
          <w:rtl w:val="true"/>
          <w:lang w:bidi="ar-SA"/>
        </w:rPr>
        <w:t>وقد سأل السّائل عن مصادر البحث، ونحن لم نطلّع على مصدر خاصّ بهذا البحث إلّا ما يظهر بملاحظة كتب اللّغة والتّفسير ونحوها فيما يتعلّق بهذه الظّاهرة أو أخواتها الّتي تشترك معها في أسبابها، إذ أنَّ هذه الظّاهرة فرع من فروع ظاهرة اختيار بعض الألفاظ المترادفة أو المتقاربة في المعنى، وهي ظاهرة عامّة ذات أسباب 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ننبّه هنا على أنَّ مبادئ البحث لا تنحصر بالاطلاع على مصادر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الذّوق الأدبيّ الرّفيع والوجدان اللّغويّ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الاطلاع على القواعد الأدبيّة في مختلف علوم الأدب والقدرة على تشخيص تطبيقاتها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الممارسة والتتبّع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الأسباب الّتي ظهرت لنا في تفسير تلك الظّاهرة بالتأمّل في أمثلتها وموارد استعمالها، وربّما كان هناك سبب أو أسباب لم نطّلع عليها، ولكن ذلك ما خطر بالبال مع ضيق الوقت وتزاحم الأعمال وقلّة المصادر، وقد استغرق ذلك غالب وقتي في أسابيع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تاريخ كتابة هذه السّطور في شهر ربيع الثّاني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الرّسالة الّتي كتبتها في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طلب منّي بعض الأعزّة نشر هذا البحث وقد أجبته إلى ذلك، وذلك في العاشر من جمادى الآخرة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تيسّر مراجعتها، فضلاً عن الزّيادة عليها وإغنائها بما تجدّد من أدوات البحث والمتابعة، والله الهادي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 xml:space="preserve">. </w:t>
      </w:r>
      <w:bookmarkStart w:id="294" w:name="pg9124_98600"/>
    </w:p>
    <w:p>
      <w:pPr>
        <w:pStyle w:val="Heading3"/>
        <w:numPr>
          <w:ilvl w:val="2"/>
          <w:numId w:val="1"/>
        </w:numPr>
        <w:rPr/>
      </w:pPr>
      <w:bookmarkStart w:id="295" w:name="__RefHeading___Toc2933286_2870459653"/>
      <w:bookmarkStart w:id="296" w:name="_Toc115"/>
      <w:bookmarkEnd w:id="294"/>
      <w:bookmarkEnd w:id="295"/>
      <w:r>
        <w:rPr>
          <w:rtl w:val="true"/>
        </w:rPr>
        <w:t>المصادر</w:t>
      </w:r>
      <w:bookmarkEnd w:id="2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الأشباه والنظائر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الدكن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علي بن الحسين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 xml:space="preserve">ﻫ سنة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آية الله العظمى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الرّبيع في أنواع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صدر الدّين بن نظام الدّين الدّشتكي الشّيرازي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خان المدني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إيران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الإيضاح في علوم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 والبيان والبديع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القزويني جلال الدين محمد بن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محمّد بن عبد الله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مرتضى الحسيني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حبيب قصير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العاشرة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ألفية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عبد الله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رضي الدّين الأسترابادي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جامعة قاريونس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حسن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شافية 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رضي الدّين الأسترابادي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عبد الحميد 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الفنيّة في المثل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الهادي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الفرائد الغوالي على شواهد الأمالي للسيد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محسن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 مطبعة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وعلّق عليه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مهدي المخزومي والدّكتور إبراهيم السّامرائي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عن حقائق التّنزيل وعيون الأقاويل في وجوه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محمود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المطوّل في شرح تلخيص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المفهرس لألفاظ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الكتب المصريّة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الحسين بن محمّد بن المفضّل المعروف بالرّاغب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بحدود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نشر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المنجد الأبجدي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لويس معلوف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بن محمّد الجزري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أحمد الزّاوي، محمود محمّد الطّناحي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9124_98605"/>
      <w:bookmarkStart w:id="298" w:name="pg9124_98605"/>
      <w:bookmarkEnd w:id="298"/>
    </w:p>
    <w:p>
      <w:pPr>
        <w:pStyle w:val="Heading2"/>
        <w:numPr>
          <w:ilvl w:val="1"/>
          <w:numId w:val="1"/>
        </w:numPr>
        <w:rPr/>
      </w:pPr>
      <w:bookmarkStart w:id="299" w:name="pg9124_98605"/>
      <w:bookmarkStart w:id="300" w:name="__RefHeading___Toc2933288_2870459653"/>
      <w:bookmarkStart w:id="301" w:name="_Toc116"/>
      <w:bookmarkEnd w:id="299"/>
      <w:bookmarkEnd w:id="300"/>
      <w:r>
        <w:rPr>
          <w:rtl w:val="true"/>
        </w:rPr>
        <w:t xml:space="preserve">حجية قول غير الأعلم </w:t>
      </w:r>
      <w:r>
        <w:rPr>
          <w:rtl w:val="true"/>
        </w:rPr>
        <w:t xml:space="preserve">- </w:t>
      </w:r>
      <w:r>
        <w:rPr>
          <w:rtl w:val="true"/>
        </w:rPr>
        <w:t xml:space="preserve">الشيخ جعفر علي اليعسوبي </w:t>
      </w:r>
      <w:r>
        <w:rPr>
          <w:rtl w:val="true"/>
        </w:rPr>
        <w:t>(</w:t>
      </w:r>
      <w:r>
        <w:rPr>
          <w:rtl w:val="true"/>
        </w:rPr>
        <w:t>دام عزه</w:t>
      </w:r>
      <w:r>
        <w:rPr>
          <w:rtl w:val="true"/>
        </w:rPr>
        <w:t>)</w:t>
      </w:r>
      <w:bookmarkEnd w:id="301"/>
    </w:p>
    <w:p>
      <w:pPr>
        <w:pStyle w:val="Heading3"/>
        <w:numPr>
          <w:ilvl w:val="2"/>
          <w:numId w:val="1"/>
        </w:numPr>
        <w:rPr/>
      </w:pPr>
      <w:bookmarkStart w:id="302" w:name="__RefHeading___Toc2933290_2870459653"/>
      <w:bookmarkStart w:id="303" w:name="_Toc117"/>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حجيّة قول غير الأعلم من الفقهاء مع وجود الأعلم منه من المسائل الابتلائية على نطاق واسع، فهل يتعيّن على المكلَّف الرجوع للأعلم فيما اختلفا فيه من الفتوى، أو أنَّ المجال مفتوح أمامه ليختار فتوى أيٍّ منهما؟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البحث نحاول الاستدلال على أحد القولين</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نبينا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الابتلائية على نطاق واسع مسألة حجيَّة قول غير الأعلم من الفقهاء مع وجود الأعلم منه، فكثيراً ما يتيسّر للمكلّف وبكل سهولة الرجوع إلى مجتهد جامع لشرائط التقليد في تعيين وظائفه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له أن يأخذ الحكم الشرعي من غير الأعلم وتبرء ذمته بالعمل به مع وجود فتوى الأعلم؟ أو أنَّ وظيفته الشرعية توجب عليه العمل بفتوى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حجيَّة قول غير الأعلم في حقه؟</w:t>
      </w:r>
    </w:p>
    <w:p>
      <w:pPr>
        <w:pStyle w:val="BookText"/>
        <w:rPr/>
      </w:pPr>
      <w:r>
        <w:rPr>
          <w:rFonts w:ascii="Amiri" w:hAnsi="Amiri" w:eastAsia="Amiri" w:cs="Amiri"/>
          <w:color w:val="111111"/>
          <w:sz w:val="28"/>
          <w:sz w:val="28"/>
          <w:szCs w:val="28"/>
          <w:rtl w:val="true"/>
          <w:lang w:bidi="ar-SA"/>
        </w:rPr>
        <w:t>فهذا ما أردنا البحث عنه في هذه السطور لأهمية المسألة من جهة أنَّها تحدّد مسير الإنسان في أخذ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ولكثرة الابتلاء بها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فقلّما يوجد من المكلّفين مَنْ لا يُبتلى بهذه المسألة ولاسيّما في عصر ازدهار الحوزات العلمية وتوفّر أهل العلم والفضل في أرجاء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مستعيناً بالله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المسألة تتصوّر على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المكلّف بوجود الأعلم من بين المجتهدين إلّا أنَّه لا يعلم بوجود الاختلاف بينهم من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المكلّف بوجود الاختلاف بينهم في الفتوى زيادة على علمه بوجود الأعلم من بين المجتهدين أهل الفتوى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ومورد البحث هنا الصورة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فالأمر الذي نحاول أنْ نبحث عنه هو تحديد الموقف الشرعي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رأي مجتهد حجّة في حقّ المكلّف الذي قد علم بوجود مَنْ هو أعلم منه وأيضاً قد علم بوجود الخلاف بينهما في الفتوى أو لا يكون حجّة؟ فيتعيّن الرجوع إلى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يمكن البحث في هذه المسألة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وظيفة العامّي في المسألة بمقتضى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يحكم عقله إذا خلى وعقله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فتوى المجتهد في المسألة؟</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فتوى المجتهد في هذه المسألة؟</w:t>
      </w:r>
    </w:p>
    <w:p>
      <w:pPr>
        <w:pStyle w:val="BookText"/>
        <w:rPr/>
      </w:pPr>
      <w:r>
        <w:rPr>
          <w:rFonts w:ascii="Amiri" w:hAnsi="Amiri" w:eastAsia="Amiri" w:cs="Amiri"/>
          <w:color w:val="111111"/>
          <w:sz w:val="28"/>
          <w:sz w:val="28"/>
          <w:szCs w:val="28"/>
          <w:rtl w:val="true"/>
          <w:lang w:bidi="ar-SA"/>
        </w:rPr>
        <w:t xml:space="preserve">الذي نريد البحث فيه هي الجهة الثانية؛ لأنّ الجهة الأولى ليس فيها كلام كثير، فإنّ العامّي إذا التفت إلى وجود الاختلاف بين الأعلم وغيره فعقله يحكم بالرجوع إلى الأعلم تعييناً كما ذكره كثير ممّن تعرّض لهذه المسألة منهم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تنقيحه</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فتوى غير الأعلم مطابقة للاحتياط دون الأعلم فقد يلزمه العقل باتباعها من حيث إنّه فيها 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ذكر الأقوال في المسألة والإشارة إلى ما يبدو صحيحاًً فيها كان من المناسب تقديم تنبيه في معنى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لكلمة الأعلم تفاسير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الذي قوله أقرب إلى الواقع</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يكون أشدّ استنباطاً وأقوى ملكة لاستخراج الفروع من الكليات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يكون أكثر اطّلاعاً على المدارك والقواعد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يكون أكثر إحاطة بالفروع</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 الذي هو أقرب إلى الاعتبار في تفسير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يكون الأمتن في الاستنتاج، والأدق في تطبيق الكبريات على الصغريات، والأجود في استخراج الفروع من مداركها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ذكره غير واحد من الأجلاء</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معنى الأعلم في أي فن وعلم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يكون إلا إذا كان أكثر إحاطة بالقواعد والمدارك من الكتاب والسُنّة في الكمية وكذا أكثر عمقاً في فهمها دلالة وفي تنقيحها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يستلزم أن يكون أكثر اطلاعاً على ما يتوقف عليه الفهم الصحيح للمدارك من العلوم العربية والأدب العربي القديم ومحاوراتهم وكلمات الفقهاء التي هي بمنزلة القرينة على المراد من كلام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كل ذلك يكون أكثر وقادة للذهن واستقامة للفكر</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تبيّن خلال هذا أنّه ليس المراد من الأعلم ما يتوهم من هذه الكلمة في بادي الرأي وهو أن يمتلك الإنسان العلم بالفروع أكثر من الغير؛ لأنّ هذا الأمر لا دخالة له في الأعلمية، بل قد يكون غير الأعلم يجد هذا الشيء أكثر من الأعلم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تفرقت الأوصاف الدخيلة في الأعلمية، فمَنْ وجد فيه منها ما هو أكثر دخالة </w:t>
      </w:r>
    </w:p>
    <w:p>
      <w:pPr>
        <w:pStyle w:val="BookText"/>
        <w:rPr/>
      </w:pPr>
      <w:r>
        <w:rPr>
          <w:rFonts w:ascii="Amiri" w:hAnsi="Amiri" w:eastAsia="Amiri" w:cs="Amiri"/>
          <w:color w:val="111111"/>
          <w:sz w:val="28"/>
          <w:sz w:val="28"/>
          <w:szCs w:val="28"/>
          <w:rtl w:val="true"/>
          <w:lang w:bidi="ar-SA"/>
        </w:rPr>
        <w:t>في جودة الاستنباط يكون واجدها أعلم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المعنى للأعلم ليس معنى لغوياً ولم يثبت أنّه أصبح حقيقة شرعية في المعنى الثاني فكيف تفسّر هذه الكلمة الواردة في الروايات بهذا المعنى؟</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إثبات شرط الأعلمية بالروايات عند الأكثر بل بسيرة العقلاء أو بالعقل، وما يثبت بهما شرط الأعلمية فبهذا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بمناسبات الحكم والموضوع نعلم جزماً بأنّ الأعلم بمعنى كون الفقيه أكثر استحضاراً للفروع لا دخل له في ترجيح قول أحد العلماء على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معنى آخر مناسب له إلّا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نبدأ بذكر الأقوال في المسألة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أقوال خمسة عند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قول غير الأعلم مطلقاً سواء علم المكلّف بالخلاف أو لم يعلم، وسواء وافقت فتوى الأعلم الاحتياط أو 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عبارة بعض القدماء كالسيد المرتضى</w:t>
      </w:r>
      <w:r>
        <w:rPr>
          <w:rStyle w:val="FootnoteAnchor"/>
          <w:rtl w:val="true"/>
        </w:rPr>
        <w:footnoteReference w:id="370"/>
      </w:r>
      <w:r>
        <w:rPr>
          <w:rFonts w:ascii="Amiri" w:hAnsi="Amiri" w:eastAsia="Amiri" w:cs="Amiri"/>
          <w:color w:val="111111"/>
          <w:sz w:val="28"/>
          <w:sz w:val="28"/>
          <w:szCs w:val="28"/>
          <w:rtl w:val="true"/>
          <w:lang w:bidi="ar-SA"/>
        </w:rPr>
        <w:t>، وهو ظاهر عبارات كثير من الأعلام من المتأخرين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قوله مطلقاً، وهو مختار جماعة من المتأخرين كصاحب الجواهر والفصول والمستند وغيرهم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قوله إذا علم المكلّف اختلاف غير الأعلم مع الأعلم في </w:t>
      </w:r>
      <w:bookmarkStart w:id="304" w:name="pg9124_98611"/>
    </w:p>
    <w:p>
      <w:pPr>
        <w:pStyle w:val="BookText"/>
        <w:rPr/>
      </w:pPr>
      <w:bookmarkEnd w:id="304"/>
      <w:r>
        <w:rPr>
          <w:rFonts w:ascii="Amiri" w:hAnsi="Amiri" w:eastAsia="Amiri" w:cs="Amiri"/>
          <w:color w:val="111111"/>
          <w:sz w:val="28"/>
          <w:sz w:val="28"/>
          <w:szCs w:val="28"/>
          <w:rtl w:val="true"/>
          <w:lang w:bidi="ar-SA"/>
        </w:rPr>
        <w:t>الفتوى، وإلّا يتخير بينهما، وذهب إليه أكثر المتأخرين</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فتوى غير الأعلم مطابقةً للاحتياط فيجوز الرجوع إليه وبين عدمه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أيضاً بين كون فتوى غير الأعلم مطابقةً لفتوى الأعلم من الموتى فيجوز الرجوع إليه وبين عدمها فلا يجوز</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وللعامّة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أحمد بن حنبل، وأصحاب الشافعي، وجماعة من الأصوليين منهم، والغزالي إلى وجوب تقليد الأعلم أي عدم حجيّة قول غير الأعلم، وذهب القاضي أبو بكر وجماعة من الأصوليين والفقهاء منهم إلى التخيير</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لنا أن نلاحظ ما استند إليه أصحاب هذه الأقوال من الوجوه لنرى ما هو التام منها وما هو غير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عدم تمامية أي قول من هذه الأقوال نذكر الأصل الذي يمكن أن يكون مرجعاً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الاجتهادية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العملي في المسألة</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2933292_2870459653"/>
      <w:bookmarkStart w:id="306" w:name="_Toc118"/>
      <w:bookmarkEnd w:id="305"/>
      <w:r>
        <w:rPr>
          <w:rtl w:val="true"/>
        </w:rPr>
        <w:t>المقام الأوَّل</w:t>
      </w:r>
      <w:r>
        <w:rPr>
          <w:rtl w:val="true"/>
        </w:rPr>
        <w:t xml:space="preserve">: </w:t>
      </w:r>
      <w:r>
        <w:rPr>
          <w:rtl w:val="true"/>
        </w:rPr>
        <w:t>في الأدلة الاجتهادية في المسألة</w:t>
      </w:r>
      <w:bookmarkEnd w:id="306"/>
    </w:p>
    <w:p>
      <w:pPr>
        <w:pStyle w:val="Heading4"/>
        <w:numPr>
          <w:ilvl w:val="3"/>
          <w:numId w:val="1"/>
        </w:numPr>
        <w:rPr/>
      </w:pPr>
      <w:bookmarkStart w:id="307" w:name="__RefHeading___Toc2933294_2870459653"/>
      <w:bookmarkStart w:id="308" w:name="_Toc119"/>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فنتكلم فيه في محورين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القول بعدم حجيَّة قول غير الأعلم مقابل حجّيّته مطلقاً فنجمع بين القول الأوَّل والثّالث في ذكر المستند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الوجوه التي استند إليها في كلا القولين هي نفسها، وعليه فمن الأفضل ذكرها مرّة واحدة لنرى نتيجتها، فهل تنتج القول الأوَّل، وهو عدم الحجيّة مطلقاً، أو تنتج القول الثّالث، وهو عدم الحجيّة مع علم المكلّف بوجود الأعلم وعلمه بوجود الاختلاف بينهما؟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أدلة القول بحجّيّة فتواه مطلقاً</w:t>
      </w:r>
      <w:r>
        <w:rPr>
          <w:rFonts w:eastAsia="Amiri" w:cs="Amiri" w:ascii="Amiri" w:hAnsi="Amiri"/>
          <w:color w:val="111111"/>
          <w:sz w:val="28"/>
          <w:szCs w:val="28"/>
          <w:rtl w:val="true"/>
          <w:lang w:bidi="ar-SA"/>
        </w:rPr>
        <w:t xml:space="preserve">. </w:t>
      </w:r>
      <w:bookmarkStart w:id="309" w:name="pg9124_98613"/>
    </w:p>
    <w:p>
      <w:pPr>
        <w:pStyle w:val="Heading4"/>
        <w:numPr>
          <w:ilvl w:val="3"/>
          <w:numId w:val="1"/>
        </w:numPr>
        <w:rPr/>
      </w:pPr>
      <w:bookmarkStart w:id="310" w:name="__RefHeading___Toc2933296_2870459653"/>
      <w:bookmarkStart w:id="311" w:name="_Toc120"/>
      <w:bookmarkEnd w:id="309"/>
      <w:bookmarkEnd w:id="310"/>
      <w:r>
        <w:rPr>
          <w:rtl w:val="true"/>
        </w:rPr>
        <w:t>المحور الأوَّل</w:t>
      </w:r>
      <w:r>
        <w:rPr>
          <w:rtl w:val="true"/>
        </w:rPr>
        <w:t xml:space="preserve">: </w:t>
      </w:r>
      <w:r>
        <w:rPr>
          <w:rtl w:val="true"/>
        </w:rPr>
        <w:t>في بيان أدلة القول بعدم جواز الرجوع إلى غير الأعلم لعدم حجّيّة قوله</w:t>
      </w:r>
      <w:bookmarkEnd w:id="311"/>
    </w:p>
    <w:p>
      <w:pPr>
        <w:pStyle w:val="Heading5"/>
        <w:numPr>
          <w:ilvl w:val="4"/>
          <w:numId w:val="1"/>
        </w:numPr>
        <w:rPr/>
      </w:pPr>
      <w:bookmarkStart w:id="312" w:name="__RefHeading___Toc2933298_2870459653"/>
      <w:bookmarkStart w:id="313" w:name="_Toc121"/>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والقائل بعدم جواز الرجوع إلى غير الأعلم ووجوب الرجوع للأعلم تمسّك بعدد من الأدلة</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2933300_2870459653"/>
      <w:bookmarkStart w:id="315" w:name="_Toc122"/>
      <w:bookmarkEnd w:id="314"/>
      <w:r>
        <w:rPr>
          <w:rtl w:val="true"/>
        </w:rPr>
        <w:t>الدليل الأوَّل</w:t>
      </w:r>
      <w:r>
        <w:rPr>
          <w:rtl w:val="true"/>
        </w:rPr>
        <w:t xml:space="preserve">: </w:t>
      </w:r>
      <w:r>
        <w:rPr>
          <w:rtl w:val="true"/>
        </w:rPr>
        <w:t>الإجماع</w:t>
      </w:r>
      <w:bookmarkEnd w:id="315"/>
    </w:p>
    <w:p>
      <w:pPr>
        <w:pStyle w:val="Heading6"/>
        <w:numPr>
          <w:ilvl w:val="5"/>
          <w:numId w:val="1"/>
        </w:numPr>
        <w:rPr/>
      </w:pPr>
      <w:bookmarkStart w:id="316" w:name="__RefHeading___Toc2933302_2870459653"/>
      <w:bookmarkStart w:id="317" w:name="_Toc123"/>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ادعى غير واحد أنَّ المسألة إجماعية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عنه بأمور</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2933304_2870459653"/>
      <w:bookmarkStart w:id="319" w:name="_Toc124"/>
      <w:bookmarkEnd w:id="318"/>
      <w:r>
        <w:rPr>
          <w:rtl w:val="true"/>
        </w:rPr>
        <w:t>الأمر الأوَّل</w:t>
      </w:r>
      <w:bookmarkEnd w:id="319"/>
    </w:p>
    <w:p>
      <w:pPr>
        <w:pStyle w:val="BookText"/>
        <w:rPr/>
      </w:pPr>
      <w:r>
        <w:rPr>
          <w:rFonts w:ascii="Amiri" w:hAnsi="Amiri" w:eastAsia="Amiri" w:cs="Amiri"/>
          <w:color w:val="111111"/>
          <w:sz w:val="28"/>
          <w:sz w:val="28"/>
          <w:szCs w:val="28"/>
          <w:rtl w:val="true"/>
          <w:lang w:bidi="ar-SA"/>
        </w:rPr>
        <w:t>إنّه لم يتحقق انعقاد الإجماع لوجود المخالف كصاحب الجواهر وصاحب الفصول والنراقي في المستند وغيرهم</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المتأخّرين لا تضر بإجماع المتقدّمين، مع إمكان تفسير عبارات بعضهم بما لا يوجب المخالفة، ويتبين هذا من مراجعة الفصول فلعلّ صاحبه لا يخالف في صورة العلم بالمخالفة بين الأعلم وغيره</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2933306_2870459653"/>
      <w:bookmarkStart w:id="321" w:name="_Toc125"/>
      <w:bookmarkEnd w:id="320"/>
      <w:r>
        <w:rPr>
          <w:rtl w:val="true"/>
        </w:rPr>
        <w:t>الأمر الثّاني</w:t>
      </w:r>
      <w:bookmarkEnd w:id="32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إجماع في المسألة لعدم تعرّض كثير من القدماء لهذه المسألة، أو عدم وصول كلامهم إلينا ومع هذا كيف يدعي وقوع الإجماع، بل حتى بعض مَن ادّعى الإجماع بالمسألة يحتمل في كلامه أنّه يدعي هذا في الإمامة العظمى لا في ما نحن فيه كما </w:t>
      </w:r>
      <w:bookmarkStart w:id="322" w:name="pg9124_98614"/>
    </w:p>
    <w:p>
      <w:pPr>
        <w:pStyle w:val="BookText"/>
        <w:rPr/>
      </w:pPr>
      <w:bookmarkEnd w:id="322"/>
      <w:r>
        <w:rPr>
          <w:rFonts w:ascii="Amiri" w:hAnsi="Amiri" w:eastAsia="Amiri" w:cs="Amiri"/>
          <w:color w:val="111111"/>
          <w:sz w:val="28"/>
          <w:sz w:val="28"/>
          <w:szCs w:val="28"/>
          <w:rtl w:val="true"/>
          <w:lang w:bidi="ar-SA"/>
        </w:rPr>
        <w:t xml:space="preserve">احتمل صاحب الجواهر هذا الشيء في كلام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كلام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في الترجيح بين المفتين بالنسبة إلى المستفتين ولا أدري كيف يأتي فيه الاحتمال المذكور، وإليك نصّ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أنّ هذه الصفات إذا كانت ليست عند المستفتين إلّا لعالم واحد في البلد لزمه استفتاؤه تعيّناً، وإن كانت لجماعة هم متساوون كان مخيّراً، وإن كان بعضهم عنده أعلم من بعض أو أورع وأدين فقد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جعله مخيّراً، ومنهم من أوجب أن يستفتي المقدّم في العلم والدين وهو أولى؛ لأنّ الثّقة ههنا أقرب وأوكد والأصول كلها بذلك شاهدة</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العبارة جاءت تحت عنوان وفصل في صفة المفتي والمستفتي، وكلامه صريح في مورد البحث</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2933308_2870459653"/>
      <w:bookmarkStart w:id="324" w:name="_Toc126"/>
      <w:bookmarkEnd w:id="323"/>
      <w:r>
        <w:rPr>
          <w:rtl w:val="true"/>
        </w:rPr>
        <w:t>الأمر الثّالث</w:t>
      </w:r>
      <w:bookmarkEnd w:id="324"/>
    </w:p>
    <w:p>
      <w:pPr>
        <w:pStyle w:val="BookText"/>
        <w:rPr/>
      </w:pPr>
      <w:r>
        <w:rPr>
          <w:rFonts w:ascii="Amiri" w:hAnsi="Amiri" w:eastAsia="Amiri" w:cs="Amiri"/>
          <w:color w:val="111111"/>
          <w:sz w:val="28"/>
          <w:sz w:val="28"/>
          <w:szCs w:val="28"/>
          <w:rtl w:val="true"/>
          <w:lang w:bidi="ar-SA"/>
        </w:rPr>
        <w:t>إنّه على تقديره فهو إجماع مدركي، ومدركه هو الأصل، فقيمته قيمة الأصل</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5" w:name="__RefHeading___Toc2933310_2870459653"/>
      <w:bookmarkStart w:id="326" w:name="_Toc127"/>
      <w:bookmarkEnd w:id="325"/>
      <w:r>
        <w:rPr>
          <w:rtl w:val="true"/>
        </w:rPr>
        <w:t>الأمر الرابع</w:t>
      </w:r>
      <w:bookmarkEnd w:id="326"/>
    </w:p>
    <w:p>
      <w:pPr>
        <w:pStyle w:val="BookText"/>
        <w:rPr/>
      </w:pPr>
      <w:r>
        <w:rPr>
          <w:rFonts w:ascii="Amiri" w:hAnsi="Amiri" w:eastAsia="Amiri" w:cs="Amiri"/>
          <w:color w:val="111111"/>
          <w:sz w:val="28"/>
          <w:sz w:val="28"/>
          <w:szCs w:val="28"/>
          <w:rtl w:val="true"/>
          <w:lang w:bidi="ar-SA"/>
        </w:rPr>
        <w:t>إنّه إجماع منقول على أحسن التقادير، وهو ليس بحجّة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 w:name="__RefHeading___Toc2933312_2870459653"/>
      <w:bookmarkStart w:id="328" w:name="_Toc128"/>
      <w:bookmarkEnd w:id="327"/>
      <w:r>
        <w:rPr>
          <w:rtl w:val="true"/>
        </w:rPr>
        <w:t>الدليل الثّاني</w:t>
      </w:r>
      <w:r>
        <w:rPr>
          <w:rtl w:val="true"/>
        </w:rPr>
        <w:t xml:space="preserve">: </w:t>
      </w:r>
      <w:r>
        <w:rPr>
          <w:rtl w:val="true"/>
        </w:rPr>
        <w:t>الروايات</w:t>
      </w:r>
      <w:bookmarkEnd w:id="328"/>
    </w:p>
    <w:p>
      <w:pPr>
        <w:pStyle w:val="Heading6"/>
        <w:numPr>
          <w:ilvl w:val="5"/>
          <w:numId w:val="1"/>
        </w:numPr>
        <w:rPr/>
      </w:pPr>
      <w:bookmarkStart w:id="329" w:name="__RefHeading___Toc2933314_2870459653"/>
      <w:bookmarkStart w:id="330" w:name="_Toc129"/>
      <w:bookmarkEnd w:id="329"/>
      <w:r>
        <w:rPr>
          <w:rtl w:val="true"/>
        </w:rPr>
        <w:t>اشارة</w:t>
      </w:r>
      <w:bookmarkEnd w:id="33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استند إليه القائل بعدم حجيّة قول غير الأعلم روايات 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دعواهم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حجيّة قول غير الأعلم مع وجود الأعلم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روايات عديدة، نذكر منها </w:t>
      </w:r>
      <w:bookmarkStart w:id="331" w:name="pg9124_98615"/>
    </w:p>
    <w:p>
      <w:pPr>
        <w:pStyle w:val="BookText"/>
        <w:rPr/>
      </w:pPr>
      <w:bookmarkEnd w:id="331"/>
      <w:r>
        <w:rPr>
          <w:rFonts w:ascii="IRNazanin" w:hAnsi="IRNazanin" w:eastAsia="IRNazanin"/>
          <w:color w:val="111111"/>
          <w:sz w:val="28"/>
          <w:sz w:val="28"/>
          <w:szCs w:val="28"/>
          <w:rtl w:val="true"/>
          <w:lang w:bidi="fa-IR"/>
        </w:rPr>
        <w:t>ما هو أقوى وأدلّ على المدعى</w:t>
      </w:r>
      <w:r>
        <w:rPr>
          <w:rFonts w:eastAsia="IRNazanin" w:cs="IRNazanin"/>
          <w:color w:val="111111"/>
          <w:sz w:val="28"/>
          <w:szCs w:val="28"/>
          <w:rtl w:val="true"/>
          <w:lang w:bidi="fa-IR"/>
        </w:rPr>
        <w:t>:</w:t>
      </w:r>
    </w:p>
    <w:p>
      <w:pPr>
        <w:pStyle w:val="Heading6"/>
        <w:numPr>
          <w:ilvl w:val="5"/>
          <w:numId w:val="1"/>
        </w:numPr>
        <w:rPr/>
      </w:pPr>
      <w:bookmarkStart w:id="332" w:name="__RefHeading___Toc2933316_2870459653"/>
      <w:bookmarkStart w:id="333" w:name="_Toc130"/>
      <w:bookmarkEnd w:id="332"/>
      <w:r>
        <w:rPr>
          <w:rtl w:val="true"/>
        </w:rPr>
        <w:t>الأولى</w:t>
      </w:r>
      <w:bookmarkEnd w:id="333"/>
    </w:p>
    <w:p>
      <w:pPr>
        <w:pStyle w:val="Heading6"/>
        <w:numPr>
          <w:ilvl w:val="5"/>
          <w:numId w:val="1"/>
        </w:numPr>
        <w:rPr/>
      </w:pPr>
      <w:bookmarkStart w:id="334" w:name="__RefHeading___Toc2933318_2870459653"/>
      <w:bookmarkStart w:id="335" w:name="_Toc131"/>
      <w:bookmarkEnd w:id="334"/>
      <w:r>
        <w:rPr>
          <w:rtl w:val="true"/>
        </w:rPr>
        <w:t>اشارة</w:t>
      </w:r>
      <w:bookmarkEnd w:id="33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مقبولة عمر بن حنظلة، وقد رواها المشايخ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 ما حكم به أعدلهما وأفقههما وأصدقهما في الحديث وأورعهما ولا يلتفت إلى ما يحكم به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عدلان مرضيان عند أصحابنا لا يفضل واحد منهما على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ما كان من روايتهم عنّا في ذلك الذي حكما به المجمع عليه من أصحابك فيؤخذ به من حكمنا ويترك الشاذ الذي ليس بمشهور عند أصحابك، فإنّ المجمع عليه لا ريب فيه، وإنّما الأمور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بيّن رشده فيتّبع، وأمر بيّن غيّه فيجتنب، وأمر مشكل يرد علمه إلى الله ورسوله،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بيّن، وحرام بيّن، وشبهات بين ذلك، فمَنْ ترك الشبهات نجا من المحرمات، ومَنْ أخذ الشبهات ارتكب المحرمات وهلك من حيث لا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الخبران عنكما مشهورين قد رواهما الثقات عنكم؟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فما وافق حكمه حكم الكتاب والسُنّة وخالف العامّة فيؤخذ به ويترك ما خالف حكمه حكم الكتاب والسُنّة ووافق العامّة،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أرأيت إن كان الفقيهان عرفا حكمه من الكتاب والسُنّة ووجدنا أحد الخبرين موافقاً للعامّة والآخر مخالفاً لهم بأي الخبرين يؤخذ؟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العامّة ففيه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فإن وافقهما الخبران جميعاً؟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ما هم إليه أميل، حكّامهم وقضاتهم فيترك ويؤخذ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وافق حكامهم الخبرين جميعاً؟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ذلك فأرجه حتى تلقي إمامك فإنّ الوقوف عند الشبهات خير من الاقتحام في الهلكات</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336" w:name="pg9124_98616"/>
    </w:p>
    <w:p>
      <w:pPr>
        <w:pStyle w:val="BookText"/>
        <w:rPr/>
      </w:pPr>
      <w:bookmarkEnd w:id="336"/>
      <w:r>
        <w:rPr>
          <w:rFonts w:ascii="Amiri" w:hAnsi="Amiri" w:eastAsia="Amiri" w:cs="Amiri"/>
          <w:color w:val="111111"/>
          <w:sz w:val="28"/>
          <w:sz w:val="28"/>
          <w:szCs w:val="28"/>
          <w:rtl w:val="true"/>
          <w:lang w:bidi="ar-SA"/>
        </w:rPr>
        <w:t>فهي واضحة الدلالة على أنّ المرجع حين الاختلاف هو الأفقه وهي وإن كانت في باب القضاء، لكنّه يثبت ما نحن فيه بعدم القول بالفصل، أو بكون المناط في البابين واحداً، وهو الوصول إلى الواقع وعدم الخصوصية لباب القضاء</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على الاستدلال بهذه الرواية من جهات متعدّدة</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2933320_2870459653"/>
      <w:bookmarkStart w:id="338" w:name="_Toc132"/>
      <w:bookmarkEnd w:id="337"/>
      <w:r>
        <w:rPr>
          <w:rtl w:val="true"/>
        </w:rPr>
        <w:t>الجهة الأولى</w:t>
      </w:r>
      <w:bookmarkEnd w:id="338"/>
    </w:p>
    <w:p>
      <w:pPr>
        <w:pStyle w:val="Heading6"/>
        <w:numPr>
          <w:ilvl w:val="5"/>
          <w:numId w:val="1"/>
        </w:numPr>
        <w:rPr/>
      </w:pPr>
      <w:bookmarkStart w:id="339" w:name="__RefHeading___Toc2933322_2870459653"/>
      <w:bookmarkStart w:id="340" w:name="_Toc133"/>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الإيراد بضعف الرواية سنداً؛ لأنّ عمر بن حنظلة لم يوثق من قبل علماء الرجال، بل ولا مدح بشيء يطمئن إليه؛ لأنّ المدح الوارد في حقه ليس بسند قوي</w:t>
      </w:r>
      <w:r>
        <w:rPr>
          <w:rStyle w:val="FootnoteAnchor"/>
          <w:rtl w:val="true"/>
        </w:rPr>
        <w:footnoteReference w:id="384"/>
      </w:r>
      <w:r>
        <w:rPr>
          <w:rFonts w:ascii="Amiri" w:hAnsi="Amiri" w:eastAsia="Amiri" w:cs="Amiri"/>
          <w:color w:val="111111"/>
          <w:sz w:val="28"/>
          <w:sz w:val="28"/>
          <w:szCs w:val="28"/>
          <w:rtl w:val="true"/>
          <w:lang w:bidi="ar-SA"/>
        </w:rPr>
        <w:t xml:space="preserve">وتوثيق الشهيد الثاني له لا يفيد شيئاً؛ لأنّه اجتهاد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قبول الأصحاب لها لم يثبت، وعلى تقدير التسليم فهو مبني على جابرية عمل الأصحاب لضعف الرواية، وهو غير مسلّم؛ لأنّه إنْ ثبت هذا فهو في عمل المتقدّمين بها لا المتأخّرين كما هو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w:t>
      </w:r>
      <w:r>
        <w:rPr>
          <w:rStyle w:val="FootnoteAnchor"/>
          <w:rtl w:val="true"/>
        </w:rPr>
        <w:footnoteReference w:id="386"/>
      </w:r>
      <w:r>
        <w:rPr>
          <w:rFonts w:ascii="Amiri" w:hAnsi="Amiri" w:eastAsia="Amiri" w:cs="Amiri"/>
          <w:color w:val="111111"/>
          <w:sz w:val="28"/>
          <w:sz w:val="28"/>
          <w:szCs w:val="28"/>
          <w:rtl w:val="true"/>
          <w:lang w:bidi="ar-SA"/>
        </w:rPr>
        <w:t>في توثيقه من رواية الثقات عنه ومنهم صفوان وابن أبي عمير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غير المذكورين عنه لا تنفع، ورواية هذين عنه لم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صفوان عنه فادُعي أنّه روى عنه في موردين، وفي كلٍّ منهما إشكال</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2933324_2870459653"/>
      <w:bookmarkStart w:id="342" w:name="_Toc134"/>
      <w:bookmarkEnd w:id="341"/>
      <w:r>
        <w:rPr>
          <w:rtl w:val="true"/>
        </w:rPr>
        <w:t>المورد الأوَّل</w:t>
      </w:r>
      <w:bookmarkEnd w:id="34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بسنده عن سعد بن عبد الله، عن موسى بن الحسن، عن الحسن بن الحسين اللؤلؤي، عن صفوان بن يحيى، عن الحارث بن المغيرة النصري </w:t>
      </w:r>
    </w:p>
    <w:p>
      <w:pPr>
        <w:pStyle w:val="BookText"/>
        <w:rPr/>
      </w:pPr>
      <w:r>
        <w:rPr>
          <w:rFonts w:ascii="IRNazanin" w:hAnsi="IRNazanin" w:eastAsia="IRNazanin"/>
          <w:color w:val="111111"/>
          <w:sz w:val="28"/>
          <w:sz w:val="28"/>
          <w:szCs w:val="28"/>
          <w:rtl w:val="true"/>
          <w:lang w:bidi="fa-IR"/>
        </w:rPr>
        <w:t>وعمر بن حنظلة، عن منصور بن حازم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نعتبر الشمس بالمدينة بالذراع، فقال لنا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أنبئكم بأبين 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جعلنا الله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فقد دخل وقت الظهر إلّا أنّ بين يديها سبحة وذلك إليك فإن أنت خففت سبحتك فحين تفرغ من سبحتك، وإن أنت طولت فحين تفرغ من سبحتك</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ضعيف؛ لأنّ الحسن بن الحسين تعارض فيه التوثيق والتضعيف، فإنّ النجاشي وثقه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ثقة كثير الرواية له كتاب مجموع النوادر</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ونقل الشيخ في رجاله</w:t>
      </w:r>
      <w:r>
        <w:rPr>
          <w:rStyle w:val="FootnoteAnchor"/>
          <w:rtl w:val="true"/>
        </w:rPr>
        <w:footnoteReference w:id="389"/>
      </w:r>
      <w:r>
        <w:rPr>
          <w:rFonts w:ascii="Amiri" w:hAnsi="Amiri" w:eastAsia="Amiri" w:cs="Amiri"/>
          <w:color w:val="111111"/>
          <w:sz w:val="28"/>
          <w:sz w:val="28"/>
          <w:szCs w:val="28"/>
          <w:rtl w:val="true"/>
          <w:lang w:bidi="ar-SA"/>
        </w:rPr>
        <w:t>تضعيف ابن الوليد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الرواية نفسها مذكورة بالكافي بسند معتبر حيث روى الكليني عن الحسين بن محمّد الأشعري، عن عبد الله بن عامر، عن علي بن مهزيار، عن فضالة ابن أيوب، عن الحسين بن عثمان، عن ابن مسكان، عن الحارث بن المغيرة وعمر بن حنظلة ومنصور بن حازم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نقيس الشمس بالمدينة بالذراع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لنا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فوجود هذه الرواية في الكافي بسند معتبر يوجب الاطمئنان بصدورها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وضعف طريق الشيخ فيها لا يضر اعتبارها، فيثبت أنَّ صفوان قد روى عن عمر بن حنظلة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وجود الرواية بسند صحيح في الكافي لا يثبت أنّها في </w:t>
      </w:r>
    </w:p>
    <w:p>
      <w:pPr>
        <w:pStyle w:val="BookText"/>
        <w:rPr/>
      </w:pPr>
      <w:r>
        <w:rPr>
          <w:rFonts w:ascii="Amiri" w:hAnsi="Amiri" w:eastAsia="Amiri" w:cs="Amiri"/>
          <w:color w:val="111111"/>
          <w:sz w:val="28"/>
          <w:sz w:val="28"/>
          <w:szCs w:val="28"/>
          <w:rtl w:val="true"/>
          <w:lang w:bidi="ar-SA"/>
        </w:rPr>
        <w:t>التهذيب هي مروية صفوان عن عمر بن حنظلة، بل غاية الأمر أنَّ هذا يدل على صدور هذه الرواية، وأنّ الحسن بن الحسين اللؤلؤي لم يكذب في أصل الرواية، وأمّا إسناده للرواية إلى صفوان عن عمر بن حنظلة فهو أمر آخر لا يلزم من وجود هذه الرواية بسند آخر معتبر في الكافي، فيحتمل أنَّ هذا السند من 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صفوان روى الرواية المذكورة عن رواة ثلاثة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المغيرة النصري وعمر بن حنظلة ومنصور بن حازم ووجود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الأخيرين تصحيف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مسند إلى الجمع، وكذلك روى الشيخ هذه الرواية في الاستبصار بعطف منصور بن حازم على عمر بن حنظلة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الشيخ في حقّ صفوان أنّه لا يروي إلّا عن ثقة لا توجب وثاقة عمر بن حنظلة لاحتمال أنَّ صفوان اعتمد في هذه الرواية على الحارث بن المغيرة ومنصور بن حازم وهم من الثقات، ففرض عدم وثاقة عمر بن حنظلة لا يعدّ نقضاً لما التزم به صفوان من الرواية عن الثقات فقط؛ لأنّ وجود ثقة واحد في من روى عنهم كافٍ لما بنى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رواية صفوان عن الثلاثة تنحل إلى ثلاث روايات؛ نظراً إلى أنّها على نحو العموم الاستغراقي لا المجموعي، وحينئذ روايته عن عمر بن حنظلة تنافي التزامه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لو روى الحادثة عن كلٍّ منهم مستقلاً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له وجه، لكن مع هذا نحن نشك في مقدار ما التزم به صفوان سعةً وضيقاً، وهل هو التزم بعدم الرواية عن غير الثقة حتى لو كان منضماً إلى غيره من </w:t>
      </w:r>
    </w:p>
    <w:p>
      <w:pPr>
        <w:pStyle w:val="BookText"/>
        <w:rPr/>
      </w:pPr>
      <w:r>
        <w:rPr>
          <w:rFonts w:ascii="Amiri" w:hAnsi="Amiri" w:eastAsia="Amiri" w:cs="Amiri"/>
          <w:color w:val="111111"/>
          <w:sz w:val="28"/>
          <w:sz w:val="28"/>
          <w:szCs w:val="28"/>
          <w:rtl w:val="true"/>
          <w:lang w:bidi="ar-SA"/>
        </w:rPr>
        <w:t>الثقات، أو كان التزامه بهذا يختصّ بصورة ما إذا كان غير الثقة منفرداً؟ وحينئذ لا يحصل الجزم والاطمئنان بعدم روايته عن غير الثقة حتى ولو كان منضماً إلى بعض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الشيخ روى في التهذيب رواية يبدو أنّها متحدة مع هذه الرواية وفي سندها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صفوان عن الحارث بن المغيرة عن عمر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الشيخ تعليقاً على الرواية السابقة عليهما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عن صفوان عن الحارث بن المغيرة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أقيس الشمس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أنبك بأبين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بلى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فقد وقع الظهر إلّا أنَّ بين يديها سبحة وذلك إليك، فإن أنت خففت فحين تفرغ من سبحتك، وإن طولت فحين تفرغ من سبحتك</w:t>
      </w:r>
      <w:r>
        <w:rPr>
          <w:rFonts w:eastAsia="IRNazanin" w:cs="IRNazanin"/>
          <w:color w:val="111111"/>
          <w:sz w:val="28"/>
          <w:szCs w:val="28"/>
          <w:rtl w:val="true"/>
          <w:lang w:bidi="fa-IR"/>
        </w:rPr>
        <w:t>)</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تقارب اللفظ والمعنى فيبعد جداً تعددها، فهي تدل على أنَّ الرواية المذكورة سابقاً صحّف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ابن المغيرة وابن حنظلة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وبالنتيجة ليست هي مروية صفوان عن ابن حنظلة مباشرة ولا تصلح الأولى لمعارضة هذه لضعف طريقها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يعارض ذلك أنّ الكليني قد روى هذه الرواية بسند معتبر عن ابن مسكان عن الحارث بن المغيرة وعمر بن حنظلة ومنصور بن حازم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نقيس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ومقتضى ذلك أنّ ابن المغيرة يروي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لاسيّما 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يؤكد كون الرواية عن الثلاثة وإلّا لقيل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لا سبيل إلى ترجيح رواية ابن المغيرة مع ابن حنظلة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وعليه </w:t>
      </w:r>
      <w:bookmarkStart w:id="343" w:name="pg9124_98620"/>
    </w:p>
    <w:p>
      <w:pPr>
        <w:pStyle w:val="BookText"/>
        <w:rPr/>
      </w:pPr>
      <w:bookmarkEnd w:id="343"/>
      <w:r>
        <w:rPr>
          <w:rFonts w:ascii="Amiri" w:hAnsi="Amiri" w:eastAsia="Amiri" w:cs="Amiri"/>
          <w:color w:val="111111"/>
          <w:sz w:val="28"/>
          <w:sz w:val="28"/>
          <w:szCs w:val="28"/>
          <w:rtl w:val="true"/>
          <w:lang w:bidi="ar-SA"/>
        </w:rPr>
        <w:t>فنعلم إجمالاً أنَّ هناك اشتباهاً في السند، وحينئذ لا مجال للحكم بأنّها مروية صفوان عن ابن حنظلة مباشرة</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2933326_2870459653"/>
      <w:bookmarkStart w:id="345" w:name="_Toc135"/>
      <w:bookmarkEnd w:id="344"/>
      <w:r>
        <w:rPr>
          <w:rtl w:val="true"/>
        </w:rPr>
        <w:t>المورد الثّاني</w:t>
      </w:r>
      <w:bookmarkEnd w:id="345"/>
    </w:p>
    <w:p>
      <w:pPr>
        <w:pStyle w:val="Heading6"/>
        <w:numPr>
          <w:ilvl w:val="5"/>
          <w:numId w:val="1"/>
        </w:numPr>
        <w:rPr/>
      </w:pPr>
      <w:bookmarkStart w:id="346" w:name="__RefHeading___Toc2933328_2870459653"/>
      <w:bookmarkStart w:id="347" w:name="_Toc136"/>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روى الصدوق عن صفوان عن عمر بن حنظلة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أتزوّج المرأة شهراً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المورد تامّ بحسب ظاهر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واحدة لا توجب الاطمئنان بثبوت رواية صفوان عن عمر بن حنظلة، بل من المحتمل سقوط واسطة بين صفوان وبين ابن حنظلة، لاسيّما مع رواية صفوان عن عمر بن حنظلة بالواسطة في سائر الموارد وهي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ومن المحتمل أن يكون الوسيط داود بن حصين، نظراً إلى أمور ثلاثة</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2933330_2870459653"/>
      <w:bookmarkStart w:id="349" w:name="_Toc137"/>
      <w:bookmarkEnd w:id="348"/>
      <w:r>
        <w:rPr>
          <w:rtl w:val="true"/>
        </w:rPr>
        <w:t>الأوَّل</w:t>
      </w:r>
      <w:bookmarkEnd w:id="349"/>
    </w:p>
    <w:p>
      <w:pPr>
        <w:pStyle w:val="BookText"/>
        <w:rPr/>
      </w:pPr>
      <w:r>
        <w:rPr>
          <w:rFonts w:ascii="Amiri" w:hAnsi="Amiri" w:eastAsia="Amiri" w:cs="Amiri"/>
          <w:color w:val="111111"/>
          <w:sz w:val="28"/>
          <w:sz w:val="28"/>
          <w:szCs w:val="28"/>
          <w:rtl w:val="true"/>
          <w:lang w:bidi="ar-SA"/>
        </w:rPr>
        <w:t>إنَّ الصدوق ذكر في مشيخته أنّ كلّ ما رواه عن عمر بن حنظلة فهو بطريق صفوان عن داود بن حصين عن عمر بن حنظلة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الطريق وإن كان بالنظر إلى الروايات التي بدأها الصدوق بعمر بن حنظلة والرواية المبحوث عنها بدأها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يشملها هذا الطريق، لكن هذا يقرّب احتمال أنّ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إلى صفوان بواسطة داود بن حصين</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2933332_2870459653"/>
      <w:bookmarkStart w:id="351" w:name="_Toc138"/>
      <w:bookmarkEnd w:id="350"/>
      <w:r>
        <w:rPr>
          <w:rtl w:val="true"/>
        </w:rPr>
        <w:t>الثّاني</w:t>
      </w:r>
      <w:bookmarkEnd w:id="35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مجموع الروايات التي رواها الصدوق في الفقيه وفي سندها عمر بن حنظلة هي ست روايات مع المبحوث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منها بدأها بعمر بن حنظلة</w:t>
      </w:r>
      <w:r>
        <w:rPr>
          <w:rStyle w:val="FootnoteAnchor"/>
          <w:rtl w:val="true"/>
        </w:rPr>
        <w:footnoteReference w:id="396"/>
      </w:r>
      <w:r>
        <w:rPr>
          <w:rFonts w:ascii="IRNazanin" w:hAnsi="IRNazanin" w:eastAsia="IRNazanin"/>
          <w:color w:val="111111"/>
          <w:sz w:val="28"/>
          <w:sz w:val="28"/>
          <w:szCs w:val="28"/>
          <w:rtl w:val="true"/>
          <w:lang w:bidi="fa-IR"/>
        </w:rPr>
        <w:t xml:space="preserve">، </w:t>
      </w:r>
      <w:bookmarkStart w:id="352" w:name="pg9124_98621"/>
    </w:p>
    <w:p>
      <w:pPr>
        <w:pStyle w:val="BookText"/>
        <w:rPr/>
      </w:pPr>
      <w:bookmarkEnd w:id="352"/>
      <w:r>
        <w:rPr>
          <w:rFonts w:ascii="Amiri" w:hAnsi="Amiri" w:eastAsia="Amiri" w:cs="Amiri"/>
          <w:color w:val="111111"/>
          <w:sz w:val="28"/>
          <w:sz w:val="28"/>
          <w:szCs w:val="28"/>
          <w:rtl w:val="true"/>
          <w:lang w:bidi="ar-SA"/>
        </w:rPr>
        <w:t>واثنتان منها بدأهما بداود بن حصين عن عمر بن حنظلة</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 هذه الروايات الخمس طريق الصدوق فيها إلى ابن حنظلة هو بواسطة داود بن حصين، وهذا يقرّب أنّ هذه الرواية الواحدة أيضاً سقط في سندها داود بن حصين</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2933334_2870459653"/>
      <w:bookmarkStart w:id="354" w:name="_Toc139"/>
      <w:bookmarkEnd w:id="353"/>
      <w:r>
        <w:rPr>
          <w:rtl w:val="true"/>
        </w:rPr>
        <w:t>الثّالث</w:t>
      </w:r>
      <w:bookmarkEnd w:id="354"/>
    </w:p>
    <w:p>
      <w:pPr>
        <w:pStyle w:val="BookText"/>
        <w:rPr/>
      </w:pPr>
      <w:r>
        <w:rPr>
          <w:rFonts w:ascii="Amiri" w:hAnsi="Amiri" w:eastAsia="Amiri" w:cs="Amiri"/>
          <w:color w:val="111111"/>
          <w:sz w:val="28"/>
          <w:sz w:val="28"/>
          <w:szCs w:val="28"/>
          <w:rtl w:val="true"/>
          <w:lang w:bidi="ar-SA"/>
        </w:rPr>
        <w:t>إنّ صفوان روى مكرّراً عن عمر بن حنظلة بواسطة داود بن حصين في غير الفقيه أيضاً كما في الكافي، والتهذيب</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وأيّاً كان فبالنظر إلى ذلك فلا يحصل الاطمئنان بأنّ صفوان روى في هذا المورد عن ابن حنظلة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محمّد بن أبي عمير عن عمر بن حنظلة فقد وقعت في مورد واحد حيث روى الصدوق في كمال الدين عن محمّد بن الحسن بن أحمد بن الوليد، عن الحسين بن الحسن بن أبان، عن الحسين بن سعيد، عن محمّد بن أبي عمير عن عمر بن حنظلة،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قيام القائم خمس علامات</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ضعيف بالحسين بن الحسن بن أبان، فإنّه مجهول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يجاب عن هذا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جهله غير ضار؛ لأنَّ الرجل من مشايخ الإجازة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دور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توجد له رواية عن غير الحسين بن سعيد الأهوازي فهذا يكشف عن أنّ الحسين بن الحسن بن أبان كان يجيز بكتبه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كتبه معروفة فجهالته لا توجب ضعف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موجودة في غيبة النعماني عن ابن أبي عمير عن أبي أيوب الخزاز عن عمر بن حنظلة</w:t>
      </w:r>
      <w:r>
        <w:rPr>
          <w:rStyle w:val="FootnoteAnchor"/>
          <w:rtl w:val="true"/>
        </w:rPr>
        <w:footnoteReference w:id="400"/>
      </w:r>
      <w:r>
        <w:rPr>
          <w:rFonts w:ascii="Amiri" w:hAnsi="Amiri" w:eastAsia="Amiri" w:cs="Amiri"/>
          <w:color w:val="111111"/>
          <w:sz w:val="28"/>
          <w:sz w:val="28"/>
          <w:szCs w:val="28"/>
          <w:rtl w:val="true"/>
          <w:lang w:bidi="ar-SA"/>
        </w:rPr>
        <w:t xml:space="preserve">فهو دليل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عمر بن حنظلة في سند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عدم صحة ما توهمه عبارة البحار من أنّ رواية الغيبة أيضاً رواها ابن أبي عمير عن عمر بن حنظلة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بعد ذكر رواية 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للنعماني بسنده عن أبن أبي عمير مثله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لم يثبت أنَّ ابن أبي عمير قد روى عن عمر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وهناك أمر يبعّد رواية صفوان وابن أبي عمير عن عمر بن حنظلة، وهو الفصل الطبقي بينهما حيث إنّ الرجلين من الطبقة السادسة وابن حنظلة فيما يبدو من الطبقة الرابعة، ويشهد على هذا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صفوان وكذا ابن أبي عمير عن ابن حنظلة في جميع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أيوب الخزاز وغيرهم</w:t>
      </w:r>
      <w:r>
        <w:rPr>
          <w:rStyle w:val="FootnoteAnchor"/>
          <w:rtl w:val="true"/>
        </w:rPr>
        <w:footnoteReference w:id="402"/>
      </w:r>
      <w:r>
        <w:rPr>
          <w:rFonts w:ascii="Amiri" w:hAnsi="Amiri" w:eastAsia="Amiri" w:cs="Amiri"/>
          <w:color w:val="111111"/>
          <w:sz w:val="28"/>
          <w:sz w:val="28"/>
          <w:szCs w:val="28"/>
          <w:rtl w:val="true"/>
          <w:lang w:bidi="ar-SA"/>
        </w:rPr>
        <w:t>، وهذا يقرّب أنَّ ابن حنظلة من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البعيد رواية من هو في الطبقة السادسة عنه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 من روى عن ابن حنظلة هم من الطبقة الرابعة أو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بصير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أيوب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فيطمئن بأنّ ابن حنظلة من </w:t>
      </w:r>
    </w:p>
    <w:p>
      <w:pPr>
        <w:pStyle w:val="BookText"/>
        <w:rPr/>
      </w:pPr>
      <w:r>
        <w:rPr>
          <w:rFonts w:ascii="Amiri" w:hAnsi="Amiri" w:eastAsia="Amiri" w:cs="Amiri"/>
          <w:color w:val="111111"/>
          <w:sz w:val="28"/>
          <w:sz w:val="28"/>
          <w:szCs w:val="28"/>
          <w:rtl w:val="true"/>
          <w:lang w:bidi="ar-SA"/>
        </w:rPr>
        <w:t>الطبقة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عمر بن حنظلة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وهذا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الكافي</w:t>
      </w:r>
      <w:r>
        <w:rPr>
          <w:rStyle w:val="FootnoteAnchor"/>
          <w:rtl w:val="true"/>
        </w:rPr>
        <w:footnoteReference w:id="403"/>
      </w:r>
      <w:r>
        <w:rPr>
          <w:rFonts w:ascii="Amiri" w:hAnsi="Amiri" w:eastAsia="Amiri" w:cs="Amiri"/>
          <w:color w:val="111111"/>
          <w:sz w:val="28"/>
          <w:sz w:val="28"/>
          <w:szCs w:val="28"/>
          <w:rtl w:val="true"/>
          <w:lang w:bidi="ar-SA"/>
        </w:rPr>
        <w:t>بإسناد صحيح نقل الكليني واقعة عن محمّد بن مسلم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فحمل عمر بن حنظلة إلى أبي جعفر مقالتهما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المستدرك</w:t>
      </w:r>
      <w:r>
        <w:rPr>
          <w:rStyle w:val="FootnoteAnchor"/>
          <w:rtl w:val="true"/>
        </w:rPr>
        <w:footnoteReference w:id="404"/>
      </w:r>
      <w:r>
        <w:rPr>
          <w:rFonts w:ascii="IRNazanin" w:hAnsi="IRNazanin" w:eastAsia="IRNazanin"/>
          <w:color w:val="111111"/>
          <w:sz w:val="28"/>
          <w:sz w:val="28"/>
          <w:szCs w:val="28"/>
          <w:rtl w:val="true"/>
          <w:lang w:bidi="fa-IR"/>
        </w:rPr>
        <w:t xml:space="preserve">عن كتاب محمّد بن المثنى، عن جعفر بن محمّد بن شريح، عن ذريح المحاربي، عن عمر بن حنظلة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على قبر قيس بن فهد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مكارم الخلاق</w:t>
      </w:r>
      <w:r>
        <w:rPr>
          <w:rStyle w:val="FootnoteAnchor"/>
          <w:rtl w:val="true"/>
        </w:rPr>
        <w:footnoteReference w:id="405"/>
      </w:r>
      <w:r>
        <w:rPr>
          <w:rFonts w:ascii="IRNazanin" w:hAnsi="IRNazanin" w:eastAsia="IRNazanin"/>
          <w:color w:val="111111"/>
          <w:sz w:val="28"/>
          <w:sz w:val="28"/>
          <w:szCs w:val="28"/>
          <w:rtl w:val="true"/>
          <w:lang w:bidi="fa-IR"/>
        </w:rPr>
        <w:t>مرسلاً،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بصائر الدرجات</w:t>
      </w:r>
      <w:r>
        <w:rPr>
          <w:rStyle w:val="FootnoteAnchor"/>
          <w:rtl w:val="true"/>
        </w:rPr>
        <w:footnoteReference w:id="406"/>
      </w:r>
      <w:r>
        <w:rPr>
          <w:rFonts w:ascii="IRNazanin" w:hAnsi="IRNazanin" w:eastAsia="IRNazanin"/>
          <w:color w:val="111111"/>
          <w:sz w:val="28"/>
          <w:sz w:val="28"/>
          <w:szCs w:val="28"/>
          <w:rtl w:val="true"/>
          <w:lang w:bidi="fa-IR"/>
        </w:rPr>
        <w:t>، روى بسند فيه إرسال عن عمر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أظنّ أنَّ لي عندك منزلة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الموارد الثّلاثة الأخيرة وإنْ كان في طريقها ضعف ولكن بضمّها إلى الأوّل الذي هو طريق صحيح يتولّد الاطمئنان بأنّ عمر بن حنظلة من أصحاب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الطبقة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البعيد رواية صفوان وابن أبي عمير عنه لأنَّهما من الطبقة السّادسة، فتأمل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ويمكن تحصيل الاطمئنان بصدور هذه الرواية بتجميع القرائن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جهة وثاقة ابن حنظلة، أو من جهة خصوص هذه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ورد مدحه بلسان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يوجب وثاقته، حيث روى الكليني عن علي بن إبراهيم، عن محمد بن عيسى، عن يونس، عن يزيد بن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حنظلة أتانا عنك بوقت، فقال أبو عبد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لا يكذب علينا</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أشكل به على هذه الرواية من أنّه في سندها يزيد بن خليفة وهو غير موثوق، فيجاب عنه بأنّ يزيد بن خليفة وإن لم يوثق بالصراحة، لكن رواية صفوان عنه وحده كافية في توثيقه بناءً على أنّه لا يروى إلّا عن ثقة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حصول الاطمئنان بوثاقة يزيد بن خليفة يثبت ما ورد في حق عمر بن حنظلة من المدح، ويزيد احتمال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الأجلاء عنه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أيوب الخزاز، وزرارة، وحريز، وابن بكير، وابن مسكان، وغيرهم</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ورود أي قدح في حقه مع أنّه كثير الرواية، وهذا يدل على عدم اطلاعهم منه على أمر يقدح فيه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الأصحاب هذه الرواية كما ادّعى صاحب الجواهر</w:t>
      </w:r>
      <w:r>
        <w:rPr>
          <w:rStyle w:val="FootnoteAnchor"/>
          <w:rtl w:val="true"/>
        </w:rPr>
        <w:footnoteReference w:id="41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bookmarkStart w:id="355" w:name="pg9124_98625"/>
    </w:p>
    <w:p>
      <w:pPr>
        <w:pStyle w:val="BookText"/>
        <w:rPr/>
      </w:pPr>
      <w:bookmarkEnd w:id="355"/>
      <w:r>
        <w:rPr>
          <w:rFonts w:ascii="Amiri" w:hAnsi="Amiri" w:eastAsia="Amiri" w:cs="Amiri"/>
          <w:color w:val="111111"/>
          <w:sz w:val="28"/>
          <w:sz w:val="28"/>
          <w:szCs w:val="28"/>
          <w:rtl w:val="true"/>
          <w:lang w:bidi="ar-SA"/>
        </w:rPr>
        <w:t>لكنّه في الواقع لم يثبت قبول المتقدّمين لهذه الرواية بمضمونها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عمل بها الكثيرُ في باب تعارض الأدلة، وهو يفيد بضمّه مع غيره من القرائن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رواية تدلّ على منزلته عند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مرويته قال قلت لأبي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أظن أنّ لي عندك 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كانت غير معتبرة لأنّها مرسلة من جهة عدم ذكر اسم الراوي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أنّ الراوي هو الناقل لمدح نفسه فلا تكفي وحدها لإثبات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بأس بجعلها مؤيّدة لما قصدنا إثباته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والكلام نفسه فيما روى الكليني عن محمّد بن يحيى، عن أحمد بن محمد، عن علي بن الحكم، عن عمر بن حنظلة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عمر، لا تُحمّلوا على شيعتنا، وارفقوا بهم، فإنّ الناس لا يحتملون ما تحملون</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فبجميع ما تقدّم قد يحصل الاطمئنان بصدور هذه الرواية، والعمدة من هذه الأمور معتبرة يزيد بن خليفة التي تقدّم ذكرها، ولعلّه بالنظر إلى هذه الأمور وثّقه الشهيد الثاني في شرح الدراية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بن حنظلة لم ينصّ الأصحاب عليه بجرح ولا تعديل، لكن حقّق توثيقه من محل آخر</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6" w:name="__RefHeading___Toc2933336_2870459653"/>
      <w:bookmarkStart w:id="357" w:name="_Toc140"/>
      <w:bookmarkEnd w:id="356"/>
      <w:r>
        <w:rPr>
          <w:rtl w:val="true"/>
        </w:rPr>
        <w:t>الجهة الثّانية</w:t>
      </w:r>
      <w:bookmarkEnd w:id="357"/>
    </w:p>
    <w:p>
      <w:pPr>
        <w:pStyle w:val="BookText"/>
        <w:rPr/>
      </w:pPr>
      <w:r>
        <w:rPr>
          <w:rFonts w:ascii="Amiri" w:hAnsi="Amiri" w:eastAsia="Amiri" w:cs="Amiri"/>
          <w:color w:val="111111"/>
          <w:sz w:val="28"/>
          <w:sz w:val="28"/>
          <w:szCs w:val="28"/>
          <w:rtl w:val="true"/>
          <w:lang w:bidi="ar-SA"/>
        </w:rPr>
        <w:t>الإيراد على هذه الرواية بأنّها تتضمّن أموراً تخالف ما هو مسلّم عند فقهاء المذهب وهي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دلّت على جواز الترافع في الواقعة الواحدة إلى الحكّام المتعددين، ولازمه جواز</w:t>
      </w:r>
    </w:p>
    <w:p>
      <w:pPr>
        <w:pStyle w:val="BookText"/>
        <w:rPr/>
      </w:pPr>
      <w:r>
        <w:rPr>
          <w:rFonts w:ascii="Amiri" w:hAnsi="Amiri" w:eastAsia="Amiri" w:cs="Amiri"/>
          <w:color w:val="111111"/>
          <w:sz w:val="28"/>
          <w:sz w:val="28"/>
          <w:szCs w:val="28"/>
          <w:rtl w:val="true"/>
          <w:lang w:bidi="ar-SA"/>
        </w:rPr>
        <w:t>فصل الخصومة بالحكم الصادر منهم، وهو خلاف ظاهر الأصحاب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 على نفوذ حكم الحاكم الثّاني بعد صدور الحكم من الأوَّل، وهو ممّا تسالم الأصحاب على عدم صحّته، وحَمْله على صدور الحكمين معاً حملُ على الفرد النادر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 على اجتماع صفات أربع، وظاهر الأصحاب الاكتفاء بالأعلمية فقط، فإذا أريد العمل بها فيجب رعاية هذه الأوصاف كلّها لا الأفقهية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 على لزوم نظر المترافعَين إلى مدرك الحكم من الروايات من جهة كونها موافقة للمشهور أو مخالفة له، وليس هذا من شأنهم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تدلّ على أنّ كلّ واحد من الحَكَمين غافل عن معارض ما حكم 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يناسب العنوان المذكور في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ظاهرة في تقديم الترجيح من حيث صفات الراوي على الترجيح بالشهرة على الشذوذ في الرواية، مع أنَّ عمل العلماء قديماً وحديثاً على العكس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مقتضى اختلافهما هو تساقط كلا القولين لا ترجيح أحدهما على الآخر</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أُجيب أو يمكن أنْ يجاب عن هذه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عن الأوَّل فإنّ الرواية وردت في قاضي التحكيم مع رضا الطرفين بأكثر من واحد، والحكم بالرجوع إلى قاضي التحكيم بيد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أو أكثر، ولا دليل يمنع من هذا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 الثّاني فإنّ الرواية وردت أساساً في نظر الحَكَمين معاً في قضية واحدة لا بالتقدّم والتأخر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من قبيل الحمل على الفرد النادر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عن الثّالث فإنّه عطفُ تفسيرٍ بين الصفات، فالمراد هو كونه أعدل وأصدق وأورع في الحديث والفتوى بمناسبة المقام؛ لوضوح عدم مدخلية مطلق الصدق في الفتوى، وهذا ليس غير كونه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يخلو عن تكلّف؛ لأنّ الأعدلية والأورعية صفتان تتعلقان بالرواية من حيث النقل والتطبيق، والأفقهية تتعلّق بها من حيث الدلالة، فلما كان كلّ واحد من الفقيهين اختير من قبل أحد المترافعين فقد يميل طبعاً كلّ واحد إلى صاحبه، ففي مثل هذا المورد كما يحتاج إلى الأفقه كذلك يحتاج إلى كونه أعدل وأورع حتى لا يتسامح في مقام التطبيق بعد فهم صحيح، فهي صفة أخرى غير الأفقهية لترجيح قول أحدهما مع الأفقهية على قول الآخر في مقام فصل النزاع ولا نحتاج إليها في مجرد الاستفتاء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المناسب أنّ ظاهر الأصحاب من الاكتفاء بالأعلمية هو خاصّ بمقام الاستفتاء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تتعلّق بمقام فصل النزاع، فهي دلت على إعمال المرجّح العقلائي حسب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الرابع فهي غير ظاهرة في إلزام المترافعين المباشرة في تشخيص الأفقه والأعدل، أو الرواية المشهورة والشاذة، بل لا تمنع من وصولهم إلى هذا ولو بواسطة من عنده خبرة بهذه الأمور، فينتهون إلى النتيجة بالرجوع إلى ثالث، فيكون مفادها أنّه مع اختلاف الفقيهين يُرجّح قول من رجّح قوله أهل الخبرة بالروايات ومعرفة الشخصيات بالرجوع إلى المرجّحات المذكورة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عن الخامس فإنّ الكلام في مجرد فرضٍ فرضه السائل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يستلزم شيوع وقوعه، وندرة وقوعه لا استبعاد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يستلزم غفلتهما عن المعارض، بل يحتمل أنّ هذا مختاره من المتعارضين</w:t>
      </w:r>
      <w:r>
        <w:rPr>
          <w:rFonts w:eastAsia="Amiri" w:cs="Amiri" w:ascii="Amiri" w:hAnsi="Amiri"/>
          <w:color w:val="111111"/>
          <w:sz w:val="28"/>
          <w:szCs w:val="28"/>
          <w:rtl w:val="true"/>
          <w:lang w:bidi="ar-SA"/>
        </w:rPr>
        <w:t xml:space="preserve">. </w:t>
      </w:r>
      <w:bookmarkStart w:id="358" w:name="pg9124_98628"/>
    </w:p>
    <w:p>
      <w:pPr>
        <w:pStyle w:val="BookText"/>
        <w:rPr/>
      </w:pPr>
      <w:bookmarkEnd w:id="358"/>
      <w:r>
        <w:rPr>
          <w:rFonts w:ascii="Amiri" w:hAnsi="Amiri" w:eastAsia="Amiri" w:cs="Amiri"/>
          <w:color w:val="111111"/>
          <w:sz w:val="28"/>
          <w:sz w:val="28"/>
          <w:szCs w:val="28"/>
          <w:rtl w:val="true"/>
          <w:lang w:bidi="ar-SA"/>
        </w:rPr>
        <w:t>وأمّا عن السّادس فيمكن أنْ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المقام مختلف عن المقام الذي هو محل تسالم المشهور على تقديم الترجيح بالشهرة؛ لأنّ الثاني هو مقام الاستنباط مع وجود الأخبار المتعارضة، وما هو مورد الرواية هو اختلاف الحَكَمين في مقام الحكومة وفصل النزاع لا مجرد الإفتاء، فاختلاف المقامين اقتضى اختلاف تقديم بعض المرجحات على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السّابع فنسلّم أنّ مقتضى القاعدة هو التساقط، لكنَّ الشارع سلب الحجيّة عن قول غير الأعلم حين معارضته بقول من هو أعلم منه في مقام القضاء، فلا معارض لقول الأعلم حتى يتساقطا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فتبيّن ممّا ذكر أنّه لا وجه لطرح هذه الرواية من هذه الجهة؛ إذ لا ظهور لها في أمر متسالم على بطلانه</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2933338_2870459653"/>
      <w:bookmarkStart w:id="360" w:name="_Toc141"/>
      <w:bookmarkEnd w:id="359"/>
      <w:r>
        <w:rPr>
          <w:rtl w:val="true"/>
        </w:rPr>
        <w:t>الجهة الثّالثة</w:t>
      </w:r>
      <w:bookmarkEnd w:id="360"/>
    </w:p>
    <w:p>
      <w:pPr>
        <w:pStyle w:val="Heading6"/>
        <w:numPr>
          <w:ilvl w:val="5"/>
          <w:numId w:val="1"/>
        </w:numPr>
        <w:rPr/>
      </w:pPr>
      <w:bookmarkStart w:id="361" w:name="__RefHeading___Toc2933340_2870459653"/>
      <w:bookmarkStart w:id="362" w:name="_Toc142"/>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قد يقال، بل، قيل بعدم تمامية دلالتها على المدعى لوجهين</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2933342_2870459653"/>
      <w:bookmarkStart w:id="364" w:name="_Toc143"/>
      <w:bookmarkEnd w:id="363"/>
      <w:r>
        <w:rPr>
          <w:rtl w:val="true"/>
        </w:rPr>
        <w:t>الأوَّل</w:t>
      </w:r>
      <w:bookmarkEnd w:id="36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دلت على الترجيح بالأفقهية في باب القضاء، ولا يصحّ التعدي إلى باب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بابان مستقلان، لكل واحد منهما أحكام خاصّة، ووجه الحاجة الى كل واحد منهما مختلف، ومقتضى أحدهما غير مقتضى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بوحدة المناط في البابين لأنّا لا ندركه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بعدم الخصوصية؛ لأنّها محتملة جداً، وهي أنّ القضاء لا يمكن إلّا بتعيين القاضي، ولا يعقل التخيير فيه، وأنّ القاضي لا بُدّ من تعدّده؛ لعدم إمكان كفاية الواحد لجميع البلدان بخلاف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بعدم القول بالفصل؛ لأنّه غير كافٍ، بل نحتاج إلى القول بعدم الفصل وهو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بالتلازم العرفي في البابين، ولذا يجوز مراجعة </w:t>
      </w:r>
      <w:bookmarkStart w:id="365" w:name="pg9124_98629"/>
    </w:p>
    <w:p>
      <w:pPr>
        <w:pStyle w:val="BookText"/>
        <w:rPr/>
      </w:pPr>
      <w:bookmarkEnd w:id="365"/>
      <w:r>
        <w:rPr>
          <w:rFonts w:ascii="Amiri" w:hAnsi="Amiri" w:eastAsia="Amiri" w:cs="Amiri"/>
          <w:color w:val="111111"/>
          <w:sz w:val="28"/>
          <w:sz w:val="28"/>
          <w:szCs w:val="28"/>
          <w:rtl w:val="true"/>
          <w:lang w:bidi="ar-SA"/>
        </w:rPr>
        <w:t>مجتهد إلى آخر في القضاء دون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يجوز لمجتهد أن يفتي بغير ما افتى به الأوَّل، ولا يجوز في القضاء</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6" w:name="__RefHeading___Toc2933344_2870459653"/>
      <w:bookmarkStart w:id="367" w:name="_Toc144"/>
      <w:bookmarkEnd w:id="366"/>
      <w:r>
        <w:rPr>
          <w:rtl w:val="true"/>
        </w:rPr>
        <w:t>الثّاني</w:t>
      </w:r>
      <w:bookmarkEnd w:id="367"/>
    </w:p>
    <w:p>
      <w:pPr>
        <w:pStyle w:val="BookText"/>
        <w:rPr/>
      </w:pPr>
      <w:r>
        <w:rPr>
          <w:rFonts w:ascii="Amiri" w:hAnsi="Amiri" w:eastAsia="Amiri" w:cs="Amiri"/>
          <w:color w:val="111111"/>
          <w:sz w:val="28"/>
          <w:sz w:val="28"/>
          <w:szCs w:val="28"/>
          <w:rtl w:val="true"/>
          <w:lang w:bidi="ar-SA"/>
        </w:rPr>
        <w:t>إنّه بعد تسليم التعدي فهي لا تدلّ على وجوب الرجوع إلى الأعلم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دلت على التخيير، فيجوز أنْ يختار الاثنين من المفضولين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اختلفا فيتعيّن الرجوع إلى أفقههما، لا الأفقه من جميع الفقهاء، فهو أعلم نسبي لا مطلقاً، والمطلوب هو الثاني</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يصلح للجواب عن الوجه الأوَّل ما جاء في كلمات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أنّ المرجّحات في الرواية ليست مختصّةً بباب القضاء، بل هي في مقام الفتوى مطلقاً، والشاهد على ذلك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الحكم هنا بمعناه اللغوي، وهو يشمل الإفتاء كما جاء في مقام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أنّه أصبح حقيقة شرعية في معناه الجديد وهو الحكومة والفصل في مقام النزاع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كلاهما اختلفا في حديثكم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يتبادر منه أنّه بيان للاختلاف في الفتوى، والاختلاف في الحكم نفسه ليس اختلافاً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الاختلاف في الفتوى اختلاف في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 ما حَكَم به أصدقهما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صدق الحديث إنّما يناسب أنْ يكون مرجّحاً للفتوى التي هي بمنزلة الحديث دون القضاء، وكون المورد مورد المنازعة لا يستلزم أنْ يكون المراد هو القضاء؛ لأنّ النزاع ربما ينشأ من جهة </w:t>
      </w:r>
    </w:p>
    <w:p>
      <w:pPr>
        <w:pStyle w:val="BookText"/>
        <w:rPr/>
      </w:pPr>
      <w:r>
        <w:rPr>
          <w:rFonts w:ascii="Amiri" w:hAnsi="Amiri" w:eastAsia="Amiri" w:cs="Amiri"/>
          <w:color w:val="111111"/>
          <w:sz w:val="28"/>
          <w:sz w:val="28"/>
          <w:szCs w:val="28"/>
          <w:rtl w:val="true"/>
          <w:lang w:bidi="ar-SA"/>
        </w:rPr>
        <w:t>الاشتباه في الحكم، والظاهر أنّ نزاع الرجلين من هذا القبيل، وإلّا لما كانت الحاجة إلى اختيار رجلين؛ لأنّ فصل الخصومة يحصل بحكم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 إلى ما كان من رواياتهم عنّا في ذلك الذي حكم به المُجمع عليه عند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يناسب تعارض الحكم المصطلح لوجهين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شغل المترافعين النظر في مدرك الحَكَمَين، والاجتهاد في ترجيح أحدهما على الآخر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 حكمان ولا يكون لأحدهما مزيّة فالحكم للأسبق، بل لا يبقى للثّاني مجال، ومع صدورهما معاً يتساقطان</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المحاولة غير تامّة لعدم صلاحية الشواهد للشهادة على المدعى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سلّمنا عدم ثبوت الحقيقة الشرعية فيها، لكن توجد في المقام قرائن تعيّن معناه المصطلح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كلمة التحاكم في الرواية، والحكم المترتب على التحاكم هو بهذا المعنى لا الفتوى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فليرضوا به حَكَماً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 مفتياً والحكم الصادر من الحَكَم ليس هو مجرد فتوى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جعلته عليكم حاكماً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موردها التنازع ثم الترافع، وهو ظاهر في أنّ الحكم هو تحديد ما يفصل به النزاع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الفقيهين معاً للنظر في القضية، فإنّه لا يناسب إلا القضاء؛ لأنّه لا معنى للاستفتاء من فقيهين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الاختلاف في الفتوى فقط هو الذي قد يرجع إلى الاختلاف في الحديث، بل الاختلاف في الحكم أيضاً قد يكون مرجعه الاختلاف في الحديث، فحتى لو سلّمنا بأنّه كان اختلاف الفقيهين في الفتوى فتبقى خصوصيّة كونه في مقام فصل الخصومة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الفقيه أصدق في الحديث كما يناسب الترجيح في الفتوى كذلك يناسب الترجيح في القضاء؛ لأنّه أيضاً يسند ما حكم به إلى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المراد هو كونه أصدق في مطلق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المراد في الروايات بالخصوص فهو أيضاً لا يختص بالفتوى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ففي وجهه الأوَّل أنّ السؤال يتوجه حتى على الاحتمال الثّاني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في الاختلاف في الفتوى فأيضاً ليس من شأن المستفتين الاجتهاد في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وجهه الثاني ما تقدّم من أنّ مقتضى القاعدة وإن كان هو التساقط، لكنّ الشارع لم يعتبر حكم غير الأفقه معارضاً لحكم الأفقه في مقام حسم النزاع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الصعوبة جداً تجريد الرواية عن مورد القضاء، وعلى تقدير التسليم فخصوصية الفتوى في حلّ التنازع محفوظة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بعد كل هذا أنّ المترافعين وإنْ رجعوا إلى الفقيهين لفصل الحكومة والحكم في حقّ أحدهما، ولكن 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اختلف في حديثكم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منشأ الاختلاف في الحكم بينهما هو اختلافهما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فالمرجّحات المذكورة هي مرجّحات لفتوى أحدهما على فتوى الآخر، لكنّها في مقام حسم النزاع لا </w:t>
      </w:r>
    </w:p>
    <w:p>
      <w:pPr>
        <w:pStyle w:val="BookText"/>
        <w:rPr/>
      </w:pP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 ما ذكر من طرق التعميم لمطلق الفتوى؛ لأنّ حجية الفتوى في هذا المقام قد يقال بأنّها تستلزم حجيتها مطلقاً، لكن عدم حجية فتوى المفضول هنا لا تستلزم عدمها مطلقاً لعدم معقولية التخيير في المقام ومعقوليته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حصل الاطمئنان بعدم خصوصية مقام القضاء تعمّ المقبولة لمقام الفتوى مطلقاً، وإلّا فلا يمكن التمسّك بها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يبعّد التفريق بين المقامين هو أنّ رجوع المكلّف إلى المفضول في مسائل العقود والحقوق والقروض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يقع التنازع فيها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بالاختلاف بينه وبين الأعلم منه في هذه المسائل إذا كان في حال التنازع مع شخص آخر لا يجوز لأنّه لا تكون فتواه حجّة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في هذا الحال فيجوز له أنْ يعمل بفتواه، فكيف يعقل أنّ الفتوى الواحدة حجّة ومبرئة للذمة في حالٍ، وليس كذلك في حالٍ آخر بالنسبة إلى مكلّف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فقد يقال إنّ التفريق بين المقامين ليس من المتفاهم العرفي من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الوجه الثّاني فيمكن الجواب عنه بأنّ المقصود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التقديم بمناط الأفقهية مع العلم بالاختلاف مع قطع النظر عمّن أفتى في الأمر أ هما اثنان أو أكثر؟ وإنْ كان المفروض في الرواية هو التحاكم إلى الاثنين والعلم بالاختلاف بينهما كما يدلّ عليه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حكم به أفقههما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ليس للعدد خصوصيّة، فلو فرض في الرواية ثلاثة حكّام أو أكثر واختلفوا بينهم كان الحكم هو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المتفاهم العرفي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تقدير تسليم عمومية المقبولة للمورد فهي لا تثبت عدم حجيّة قول غير الأفقه مطلقاً، بل على تقدير العلم بوجود الأفقه والعلم بوجود الاختلاف بينهما، وعلى </w:t>
      </w:r>
      <w:bookmarkStart w:id="368" w:name="pg9124_98633"/>
    </w:p>
    <w:p>
      <w:pPr>
        <w:pStyle w:val="BookText"/>
        <w:rPr/>
      </w:pPr>
      <w:bookmarkEnd w:id="368"/>
      <w:r>
        <w:rPr>
          <w:rFonts w:ascii="Amiri" w:hAnsi="Amiri" w:eastAsia="Amiri" w:cs="Amiri"/>
          <w:color w:val="111111"/>
          <w:sz w:val="28"/>
          <w:sz w:val="28"/>
          <w:szCs w:val="28"/>
          <w:rtl w:val="true"/>
          <w:lang w:bidi="ar-SA"/>
        </w:rPr>
        <w:t>هذا فهي على فرض تماميتها دليل على القول الثّالث لا الأوَّل، بل صدرها ظاهر في حجيّة قول كل فقيه في حدّ نفسه مع قطع النظر عن طروء هذه الحالة، كما سيأتي في أدلة الطرف الآخر</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2933346_2870459653"/>
      <w:bookmarkStart w:id="370" w:name="_Toc145"/>
      <w:bookmarkEnd w:id="369"/>
      <w:r>
        <w:rPr>
          <w:rtl w:val="true"/>
        </w:rPr>
        <w:t>الثانية</w:t>
      </w:r>
      <w:bookmarkEnd w:id="370"/>
    </w:p>
    <w:p>
      <w:pPr>
        <w:pStyle w:val="BookText"/>
        <w:rPr/>
      </w:pPr>
      <w:r>
        <w:rPr>
          <w:rFonts w:ascii="IRNazanin" w:hAnsi="IRNazanin" w:eastAsia="IRNazanin"/>
          <w:color w:val="111111"/>
          <w:sz w:val="28"/>
          <w:sz w:val="28"/>
          <w:szCs w:val="28"/>
          <w:rtl w:val="true"/>
          <w:lang w:bidi="fa-IR"/>
        </w:rPr>
        <w:t xml:space="preserve">روى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الحصين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رجلين اتفقا على عدلين جعلاهما بينهما في حكم وقع بينهما فيه خلاف، فرضيا بالعدلين، فاختلف العدلان بينهما، عن قول أيهما يمضي الحكم؟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أفقههما وأعلمهما بأحاديثنا وأورعهما فينفذ حكمه ولا يلتفت إلى الآخر</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1" w:name="__RefHeading___Toc2933348_2870459653"/>
      <w:bookmarkStart w:id="372" w:name="_Toc146"/>
      <w:bookmarkEnd w:id="371"/>
      <w:r>
        <w:rPr>
          <w:rtl w:val="true"/>
        </w:rPr>
        <w:t>الثالثة</w:t>
      </w:r>
      <w:bookmarkEnd w:id="372"/>
    </w:p>
    <w:p>
      <w:pPr>
        <w:pStyle w:val="Heading6"/>
        <w:numPr>
          <w:ilvl w:val="5"/>
          <w:numId w:val="1"/>
        </w:numPr>
        <w:rPr/>
      </w:pPr>
      <w:bookmarkStart w:id="373" w:name="__RefHeading___Toc2933350_2870459653"/>
      <w:bookmarkStart w:id="374" w:name="_Toc147"/>
      <w:bookmarkEnd w:id="373"/>
      <w:r>
        <w:rPr>
          <w:rtl w:val="true"/>
        </w:rPr>
        <w:t>اشارة</w:t>
      </w:r>
      <w:bookmarkEnd w:id="374"/>
    </w:p>
    <w:p>
      <w:pPr>
        <w:pStyle w:val="BookText"/>
        <w:rPr/>
      </w:pPr>
      <w:r>
        <w:rPr>
          <w:rFonts w:ascii="IRNazanin" w:hAnsi="IRNazanin" w:eastAsia="IRNazanin"/>
          <w:color w:val="111111"/>
          <w:sz w:val="28"/>
          <w:sz w:val="28"/>
          <w:szCs w:val="28"/>
          <w:rtl w:val="true"/>
          <w:lang w:bidi="fa-IR"/>
        </w:rPr>
        <w:t xml:space="preserve">ذكر الشيخ في التهذيب بإسناده عن موسى بن أكيل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تقدّم في الثانية مع فارق بسيط، وبدون ذكر صفة الأورع</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التهذيب ضعيفة السند؛ لأنّ الشيخ رواها بسنده عن محمد بن علي بن محبوب، عن محمد بن الحسين، عن ذبيان بن حكيم الأودي، عن موسى بن أكيل النميري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وذبيان بن حكيم لم يوثّق، بل قال ابن الغضائري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أنّ أمره مختلط</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يمكن أنْ يناقش في سند رواية الفقيه من جهتين</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2933352_2870459653"/>
      <w:bookmarkStart w:id="376" w:name="_Toc148"/>
      <w:bookmarkEnd w:id="375"/>
      <w:r>
        <w:rPr>
          <w:rtl w:val="true"/>
        </w:rPr>
        <w:t>الأولى</w:t>
      </w:r>
      <w:bookmarkEnd w:id="37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طريق الصدوق في مشيخته إلى داود بن الحصين فيه الحكم بن مسكين</w:t>
      </w:r>
      <w:r>
        <w:rPr>
          <w:rStyle w:val="FootnoteAnchor"/>
          <w:rtl w:val="true"/>
        </w:rPr>
        <w:footnoteReference w:id="422"/>
      </w:r>
      <w:bookmarkStart w:id="377" w:name="pg9124_98634"/>
    </w:p>
    <w:p>
      <w:pPr>
        <w:pStyle w:val="BookText"/>
        <w:rPr/>
      </w:pPr>
      <w:bookmarkEnd w:id="377"/>
      <w:r>
        <w:rPr>
          <w:rFonts w:ascii="Amiri" w:hAnsi="Amiri" w:eastAsia="Amiri" w:cs="Amiri"/>
          <w:color w:val="111111"/>
          <w:sz w:val="28"/>
          <w:sz w:val="28"/>
          <w:szCs w:val="28"/>
          <w:rtl w:val="true"/>
          <w:lang w:bidi="ar-SA"/>
        </w:rPr>
        <w:t>وهو لم يوثّق في الكتب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الإجابة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بن مسكين وإنْ لم يوثّق في الكتب الرجالية لكن روى عنه البزنطي وابن أبي عمير</w:t>
      </w:r>
      <w:r>
        <w:rPr>
          <w:rStyle w:val="FootnoteAnchor"/>
          <w:rtl w:val="true"/>
        </w:rPr>
        <w:footnoteReference w:id="423"/>
      </w:r>
      <w:r>
        <w:rPr>
          <w:rFonts w:ascii="Amiri" w:hAnsi="Amiri" w:eastAsia="Amiri" w:cs="Amiri"/>
          <w:color w:val="111111"/>
          <w:sz w:val="28"/>
          <w:sz w:val="28"/>
          <w:szCs w:val="28"/>
          <w:rtl w:val="true"/>
          <w:lang w:bidi="ar-SA"/>
        </w:rPr>
        <w:t>وروايتهما عن شخص دليل وثاقته، فعلى هذا المبنى يمكن إثبات وثاقته</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2933354_2870459653"/>
      <w:bookmarkStart w:id="379" w:name="_Toc149"/>
      <w:bookmarkEnd w:id="378"/>
      <w:r>
        <w:rPr>
          <w:rtl w:val="true"/>
        </w:rPr>
        <w:t>الثانية</w:t>
      </w:r>
      <w:bookmarkEnd w:id="379"/>
    </w:p>
    <w:p>
      <w:pPr>
        <w:pStyle w:val="BookText"/>
        <w:rPr/>
      </w:pPr>
      <w:r>
        <w:rPr>
          <w:rFonts w:ascii="Amiri" w:hAnsi="Amiri" w:eastAsia="Amiri" w:cs="Amiri"/>
          <w:color w:val="111111"/>
          <w:sz w:val="28"/>
          <w:sz w:val="28"/>
          <w:szCs w:val="28"/>
          <w:rtl w:val="true"/>
          <w:lang w:bidi="ar-SA"/>
        </w:rPr>
        <w:t xml:space="preserve">لو سلّمنا أنّ طريق الصدوق إلى داود بن الحصين صحيح، لكنّه لا يشمل هذه الرواية؛ لأنّ الصدوق رواها بلفظ روي عن ابن داود، ولا نعلم بشمول طرق الصدوق في المشيخة لأمثال هذه الروايات كما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أجاب عن هذا الإشكال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الدليل القطعي قام على شمول طرق الصدوق في المشيخة لمثل هذه الروايات المروية في الفقيه، وهو أنّ جملة ممّن ذَكر طرقَه إليهم في المشيخة هم أشخاص لم يبتدئ بأسمائهم في الفقيه إلّا باللفظ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روي عن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أسماءهم بالتفصيل فيمكن مراجعة كلامه في بحوثه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لا إشكال في رواية الفقيه من حيث السند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حيث الدلالة فوجهها فيها هو وجه الدلالة في الأولى والإيرادات هي الإيرادات، فإنْ قلنا بتماميتها تمت هنا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بالنسبة إلى الوجه الأوَّل في تقريب الدلالة وهو البناء على التعميم بوحدة المناط، أو إلغاء الخصوصية بعد القبول بأنّها في مقام القضاء والحكومة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بناءً على أنّ مقبولة ابن حنظلة يُستظهر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بقرائن تقدمت الإشارة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ناظرة إلى الاختلاف في الفتوى في مورد النزاع فحينئذٍ تكون هي بمفردها دالة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يأتي هذا الوجه في الثانية والثالثة؛ لعدم وجود قرائن فيها تدل على أأنّ الاختلاف بين الفقيهين هو اختلاف في الفتوى، بل ظاهرهما أنّه اختلاف في الحكم، 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اتفاقهم على عدلين، فإنّه يقع عادة في محل الفصل وحسم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أيّهما 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يعبّر عنه قول أيّهما يصح أو يؤخذ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فينفذ 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الكلمة ظاهرة في مقام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لم يتمّ الوجه الأوَّل عندنا فلا تصلح الأخيرتان للاستدلال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دعوى الملازمة العرفية بين المقامين يمكن تعميمها للمورد كما تقدّم في المقبولة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مجموعة أخرى من الروايات استدل بها على المدعى، لكن أكثرها ضعيفة السند، وهي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في الولاية والحكومة، وإمّا في القضاء، وإمّا في التصدي للإمامة الكبرى قبال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ولوضوح عدم تماميتها مستنداً للدعوى لا نطيل الكلام بذكرها وذكر ما فيها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يدعى تماميّة ما رواه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العيص بن القاسم،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بتقوى الله وحده لا شريك له، وانظروا لأنفسكم فوالله إنّ الرجل ليكون له الغنم فيها الراعي فإذا وجد رجلاً هو أعلم بغنمه من الذي هو فيها يخرجه ويجيئ بذلك الرجل الذي هو أعلم بغنمه من الذي كان فيها</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380" w:name="pg9124_98636"/>
    </w:p>
    <w:p>
      <w:pPr>
        <w:pStyle w:val="BookText"/>
        <w:rPr/>
      </w:pPr>
      <w:bookmarkEnd w:id="380"/>
      <w:r>
        <w:rPr>
          <w:rFonts w:ascii="IRNazanin" w:hAnsi="IRNazanin" w:eastAsia="IRNazanin"/>
          <w:color w:val="111111"/>
          <w:sz w:val="28"/>
          <w:sz w:val="28"/>
          <w:szCs w:val="28"/>
          <w:rtl w:val="true"/>
          <w:lang w:bidi="fa-IR"/>
        </w:rPr>
        <w:t xml:space="preserve">وهذه الرواية وإنْ كانت معتبرة سنداً؛ لأنّ الكليني رواها عن علي بن إبراهيم، عن أبيه، عن صفوان بن يحيى، عن العيص بن القاسم،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وكلهم ثقاة، لكنّها غير تامة الدلالة؛ لأنّه بالنظر إلى مجموع ما ورد فيها يتبيّن أنّها في مقام خاصّ، وهو أنّه إذا خرج شخص يدعو إلى نفسه وهناك من هو أعلم منه فلا يجوز الخروج معه بترك من هو أعلم منه فهي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في الإمامة الكبرى بخصوصها، أو في مطلق الرئاسة والحكومة ولا علاقة لها بالفتوى، كما لا يخفى</w:t>
      </w:r>
      <w:r>
        <w:rPr>
          <w:rFonts w:eastAsia="IRNazanin" w:cs="IRNazanin"/>
          <w:color w:val="111111"/>
          <w:sz w:val="28"/>
          <w:szCs w:val="28"/>
          <w:rtl w:val="true"/>
          <w:lang w:bidi="fa-IR"/>
        </w:rPr>
        <w:t>.</w:t>
      </w:r>
    </w:p>
    <w:p>
      <w:pPr>
        <w:pStyle w:val="Heading5"/>
        <w:numPr>
          <w:ilvl w:val="4"/>
          <w:numId w:val="1"/>
        </w:numPr>
        <w:rPr/>
      </w:pPr>
      <w:bookmarkStart w:id="381" w:name="__RefHeading___Toc2933356_2870459653"/>
      <w:bookmarkStart w:id="382" w:name="_Toc150"/>
      <w:bookmarkEnd w:id="381"/>
      <w:r>
        <w:rPr>
          <w:rtl w:val="true"/>
        </w:rPr>
        <w:t>الدليل الثالث</w:t>
      </w:r>
      <w:r>
        <w:rPr>
          <w:rtl w:val="true"/>
        </w:rPr>
        <w:t xml:space="preserve">: </w:t>
      </w:r>
      <w:r>
        <w:rPr>
          <w:rtl w:val="true"/>
        </w:rPr>
        <w:t>الأقربيّة إلى الواقع</w:t>
      </w:r>
      <w:bookmarkEnd w:id="382"/>
    </w:p>
    <w:p>
      <w:pPr>
        <w:pStyle w:val="BookText"/>
        <w:rPr/>
      </w:pPr>
      <w:r>
        <w:rPr>
          <w:rFonts w:ascii="Amiri" w:hAnsi="Amiri" w:eastAsia="Amiri" w:cs="Amiri"/>
          <w:color w:val="111111"/>
          <w:sz w:val="28"/>
          <w:sz w:val="28"/>
          <w:szCs w:val="28"/>
          <w:rtl w:val="true"/>
          <w:lang w:bidi="ar-SA"/>
        </w:rPr>
        <w:t>ممّا استدل به على وجوب الرجوع إلى الأعلم هو أنّ فتواه أقرب إلى الواقع، فيجب إتباعه؛ لأنّ المطلوب في العمل بفتوى الفقيه هو الوصول إلى الواقع، فكما أنّ المجتهد نفسه يتبع أقوى الأمارتين حين التعارض بينهما، فكذلك على المكلّف العامّي إذا وقع التعارض في فتوى الفقيهين؛ لأنّ فتوى المجتهد بمنزلة الأمارة عند المكلّف</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نوقش في هذا الدليل من حيث الصغرى والكبرى من قبل غير واحد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الصغرى فإنّ فتوى غير الأعلم قد تكون أقرب إلى الواقع من فتوى الأعلم إذا وافقت فتوى الأعلم الميت، أو الاحتياط، أو جماعة من الفقهاء من المعاصرين، أو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الكبرى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مطلق الأقربية إلى الواقع لم يقم الدليل على كونها من المرجّحات، لأنّها لا تعدو الظن، ومناط جواز التقليد ليس هو الظن، بل هو تعبّد بأمر الشارع وإنْ كان </w:t>
      </w:r>
    </w:p>
    <w:p>
      <w:pPr>
        <w:pStyle w:val="BookText"/>
        <w:rPr/>
      </w:pPr>
      <w:r>
        <w:rPr>
          <w:rFonts w:ascii="Amiri" w:hAnsi="Amiri" w:eastAsia="Amiri" w:cs="Amiri"/>
          <w:color w:val="111111"/>
          <w:sz w:val="28"/>
          <w:sz w:val="28"/>
          <w:szCs w:val="28"/>
          <w:rtl w:val="true"/>
          <w:lang w:bidi="ar-SA"/>
        </w:rPr>
        <w:t>على نحو الطريقية كحجيّة البيّنة وغيرها من الطرق التي تثبت حجيّتها بالشرع تعبّداً، فكما لم يكن المطلوب هو الواقع بما هو هو بل بطريق خاص يوصل إليه، فكذلك مع تعارض الحجّتين ليس المناط في المرجّح مطلق الأقربية، بل المرجّحات الخاصة الثابتة بالدليل تعبّداً، كما هو الحال في الأمارات على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مدارك الفتوى ليست هي الأدلة الاجتهادية دائماً، بل قد تكون بالأصول العملية، فالدليل مع عدم تماميته يكون أخصّ من المدعى</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والمناقشة الأولى في الكبرى يمكن أنْ يجاب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مدخلية الأقربية إلى الواقع ينافي طريقيّة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الأدلة على وجوب الرجوع إلى الأعلم هو سيرة العقلاء كما اعترف بعض القائلين به، والعقلاء يرجّحون قول الأعلم في بقية المجالات من جهة أنّه أقرب إلى الواقع لا من جهة أنّ لقوله موضوعيّة، 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 فلم ينكر أحد مدخليّة الأقربيّة إلى الواقع في حجيّة الحجّة، أو ترجيح إحداهما على الأخرى في الجملة، لكنّ الكلام في مطلق الأقربية إلى الواقع بأي طريق حصلت، بمعنى أنّها تكون مناطاً من دون الحاجة إلى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رجوع إلى السيرة العقلائية، فإنْ تمت فتكون هي المرجع لا الأقربية إلى الواقع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ملازمة بين رجوعهم في الأمور العملية الأخرى إلى ما هو أقرب إلى الواقع وبين الأحكام الشرعية؛ لأنّ العقلاء إذا وجدوا باباً مفتوحاً إلى الواقع يمكن </w:t>
      </w:r>
    </w:p>
    <w:p>
      <w:pPr>
        <w:pStyle w:val="BookText"/>
        <w:rPr/>
      </w:pPr>
      <w:r>
        <w:rPr>
          <w:rFonts w:ascii="Amiri" w:hAnsi="Amiri" w:eastAsia="Amiri" w:cs="Amiri"/>
          <w:color w:val="111111"/>
          <w:sz w:val="28"/>
          <w:sz w:val="28"/>
          <w:szCs w:val="28"/>
          <w:rtl w:val="true"/>
          <w:lang w:bidi="ar-SA"/>
        </w:rPr>
        <w:t>الإشراف منه عليه تجدهم يسلكون كلّ ما هو أقرب إلى ذلك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هذا على مِثل المقام، لأنّه لا يمكن الاطلاع على الواقع، بل مجرد تعبّد بالطرق المرسومة من قبل الشارع وإن كان الكاشف عنها بناء العقلاء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فتوى كل من الأعلم وغيره وإنْ كانت حجّة لشمول إطلاق أدلة التقليد لهما، لكن مع وجود الاختلاف بينهما يحتمل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بقاء حجيّة فتوى غير الأعلم فيتخيّر بينها وبين فتوى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ارتفاع حجيّتها فيتعيّن الرجوع إلى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أحد الأمرين يحتاج إلى دليل شرعي، ومجرد كون فتوى الأعلم أقرب إلى الواقع لم يثبت من الشرع أنّها من المرجّحات حيث لم يكلِّف الشارع بتحصيل الواقع كيفما كان، بل المكلَّف كُلّف بما يكون معذوراً به عند الله حصَّل الواقع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يقال في مناقشة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يتيسر الاطلاع على الواقع في كثير من موارد الرجوع إلى أهل الخبرة التي لا يظهر فيها آثار الواقع، فلا يُعلم كميّة موارد الإصابة بلحاظها، فحينئذ لا وجه للاستناد إلى أقربية قول الأعلم إلى الواقع في ترجيحه على قول غيره؛ لأنّ احتمال الأقربية إلى الواقع ينشأ من نفس كون أحدهما اعلم من الآخر وأكثر خبرة منه، لا بعد الاطلاع المتكرر على إصابة أقواله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يحصل حتى في مورد يكون باب الاطلاع على الواقع فيه مسدوداً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يكون الفارق من جهة أخرى وهي أنّه قد يتزلزل احتمال الأقربية إلى الواقع فيما إذا كان الاطلاع على الواقع ممكناً وقد ظهرت علائم عدم إصابة رأي الأعلم الواقع فيبحثون عن السبل المقرّبة إلى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ادّعى القائل بوجوب تقليد الأعلم على أنّ سيرة العقلاء قائمة في مختلف مجالاتهم وشؤونهم على الرجوع إلى الأعلم إذا علموا باختلاف الرأي بين علماء هذا المجال، ويمكن الاطلاع على هذه السيرة في مجال الطب والهندسة وغيرهما من الفنون والعلوم، وهذه السيرة لم يردع عنها من قبل الشارع فيثبت إمضاؤهُ لها، وهذا واضح جداً إذا كان رأي الأعلم موافقاً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مخالفاً فقد يتخيّر بينه وبين العمل برأي المفضول، لكن العمل برأيه يكون من باب العمل بالاحتياط لا من باب حجيّة رأيه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نوقشت دعوى هذه السيرة من عدة جهات، فتارة من جهة أصل وجودها، وثانية من جهة إطلاقها، وثالثة من جهة استلزامها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الجهة الأولى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يرجعون إلى أهل الخبرة لا تعبّداً، بل من حيث يحصل لهم الوثوق بقولهم، فإذا حصل الوثوق بقول الأعلم عملوا به، وإذا حصل لهم الوثوق بقول غيره عملوا به، وإذا لم يحصل بقول أحدهما عملوا بالاحتياط مع الإمكان، وإلّا فبأقوى الاحتمالين، ووضّحوا هذا بمثالين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شخّص الطبيب الأفضل ضرورة عمل جراحي لمريض قائلاً إنْ لم يؤتَ</w:t>
      </w:r>
    </w:p>
    <w:p>
      <w:pPr>
        <w:pStyle w:val="BookText"/>
        <w:rPr/>
      </w:pPr>
      <w:r>
        <w:rPr>
          <w:rFonts w:ascii="Amiri" w:hAnsi="Amiri" w:eastAsia="Amiri" w:cs="Amiri"/>
          <w:color w:val="111111"/>
          <w:sz w:val="28"/>
          <w:sz w:val="28"/>
          <w:szCs w:val="28"/>
          <w:rtl w:val="true"/>
          <w:lang w:bidi="ar-SA"/>
        </w:rPr>
        <w:t>بهذا العمل وقع المريض في خطر الموت، وشخّص الطبيب المفضول بخلافه قائلاً إنّه في هذا العمل خطر عظيم يسبّب هلاك المريض، فهل ترى أنّ العقلاء يتّبعون هنا قول الأفضل إتباع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صورة العكس</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قصدوا معرفة قيمة دار أو جوهرة فقوّمها المقوّم الأفضل بثمن قليل </w:t>
      </w:r>
    </w:p>
    <w:p>
      <w:pPr>
        <w:pStyle w:val="BookText"/>
        <w:rPr/>
      </w:pPr>
      <w:r>
        <w:rPr>
          <w:rFonts w:ascii="Amiri" w:hAnsi="Amiri" w:eastAsia="Amiri" w:cs="Amiri"/>
          <w:color w:val="111111"/>
          <w:sz w:val="28"/>
          <w:sz w:val="28"/>
          <w:szCs w:val="28"/>
          <w:rtl w:val="true"/>
          <w:lang w:bidi="ar-SA"/>
        </w:rPr>
        <w:t>وقوّمها غيره بثمن كثير، فهل ترى أنّ العقلاء في هذه الصورة يعملون بقول الأفضل بلا تأمل وتريّث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عكس هذه الصورة، أفلا تراهم أنّهم يعتمدون على الوثوق والاطمئنان بأيّ رأي حصل وإن كان صادراً من المفضول</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الإجابة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رجوع العقلاء إلى أهل الخبرة من جهة الوثوق لا ينافي استقرار بنائهم على الأخذ من الأعلم، لأنّه إذا اختلف غير الأعلم مع الأعلم في الرأي فإنْ حصل الوثوق بقول أحدهما فهو بقول الأعلم مع فرض عدم وجود أمر زائد على قول أحدهما يوجب سلب الوثوق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لا يحصل الوثوق بقول كل واحد منهما فيتحرّون الأمر لأجل الوصول إلى الوثوق ولو بمراجعة أقوال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نمثّل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أمر المولى عبده بأمور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خفيت عليك طريقة إتيان المأمور به اسأل أحد أبنائي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أربعة، وكل واحد من شأنه أنْ يفسّر أوامر والده، فيجوز للعبد أنْ يراجع أي واحد منهم، لكنّه إذا علم بأنّ رأي الأكبر من الأولاد في أمر معين يخالف رأي الإخوة الباقين، وكان أكثر مهارة وممارسة وتجربة وأعلم بمرادات والدهم، فهل يجوز عند العقلاء للعبد أنْ يكتفي بقول الأكبر ويترك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معذور إذا امتثل أمر الأكبر وكان مخالفاً للواقع؛ لأنّ العقلاء لا يوجبون عليه أنْ يتحرّى الأمر ولو بالمراجعة إلى الآخرين من أولاده أو غيرهم من العقلاء، إلّا إذا وجد هناك أمراً أوجب سلب الوثوق بقول أكبر أولاده، فحينئذٍ يجب عليه أن يتحرّى الأمر وليس مجرد مخالفة المفضول للأفضل بالتي توجب سلب الوثوق به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فيما إذا أمكن الاطلاع على الواقع والتحرّي في الحصول عليه، وهذا لا يأتي فيما نحن فيه؛ لأنّا نعلم جزماً إمّا بحجية قول كل واحد منهما، وإمّا بقول الأعلم </w:t>
      </w:r>
    </w:p>
    <w:p>
      <w:pPr>
        <w:pStyle w:val="BookText"/>
        <w:rPr/>
      </w:pPr>
      <w:r>
        <w:rPr>
          <w:rFonts w:ascii="Amiri" w:hAnsi="Amiri" w:eastAsia="Amiri" w:cs="Amiri"/>
          <w:color w:val="111111"/>
          <w:sz w:val="28"/>
          <w:sz w:val="28"/>
          <w:szCs w:val="28"/>
          <w:rtl w:val="true"/>
          <w:lang w:bidi="ar-SA"/>
        </w:rPr>
        <w:t>بخصوصه، وليس المطلوب هو تحصيل الواقع، ومع هذا لا يكون هناك مجال لترك كلا القولين فحينئذ يتعيّن الرجوع حسب بنائهم على أخذ قول من يحصل الوثوق بقوله، وحصول الوثوق بقول المفضول دون قول الفاضل يعتبر ضرباً من الخلل في السلوك، وإذا حصل الوثوق بقوله لأمر آخر مثل موافقة الاحتياط فيكون الوثوق به لا من قوله من حيث إنّه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والمثالان المذكوران أيضاً لا ينفيان ما أُريد إثباته بالسيرة وهو عدم جواز الرجوع إلى رأي المفضول من حيث إنّه رأيه حين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يجب الاكتفاء بمجرد رأي الأعلم فلا ندعيه على الإطلاق؛ لأنّه قد يعلم أنّ الغرض هو تحصيل الواقع؛ لأنّه مهم جداً، والوصول إلى الواقع ممكن، أو لا يحصل الوثوق بقول الأعلم من دون التحري في الأمر أكثر من مجرد الرجوع إلى قول الأعلم، فلا يُكتفى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ندعي وجود السيرة على الاكتفاء بقول الأعلم مطلقاً، غاية الأمر أنّ المثالين يثبتان أنّ العقلاء قد لا يجوّزون الاكتفاء بقول الأعلم في بعض الموارد، والقائل بالسيرة ليس مهمته إثباتها، لأنّ مهمته هو إثبات عدم بناء العقلاء على الاكتفاء بقول المفضول، ولا ينفيه المثالان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بخروجهما عن محل البحث، لأنّ محل الكلام هو بعد الفراغ عن جواز الرجوع إلى الأعلم، والشك في جواز الرجوع إلى غيره وعدمه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مناط الحجّية في السيرة هو الوثوق، وهو يحصل بقول الأعلم دائماً إذا نظرنا إلى قولهما فيكون العمل بقوله معذِّراً، والعمل بالاحتياط أو التحرّي في المسألة يكون حسناً لا واجباً، فالموارد التي نرى فيها عدم اكتفائهم بقول الأعلم هي التي لم يحصل لهم الوثوق بقوله، وعلمنا في موردٍ ما أنّ المطلوب هنا هو </w:t>
      </w:r>
    </w:p>
    <w:p>
      <w:pPr>
        <w:pStyle w:val="BookText"/>
        <w:rPr/>
      </w:pPr>
      <w:r>
        <w:rPr>
          <w:rFonts w:ascii="Amiri" w:hAnsi="Amiri" w:eastAsia="Amiri" w:cs="Amiri"/>
          <w:color w:val="111111"/>
          <w:sz w:val="28"/>
          <w:sz w:val="28"/>
          <w:szCs w:val="28"/>
          <w:rtl w:val="true"/>
          <w:lang w:bidi="ar-SA"/>
        </w:rPr>
        <w:t>تحقيق الواقع ولو بالعمل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 فقد قيل بأنّ العقلاء وإنْ كانوا يبنون على الرجوع إلى الأعلم، لكن لا مطلقاً بل بحدود معينة،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علموا بوجود الأعلم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علموا بالاختلاف بينهما لا بمجرد احتمال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الرجوع إلى الأعلم حرجيّاً؛ ولذا يكتفون بأعلم بلدهم ولا يبحثون عن اعلم زمانه، مع العلم الإجمالي بالمخالفة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الثالثة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وإن كانت موجودة لكنّها لا على نحو الإلزام والوجوب، بل على نحو الحسن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يخالفون هذه السيرة بمجرد أعذار بسيطة لا تصلح للعذر لو كان العمل بها واجباً، فمقبولية هذه الأعذار منهم تكشف عن عدم وجوب العمل على طبق رأي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حسن بلا إشكال فيه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قد يوجد في الأغراض الشخصيّة غير المهمّة، وأمّا في الأغراض المولوية فالعقلاء لا يسوّغون مخالفة رأي الأعلم إلّا بعذر يسقط الوجوب به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أنّ هذه الأعذار البسيطة تُقبل حتى في الأغراض المهمّة والأغراض المولويّة لكن فيما إذا لم يعلم بالمخالفة بين الأعلم وغيره، لأنّ الرجوع إلى الأعلم بدون العلم بالمخالفة حسن أيضاً</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بعد العلم بالمخالفة فالرجوع إلى غير الأعلم يعتبر من التقصير عند العقلاء، إلّا إذا كان الغرض غير مهم جداً بحيث لا يُعتنى به وهو خارج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السيرة مردوع عنها بإطلاقات أدلة التقليد فلا تكون حجّة، فيثبت جواز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إطلاق أيّ دليل من أدلة التقليد يشمل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ذلك فتكون السيرة هي التي تُقَدَّم وتقيّد الإطلاق، لأنّ السيرة لا يردع عنها بالإطلاق بل ردعها يحتاج إلى تصريح؛ لأنّ الإطلاق رأساً يحمل على غير مورد السيرة إذا كانت منافية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تصلح قرينة على تقييد الإطلاق، والقرينة دائماً تقدّم على ذي القرينة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تقدم من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عدم حجيّة قول غير الأعلم غير المقبولة على بعض الوجوه المؤيدة ببعض روايات أخرى، وغير السيرة العقلائية، لكنّها لا مطلقاً، بل مقيّدة بوجود العلم بالخلاف لا بمجرد الاحتمال، وبعدم الكلفة والمشقة في الرجوع إلى الأعلم التي تعتبر عذراً عرفاً، ولذا يكتفون عادة بأعلم أهل بلدهم سواء كان الغرض مهماً شخصياً أو مولوياً أو غير مهم، وبعدم وجود ما يدلّ على أنّ المطلوب هو الواقع على كل تقدير، وبعدم وجود ما يسلب الوثوق من رأي الأعلم، وهذا هو الكلام في المحور الأوَّل من المقام الأوَّل</w:t>
      </w:r>
      <w:r>
        <w:rPr>
          <w:rFonts w:eastAsia="Amiri" w:cs="Amiri" w:ascii="Amiri" w:hAnsi="Amiri"/>
          <w:color w:val="111111"/>
          <w:sz w:val="28"/>
          <w:szCs w:val="28"/>
          <w:rtl w:val="true"/>
          <w:lang w:bidi="ar-SA"/>
        </w:rPr>
        <w:t xml:space="preserve">. </w:t>
      </w:r>
      <w:bookmarkStart w:id="383" w:name="pg9124_98644"/>
    </w:p>
    <w:p>
      <w:pPr>
        <w:pStyle w:val="Heading4"/>
        <w:numPr>
          <w:ilvl w:val="3"/>
          <w:numId w:val="1"/>
        </w:numPr>
        <w:rPr/>
      </w:pPr>
      <w:bookmarkStart w:id="384" w:name="__RefHeading___Toc2933358_2870459653"/>
      <w:bookmarkStart w:id="385" w:name="_Toc151"/>
      <w:bookmarkEnd w:id="383"/>
      <w:bookmarkEnd w:id="384"/>
      <w:r>
        <w:rPr>
          <w:rtl w:val="true"/>
        </w:rPr>
        <w:t>المحور الثّاني</w:t>
      </w:r>
      <w:r>
        <w:rPr>
          <w:rtl w:val="true"/>
        </w:rPr>
        <w:t xml:space="preserve">: </w:t>
      </w:r>
      <w:r>
        <w:rPr>
          <w:rtl w:val="true"/>
        </w:rPr>
        <w:t>ونذكر فيه أدلة القول بحجيّة فتوى غير الأعلم مطلقاً</w:t>
      </w:r>
      <w:bookmarkEnd w:id="385"/>
    </w:p>
    <w:p>
      <w:pPr>
        <w:pStyle w:val="Heading5"/>
        <w:numPr>
          <w:ilvl w:val="4"/>
          <w:numId w:val="1"/>
        </w:numPr>
        <w:rPr/>
      </w:pPr>
      <w:bookmarkStart w:id="386" w:name="__RefHeading___Toc2933360_2870459653"/>
      <w:bookmarkStart w:id="387" w:name="_Toc152"/>
      <w:bookmarkEnd w:id="386"/>
      <w:r>
        <w:rPr>
          <w:rtl w:val="true"/>
        </w:rPr>
        <w:t>الدليل الأوَّل</w:t>
      </w:r>
      <w:r>
        <w:rPr>
          <w:rtl w:val="true"/>
        </w:rPr>
        <w:t xml:space="preserve">: </w:t>
      </w:r>
      <w:r>
        <w:rPr>
          <w:rtl w:val="true"/>
        </w:rPr>
        <w:t>الكتاب</w:t>
      </w:r>
      <w:bookmarkEnd w:id="387"/>
    </w:p>
    <w:p>
      <w:pPr>
        <w:pStyle w:val="BookText"/>
        <w:rPr/>
      </w:pPr>
      <w:r>
        <w:rPr>
          <w:rFonts w:ascii="Amiri" w:hAnsi="Amiri" w:eastAsia="Amiri" w:cs="Amiri"/>
          <w:color w:val="111111"/>
          <w:sz w:val="28"/>
          <w:sz w:val="28"/>
          <w:szCs w:val="28"/>
          <w:rtl w:val="true"/>
          <w:lang w:bidi="ar-SA"/>
        </w:rPr>
        <w:t>وهو ثلاث 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فَاسْأَلُوا أَهْلَ الذِّكْرِ إِنْ كُنْتُمْ لَا تَعْلَمُونَ</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تدل على مطلوبية رجوع الجاهل إلى كل من صدق عليه أنّه من أهل الذكر سواء تعدد أو كان واحداً، وعلى تقدير التعدد سواء كان أعلم من الآخر أو دونه في العلم لاسيّما بالنظر إلى أن الحالة العامة هي الاختلاف في الفضل، فهي بإطلاقها دلت على جواز الرجوع إلى المفضول، وهي وإنْ فُسرّ أهل الذكر فيها في التفسير الروائي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من باب الجري والتطبيق من حيث إنّهم أبرز مصاديق أهل الذكر</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نوقش الاستدلال بهذه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عدم تماميّة دلالتها على أصل مشروعية التقليد؛ نظراً إلى أنّها في أهل الكتاب كما يشهد به السياق، أو في أهل البيت بالخصوص كما تفسرها الروايات بأنّ المراد من الذكر هو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يشمل أهله 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في أصول الدين لا في فروعه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سُلّمت دلالتها على وجوب أصل التقليد فهي لا تتجاوز الدلالة على أصل وجوب رجوع الجاهل إلى العالم، فهي غير ناظرة إلى حالات طارئة لهذه المسألة </w:t>
      </w:r>
    </w:p>
    <w:p>
      <w:pPr>
        <w:pStyle w:val="BookText"/>
        <w:rPr/>
      </w:pPr>
      <w:r>
        <w:rPr>
          <w:rFonts w:ascii="Amiri" w:hAnsi="Amiri" w:eastAsia="Amiri" w:cs="Amiri"/>
          <w:color w:val="111111"/>
          <w:sz w:val="28"/>
          <w:sz w:val="28"/>
          <w:szCs w:val="28"/>
          <w:rtl w:val="true"/>
          <w:lang w:bidi="ar-SA"/>
        </w:rPr>
        <w:t>حتى ينعقد لها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مقام بيان أصل مشروعية تقليد الجاهل للعالم لا أكثر من هذا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في الجواب هو ما ذكر ثانياً من أنّ الآية لا تعدو من أنّها إرشاد إلى ما هو مرتكز في أذهان العقلاء من لزوم الرجوع إلى العالم، فلا تحمل معنى جديداً حتى نقول بإطلاقها، فهي لا تتجاوز ما هو المرتكز عند العقلاء وقد تقدم بيانه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قيل باختصاصها بأهل الكتاب، أو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داعي لتقييد مفهومها بهما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يتعيّن المصداق بحسب مورد الحاجة في رجوع الجاهل 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باختصاصها بالعقائد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ثبتت حجّية قول غير الأعلم مطلقاً بالعقائد فلا ينكر أحد حجّية قوله في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ملازمة في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الكتمان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وَيَلْعَنُهُمُ اللَّاعِنُونَ</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دلالتهما على المدعى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يحرم على العلماء كتمان ما أنزل مطلقاً بمقتضى </w:t>
      </w:r>
    </w:p>
    <w:p>
      <w:pPr>
        <w:pStyle w:val="BookText"/>
        <w:rPr/>
      </w:pPr>
      <w:r>
        <w:rPr>
          <w:rFonts w:ascii="Amiri" w:hAnsi="Amiri" w:eastAsia="Amiri" w:cs="Amiri"/>
          <w:color w:val="111111"/>
          <w:sz w:val="28"/>
          <w:sz w:val="28"/>
          <w:szCs w:val="28"/>
          <w:rtl w:val="true"/>
          <w:lang w:bidi="ar-SA"/>
        </w:rPr>
        <w:t>آية الكتمان ولم يقيّد بعدم وجود من هو أعلم منهم، وهذا يستلزم حجيّة قولهم مطلقاً؛ إذ لو لم يكن حجّة لم يكن في البيان ثمّة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آية النفر أوجبت الإنذار على الفقهاء ولم تقيّده بالقيد المذكور فيجب على المكلّفين الحذر عند إنذارهم من أي فقيه وإلّا يلزم لغوية الإنذار، وهذا هو معنى حجيّة قول الفقيه مطلقاً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أجيب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وإنْ دلتا على وجوب الرجوع إلى كل واحدٍ واحد عيناً على سبيل العام الأصولي، فيستفاد منهما أنّ كل واحد من العلماء قوله حجّة شأنية لولا المعارض وأمّا معه فلا دلالة فيهما على ذلك؛ لأنّ دخول المتعارضين معاً تحتهما ممتنع، ودخول أحدهما لا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نحو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لأنّ مفاد الأدلة إنّما هو الحجّة التعيينية، وتعيّن أحدهما دون الآخر ترجيح بلا مرجح، فمقتضى القاعدة هو التساقط في كلا القولين لا التخيير بينهما، بل التخيير يحتاج إلى دليل خاصّ كالأخبار العلاجية وهي مختصّة بالخبرين المتعارضين فلا تشمل تعارض الفتاوى</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تتحقّق دلالتهما على جواز الرجوع إلى كل من صدق عليه أنّه من العلماء أو الفقهاء على نحو العموم تعبّداً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آية الكتمان فلأنّها دلّت على حرمة كتمان الحق للعالم به، ولا يستلزم هذا وجوب أخذ السامع بقوله تعبّداً لا عقلاً ولا عرفاً؛ لأنّ فائدة إظهار الحق لا تنحصر في أخذ غيرِه قولَه تعبّداً فهي قاصرة الدلالة على أصل وجوب التقليد، فضلاً عن إطلاقه</w:t>
      </w:r>
      <w:r>
        <w:rPr>
          <w:rFonts w:eastAsia="Amiri" w:cs="Amiri" w:ascii="Amiri" w:hAnsi="Amiri"/>
          <w:color w:val="111111"/>
          <w:sz w:val="28"/>
          <w:szCs w:val="28"/>
          <w:rtl w:val="true"/>
          <w:lang w:bidi="ar-SA"/>
        </w:rPr>
        <w:t xml:space="preserve">. </w:t>
      </w:r>
      <w:bookmarkStart w:id="388" w:name="pg9124_98647"/>
    </w:p>
    <w:p>
      <w:pPr>
        <w:pStyle w:val="BookText"/>
        <w:rPr/>
      </w:pPr>
      <w:bookmarkEnd w:id="388"/>
      <w:r>
        <w:rPr>
          <w:rFonts w:ascii="Amiri" w:hAnsi="Amiri" w:eastAsia="Amiri" w:cs="Amiri"/>
          <w:color w:val="111111"/>
          <w:sz w:val="28"/>
          <w:sz w:val="28"/>
          <w:szCs w:val="28"/>
          <w:rtl w:val="true"/>
          <w:lang w:bidi="ar-SA"/>
        </w:rPr>
        <w:t>وأمّا آية النفر فهي وإنْ دلّت على وجوب الحذر بعد سماع الإنذار، لكن ليس معنى الحذر هو أخذ قول المنذِر تعبّداً، بل يتحقّق الحذر بالاحتياط، أو بالرجوع إلى الأعلم منه في هذه المسألة، أو بأخذ قول من يحصل الوثوق بقوله، ولا نعلم صدق الحذر على الأخذ بقول غير الأعلم مع الاختلاف في الفتوى، بل لعل مقتضى الحذر هو ترك قوله والأخذ بقول الأعلم، أو العمل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يتبيّن عدم تمامية الاستدلال على المدعى بالكتاب</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2933362_2870459653"/>
      <w:bookmarkStart w:id="390" w:name="_Toc153"/>
      <w:bookmarkEnd w:id="389"/>
      <w:r>
        <w:rPr>
          <w:rtl w:val="true"/>
        </w:rPr>
        <w:t>الدليل الثّاني</w:t>
      </w:r>
      <w:r>
        <w:rPr>
          <w:rtl w:val="true"/>
        </w:rPr>
        <w:t xml:space="preserve">: </w:t>
      </w:r>
      <w:r>
        <w:rPr>
          <w:rtl w:val="true"/>
        </w:rPr>
        <w:t>الروايات</w:t>
      </w:r>
      <w:bookmarkEnd w:id="390"/>
    </w:p>
    <w:p>
      <w:pPr>
        <w:pStyle w:val="Heading6"/>
        <w:numPr>
          <w:ilvl w:val="5"/>
          <w:numId w:val="1"/>
        </w:numPr>
        <w:rPr/>
      </w:pPr>
      <w:bookmarkStart w:id="391" w:name="__RefHeading___Toc2933364_2870459653"/>
      <w:bookmarkStart w:id="392" w:name="_Toc154"/>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وهي طائفتان</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2933366_2870459653"/>
      <w:bookmarkStart w:id="394" w:name="_Toc155"/>
      <w:bookmarkEnd w:id="393"/>
      <w:r>
        <w:rPr>
          <w:rtl w:val="true"/>
        </w:rPr>
        <w:t>الطائفة الأولى</w:t>
      </w:r>
      <w:bookmarkEnd w:id="394"/>
    </w:p>
    <w:p>
      <w:pPr>
        <w:pStyle w:val="BookText"/>
        <w:rPr/>
      </w:pPr>
      <w:r>
        <w:rPr>
          <w:rFonts w:ascii="IRNazanin" w:hAnsi="IRNazanin" w:eastAsia="IRNazanin"/>
          <w:color w:val="111111"/>
          <w:sz w:val="28"/>
          <w:sz w:val="28"/>
          <w:szCs w:val="28"/>
          <w:rtl w:val="true"/>
          <w:lang w:bidi="fa-IR"/>
        </w:rPr>
        <w:t xml:space="preserve">هي التي تتضمن إرجاع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شيعتهم إلى أحد أصحابهم، وهي كثيرة، نذكر بعضاً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الكشي بإسناده إلى الحسن بن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أنّي لا أكاد أصل إليك أسألك عن كل ما احتاج إليه من معالم ديني أَ فيونس بن عبد الرحمن ثقة آخذ عنه ما احتاج إليه من معالم ديني؟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الكشي بإسناده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كل ساعة ألقاك، ولا يمكن القدوم، ويجيء الرجل من أصحابنا فيسألني وليس عندي كلُّ ما يسألني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يمنعك من محمّد بن مسلم الثقفي، فإنّه قد سمع من أبي وكان عنده وجيهاً</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الكشي بإسناده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أردت بحديثنا فعليك بهذا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وأومئ إلى رجل من أصحابه، فسألت أصحابنا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أعين</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الكشي بسنده عن علي بن المسيّب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شُقتي بعيدة ولست أصل إليك في كل وقت فممّن آخذ معالم ديني؟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زكريا بن آدم القمي المأمون على الدين والدنيا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انصرفت قدمنا على زكريا ابن ادم فسألته عمّا احتجت إليه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بسنده عن شعيب العقرقوفي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احتجنا أن نسأل عن الشيء فمَنْ نسأل؟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أبا بصير</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الكليني بسنده 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من أعامل؟ وعمّن آخذ؟ وقول من أقبل؟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العمري ثقتي فما أدّى إليك عني فعني يؤدّي، وما قال لك عني فعني يقول، فاسمع له وأطع فإنّه الثّقة المأمون</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في صحيحة سليمان بن خالد الأقطع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أجد أحداً أحيا ذكرنا وأحاديث أبي إلّا زرارة وأبو بصير ليث المرادي ومحمد بن مسلم وبريد بن معاوية العجلي، ولولا هؤلاء ما كان أحد يستنبط هذا، هؤلاء حفّاظ الدين وأمناء أبي على حلال الله وحرامه وهم السابقون إلينا في الدنيا والسابقون في </w:t>
      </w:r>
      <w:bookmarkStart w:id="395" w:name="pg9124_98649"/>
    </w:p>
    <w:p>
      <w:pPr>
        <w:pStyle w:val="BookText"/>
        <w:rPr/>
      </w:pPr>
      <w:bookmarkEnd w:id="395"/>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الطائفة من الأخبار دلّت على جواز الرجوع إلى مَنْ هو فقيه مأمون مطلقاً أي سواء وجد من هو أفقه منه أم لا؛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يقيّد الرجوع إلى هؤلاء الآحاد من الفقهاء بأي قيد، مع إنّ التفاوت في الرتبة والاختلاف في الفتوى كان سائداً، وحملها على صورة التساوي في الرتبة أو الاتحاد في الفتوى حمل على النادر</w:t>
      </w:r>
      <w:r>
        <w:rPr>
          <w:rStyle w:val="FootnoteAnchor"/>
          <w:rtl w:val="true"/>
        </w:rPr>
        <w:footnoteReference w:id="450"/>
      </w:r>
      <w:r>
        <w:rPr>
          <w:rFonts w:ascii="IRNazanin" w:hAnsi="IRNazanin" w:eastAsia="IRNazanin"/>
          <w:color w:val="111111"/>
          <w:sz w:val="28"/>
          <w:sz w:val="28"/>
          <w:szCs w:val="28"/>
          <w:rtl w:val="true"/>
          <w:lang w:bidi="fa-IR"/>
        </w:rPr>
        <w:t xml:space="preserve">، لاسيّما الرواية الأخيرة واضحة جداً في المدعى؛ لأنّ الأربع المذكورون فيها لم يكونوا قطعاً في رتبة واحدة في العلم ولا متفقين في الفتوى، ومع هذا جعلهم مراجع في الدين، فلو كان التقليد مشروطاً بالأعلمية لما صحّ الرجوع إليهم كلهم وكان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يقيّد بقيد الأعلم منهم</w:t>
      </w:r>
      <w:r>
        <w:rPr>
          <w:rFonts w:eastAsia="IRNazanin" w:cs="IRNazanin"/>
          <w:color w:val="111111"/>
          <w:sz w:val="28"/>
          <w:szCs w:val="28"/>
          <w:rtl w:val="true"/>
          <w:lang w:bidi="fa-IR"/>
        </w:rPr>
        <w:t>.</w:t>
      </w:r>
    </w:p>
    <w:p>
      <w:pPr>
        <w:pStyle w:val="Heading6"/>
        <w:numPr>
          <w:ilvl w:val="5"/>
          <w:numId w:val="1"/>
        </w:numPr>
        <w:rPr/>
      </w:pPr>
      <w:bookmarkStart w:id="396" w:name="__RefHeading___Toc2933368_2870459653"/>
      <w:bookmarkStart w:id="397" w:name="_Toc156"/>
      <w:bookmarkEnd w:id="396"/>
      <w:r>
        <w:rPr>
          <w:rtl w:val="true"/>
        </w:rPr>
        <w:t>الطائفة الثّانية</w:t>
      </w:r>
      <w:bookmarkEnd w:id="397"/>
    </w:p>
    <w:p>
      <w:pPr>
        <w:pStyle w:val="Heading6"/>
        <w:numPr>
          <w:ilvl w:val="5"/>
          <w:numId w:val="1"/>
        </w:numPr>
        <w:rPr/>
      </w:pPr>
      <w:bookmarkStart w:id="398" w:name="__RefHeading___Toc2933370_2870459653"/>
      <w:bookmarkStart w:id="399" w:name="_Toc157"/>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هي تأمر الشيعة بالرجوع إلى كلّ من هو واجد لشرائط أخذ الفتوى منه، وهي عدة 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الصدوق في كمال الدين بإسناده عن إسحاق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العمري أنْ يوصل لي كتاباً قد سألت فيه عن مسائل أشكلت عليّ فورد التوقيع بخط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سألت عنه أرشدك الله وثبتك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الحوادث الواقعة فارجعوا فيها إلى رواة حديثنا فإنّهم حجتي عليكم وأنا حجّة الله</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 بإسناده عن أحمد بن حاتم بن ماهويه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w:t>
      </w:r>
      <w:bookmarkStart w:id="400" w:name="pg9124_98650"/>
    </w:p>
    <w:p>
      <w:pPr>
        <w:pStyle w:val="BookText"/>
        <w:rPr/>
      </w:pPr>
      <w:bookmarkEnd w:id="400"/>
      <w:r>
        <w:rPr>
          <w:rFonts w:ascii="IRNazanin" w:hAnsi="IRNazanin" w:eastAsia="IRNazanin"/>
          <w:color w:val="111111"/>
          <w:sz w:val="28"/>
          <w:sz w:val="28"/>
          <w:szCs w:val="28"/>
          <w:rtl w:val="true"/>
          <w:lang w:bidi="fa-IR"/>
        </w:rPr>
        <w:t xml:space="preserve">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أسأله عمّن آخُذ معالم ديني؟ وكتب أخوه أيضاً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 ما ذكرتما فاصمدا في دينكما على كلّ مسنّ في حبّنا وكلّ كثير القدم في أمرنا فإنّهما كافوكما إنْ شاء الله</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التفسير المنسوب إلى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كان من الفقهاء صائناً لنفسه حافظاً لدينه مخالفاً لهواه مطيعاً لأمر مولاه فللعوام أن يقلدوه</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في صدر مقبولة ابن حنظلة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ينظران إلى مَنْ كان منكم ممّن روى حديثنا ونظر في حلالنا وحرامنا وعرف أحكامنا فليرضوا به حكماً</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الطائفة تدل على تجويز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لشيعتهم الرجوع إلى كلّ من صدق عليه أنّه من رواة الأحاديث، أو الفقيه، أو مسن في حبهم وكثير القدم في أمرهم، أو ناظر في الحلال والحرام وعارف بالأحكام، ولم يقيّدوا بعدم وجود من هو أعلم منه، مع 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الفقهاء في الفتوى وعدم التساوي في الرتبة، فهذا الإطلاق يشمل مورد البحث فيدل على التخيير في الرجوع إلى أيّ واحد منهم، فلو كان التقييد مقصوداً فعدم ذكره في مثل هذا المورد يستقبح عرفاً</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في الجواب عن هذه الإطلاقات وجوه</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2933372_2870459653"/>
      <w:bookmarkStart w:id="402" w:name="_Toc158"/>
      <w:bookmarkEnd w:id="401"/>
      <w:r>
        <w:rPr>
          <w:rtl w:val="true"/>
        </w:rPr>
        <w:t>الوجه الأوَّل</w:t>
      </w:r>
      <w:bookmarkEnd w:id="40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الروايات في إثبات أصل وجوب تقليد الجاهل للعالم، أمّا أنّه </w:t>
      </w:r>
      <w:bookmarkStart w:id="403" w:name="pg9124_98651"/>
    </w:p>
    <w:p>
      <w:pPr>
        <w:pStyle w:val="BookText"/>
        <w:rPr/>
      </w:pPr>
      <w:bookmarkEnd w:id="403"/>
      <w:r>
        <w:rPr>
          <w:rFonts w:ascii="Amiri" w:hAnsi="Amiri" w:eastAsia="Amiri" w:cs="Amiri"/>
          <w:color w:val="111111"/>
          <w:sz w:val="28"/>
          <w:sz w:val="28"/>
          <w:szCs w:val="28"/>
          <w:rtl w:val="true"/>
          <w:lang w:bidi="ar-SA"/>
        </w:rPr>
        <w:t>كل واحد منهم حجّة مطلقاً، أو عند فَقْدِ التعارض فلا دلالة فيها على ذلك</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بأنّ بعض الروايات ظاهرة في الإطلاق؛ لأنّ السؤال فيها بعد المفروغية عن جواز الرجوع إلى الفقيه، وهو سؤال عن تعيين المصداق كما هو شأن الروايات الخاصة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4" w:name="__RefHeading___Toc2933374_2870459653"/>
      <w:bookmarkStart w:id="405" w:name="_Toc159"/>
      <w:bookmarkEnd w:id="404"/>
      <w:r>
        <w:rPr>
          <w:rtl w:val="true"/>
        </w:rPr>
        <w:t>الوجه الثّاني</w:t>
      </w:r>
      <w:bookmarkEnd w:id="405"/>
    </w:p>
    <w:p>
      <w:pPr>
        <w:pStyle w:val="BookText"/>
        <w:rPr/>
      </w:pPr>
      <w:r>
        <w:rPr>
          <w:rFonts w:ascii="Amiri" w:hAnsi="Amiri" w:eastAsia="Amiri" w:cs="Amiri"/>
          <w:color w:val="111111"/>
          <w:sz w:val="28"/>
          <w:sz w:val="28"/>
          <w:szCs w:val="28"/>
          <w:rtl w:val="true"/>
          <w:lang w:bidi="ar-SA"/>
        </w:rPr>
        <w:t>بعد تسليم الإطلاق فيها يمنع شمول الإطلاق للمورد؛ لأنّ شموله لكليهما معاً ممتنع؛ لأنّه اجتماع الضدين أو النقيضين، وشموله لأحدهما لا بعينه لا دليل عليه؛ لأنّ مفاد أدلة الاعتبار هو الحجّة التعيينية لا حجة هذا أو ذاك، وشموله لأحدهما المعيّن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مقتضى القاعدة هو التساقط في كل دليلين متعارضين إلّا إذا قام الدليل على ترجيح أحدهما أو التخيير بينهما كالأخبار العلاجية، ولكنّها تختص بالخبرين المتعارضين وفي المقام لا مرجح ثابت بالدليل فالنتيجة هي تساقط الفتويين</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على هذا الوجه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القاعدة تقتضي التخيير بين المتعارضين؛ وذلك لأنّ الأمر يدور بين رفع اليد عن أصل الدليلين وبين رفع اليد عن إطلاقهما فقط مع الحفاظ على أصلهما، ومتى دار الأمر بينهما تعيّن الثاني؛ لأنّه لا موجب لرفع اليد عن الدليلين بالكلية بلا ضرورة تقتضي ذلك</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أدلة حجيّة خبر الواحد يختلف عن إطلاق أدلة حجيّة الفتوى؛ </w:t>
      </w:r>
    </w:p>
    <w:p>
      <w:pPr>
        <w:pStyle w:val="BookText"/>
        <w:rPr/>
      </w:pPr>
      <w:r>
        <w:rPr>
          <w:rFonts w:ascii="Amiri" w:hAnsi="Amiri" w:eastAsia="Amiri" w:cs="Amiri"/>
          <w:color w:val="111111"/>
          <w:sz w:val="28"/>
          <w:sz w:val="28"/>
          <w:szCs w:val="28"/>
          <w:rtl w:val="true"/>
          <w:lang w:bidi="ar-SA"/>
        </w:rPr>
        <w:t>لأنّ إطلاق الأوَّل شمولي استغراقي فيجب الرجوع إلى كل روايةٍ رواية، فإذا وُجِدَتْ روايتان متعارضتان فلا يمكن شمول الإطلاق لهما لاستلزامه الجمع بين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فهو إطلاق بدلي، بمعنى أنّه لا يجب على المكلّف الواحد الرجوع إلى كل فقيهٍ فقيه، بل يكفي أن يرجع إلى واحد منهم، فتكون حجيّة فتوى كلّ فقيه بالنسبة إلى مكلّف واحد حجيّة شأنيّة، وإذا رجع إلى معيّن منهم أصبحت فتواه حجّة فعليّة عليه، وعلى هذا فشمول الإطلاق لفتوى كلّ واحد من الفقهاء مع الاختلاف بينهم لا يستلزم أي محذور، وهو معنى التخيير في فتاواهم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للأدلة إطلاق لما دلّت على التخيير حين التساوي في الفضل أو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عدم شمول أدلة التقليد اللفظية لمورد الخلاف في الفتوى حتى في صورة التساوي في الفضل فلا سبيل آخر لإحراز قيام السُنّة اللفظية على جواز التقليد؛ لندرة وجود مجتهدين متفقين في الفتوى في جميع المسائل المبتلى بها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عن الإيراد الأوَّل بأنّ التخيير ليس من الجمع العرفي لوجود احتمالات أخرى مساوية، له فلا وجه لترجيحه على غيره وتوضيحه في باب التعارض</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فتوى كل مجتهد حجّة شأنيّة في حقّ المكلّف قبل رجوعه إلى أحد معين إذا لم يعلم بوجود معارض لها، وأمّا مع وجود معارض أقوى منه فلأنّه ذو مزيّة فلا نعلم بكون فتوى المفضول مشمولة للأدلة</w:t>
      </w:r>
      <w:r>
        <w:rPr>
          <w:rFonts w:eastAsia="Amiri" w:cs="Amiri" w:ascii="Amiri" w:hAnsi="Amiri"/>
          <w:color w:val="111111"/>
          <w:sz w:val="28"/>
          <w:szCs w:val="28"/>
          <w:rtl w:val="true"/>
          <w:lang w:bidi="ar-SA"/>
        </w:rPr>
        <w:t xml:space="preserve">. </w:t>
      </w:r>
      <w:bookmarkStart w:id="406" w:name="pg9124_98653"/>
    </w:p>
    <w:p>
      <w:pPr>
        <w:pStyle w:val="BookText"/>
        <w:rPr/>
      </w:pPr>
      <w:bookmarkEnd w:id="406"/>
      <w:r>
        <w:rPr>
          <w:rFonts w:ascii="Amiri" w:hAnsi="Amiri" w:eastAsia="Amiri" w:cs="Amiri"/>
          <w:color w:val="111111"/>
          <w:sz w:val="28"/>
          <w:sz w:val="28"/>
          <w:szCs w:val="28"/>
          <w:rtl w:val="true"/>
          <w:lang w:bidi="ar-SA"/>
        </w:rPr>
        <w:t>هذا، مضافاً إلى عدم تماميّة دعوى أصل الإطلاق في النصوص كما سيأتي</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النقض بالتخيير حين التساوي في الرتبة والاختلاف في الفتوى وارد على مَنْ يقول باستفادته من نفس أدلة التقليد لا على غيره الذي يقول إن التخيير مستفاد من خارج الأدلة مثل الإجماع على التخيير أو غيره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ذكر بعده من لزوم عدم قيام السُنّة على جواز التقليد لو لم نقل بشمول الإطلاق للمقام فهو غريب؛ لأنّ تحقّق التعارض غالباً في الخارج لا يردّ دلالة الأدلة على 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انعقاد الدلالة على جواز التقليد لا يتوقف على تحقّق موضوعها في الخارج، كما إذا فرضنا في الأخبار أنّه يوجد في كلّ باب من أبوابها التعارض بينها فهذا لا يستلزم عدم وجود دليل من السُنّة على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ليست حالةُ اختلاف الفقهاء في الفضل مع الاختلاف في الفتوى مع علم المكلّف بكلا الاختلافين تفصيلاً هي الغالبة ولاسيّما في الأزمنة السابقة كما لا يخفى</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2933376_2870459653"/>
      <w:bookmarkStart w:id="408" w:name="_Toc160"/>
      <w:bookmarkEnd w:id="407"/>
      <w:r>
        <w:rPr>
          <w:rtl w:val="true"/>
        </w:rPr>
        <w:t>الوجه الثّالث</w:t>
      </w:r>
      <w:bookmarkEnd w:id="408"/>
    </w:p>
    <w:p>
      <w:pPr>
        <w:pStyle w:val="BookText"/>
        <w:rPr/>
      </w:pPr>
      <w:r>
        <w:rPr>
          <w:rFonts w:ascii="Amiri" w:hAnsi="Amiri" w:eastAsia="Amiri" w:cs="Amiri"/>
          <w:color w:val="111111"/>
          <w:sz w:val="28"/>
          <w:sz w:val="28"/>
          <w:szCs w:val="28"/>
          <w:rtl w:val="true"/>
          <w:lang w:bidi="ar-SA"/>
        </w:rPr>
        <w:t>تفصيل البيان بين الأخبار الخاصّة التي هي الطائفة الأولى وبين الأخبار العامّة التي هي الطائفة الثّانية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الأخبار الخاصّة فلعدم تصوّر الإطلاق اللّفظي فيها؛ لأنّ الاستدلال بها في الشخصيات المعيّنة موقوف على دعوى العلم بوجود الاختلاف بين هؤلاء المفتين في العلم والفتوى، والعلم باطلاع الناس على اختلافهم فيهما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والإنصاف أنّ إثبات ذلك في مَن أمر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بالاستفتاء منهم في غاية الصعوبة، بل لا يكون ذلك إلّا تخرّصاً بالغيب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الأخبار العامّة فهي مسوقة لبيان جواز نفس التقليد من دون ملاحظة أمر آخر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الأطباء حين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الحالة المترتّبة على هذه الواقعة من وقوع التعارض بين أقوال الأطباء فلا يستفاد حكمها منه؛ ولذلك لا يعدّ بيان المرجّح عند التعارض قبيحاً، ويكون استفسار السائل عنه حسناً كما في المقبولة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ويمكن الردّ على الشق الأوَّل بأنّ سؤال السائل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تعيين من يرجع إليه في معالم دينه يدل على تعدّد مَن كان يفتي وكان هناك اختلاف بينهم في الفتاوى وإلّا لم يحسن هذا السؤال، وحمل هذا العدد من الروايات على جهل الراوي عن أصل وجود مَن يصلح أن يؤخذ منه، وأنّ السؤال عن تعيينه من الإمام كان مستبعداً جداً مع مئات من أصحاب الأئمة المتواجدين في مختلف البلدان ولاسيّما في بلدان السائلين بمثل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أنّه يكون خلاف ظاهر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الشق الثّاني بأنّ بعضها منها ظاهر في الإطلاق؛ لأنّ الكلام فيه يكون بعد الفراغ من مشروعية أصل التقليد كما في خبر أحمد بن حاتم بن ماهويه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والصحيح في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الأخبار الخاصّة لا وجه لإطلاقها بل هي أقرب إلى الدعوى الثانية من دعوى التخيير؛ لأنّها في أشخاص معيّنين، فيحتمل فيها أنّ التعيين كان لعلم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بأفضليتهم على غيرهم، بل يمكن دعوى أنّ اختيار السائل لاسم معيّن من بين الفقهاء وتأييد الإمام له، أو مبادرة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ظاهر في </w:t>
      </w:r>
    </w:p>
    <w:p>
      <w:pPr>
        <w:pStyle w:val="BookText"/>
        <w:rPr/>
      </w:pPr>
      <w:r>
        <w:rPr>
          <w:rFonts w:ascii="Amiri" w:hAnsi="Amiri" w:eastAsia="Amiri" w:cs="Amiri"/>
          <w:color w:val="111111"/>
          <w:sz w:val="28"/>
          <w:sz w:val="28"/>
          <w:szCs w:val="28"/>
          <w:rtl w:val="true"/>
          <w:lang w:bidi="ar-SA"/>
        </w:rPr>
        <w:t xml:space="preserve">تعيين المرجع إذا تعدد الفقهاء واختلفوا، ولا يمكن هذا إلّا من جهة أنّه أفضلهم وأعلمهم ولم يكن مجرد بيان مثال ومصداق لكليِّ كلّ مَنْ هو فقيه يعلم الحلال والحرام وإن اختلفوا في الرتبة، ثُمّ لمّا لم يكن رجوع أهل كلّ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بينهم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واحد من الفقهاء ميسراً احتاج إلى تعيين أفضلهم في كلّ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العامّة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ضعيفة السند غير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فيها تقدَّم بيانه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أمّا الأولى منها فإنّ الصدوق رواها بسنده عن إسحاق بن يعقوب وهو مجهول، وأمّا الثّانية ففي سندها موسى بن جعفر بن وهب وأحمد بن حاتم بن ماهويه وكلاهما مجهول، وأمّا الثّالثة فقد وردت في التفسير المنسوب إلى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والنسبة غير ثابتة، مضافاً إلى أنّها مرسلة لم تذكر الواسطة بين صاحب الكتاب وبين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أكثرها غيرُ تامّة الدلالة على المدعى؛ أمّا التوقيع فهو لا ظهور له في الفتوى بل يحتمل إرادة الخصومات والنزاعات؛ لأنّها مقطوعة الصدر كما احتمل بعض الأعلام</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فهو بيان لمسلك أخذ المعالم الدينيّة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الفقهاء كان أمراً معمولاً به قبل ذلك فكيف يمكن حمل التوقيع على أصل الإرجاع إلى الفقهاء؟</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الفقيه كان من حيث إنّه أمين على ما أخذ من الإمام وفهم منه، فهو كواسطةٍ بين المكلّف وبين الإمام، والآن أريد الإرجاع إليهم من حيث ما يفهمون </w:t>
      </w:r>
    </w:p>
    <w:p>
      <w:pPr>
        <w:pStyle w:val="BookText"/>
        <w:rPr/>
      </w:pPr>
      <w:r>
        <w:rPr>
          <w:rFonts w:ascii="Amiri" w:hAnsi="Amiri" w:eastAsia="Amiri" w:cs="Amiri"/>
          <w:color w:val="111111"/>
          <w:sz w:val="28"/>
          <w:sz w:val="28"/>
          <w:szCs w:val="28"/>
          <w:rtl w:val="true"/>
          <w:lang w:bidi="ar-SA"/>
        </w:rPr>
        <w:t>ويستنبطون من مأخذ الأحكام بلا وجود إمام معصوم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غيرها من الأخبار العامّة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فُرغ من أصل الرجوع إلى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ما يؤهلهم للمرجعية من أوصافهم ومذهبهم من دون النظر إلى وجود التعارض بين أقوال الواجدين لهذه الأوصاف، وإليك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المكاتبة فهي في بيان مَنْ يجوز أن يُرجَع إليه في أخذ معالم الدين من فقهاء المسلمين بعد ما فُرغ من مشروعية أصل الرجوع إليهم، فتدل على أنّ كلّ مَنْ هو مسن في حبّهم وكثير القدم في أمرهم يُرجَع إليه ولا يُرجَع إلى مَنْ هو ليس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جهة تعدد مَنْ هو واجد لهاتين الصفتين واختلافهم في الفتوى والرتبة، فليس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البيان من هذه الجهة، فلا إطلاق يشمل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السؤال عمّن هو داخل في إطار مَنْ تؤخذ منه الأحكام وممّن لا تؤخذ منه من حيث المذهب وغيره من الأوصاف، وأمّا مَن هو داخل في هذا الإطار فهل هو على نحو الإطلاق أو على بعض الصور؟ فلا إطلاق من هذه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ورد في التفسير المنسوب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في بيان أوصاف مَن يصلح للمرجعية أيضاً، لذلك فلا إطلاق، وإنْ سلّمنا الإطلاق فلشّدة ضعفه لا يصلح للاستناد، حيث لم يثبت إسناد هذا التفسير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فيه ما يدل على عدم صحة النسبة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المقبولة فهي مع الاختلاف في جواز الاعتماد عليها وعدمه فذيلها صريح في أنّها في القاضي فلا يجوز التمسك بصدرها في إثبات إطلاق جواز الرجوع في الفتوى، وإذا قلنا بعمومها للفتوى فهي بذيلها على مدعى الطرف الثّاني أدلّ 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صدرها فلا إطلاق فيه، 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مقام بيان أوصاف مَنْ يُرجَع إليه كحاكم </w:t>
      </w:r>
      <w:bookmarkStart w:id="409" w:name="pg9124_98657"/>
    </w:p>
    <w:p>
      <w:pPr>
        <w:pStyle w:val="BookText"/>
        <w:rPr/>
      </w:pPr>
      <w:bookmarkEnd w:id="409"/>
      <w:r>
        <w:rPr>
          <w:rFonts w:ascii="Amiri" w:hAnsi="Amiri" w:eastAsia="Amiri" w:cs="Amiri"/>
          <w:color w:val="111111"/>
          <w:sz w:val="28"/>
          <w:sz w:val="28"/>
          <w:szCs w:val="28"/>
          <w:rtl w:val="true"/>
          <w:lang w:bidi="ar-SA"/>
        </w:rPr>
        <w:t>في 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استدل برواية الأربعة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تعدو التمجيد لهم والشكر لسعيهم وجواز الرجوع إليهم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صورة اختلافهم في المسألة الفرعية مع اختلافهم في الرتبة فهي غير منظور إليها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أي إطلاق في السُنّة، وعلى تقديره فهناك ما يصلح لتقييده بغير ما نحن فيه من صور المسألة من أدلّة وجوب الرجوع إلى الأعلم تعييناً، وقد تقدّم بيانها</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2933378_2870459653"/>
      <w:bookmarkStart w:id="411" w:name="_Toc161"/>
      <w:bookmarkEnd w:id="410"/>
      <w:r>
        <w:rPr>
          <w:rtl w:val="true"/>
        </w:rPr>
        <w:t>الدليل الثّالث</w:t>
      </w:r>
      <w:r>
        <w:rPr>
          <w:rtl w:val="true"/>
        </w:rPr>
        <w:t xml:space="preserve">: </w:t>
      </w:r>
      <w:r>
        <w:rPr>
          <w:rtl w:val="true"/>
        </w:rPr>
        <w:t>بناء العقلاء</w:t>
      </w:r>
      <w:bookmarkEnd w:id="411"/>
    </w:p>
    <w:p>
      <w:pPr>
        <w:pStyle w:val="BookText"/>
        <w:rPr/>
      </w:pPr>
      <w:r>
        <w:rPr>
          <w:rFonts w:ascii="Amiri" w:hAnsi="Amiri" w:eastAsia="Amiri" w:cs="Amiri"/>
          <w:color w:val="111111"/>
          <w:sz w:val="28"/>
          <w:sz w:val="28"/>
          <w:szCs w:val="28"/>
          <w:rtl w:val="true"/>
          <w:lang w:bidi="ar-SA"/>
        </w:rPr>
        <w:t>فإنّ العقلاء يبنون في أمورهم على جواز الرجوع إلى المفضول لعذر بسيط ولا يكلّفون أنفسهم بالبحث عن الأعلم في فنّه، وحتّى بعد العلم به لا يرون ضرورة الرجوع إليه إذا كان موجباً لزيادة المؤنة على الرجوع إلى غيره، ويسوّغون تركهم للأعلم بأعذار بسيطة، وهذا يكشف عن عدم وجوب تعيين الأفضل بل هو مجرّد احتياط حسن</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ناقش هذا الوجه بعض الأعلام في تهذيبه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تثبت هذه السيرة في مورد البحث، وهو أن يكون الخلاف بين الفاضل والمفضول معلوماً ومع هذا يرجعون إلى المفضول، وعلى تقديرها فهي في أغراضهم الشخصية، وأمّا في أغراض المولى فلم تثبت هذه السيرة</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412" w:name="pg9124_98658"/>
    </w:p>
    <w:p>
      <w:pPr>
        <w:pStyle w:val="BookText"/>
        <w:rPr/>
      </w:pPr>
      <w:bookmarkEnd w:id="41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بناء العقلاء على الاعتماد على قول الأعلم عند العلم بالاختلاف حتى في أمورهم الشخصيّة وذلك لحصول الوثوق بقوله، إلّا إذا كان الرجوع إليه فيه كلفة زائدة فحينئذٍ يكون معذوراً في الرجوع إلى المفضول عرفاً، أو زال الوثوق بقول الأعلم لأمر خارجي، أو كان الغرض غير مهم لا يلزم الاعتناء به، وأمّا مع عدم العلم بالخلاف فلا يلزمون أنفسهم بالرجوع إلى الأعلم فقط</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2933380_2870459653"/>
      <w:bookmarkStart w:id="414" w:name="_Toc162"/>
      <w:bookmarkEnd w:id="413"/>
      <w:r>
        <w:rPr>
          <w:rtl w:val="true"/>
        </w:rPr>
        <w:t>الدليل الرابع</w:t>
      </w:r>
      <w:r>
        <w:rPr>
          <w:rtl w:val="true"/>
        </w:rPr>
        <w:t xml:space="preserve">: </w:t>
      </w:r>
      <w:r>
        <w:rPr>
          <w:rtl w:val="true"/>
        </w:rPr>
        <w:t>سيرة المتشرعة</w:t>
      </w:r>
      <w:bookmarkEnd w:id="414"/>
    </w:p>
    <w:p>
      <w:pPr>
        <w:pStyle w:val="BookText"/>
        <w:rPr/>
      </w:pPr>
      <w:r>
        <w:rPr>
          <w:rFonts w:ascii="IRNazanin" w:hAnsi="IRNazanin" w:eastAsia="IRNazanin"/>
          <w:color w:val="111111"/>
          <w:sz w:val="28"/>
          <w:sz w:val="28"/>
          <w:szCs w:val="28"/>
          <w:rtl w:val="true"/>
          <w:lang w:bidi="fa-IR"/>
        </w:rPr>
        <w:t xml:space="preserve">وهي ثابتة من قبل المتشرعة من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الرجوع إلى أيّ صحابي من أصحاب النبي أو فقيه من أصحاب الأئمّة، ولم يلتزموا بالرجوع إلى الأعلم مع الاختلاف في الفتوى والرتبة ولم ينكر أحد منهم على أحد</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تحقّق هذه السيرة في مورد البحث لعدم وجود خلاف كثير في عصر المعصومين، وعلى فرضه لم يعلم أنّه كان الرجوع إلى المفضول مع العلم بالاختلاف بينه وبين الأعلم وكان الإمام أو الأصحاب يعلم بوقوع هذا ولم يردعوا عنه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الخلاف بين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معروفاً في الكثير من المسائل وكان الرجوع إلى أيّ واحد من فقهائهم جائزاً عند المسلمين كما قال الشهيد الثاني في المسالك</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هذا لاشتهار حديث نبوي بينهم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أصحابي كالنجوم بأيهم </w:t>
      </w:r>
    </w:p>
    <w:p>
      <w:pPr>
        <w:pStyle w:val="BookText"/>
        <w:rPr/>
      </w:pPr>
      <w:r>
        <w:rPr>
          <w:rFonts w:ascii="Amiri" w:hAnsi="Amiri" w:eastAsia="Amiri" w:cs="Amiri"/>
          <w:color w:val="111111"/>
          <w:sz w:val="28"/>
          <w:sz w:val="28"/>
          <w:szCs w:val="28"/>
          <w:rtl w:val="true"/>
          <w:lang w:bidi="ar-SA"/>
        </w:rPr>
        <w:t>اقتديتم اهتديتم</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ينبغي أن يقال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سيرة الرجوع إلى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سلّمنا أنّها كانت ثابتة عند المسلمين، لكنّها لا تصلح عندنا دليلاً؛ لأنّها سيرة لما عدا الإمامية، وهي لا تستلزم حكماً شرعياً لجواز أن تكون بدعة أو خرافة مثل سيرتهم على العمل بالقياس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قيل من لزوم الردّ عليهم من قبل المعصوم لو كانت بدعة فهو غفلة عمّا صدر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ذم المسلمين لتركهم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هذا لا وجه للذم على ترك الأفقه من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سيرة الإمامية على الرجوع إلى أصحاب الأئمة فهي وإن صَلُحتْ دليلاً لو كانت ثابتة، لكن يحتمل أن تكون سيرتهم هذه هي بناء منهم بما هم عقلاء، فلا تكون غير سيرة العقلاء في معاشهم، وقد عرفت حالها وأنّها لم تثبت مع العلم بالخلاف في الرتبة والفتوى وإمكان الرجوع إلى الأعلم مع أهمية المسألة، وسيرة المتشرعة لا تكون دليلاً إذا احتملت أنّها امتداد لسيرة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بعدم تحقّق سيرة العقلاء في ذلك وأنّ ذلك منهم بوصف كونهم متشرعة فتثبت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تثبت فيما نحن فيه بل الشواهد تدل على عدمها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تعيين مَن يُرجَع إليه إذا اختلف الأصحاب كما تقدّم في المقبولة وغيرها، وهذا ظاهر في التسليم بوجوب التوقف حين الاختلاف</w:t>
      </w:r>
      <w:r>
        <w:rPr>
          <w:rFonts w:eastAsia="IRNazanin" w:cs="IRNazanin"/>
          <w:color w:val="111111"/>
          <w:sz w:val="28"/>
          <w:szCs w:val="28"/>
          <w:rtl w:val="true"/>
          <w:lang w:bidi="fa-IR"/>
        </w:rPr>
        <w:t xml:space="preserve">. </w:t>
      </w:r>
      <w:bookmarkStart w:id="415" w:name="pg9124_98660"/>
    </w:p>
    <w:p>
      <w:pPr>
        <w:pStyle w:val="BookText"/>
        <w:rPr/>
      </w:pPr>
      <w:bookmarkEnd w:id="415"/>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دليل لبيّ يُقتَصَر فيه على القدر المتيقّن وهو الرجوع إلى أي فقيه ما دام لم يُعلم بوجود الأعلم منه مع الاختلاف بينهما</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2933382_2870459653"/>
      <w:bookmarkStart w:id="417" w:name="_Toc163"/>
      <w:bookmarkEnd w:id="416"/>
      <w:r>
        <w:rPr>
          <w:rtl w:val="true"/>
        </w:rPr>
        <w:t>الدليل الخامس</w:t>
      </w:r>
      <w:r>
        <w:rPr>
          <w:rtl w:val="true"/>
        </w:rPr>
        <w:t xml:space="preserve">: </w:t>
      </w:r>
      <w:r>
        <w:rPr>
          <w:rtl w:val="true"/>
        </w:rPr>
        <w:t>لزوم العسر والحرج</w:t>
      </w:r>
      <w:bookmarkEnd w:id="417"/>
    </w:p>
    <w:p>
      <w:pPr>
        <w:pStyle w:val="Heading6"/>
        <w:numPr>
          <w:ilvl w:val="5"/>
          <w:numId w:val="1"/>
        </w:numPr>
        <w:rPr/>
      </w:pPr>
      <w:bookmarkStart w:id="418" w:name="__RefHeading___Toc2933384_2870459653"/>
      <w:bookmarkStart w:id="419" w:name="_Toc164"/>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إنّ وجوب الاقتصار على الأعلم يوجب العسر والحرج على المكلّفين لاسيّما إذا كان المقصود هو أعلم عصره من ناحية تحديد مفهوم الأعلم، ومن ناحية الوصول إلى فتواه، ومن ناحية تعيين مصداقه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أجيب عنه بوجوه</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2933386_2870459653"/>
      <w:bookmarkStart w:id="421" w:name="_Toc165"/>
      <w:bookmarkEnd w:id="420"/>
      <w:r>
        <w:rPr>
          <w:rtl w:val="true"/>
        </w:rPr>
        <w:t>الوجه الأوَّل</w:t>
      </w:r>
      <w:bookmarkEnd w:id="421"/>
    </w:p>
    <w:p>
      <w:pPr>
        <w:pStyle w:val="BookText"/>
        <w:rPr/>
      </w:pPr>
      <w:r>
        <w:rPr>
          <w:rFonts w:ascii="Amiri" w:hAnsi="Amiri" w:eastAsia="Amiri" w:cs="Amiri"/>
          <w:color w:val="111111"/>
          <w:sz w:val="28"/>
          <w:sz w:val="28"/>
          <w:szCs w:val="28"/>
          <w:rtl w:val="true"/>
          <w:lang w:bidi="ar-SA"/>
        </w:rPr>
        <w:t>إنّه لا عسر ولا حرج في أي جانب من هذه 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جانب الوصول إلى فتوى الأعلم فعدمها واضح، لاسيّما في العصور المتأخرة التي تطبع فيها الرسالة العملية للمرجع بآلاف النسخ وتنتشر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جانب تحديد المفهوم فكما هو محدّد في بقية الصنائع والعلوم كالهندسة والطب وغيرهما بلا حرج فكذلك ما نحن فيه، وقد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جانب تشخيص مصداق الأعلم فهو موضوع كبقيّة الموضوعات فيمكن تشخيصه عن طريق أهل الخبرة في هذا الميدان كما هو حال غيره من الميادين الأخرى، فمعرفة الأعلم متيسرة ولو لبعض الأفراد بلا عسر ولا حرج، وسيرة المسلمين على الرجوع إلى الأعلم من دون وقوعهم في العسر والحرج</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الصحيح أنّه لو قيل بوجوب الفحص عن الأعلم مع احتمال وجوده في </w:t>
      </w:r>
      <w:bookmarkStart w:id="422" w:name="pg9124_98661"/>
    </w:p>
    <w:p>
      <w:pPr>
        <w:pStyle w:val="BookText"/>
        <w:rPr/>
      </w:pPr>
      <w:bookmarkEnd w:id="422"/>
      <w:r>
        <w:rPr>
          <w:rFonts w:ascii="Amiri" w:hAnsi="Amiri" w:eastAsia="Amiri" w:cs="Amiri"/>
          <w:color w:val="111111"/>
          <w:sz w:val="28"/>
          <w:sz w:val="28"/>
          <w:szCs w:val="28"/>
          <w:rtl w:val="true"/>
          <w:lang w:bidi="ar-SA"/>
        </w:rPr>
        <w:t>أي بلد من البلدان الإسلامية فلا يخلو من الحرج على المكلّف، كما اعترف به بعض المحقّقين من المتأخرين</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3" w:name="__RefHeading___Toc2933388_2870459653"/>
      <w:bookmarkStart w:id="424" w:name="_Toc166"/>
      <w:bookmarkEnd w:id="423"/>
      <w:r>
        <w:rPr>
          <w:rtl w:val="true"/>
        </w:rPr>
        <w:t>الوجه الثّاني</w:t>
      </w:r>
      <w:bookmarkEnd w:id="424"/>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الرجوع إلى الأعلم ليس بتكليف شرعي نفسي، بل هو حكم عقلي متفرّع على اختصاص الحجيّة بقوله، فلا تجري قاعدة رفع الحرج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شأن القاعدة هو رفع التكاليف الحرجية عن المكلّف، لا تشريع أحكام يرتفع بها الحرج، فنتيجة جريان القاعدة هو عدم وجوب العمل على فتوى الأعلم، لا إثبات حجيّة قول غيره الذي هو مقصود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غاية مؤدى القاعدة هو أنّه إذا كان الامتثال اليقيني بفتوى الأعلم متعذّراً فيتنازل إلى الامتثال الظنّي، ومع تعذره إلى الامتثال الاحتمالي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لحكومة العقل بذلك، أو لاستكشاف حجيّته شرعاً على ما هو مذكور في دليل الانسداد، وهذا ليس ما هو مقصود إثباته من حجيّة قول المفضول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سلّمنا التعذّر الدائم أو الغالب في هذا الحكم فهو يوجب القطع بأنّ الشارع لم يشرّع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اشتراط الأعلمية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الشريعة مبنيّة على اليسر والتساهل ولم تأتِ بأمر يضيّق على المكلّفين، فيثبت بهذا التخيير الشرعي بين فتوى الأعلم وغيره، كما جُعِلَ أحد أدلة نفي وجوب الاجتهاد على جميع المكلّفين هو التعذّر والحرج الدائم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ظهر ما في إجابة صاحب الكفاية عن هذا الدليل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أنّ قضيّة نفي </w:t>
      </w:r>
      <w:bookmarkStart w:id="425" w:name="pg9124_98662"/>
    </w:p>
    <w:p>
      <w:pPr>
        <w:pStyle w:val="BookText"/>
        <w:rPr/>
      </w:pPr>
      <w:bookmarkEnd w:id="425"/>
      <w:r>
        <w:rPr>
          <w:rFonts w:ascii="Amiri" w:hAnsi="Amiri" w:eastAsia="Amiri" w:cs="Amiri"/>
          <w:color w:val="111111"/>
          <w:sz w:val="28"/>
          <w:sz w:val="28"/>
          <w:szCs w:val="28"/>
          <w:rtl w:val="true"/>
          <w:lang w:bidi="ar-SA"/>
        </w:rPr>
        <w:t xml:space="preserve">العسر الاقتصار على موضع العسر فيجب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يلزم منه عسر</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هذا الجواب صحيح لو فرضنا أنّ العسر ليس في تعيين أعلم العلماء، بل العسر في الوصول إلى بعض فتاويه فحينئذٍ يقال إنّ ما يمكن للمكلّف الوصول إليه من فتاوي الأعلم بلا حرج يجب العمل بها دون ما تعسَّر عليه الوصول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 إنّ العسر في أصل وجوب تعيين الأعلم والبحث عنه إذا احتمل وجوده فلا يأتي هذا الكلام</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2933390_2870459653"/>
      <w:bookmarkStart w:id="427" w:name="_Toc167"/>
      <w:bookmarkEnd w:id="426"/>
      <w:r>
        <w:rPr>
          <w:rtl w:val="true"/>
        </w:rPr>
        <w:t>الوجه الثّالث</w:t>
      </w:r>
      <w:bookmarkEnd w:id="427"/>
    </w:p>
    <w:p>
      <w:pPr>
        <w:pStyle w:val="BookText"/>
        <w:rPr/>
      </w:pPr>
      <w:r>
        <w:rPr>
          <w:rFonts w:ascii="Amiri" w:hAnsi="Amiri" w:eastAsia="Amiri" w:cs="Amiri"/>
          <w:color w:val="111111"/>
          <w:sz w:val="28"/>
          <w:sz w:val="28"/>
          <w:szCs w:val="28"/>
          <w:rtl w:val="true"/>
          <w:lang w:bidi="ar-SA"/>
        </w:rPr>
        <w:t>إنّه إذا سلّمنا تعذّر تشخيص الأعلم المطلق وحرجيّته فمقتضاه التنزّل إلى الأفضل النسبي لا إلى حجيّة قول كلّ فقيه، ولا يناسب أن يدّعى تعذّر تشخيص الأفضل النسبي أيضاً، فإذا تعذّر على المكلّف الفحص عن أعلم عصره في العالم نوعاً فلا يتعذّر البحث عن أعلم بلده، لأنّه لمّا كان رفع اشتراط الأعلمية خلاف القاعدة فيُكتفى في رفعه بمقدار ما يرتفع به الحرج لا من أصله، فإنّ الضرورات تقدّر بقدرها</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يصح ما أورد على هذا الدليل من أنّه حرج شخصي فلا ينفي الحكم من غيره كما قد يكون الوضوء حرجياً لبعض المكلّفين</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الدعوى هي الحرج النوعي في هذا الاشتراط لا الشخصي، وهو يستلزم عدم التشريع له من الأوَّل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أنّ الدعوى هي الحرج والعسر الشخصيين في هذا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بعض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في الإيراد عليها هو أنّ مقتضى هذا هو الاحتياط، وإذا كان </w:t>
      </w:r>
      <w:bookmarkStart w:id="428" w:name="pg9124_98663"/>
    </w:p>
    <w:p>
      <w:pPr>
        <w:pStyle w:val="BookText"/>
        <w:rPr/>
      </w:pPr>
      <w:bookmarkEnd w:id="428"/>
      <w:r>
        <w:rPr>
          <w:rFonts w:ascii="Amiri" w:hAnsi="Amiri" w:eastAsia="Amiri" w:cs="Amiri"/>
          <w:color w:val="111111"/>
          <w:sz w:val="28"/>
          <w:sz w:val="28"/>
          <w:szCs w:val="28"/>
          <w:rtl w:val="true"/>
          <w:lang w:bidi="ar-SA"/>
        </w:rPr>
        <w:t>الاحتياط منفيّاً لاستلزامه الحرج، فالعمل بفتوى مَنْ يظن أنّه أعلم أو يحتمله هو المتعيّن لا التخيير بينه وبين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الصحيح أن يجاب بأنّه أخصّ من المدعى؛ لأنّ هذا تسليم لجواز التخيير ولو في هذا الحال، وقاعدة الحرج لا تقتضيه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مقصود المستدل هو وجود الحرج لأغلب المكلّفين في جميع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كلامه حتى فيما إذا علم بوجود الأعلم وعلم بالاختلاف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نسلّم هذه الدعوى، بل نقول لا حرج للغالب في الرجوع إلى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المقصود أنّ الرجوع إليه حرجي في هذه الحالة بالنسبة إلى بعض المكلّفين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يمكن أن يتصوّر، ولكنّه لا يوجب جواز الرجوع إلى أي فقيه، بل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الاحتياط، أو الرجوع إلى من هو أعلم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مقصوده بالحرج بالنسبة إلى أغلب المكلّفين هو الحرج في وجوب الفحص عن الأعلم على الإطلاق حتى مع عدم العلم بوجوده فهذا نسلّمه، ولكن ليس هو ما ندعيه في المقام</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2933392_2870459653"/>
      <w:bookmarkStart w:id="430" w:name="_Toc168"/>
      <w:bookmarkEnd w:id="429"/>
      <w:r>
        <w:rPr>
          <w:rtl w:val="true"/>
        </w:rPr>
        <w:t>الدليل السّادس</w:t>
      </w:r>
      <w:r>
        <w:rPr>
          <w:rtl w:val="true"/>
        </w:rPr>
        <w:t xml:space="preserve">: </w:t>
      </w:r>
      <w:r>
        <w:rPr>
          <w:rtl w:val="true"/>
        </w:rPr>
        <w:t>دليل الأولوية</w:t>
      </w:r>
      <w:bookmarkEnd w:id="430"/>
    </w:p>
    <w:p>
      <w:pPr>
        <w:pStyle w:val="Heading6"/>
        <w:numPr>
          <w:ilvl w:val="5"/>
          <w:numId w:val="1"/>
        </w:numPr>
        <w:rPr/>
      </w:pPr>
      <w:bookmarkStart w:id="431" w:name="__RefHeading___Toc2933394_2870459653"/>
      <w:bookmarkStart w:id="432" w:name="_Toc169"/>
      <w:bookmarkEnd w:id="431"/>
      <w:r>
        <w:rPr>
          <w:rtl w:val="true"/>
        </w:rPr>
        <w:t>اشارة</w:t>
      </w:r>
      <w:bookmarkEnd w:id="432"/>
    </w:p>
    <w:p>
      <w:pPr>
        <w:pStyle w:val="BookText"/>
        <w:rPr/>
      </w:pPr>
      <w:r>
        <w:rPr>
          <w:rFonts w:ascii="IRNazanin" w:hAnsi="IRNazanin" w:eastAsia="IRNazanin"/>
          <w:color w:val="111111"/>
          <w:sz w:val="28"/>
          <w:sz w:val="28"/>
          <w:szCs w:val="28"/>
          <w:rtl w:val="true"/>
          <w:lang w:bidi="fa-IR"/>
        </w:rPr>
        <w:t xml:space="preserve">إنّ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أرجعوا شيعتهم في أيامهم إلى أصحابهم مثل يونس بن عبد الرحمن ومحمّد بن مسلم وزرارة وغيرهم فلو كان الرجوع إلى الأعلم في هذا العصر متعيّناً لكان الرجوع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عصره متعيّن بالأولوية القطعية، والثابت خلاف هذا</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عنه بوجوه</w:t>
      </w:r>
      <w:r>
        <w:rPr>
          <w:rFonts w:eastAsia="Amiri" w:cs="Amiri" w:ascii="Amiri" w:hAnsi="Amiri"/>
          <w:color w:val="111111"/>
          <w:sz w:val="28"/>
          <w:szCs w:val="28"/>
          <w:rtl w:val="true"/>
          <w:lang w:bidi="ar-SA"/>
        </w:rPr>
        <w:t xml:space="preserve">: </w:t>
      </w:r>
      <w:bookmarkStart w:id="433" w:name="pg9124_98664"/>
    </w:p>
    <w:p>
      <w:pPr>
        <w:pStyle w:val="Heading6"/>
        <w:numPr>
          <w:ilvl w:val="5"/>
          <w:numId w:val="1"/>
        </w:numPr>
        <w:rPr/>
      </w:pPr>
      <w:bookmarkStart w:id="434" w:name="__RefHeading___Toc2933396_2870459653"/>
      <w:bookmarkStart w:id="435" w:name="_Toc170"/>
      <w:bookmarkEnd w:id="433"/>
      <w:bookmarkEnd w:id="434"/>
      <w:r>
        <w:rPr>
          <w:rtl w:val="true"/>
        </w:rPr>
        <w:t>الأوَّل</w:t>
      </w:r>
      <w:bookmarkEnd w:id="435"/>
    </w:p>
    <w:p>
      <w:pPr>
        <w:pStyle w:val="BookText"/>
        <w:rPr/>
      </w:pPr>
      <w:r>
        <w:rPr>
          <w:rFonts w:ascii="IRNazanin" w:hAnsi="IRNazanin" w:eastAsia="IRNazanin"/>
          <w:color w:val="111111"/>
          <w:sz w:val="28"/>
          <w:sz w:val="28"/>
          <w:szCs w:val="28"/>
          <w:rtl w:val="true"/>
          <w:lang w:bidi="fa-IR"/>
        </w:rPr>
        <w:t xml:space="preserve">إنّ الرجوع إلى الأصحاب لم يكن من حيث إنّهم في عرض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المقصود من البحث عن الفقهاء، بل كان من حيث إنّهم أمناء على ما أخذوا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الأحكام الإسلامية فكانوا طريقاً للأخذ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هذا ممّا لا بُدَّ منه لبُعد الشُقّة بين المكلّفين وبين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ولزوم الحرج في الأخذ المباشر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فهناك فرق بين هذا وبين ما نحن فيه</w:t>
      </w:r>
      <w:r>
        <w:rPr>
          <w:rFonts w:eastAsia="IRNazanin" w:cs="IRNazanin"/>
          <w:color w:val="111111"/>
          <w:sz w:val="28"/>
          <w:szCs w:val="28"/>
          <w:rtl w:val="true"/>
          <w:lang w:bidi="fa-IR"/>
        </w:rPr>
        <w:t>.</w:t>
      </w:r>
    </w:p>
    <w:p>
      <w:pPr>
        <w:pStyle w:val="Heading6"/>
        <w:numPr>
          <w:ilvl w:val="5"/>
          <w:numId w:val="1"/>
        </w:numPr>
        <w:rPr/>
      </w:pPr>
      <w:bookmarkStart w:id="436" w:name="__RefHeading___Toc2933398_2870459653"/>
      <w:bookmarkStart w:id="437" w:name="_Toc171"/>
      <w:bookmarkEnd w:id="436"/>
      <w:r>
        <w:rPr>
          <w:rtl w:val="true"/>
        </w:rPr>
        <w:t>الثّاني</w:t>
      </w:r>
      <w:bookmarkEnd w:id="437"/>
    </w:p>
    <w:p>
      <w:pPr>
        <w:pStyle w:val="BookText"/>
        <w:rPr/>
      </w:pPr>
      <w:r>
        <w:rPr>
          <w:rFonts w:ascii="IRNazanin" w:hAnsi="IRNazanin" w:eastAsia="IRNazanin"/>
          <w:color w:val="111111"/>
          <w:sz w:val="28"/>
          <w:sz w:val="28"/>
          <w:szCs w:val="28"/>
          <w:rtl w:val="true"/>
          <w:lang w:bidi="fa-IR"/>
        </w:rPr>
        <w:t xml:space="preserve">إنّه لم يراجع أحد الشيعة أحداً من الأصحاب مع علمه بمخالفته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تفصيلاً أو إجمالاً، ومحل البحث هو العلم بالمخالفة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في الأوَّل منهما نظرٌ؛ من جهة أنّه لا يمكن إنكار إعمال بعض أصحاب الأئمة نظرهم في استنباط الأحكام؛ ولذا عرفوا بأنّهم من فقهاء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وحينئذٍ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كان الاشتراط بالأعلمية ثابتاً لكان من جهة أنّ فتوى الفقيه الأعلم أقرب إلى الواقع وأبعد من الخطأ وأكثر وثوقاً، وهذه الميزة موجودة بعينها في قول الإمام فلا فرق بين الموردين من هذه الجهة، ولعلّ مقصود المجيب هو أنّ مثل هذا الحرج لا يلزم من الرجوع إلى اعلم الفقهاء فهذا فرق فارق بين الموردين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فحينئذٍ ينبغي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مقتضى الأصل كان كذلك، أي وجوب الرجوع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أو إلى ما يحصل به اليقين كالتواتر وغيره، لكن ثبت قطعاً تنازل الشارع عن هذا لأجل مصلحة التسهيل على العباد واكتفى بالأخذ 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بواسطة راوٍ أو فقيه يستنبط الأحكام من كلام المعصوم، ومقتضى هذه المصلحة نفسها عدم وجوب الفحص على المكلّف عن اعلم من في العالم، وهذا لا يستلزم عدم تعيين الرجوع إلى </w:t>
      </w:r>
    </w:p>
    <w:p>
      <w:pPr>
        <w:pStyle w:val="BookText"/>
        <w:rPr/>
      </w:pPr>
      <w:r>
        <w:rPr>
          <w:rFonts w:ascii="Amiri" w:hAnsi="Amiri" w:eastAsia="Amiri" w:cs="Amiri"/>
          <w:color w:val="111111"/>
          <w:sz w:val="28"/>
          <w:sz w:val="28"/>
          <w:szCs w:val="28"/>
          <w:rtl w:val="true"/>
          <w:lang w:bidi="ar-SA"/>
        </w:rPr>
        <w:t>الأعلم بعد العلم به والعلم باختلافه عن غيره في الفتوى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يتبيّن ضعف ما قيل في المقام من أنّ الشارع قد تنازل عن هذا الأصل المذكور بالنسبة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قد ثبت بالدليل القطعي، ولكنّه لا يستلزم تنازل الشارع عن هذا الأصل بالنسبة إلى الفقيه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تعيّن الرجوع إلى الأعلم مطلقاً حتى مع عدم العلم بوجوده وإيجاب الفحص عنه يوجب التضييق على المكلّف بنفس المقدار الموجود في تعيّن الرجوع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فثبوت تنازل الشارع في المورد الأوَّل يستلزم تنازله في المورد الثّاني</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الكلام في المحور الثّاني في المقام الأوَّل، وقد تبيّن أنّ أدلة القائلين بحجيّة قول غير الأعلم لا تنهض بإثباتها مطلقاً، بل مع عدم العلم بالتفاضل والاختلاف في الفتوى</w:t>
      </w:r>
      <w:r>
        <w:rPr>
          <w:rFonts w:eastAsia="Amiri" w:cs="Amiri" w:ascii="Amiri" w:hAnsi="Amiri"/>
          <w:color w:val="111111"/>
          <w:sz w:val="28"/>
          <w:szCs w:val="28"/>
          <w:rtl w:val="true"/>
          <w:lang w:bidi="ar-SA"/>
        </w:rPr>
        <w:t xml:space="preserve">. </w:t>
      </w:r>
      <w:bookmarkStart w:id="438" w:name="pg9124_98666"/>
    </w:p>
    <w:p>
      <w:pPr>
        <w:pStyle w:val="Heading3"/>
        <w:numPr>
          <w:ilvl w:val="2"/>
          <w:numId w:val="1"/>
        </w:numPr>
        <w:rPr/>
      </w:pPr>
      <w:bookmarkStart w:id="439" w:name="__RefHeading___Toc2933400_2870459653"/>
      <w:bookmarkStart w:id="440" w:name="_Toc172"/>
      <w:bookmarkEnd w:id="438"/>
      <w:bookmarkEnd w:id="439"/>
      <w:r>
        <w:rPr>
          <w:rtl w:val="true"/>
        </w:rPr>
        <w:t>المقام الثّاني</w:t>
      </w:r>
      <w:r>
        <w:rPr>
          <w:rtl w:val="true"/>
        </w:rPr>
        <w:t xml:space="preserve">: </w:t>
      </w:r>
      <w:r>
        <w:rPr>
          <w:rtl w:val="true"/>
        </w:rPr>
        <w:t>في الأصل العملي الجاري في المسألة</w:t>
      </w:r>
      <w:bookmarkEnd w:id="440"/>
    </w:p>
    <w:p>
      <w:pPr>
        <w:pStyle w:val="Heading4"/>
        <w:numPr>
          <w:ilvl w:val="3"/>
          <w:numId w:val="1"/>
        </w:numPr>
        <w:rPr/>
      </w:pPr>
      <w:bookmarkStart w:id="441" w:name="__RefHeading___Toc2933402_2870459653"/>
      <w:bookmarkStart w:id="442" w:name="_Toc173"/>
      <w:bookmarkEnd w:id="441"/>
      <w:r>
        <w:rPr>
          <w:rtl w:val="true"/>
        </w:rPr>
        <w:t>اشارة</w:t>
      </w:r>
      <w:bookmarkEnd w:id="442"/>
    </w:p>
    <w:p>
      <w:pPr>
        <w:pStyle w:val="BookText"/>
        <w:rPr/>
      </w:pPr>
      <w:r>
        <w:rPr>
          <w:rFonts w:ascii="Amiri" w:hAnsi="Amiri" w:eastAsia="Amiri" w:cs="Amiri"/>
          <w:color w:val="111111"/>
          <w:sz w:val="28"/>
          <w:sz w:val="28"/>
          <w:szCs w:val="28"/>
          <w:rtl w:val="true"/>
          <w:lang w:bidi="ar-SA"/>
        </w:rPr>
        <w:t>ثُمّ إذا فرضنا عدم تماميّة الأدلة الاجتهادية للطرفين يأتي دور الأصل العملي في المقام الذي يكون مرجعاً، فما هو الأصل الذي يجري في المقام؟</w:t>
      </w:r>
    </w:p>
    <w:p>
      <w:pPr>
        <w:pStyle w:val="BookText"/>
        <w:rPr/>
      </w:pPr>
      <w:r>
        <w:rPr>
          <w:rFonts w:ascii="Amiri" w:hAnsi="Amiri" w:eastAsia="Amiri" w:cs="Amiri"/>
          <w:color w:val="111111"/>
          <w:sz w:val="28"/>
          <w:sz w:val="28"/>
          <w:szCs w:val="28"/>
          <w:rtl w:val="true"/>
          <w:lang w:bidi="ar-SA"/>
        </w:rPr>
        <w:t>فيه وجوه نذكر ثلاثةً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الجاري هو الاشتغال فيقتضي تعيّن الرجوع إلى الأعلم، وهو مذهب الأكثر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هذا يرجع إلى الشّك في أصل التكليف فهو مجرى للبراءة فينتج التخيير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إنّ الصحيح هو التفصيل بين البناء على الطريقية في حجيّة الفتوى فيكون مجرى للاشتغال وبين البناء على السّببية فيكون مجرى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الوجوه</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2933404_2870459653"/>
      <w:bookmarkStart w:id="444" w:name="_Toc174"/>
      <w:bookmarkEnd w:id="443"/>
      <w:r>
        <w:rPr>
          <w:rtl w:val="true"/>
        </w:rPr>
        <w:t>الوجه الأوَّل</w:t>
      </w:r>
      <w:bookmarkEnd w:id="444"/>
    </w:p>
    <w:p>
      <w:pPr>
        <w:pStyle w:val="Heading5"/>
        <w:numPr>
          <w:ilvl w:val="4"/>
          <w:numId w:val="1"/>
        </w:numPr>
        <w:rPr/>
      </w:pPr>
      <w:bookmarkStart w:id="445" w:name="__RefHeading___Toc2933406_2870459653"/>
      <w:bookmarkStart w:id="446" w:name="_Toc175"/>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أمّا الوجه الأوَّل فبيانه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دائر بين تعيّن تقليد الأعلم وبين التخيير بينه وبين غيره؛ لأنّه من باب دوران الأمر بين الحجيّة التعيينية لقول الأعلم على تقدير سقوط فتوى غير الأعلم عن الحجيّة وبين الحجيّة التخييرية لقول الأعلم على تقدير بقاء فتوى غير الأعلم على الحجيّة وهو يقتضي الأخذ بما يحتمل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فتوى الأعلم مقطوع بها، وحجيّة فتوى غيره مشكوك بها فيجب الأخذ بما هو مقطوع الحجيّة</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 على هذا الوجه بإيرادات</w:t>
      </w:r>
      <w:r>
        <w:rPr>
          <w:rFonts w:eastAsia="Amiri" w:cs="Amiri" w:ascii="Amiri" w:hAnsi="Amiri"/>
          <w:color w:val="111111"/>
          <w:sz w:val="28"/>
          <w:szCs w:val="28"/>
          <w:rtl w:val="true"/>
          <w:lang w:bidi="ar-SA"/>
        </w:rPr>
        <w:t xml:space="preserve">.. </w:t>
      </w:r>
      <w:bookmarkStart w:id="447" w:name="pg9124_98667"/>
    </w:p>
    <w:p>
      <w:pPr>
        <w:pStyle w:val="Heading5"/>
        <w:numPr>
          <w:ilvl w:val="4"/>
          <w:numId w:val="1"/>
        </w:numPr>
        <w:rPr/>
      </w:pPr>
      <w:bookmarkStart w:id="448" w:name="__RefHeading___Toc2933408_2870459653"/>
      <w:bookmarkStart w:id="449" w:name="_Toc176"/>
      <w:bookmarkEnd w:id="447"/>
      <w:bookmarkEnd w:id="448"/>
      <w:r>
        <w:rPr>
          <w:rtl w:val="true"/>
        </w:rPr>
        <w:t>الإيراد الأوَّل</w:t>
      </w:r>
      <w:bookmarkEnd w:id="449"/>
    </w:p>
    <w:p>
      <w:pPr>
        <w:pStyle w:val="BookText"/>
        <w:rPr/>
      </w:pPr>
      <w:r>
        <w:rPr>
          <w:rFonts w:ascii="Amiri" w:hAnsi="Amiri" w:eastAsia="Amiri" w:cs="Amiri"/>
          <w:color w:val="111111"/>
          <w:sz w:val="28"/>
          <w:sz w:val="28"/>
          <w:szCs w:val="28"/>
          <w:rtl w:val="true"/>
          <w:lang w:bidi="ar-SA"/>
        </w:rPr>
        <w:t>إنّه إذا دار الأمر بين التعيين والتخيير فالأصل الجاري فيه هو البراءة عن التعيين؛ لأنّه شكّ في تكليف زائد على أصل التكليف، كما إذا كلّف المولى عبده بعتق رقبة واحتمل تعيّنها بالمؤمنة فتجرى البراءة عن الزائد على أصل الرقبة فكذلك المقام</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عنه بوجود فارق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الدائر بين التعيين والتخيير قد يدور في المسألة الفرعية وقد يدور في حجيّة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قد يراد بالحجيّة تنجّز الواقع فحسب، كما إذا لم يكن منجّزاً على المكلّف لولا الحجّة الواصلة إليه فلولا هذه الحجّة لكان المورد مجرى البراءة أو أصالة الطهارة والحلية وغيرهما، فحينئذٍ يكون مرجع الشّك هو الشّك بين الإطلاق والتقييد وحاله حال الدوران في الأحكام، وهو أنّ هناك علماً بالجامع وشكّ في الكلفة الزائدة فتجرى البراءة عن الكلفة الزائدة فيكون المكلّف مخيّراً في أخذ أي حجّة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بالحجيّة التعذير على تقدير مخالفة الواقع؛ لأنّ الواقع قد تنجّز قبل هذه الحجّة بالعلم الإجمالي الكبير، أو العلم الإجمالي المتحقّق في بعض الموارد، ودار الأمر بين الحجيّة التعيينية والتخييرية، والأصل حينئذٍ يقتضي الأخذ بما يحتمل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الواقع قد تنجّز مسبقاً فيجب الخروج من عهدته، والمعذّر القطعي هو الطرف الذي يحتمل تعيينه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الطرف الآخر فيحتمل عدم حجيّته أصلاً فلا يؤمن من العقاب بالاعتماد عليه </w:t>
      </w:r>
    </w:p>
    <w:p>
      <w:pPr>
        <w:pStyle w:val="BookText"/>
        <w:rPr/>
      </w:pPr>
      <w:r>
        <w:rPr>
          <w:rFonts w:ascii="Amiri" w:hAnsi="Amiri" w:eastAsia="Amiri" w:cs="Amiri"/>
          <w:color w:val="111111"/>
          <w:sz w:val="28"/>
          <w:sz w:val="28"/>
          <w:szCs w:val="28"/>
          <w:rtl w:val="true"/>
          <w:lang w:bidi="ar-SA"/>
        </w:rPr>
        <w:t>فيحكم العقل بوجوب دفع الضرر المحتمل بالعمل على طبق الحجّة التي احتمل تعيينها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من هذا القبيل؛ لأنّ الواقع قد تنجّز على المكلفين بالعلم الإجمالي الكبير فتكون حجيّة الحجج ومنها الفتوى معذّرة فقط، فإذا دار الأمر بين الحجيّة التعيينية والتخييرية فيكون مورداً لقاعدة الاشتغال لا البراءة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يمثّل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 الفقهاء أفتى بعدم وجوب جلسة الاستراحة في الصلاة والأعلم منه أفتى بوجوبها فالعقل هنا لا يعذّر المكلّف لو اعتمد على فتوى المفضول ووقع في مخالفة الواقع، أمّا لو كانت فتواهما بالعكس فلا يمنع العقل من الرجوع إلى الأعلم ويراه معذوراً لو وقع في مخالفة الواقع بترك جلسة الاستراحة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وللتأمل في هذا الكلام مجال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الأمارات والطرق لا تكون على نحو التفكيك بين المنجّزية والمعذّرية لاسيّما بناءً على الطريقيّة؛ لأنّه على هذا تكون طريقاً إلى الواقع فتنجّزه، والامتثال الموافق لها يكون معذّراً للمكلّف، فكيف يعقل أن تكون الأمارة معذرة له إذا أتى بالعمل مطابقاً لها من دون أن تنجّز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الأمارة الواردة في مقام الأعذار كحديث الرفع فهي معذّرة في ترك الامتثال دون أن تنجّز شيئاً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دعوى تنجّز الواقع بالعلم الإجمالي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المتنجّز به هي التكاليف إجمالاً، وأمّا تنجّز التكليف تفصيلاً فهو بالأمارات ومنها الفتوى، فالتنجيز له مرتبتان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إجمالي وتفصيلي، فإذا علم المكلّف مثلاً إجمالاً بوجوب إحدى الصلاتين من الظهر والجمعة يوم الجمعة فتنجّز عليه الواقع إجمالاً، ثُمّ أفتى المفتي بوجوب صلاة الجمعة انحلّ العلم الإجمالي بمقدار المنجّز وهو الفتوى فيجب عليه الخروج من عهدتها بخصوصها وإذا تركها استحق العقوبة لا على التكليف الإجمالي، بل على صلاة الجمعة بخصوصها، وهذا ما يعبّر عنه بانحلال العلم </w:t>
      </w:r>
    </w:p>
    <w:p>
      <w:pPr>
        <w:pStyle w:val="BookText"/>
        <w:rPr/>
      </w:pPr>
      <w:r>
        <w:rPr>
          <w:rFonts w:ascii="Amiri" w:hAnsi="Amiri" w:eastAsia="Amiri" w:cs="Amiri"/>
          <w:color w:val="111111"/>
          <w:sz w:val="28"/>
          <w:sz w:val="28"/>
          <w:szCs w:val="28"/>
          <w:rtl w:val="true"/>
          <w:lang w:bidi="ar-SA"/>
        </w:rPr>
        <w:t>الإجمالي بالطرق والأمارات، أو بفتاوى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انفكاك جهة المعذريّة في الحجيّة عن جهة المنجزيّة لا مجال لانفكاك جهة المنجزيّة عن المعذريّة؛ لأنّ الحجّة التي تنجّز الحكم يستحيل عقلاً أن لا يكون العمل المطابق لها معذّراً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الحجّة إذا دار الأمر فيها بين التعيين والتخيير فالأصل الجاري فيها يقتضي التعيين حتى لو كانت حجيّتها منجّزة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معنى الدوران بينهما أننا نعلم أنّ الشارع جعل إحداهما المعيّنة حجّة في تنجيز الأحكام ونشك في التخيير بينها وبين ما هو مشكوك الحجيّة، ولما كان مقتضى الأصل عدم حجيّة الحجّة الثّانية تبقى الأولى هي الحجّة تعييناً، وعلى هذا فحتى لو فرضنا أنّه لا علم إجماليَ منجَّز في البين، والأحكام تتنجّز بفتاوى الفقهاء واختلف الأعلم مع غيره في الفتوى فنشكّ في أنّ ما تنجّز علينا هو خصوص ما أفتى به الأعلم،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ما أفتى به الأعلم وإمّا ما أفتى به غيره، فحينئذٍ لا تجري البراءة عن تعيين ما أفتى به الأعلم؛ لأنّ الشّك فيه يرجع إلى الشّك في جعل حجيّة فتوى غير الأعلم في هذه الحالة أو لا، والأصل عدمها، فتتعيّن حجيّة فتوى الأعلم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جريان أصالة البراءة في الأمر الدائر بين التعيين والتخيير هو فيما إذا كان في تنجّز الأحكام نفسها بعد الفراغ عن حجيّة الحجّة التي قامت عليها لا ما إذا كان في منجّزيّة أو معذريّة الحجّة نفسها؛ لأنّ الأصل الجاري حينئذٍ هو الاحتياط لما تقدم من أنّه من باب الشّك في حجيّة الحجّة وهو </w:t>
      </w:r>
      <w:bookmarkStart w:id="450" w:name="pg9124_98670"/>
    </w:p>
    <w:p>
      <w:pPr>
        <w:pStyle w:val="BookText"/>
        <w:rPr/>
      </w:pPr>
      <w:bookmarkEnd w:id="450"/>
      <w:r>
        <w:rPr>
          <w:rFonts w:ascii="Amiri" w:hAnsi="Amiri" w:eastAsia="Amiri" w:cs="Amiri"/>
          <w:color w:val="111111"/>
          <w:sz w:val="28"/>
          <w:sz w:val="28"/>
          <w:szCs w:val="28"/>
          <w:rtl w:val="true"/>
          <w:lang w:bidi="ar-SA"/>
        </w:rPr>
        <w:t>يساوق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أيضاً عن هذا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معنى لجريان البراءة عن الكلفة الزائدة في المقام كما تجري في الأحكام؛ لأنّه لا يترتب على مخالفة تقليد الأعلم نفسه العقاب وإنّما يترتب العقاب على مخالفة الواقع، فما لا يترتب على مخالفته عقاب لا مجال لجريان البراءة فيه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يأتي هذا الكلام في البراءة الشرعية؛ لأنّ موضوعها ما لا يعلمون وما نحن فيه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انحصار جريان البراءة في الأحكام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بناءً على جريانها في الأحكام الوضعية مطلقاً، أو في الجملة، ولكن هذا لا يصلح؛ لأنّه يمكن أن يقال بجريان البراءة عن شرطية شرط زائد على أصل الفقاهة في صحة التقليد وهو الأعلمية إذا تعدد الفقهاء واختلفوا في الفتوى وكان بعضهم أعلم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الجواب هو ما تقدم من أصالة عدم جعل الحجيّة لفتوى غير الأعلم الواردة على أصالة البراءة عن تعيين فتوى الأعلم؛ لأنّه بجريان الأول لا يبقى الأمرُ دائراً بين التعيين والتخيير، بل تتعيّن حجيّة فتوى الأعلم</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2933410_2870459653"/>
      <w:bookmarkStart w:id="452" w:name="_Toc177"/>
      <w:bookmarkEnd w:id="451"/>
      <w:r>
        <w:rPr>
          <w:rtl w:val="true"/>
        </w:rPr>
        <w:t>الإيراد الثّاني</w:t>
      </w:r>
      <w:bookmarkEnd w:id="452"/>
    </w:p>
    <w:p>
      <w:pPr>
        <w:pStyle w:val="BookText"/>
        <w:rPr/>
      </w:pPr>
      <w:r>
        <w:rPr>
          <w:rFonts w:ascii="Amiri" w:hAnsi="Amiri" w:eastAsia="Amiri" w:cs="Amiri"/>
          <w:color w:val="111111"/>
          <w:sz w:val="28"/>
          <w:sz w:val="28"/>
          <w:szCs w:val="28"/>
          <w:rtl w:val="true"/>
          <w:lang w:bidi="ar-SA"/>
        </w:rPr>
        <w:t>إنّ الأصل المذكور جارٍ في المسبب، والجاري في السّبب هو البراءة، والثّاني مقدّم على الأوَّل، وتفصيل هذا الكلام وما فيه يأتي في القول الثّاني</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2933412_2870459653"/>
      <w:bookmarkStart w:id="454" w:name="_Toc178"/>
      <w:bookmarkEnd w:id="453"/>
      <w:r>
        <w:rPr>
          <w:rtl w:val="true"/>
        </w:rPr>
        <w:t>الإيراد الثّالث</w:t>
      </w:r>
      <w:bookmarkEnd w:id="45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العقل لا يحكم على الإطلاق بكون فتوى الأعلم مقطوعة الحجيّة وفتوى غيره مشكوكة الحجيّة، بل يحكم بهذا الحكم إذا لم تكن فتوى غير الأعلم موافقةً للاحتياط، أو لفتوى الأعلم الميّت، وإلّا لحكم بكون فتوى غيره مقطوعة </w:t>
      </w:r>
      <w:bookmarkStart w:id="455" w:name="pg9124_98671"/>
    </w:p>
    <w:p>
      <w:pPr>
        <w:pStyle w:val="BookText"/>
        <w:rPr/>
      </w:pPr>
      <w:bookmarkEnd w:id="455"/>
      <w:r>
        <w:rPr>
          <w:rFonts w:ascii="Amiri" w:hAnsi="Amiri" w:eastAsia="Amiri" w:cs="Amiri"/>
          <w:color w:val="111111"/>
          <w:sz w:val="28"/>
          <w:sz w:val="28"/>
          <w:szCs w:val="28"/>
          <w:rtl w:val="true"/>
          <w:lang w:bidi="ar-SA"/>
        </w:rPr>
        <w:t>الحجيّة ولا أقل يحكم بالتساقط، أو التخيير بينهما، أو بترجيح ما يحصل به الوثوق</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هو فتوى الأعلم وغيره بما هي هي مع قطع النظر عن أمر آخر يوجب التساوي بينهما أو ترجيح إحداهما على الأخرى</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2933414_2870459653"/>
      <w:bookmarkStart w:id="457" w:name="_Toc179"/>
      <w:bookmarkEnd w:id="456"/>
      <w:r>
        <w:rPr>
          <w:rtl w:val="true"/>
        </w:rPr>
        <w:t>الإيراد الرابع</w:t>
      </w:r>
      <w:bookmarkEnd w:id="457"/>
    </w:p>
    <w:p>
      <w:pPr>
        <w:pStyle w:val="BookText"/>
        <w:rPr/>
      </w:pPr>
      <w:r>
        <w:rPr>
          <w:rFonts w:ascii="Amiri" w:hAnsi="Amiri" w:eastAsia="Amiri" w:cs="Amiri"/>
          <w:color w:val="111111"/>
          <w:sz w:val="28"/>
          <w:sz w:val="28"/>
          <w:szCs w:val="28"/>
          <w:rtl w:val="true"/>
          <w:lang w:bidi="ar-SA"/>
        </w:rPr>
        <w:t>إنّ نتيجة جريان هذا الأصل هو عدم حجيّة قول المفضول لا تعيين الحجيّة لقول الأفضل لاحتمال التخيير بينه وبين قول المفضول</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الشرعي قد تنجّز على المكلّف إجمالاً، والعمل بقول الأفضل معذّر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نحو التخيير، أو على نحو التعيين فيجب العمل به عقلاً بخلاف قول المفضول فهو مشكوك المعذّرية فلا يصح الاكتفاء به عقلاً</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2933416_2870459653"/>
      <w:bookmarkStart w:id="459" w:name="_Toc180"/>
      <w:bookmarkEnd w:id="458"/>
      <w:r>
        <w:rPr>
          <w:rtl w:val="true"/>
        </w:rPr>
        <w:t>الوجه الثّاني</w:t>
      </w:r>
      <w:bookmarkEnd w:id="459"/>
    </w:p>
    <w:p>
      <w:pPr>
        <w:pStyle w:val="Heading5"/>
        <w:numPr>
          <w:ilvl w:val="4"/>
          <w:numId w:val="1"/>
        </w:numPr>
        <w:rPr/>
      </w:pPr>
      <w:bookmarkStart w:id="460" w:name="__RefHeading___Toc2933418_2870459653"/>
      <w:bookmarkStart w:id="461" w:name="_Toc181"/>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أمّا الوجه الثّاني فالأصل العملي على هذا الوجه يقرّر على نحوين</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2933420_2870459653"/>
      <w:bookmarkStart w:id="463" w:name="_Toc182"/>
      <w:bookmarkEnd w:id="462"/>
      <w:r>
        <w:rPr>
          <w:rtl w:val="true"/>
        </w:rPr>
        <w:t>النّحو الأوَّل</w:t>
      </w:r>
      <w:r>
        <w:rPr>
          <w:rtl w:val="true"/>
        </w:rPr>
        <w:t xml:space="preserve">: </w:t>
      </w:r>
      <w:r>
        <w:rPr>
          <w:rtl w:val="true"/>
        </w:rPr>
        <w:t>التمسّك بالاستصحاب</w:t>
      </w:r>
      <w:bookmarkEnd w:id="463"/>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هناك مجتهدان متساويان في الرتبة وكان الرجوع إليهما على نحو التخيير جائزاً ثم أصبح أحدهما أعلم فهنا نشكّ في بقاء حجيّة فتوى الثّاني فنستصحب بقاء حجيّتها، وإذا ثبتت حجيّة فتوى غير الأعلم في مورد تثبت في غيره لعدم القول بالفصل، ولعدم معقولية التفكيك في حجيّة فتوى في مورد دون آخر</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وذلك حيث كان المجتهد واحداً فقلده العامي ثُمَّ تجدد آخر، لكن الأوَّل كان أعلم فنستصحب وجوب تعيّن الرجوع إليه في هذا المورد، </w:t>
      </w:r>
    </w:p>
    <w:p>
      <w:pPr>
        <w:pStyle w:val="BookText"/>
        <w:rPr/>
      </w:pPr>
      <w:r>
        <w:rPr>
          <w:rFonts w:ascii="Amiri" w:hAnsi="Amiri" w:eastAsia="Amiri" w:cs="Amiri"/>
          <w:color w:val="111111"/>
          <w:sz w:val="28"/>
          <w:sz w:val="28"/>
          <w:szCs w:val="28"/>
          <w:rtl w:val="true"/>
          <w:lang w:bidi="ar-SA"/>
        </w:rPr>
        <w:t>وفي غيره نحكم بهذا 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التخيير هو تعدّد المفتي مع التساوي في العلم فيثبت التخيير بالحكم العقلي، أو الإجماع، أو السيرة، ومع صيرورة أحدهما أعلم لم يبقَ هذا الموضوع فهو انتفاء للحكم بانتفاء موضوعه فلا مجال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الحجيّة في بعض الموارد غير صالح؛ لأنّه تثبت به حجيّة فتوى غير الأعلم مطلقاً؛ وذلك لأنّ حجيّة فتوى غير الأعلم إذا ثبتت بدليل اجتهادي كخبر واحد في مورد تثبت في جميع الموارد للملازمة الواقعية بين كونها حجّة في بعض الموارد وبين كونها حجّة مطلقاً المستكشفة بعدم القول بالفصل، فإنّ الأدلة الاجتهادية كما أنّها معتبرة في مداليلها المطابقية فهي معتبرة في مداليلها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ثبتت حجيّة فتوى غير الأعلم في بعض الموارد بالأصل العملي كالاستصحاب فلا يستلزم ثبوتها في غيره؛ لأنّه يتقوّم بيقين سابق وشكّ لاحق، ولا معنى للتمسّك به في مورد ليس فيه يقين سابق ولا شكّ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إذا قلنا بالأصل المثبت</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الثّالث نظر، من جهة أنّ الدعوى هي أنّه بين ثبوت الحجيّة لفتوى غير العالم في بعض الموارد بالاستصحاب وبين ثبوتها مطلقاً ملازمة شرعية، بمعنى أنّ الشّارع ألزم نفسه بعدم التفكيك في الحجج في موارد دون أخرى، فبناءً على هذه الدعوى لا تكون الملازمة عقلية ولا عرفية حتى يكون من قبيل الأصل المثبت، بل الملازمة شرعية، ولا كلام في جريان الأصول العملية في إثباتها</w:t>
      </w:r>
      <w:r>
        <w:rPr>
          <w:rFonts w:eastAsia="Amiri" w:cs="Amiri" w:ascii="Amiri" w:hAnsi="Amiri"/>
          <w:color w:val="111111"/>
          <w:sz w:val="28"/>
          <w:szCs w:val="28"/>
          <w:rtl w:val="true"/>
          <w:lang w:bidi="ar-SA"/>
        </w:rPr>
        <w:t xml:space="preserve">. </w:t>
      </w:r>
      <w:bookmarkStart w:id="464" w:name="pg9124_98673"/>
    </w:p>
    <w:p>
      <w:pPr>
        <w:pStyle w:val="Heading5"/>
        <w:numPr>
          <w:ilvl w:val="4"/>
          <w:numId w:val="1"/>
        </w:numPr>
        <w:rPr/>
      </w:pPr>
      <w:bookmarkStart w:id="465" w:name="__RefHeading___Toc2933422_2870459653"/>
      <w:bookmarkStart w:id="466" w:name="_Toc183"/>
      <w:bookmarkEnd w:id="464"/>
      <w:bookmarkEnd w:id="465"/>
      <w:r>
        <w:rPr>
          <w:rtl w:val="true"/>
        </w:rPr>
        <w:t>النحو الثّاني</w:t>
      </w:r>
      <w:r>
        <w:rPr>
          <w:rtl w:val="true"/>
        </w:rPr>
        <w:t xml:space="preserve">: </w:t>
      </w:r>
      <w:r>
        <w:rPr>
          <w:rtl w:val="true"/>
        </w:rPr>
        <w:t>التمسّك بالبراءة</w:t>
      </w:r>
      <w:bookmarkEnd w:id="466"/>
    </w:p>
    <w:p>
      <w:pPr>
        <w:pStyle w:val="Heading6"/>
        <w:numPr>
          <w:ilvl w:val="5"/>
          <w:numId w:val="1"/>
        </w:numPr>
        <w:rPr/>
      </w:pPr>
      <w:bookmarkStart w:id="467" w:name="__RefHeading___Toc2933424_2870459653"/>
      <w:bookmarkStart w:id="468" w:name="_Toc184"/>
      <w:bookmarkEnd w:id="467"/>
      <w:r>
        <w:rPr>
          <w:rtl w:val="true"/>
        </w:rPr>
        <w:t>اشارة</w:t>
      </w:r>
      <w:bookmarkEnd w:id="468"/>
    </w:p>
    <w:p>
      <w:pPr>
        <w:pStyle w:val="BookText"/>
        <w:rPr/>
      </w:pPr>
      <w:r>
        <w:rPr>
          <w:rFonts w:ascii="Amiri" w:hAnsi="Amiri" w:eastAsia="Amiri" w:cs="Amiri"/>
          <w:color w:val="111111"/>
          <w:sz w:val="28"/>
          <w:sz w:val="28"/>
          <w:szCs w:val="28"/>
          <w:rtl w:val="true"/>
          <w:lang w:bidi="ar-SA"/>
        </w:rPr>
        <w:t>وفي جريانها بيانات أربعة</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2933426_2870459653"/>
      <w:bookmarkStart w:id="470" w:name="_Toc185"/>
      <w:bookmarkEnd w:id="469"/>
      <w:r>
        <w:rPr>
          <w:rtl w:val="true"/>
        </w:rPr>
        <w:t>البيان الأوَّل</w:t>
      </w:r>
      <w:bookmarkEnd w:id="470"/>
    </w:p>
    <w:p>
      <w:pPr>
        <w:pStyle w:val="BookText"/>
        <w:rPr/>
      </w:pPr>
      <w:r>
        <w:rPr>
          <w:rFonts w:ascii="Amiri" w:hAnsi="Amiri" w:eastAsia="Amiri" w:cs="Amiri"/>
          <w:color w:val="111111"/>
          <w:sz w:val="28"/>
          <w:sz w:val="28"/>
          <w:szCs w:val="28"/>
          <w:rtl w:val="true"/>
          <w:lang w:bidi="ar-SA"/>
        </w:rPr>
        <w:t>إنّ الأمر دائر بين التعيين والتخيير، ولما كان في التعيين كلفة زائدة على المكلّف فتجري البراءة عنه كما في نظائره، كما إذا دار الأمر في ظهر يوم الجمعة بين تعيين وجوب صلاة الجمعة وبين التخيير بينها وبين صلاة الظهر فتجرى البراءة عن تعيينها، فكذلك بالنسبة إلى تعيين الرجوع إلى فتوى الأعلم</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الجواب عنه في الوجه الأوَّل فلا نعيد</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2933428_2870459653"/>
      <w:bookmarkStart w:id="472" w:name="_Toc186"/>
      <w:bookmarkEnd w:id="471"/>
      <w:r>
        <w:rPr>
          <w:rtl w:val="true"/>
        </w:rPr>
        <w:t>البيان الثّاني</w:t>
      </w:r>
      <w:bookmarkEnd w:id="472"/>
    </w:p>
    <w:p>
      <w:pPr>
        <w:pStyle w:val="BookText"/>
        <w:rPr/>
      </w:pPr>
      <w:r>
        <w:rPr>
          <w:rFonts w:ascii="Amiri" w:hAnsi="Amiri" w:eastAsia="Amiri" w:cs="Amiri"/>
          <w:color w:val="111111"/>
          <w:sz w:val="28"/>
          <w:sz w:val="28"/>
          <w:szCs w:val="28"/>
          <w:rtl w:val="true"/>
          <w:lang w:bidi="ar-SA"/>
        </w:rPr>
        <w:t>إنّ الشّك في حجيّة فتوى المفضول عند المخالفة لفتوى الأعلم مسبّب عن الشّك في اشتراط الأعلمية في المفتي إذا تعدد واختلفوا في الفتوى، ومن المعلوم أنّ أصالة البراءة تحكم بعدم العقاب على مخالفة فتوى الأعلم، ولا تعارضها البراءة عن العقاب على مخالفة فتوى غيره للقطع بعدم العقاب على مخالفة فتواه عند موافقته لفتوى الأفضل في العمل، والأصل إذا جرى في السّبب يكون مقدّماً على الأصل الجاري في المسبب، وأصالة الاشتغال التي قال بها الكثيرون في المقام تجري في المسبّب ولا تصل النوبة إليها مع جريان البراءة في السّبب</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مبني على مقدمات أربع</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حجيّة فتوى غير الأعلم ناشئ عن الشّك في اشتراط الأعلمية في التقليد</w:t>
      </w:r>
      <w:r>
        <w:rPr>
          <w:rFonts w:eastAsia="Amiri" w:cs="Amiri" w:ascii="Amiri" w:hAnsi="Amiri"/>
          <w:color w:val="111111"/>
          <w:sz w:val="28"/>
          <w:szCs w:val="28"/>
          <w:rtl w:val="true"/>
          <w:lang w:bidi="ar-SA"/>
        </w:rPr>
        <w:t xml:space="preserve">. </w:t>
      </w:r>
      <w:bookmarkStart w:id="473" w:name="pg9124_98674"/>
    </w:p>
    <w:p>
      <w:pPr>
        <w:pStyle w:val="BookText"/>
        <w:rPr/>
      </w:pPr>
      <w:bookmarkEnd w:id="473"/>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أصالة البراءة عن العقاب على مخالفة فتوى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تعارضها أصالة البراءة عن العقاب على مخالفة فتوى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أصالة البراءة عن تعيين فتوى الأعلم يُنتج جواز الرجوع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النقاش في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الأولى فيقال إنّ القول بالعكس ممكن بمعنى أنّ الشّك في تعيين تقليد الأعلم ناشئ عن احتمال حجيّة قول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حجيّة فتوى غير الأعلم ناشئ عن الشّك في عموم الجعل لحجيّتها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 في جَعْل فتوى غير الأعلم حجّة على الإطلاق أو عند عدم معارضتها لفتوى الأعلم؟ والأصل عدم حجيّتها على نحو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الثّانية فقد عرفت فيما سبق بما لا مزيد عليه أنّه لا مجال لجريان البراءة إذا احتمل الخصوصية في حجيّة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الرابعة فإنّ جريان البراءة في حجيّة فتوى الأعلم تعييناً لا ينتج جواز الرجوع إلى غيره وحجيّة فتواه إلّا على القول بالأصل المثبت</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2933430_2870459653"/>
      <w:bookmarkStart w:id="475" w:name="_Toc187"/>
      <w:bookmarkEnd w:id="474"/>
      <w:r>
        <w:rPr>
          <w:rtl w:val="true"/>
        </w:rPr>
        <w:t>البيان الثّالث</w:t>
      </w:r>
      <w:bookmarkEnd w:id="47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اشتراط الأعلمية في المرجع موقوف على جعل ثانٍ من ناحية الشارع، فإنّ الأعلمية غير داخلة في مفهوم المرجعية، بل دخولها في هذا المفهوم نفسه مستحيل؛ لأنّ المرجعية ليست من الأوصاف الإضافية، بينما الأفضلية من الأوصاف الإضافية؛ لأنّها لا تعتبر إلّا بعد فرض تعدّد المفتي واختلافهم في الفتوى، وإنما يكون ذلك بجعل ثانٍ غير جعل أصل المرجعية للفقيه، والجعل الثّاني مشكوك فهو مرفوع </w:t>
      </w:r>
      <w:bookmarkStart w:id="476" w:name="pg9124_98675"/>
    </w:p>
    <w:p>
      <w:pPr>
        <w:pStyle w:val="BookText"/>
        <w:rPr/>
      </w:pPr>
      <w:bookmarkEnd w:id="476"/>
      <w:r>
        <w:rPr>
          <w:rFonts w:ascii="Amiri" w:hAnsi="Amiri" w:eastAsia="Amiri" w:cs="Amiri"/>
          <w:color w:val="111111"/>
          <w:sz w:val="28"/>
          <w:sz w:val="28"/>
          <w:szCs w:val="28"/>
          <w:rtl w:val="true"/>
          <w:lang w:bidi="ar-SA"/>
        </w:rPr>
        <w:t>بالبراءة فيجوز الرجوع إلى غير الأعلم</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الجعل الأوَّل لم يثبت تناوله حسب الفرض لفتوى المفضول مع وجود الفاضل والمخالفة بينهما في الفتوى وقد تناول هذا الجعل فتوى الأعلم، وهذا يكفي في حكم العقل بوجوب الرجوع إليه بلا حاجة إلى الجعل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التعيين لفتوى الأعلم ليس بجعل شرعي غير الجعل الأوَّل بل هو حكم عقلي بوجوب الرجوع إليه، فلا معنى لجريان أصالة عدم الجعل</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2933432_2870459653"/>
      <w:bookmarkStart w:id="478" w:name="_Toc188"/>
      <w:bookmarkEnd w:id="477"/>
      <w:r>
        <w:rPr>
          <w:rtl w:val="true"/>
        </w:rPr>
        <w:t>البيان الرابع</w:t>
      </w:r>
      <w:bookmarkEnd w:id="478"/>
    </w:p>
    <w:p>
      <w:pPr>
        <w:pStyle w:val="BookText"/>
        <w:rPr/>
      </w:pPr>
      <w:r>
        <w:rPr>
          <w:rFonts w:ascii="Amiri" w:hAnsi="Amiri" w:eastAsia="Amiri" w:cs="Amiri"/>
          <w:color w:val="111111"/>
          <w:sz w:val="28"/>
          <w:sz w:val="28"/>
          <w:szCs w:val="28"/>
          <w:rtl w:val="true"/>
          <w:lang w:bidi="ar-SA"/>
        </w:rPr>
        <w:t>إنّ المرجّحيّة أمر توقيفي كحجيّة الحجّة نفسها فلا بُدَّ في ثبوتها من دليل شرعي وحين عدمه مقتضى الأصل عدمها، وعلى هذا فالأصل في مرجحية الأعلمية هو عدم كونها مرجّحاً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المرجحات يأتي بعد فرض تعارض الحجّتين فنحتاج في ترجيح إحداهما على الأخرى إلى المرجحات التعبدية، والمقام ليس من هذا؛ لأنّه مع وجود فتوى الأعلم يشك في حجيّة الحجّة الثانية وهي فتوى غير الأعلم فيساوق القطع بعدم حجيّتها</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كون الأعلمية مرجحاً لا تثبت لا التخيير العقلي ولا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فلبقاء احتمال الخصوصيّة عقلاً في فتوى الأعلم، وأمّا الثّاني فلعدم شمول الأدلة لفتوى غير الأعلم نفياً وإثباتاً حسب الفرض</w:t>
      </w:r>
      <w:r>
        <w:rPr>
          <w:rFonts w:eastAsia="Amiri" w:cs="Amiri" w:ascii="Amiri" w:hAnsi="Amiri"/>
          <w:color w:val="111111"/>
          <w:sz w:val="28"/>
          <w:szCs w:val="28"/>
          <w:rtl w:val="true"/>
          <w:lang w:bidi="ar-SA"/>
        </w:rPr>
        <w:t xml:space="preserve">. </w:t>
      </w:r>
      <w:bookmarkStart w:id="479" w:name="pg9124_98676"/>
    </w:p>
    <w:p>
      <w:pPr>
        <w:pStyle w:val="BookText"/>
        <w:rPr/>
      </w:pPr>
      <w:bookmarkEnd w:id="479"/>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عدم المرجحيّة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أصالة عدم الحجيّة في الطرف الآخر فيتساقطان فيحكم العقل بالرجوع إلى الأعلم؛ لأنّه معذِّر قطعاً</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2933434_2870459653"/>
      <w:bookmarkStart w:id="481" w:name="_Toc189"/>
      <w:bookmarkEnd w:id="480"/>
      <w:r>
        <w:rPr>
          <w:rtl w:val="true"/>
        </w:rPr>
        <w:t>الوجه الثالث</w:t>
      </w:r>
      <w:bookmarkEnd w:id="481"/>
    </w:p>
    <w:p>
      <w:pPr>
        <w:pStyle w:val="BookText"/>
        <w:rPr/>
      </w:pPr>
      <w:r>
        <w:rPr>
          <w:rFonts w:ascii="Amiri" w:hAnsi="Amiri" w:eastAsia="Amiri" w:cs="Amiri"/>
          <w:color w:val="111111"/>
          <w:sz w:val="28"/>
          <w:sz w:val="28"/>
          <w:szCs w:val="28"/>
          <w:rtl w:val="true"/>
          <w:lang w:bidi="ar-SA"/>
        </w:rPr>
        <w:t>فصَّلَ بعضهم في مقتضى الأصل العملي بين القول بالطريقية في باب الأمارات فيتعيّن الرجوع إلى الأعلم وبين القول بالسّببية فيها فيتخيّر بينه وبين غير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الطريقيّة فلما سبق من جريان الاشتغال، وأمّا على السّببيّة فلدخول التعارض بين فتوى الأعلم وغيرها في باب التزاحم، ومقتضى حكم العقل فيه هو التخيير وإنْ احتمل الأهميّة في أحدهما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البيان على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يوجد مقتضي لجعل حكم مماثل في مؤدّى كلّ من الفتويين على السّببيّة، إلّا أنّ احتمال الأهمية في فتوى الأعلم يوجب القطع بمانعيتها عن فعلية الطلب في الطرف الآخر بخلاف العكس، فإنّ مانعيّة فتوى غير الأعلم عن فعلية الطلب في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محتملة لاحتمال عدم المزيّة، ففعلية الطلب في المهم مقطوع العدم وفي طرف الأهم محتملة إلّا أنّ احتمالها لا يوجب احتمال العقاب؛ لأنّه عقاب بلا بيان، وبما أنّ الطلب الخطابي بالإضافة إلى كلّ واحد ثابت وفعليتهما غير معقولة لعدم القدرة على امتثالهما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جهة التضاد بين الملاكين، أو من جهة التضاد بين الالتزام بحكمين، بناءً على أنّ التقليد هو الالتزام بالحكم، فيحكم العقل بالتخيير لاستحالة صيرورة الطلب الفعلي التعييني بذاته تعييناً بالفعل في كلا الطرفين عند التزاحم</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خلط بين الأمر الدائر بين التعيين والتخيير في مؤدّى الأمارتين بناءً على القول بالسّببيّة وبين الأمر الدائر بين التعيين والتخيير في حجيّة الأمارة نفسها، وفي الأوَّل يختلف الحكم على القول بالسّببية عن القول بالطريقية بخلاف الثاني فلا يترتّب فيه فرق على القولين؛ لأنّ أصالة عدم جعل حجيّة الحجّة المشكوك حجيّتها تجري على كلا القولين، فاحتمال الأهمية في فتوى المجتهد الأعلم لا يوجب القطع بمانعيتها عن فعليّة الطلب فقط في الطرف الآخر، بل يوجب القطع بمانعيتها عن أصل اقتضاء الطرف الآخر لحكم مماثل؛ لأنّ الشّك في حجيّة الحجّة يساوي القطع بعدم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 هذا البيان أيضاً،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موارد الدوران بين التعيين والتخيير تقتضي التساقط على السّببية لا التزاحم؛ لأنّه تعارض في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احتمل الأهمية في أحد المتزاحمين فيكون هذا مجرى للاشتغال لا البراءة ببيان مذكور في محله</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لا محل لهذا الكلام في المورد؛ لأنّ هذا بعد فرض حجيّة الأمارات، ونحن نشكّ في أصل حجيّة الأمارة، والأصل الجاري فيها هو عدم الحجيّة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تحصّل أنّ الأصل الجاري في المسألة لا تختلف نتيجته عن النتيجة المتحصَّلة من الأدلة الاجتهادية في المقام الأوَّل وهو عدم حجيّة قول غير الأعلم مع وجود الأعلم</w:t>
      </w:r>
      <w:r>
        <w:rPr>
          <w:rFonts w:eastAsia="Amiri" w:cs="Amiri" w:ascii="Amiri" w:hAnsi="Amiri"/>
          <w:color w:val="111111"/>
          <w:sz w:val="28"/>
          <w:szCs w:val="28"/>
          <w:rtl w:val="true"/>
          <w:lang w:bidi="ar-SA"/>
        </w:rPr>
        <w:t xml:space="preserve">. </w:t>
      </w:r>
      <w:bookmarkStart w:id="482" w:name="pg9124_98678"/>
    </w:p>
    <w:p>
      <w:pPr>
        <w:pStyle w:val="Heading3"/>
        <w:numPr>
          <w:ilvl w:val="2"/>
          <w:numId w:val="1"/>
        </w:numPr>
        <w:rPr/>
      </w:pPr>
      <w:bookmarkStart w:id="483" w:name="__RefHeading___Toc2933436_2870459653"/>
      <w:bookmarkStart w:id="484" w:name="_Toc190"/>
      <w:bookmarkEnd w:id="482"/>
      <w:bookmarkEnd w:id="483"/>
      <w:r>
        <w:rPr>
          <w:rtl w:val="true"/>
        </w:rPr>
        <w:t>ثمرة المسألة</w:t>
      </w:r>
      <w:bookmarkEnd w:id="484"/>
    </w:p>
    <w:p>
      <w:pPr>
        <w:pStyle w:val="BookText"/>
        <w:rPr/>
      </w:pPr>
      <w:r>
        <w:rPr>
          <w:rFonts w:ascii="Amiri" w:hAnsi="Amiri" w:eastAsia="Amiri" w:cs="Amiri"/>
          <w:color w:val="111111"/>
          <w:sz w:val="28"/>
          <w:sz w:val="28"/>
          <w:szCs w:val="28"/>
          <w:rtl w:val="true"/>
          <w:lang w:bidi="ar-SA"/>
        </w:rPr>
        <w:t>وللمسألة ثمرات متعدّدة نذكر واحدةً منها للأهمية</w:t>
      </w:r>
    </w:p>
    <w:p>
      <w:pPr>
        <w:pStyle w:val="BookText"/>
        <w:rPr/>
      </w:pPr>
      <w:r>
        <w:rPr>
          <w:rFonts w:ascii="Amiri" w:hAnsi="Amiri" w:eastAsia="Amiri" w:cs="Amiri"/>
          <w:color w:val="111111"/>
          <w:sz w:val="28"/>
          <w:sz w:val="28"/>
          <w:szCs w:val="28"/>
          <w:rtl w:val="true"/>
          <w:lang w:bidi="ar-SA"/>
        </w:rPr>
        <w:t>وهي أنّه بعدما اخترنا عدم حجيّة قول المفضول في بعض الصور فيبرز هنا سؤال ألا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المكلَّف الفحص عن الأعلم والوصول إليه، وبدونه لا يجوز أن يكتفي برأي أيّ مجتهد، أو لا يجب الفحص عنه؟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للمكلّف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يعلم بوجود الأعلم حتى إجمالاً، أو علم بوجود الأعلم، لكنّه لا يعلم بالاختلاف في الفتوى بينه وبين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علم بوجود الأعلم ولو إجمالاً وأيضاً علم بالاختلاف في الفتوى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الحالة الأولى فحكمها يتفرّع على ما بني عليه في البحث السابق، فإنْ قيل بعدم حجيّة قول غير الأعلم مطلقاً ومؤدّاه أنّ وجود رأي الأعلم مسقط لرأي غير الأعلم عن الحجيّة من الأساس، فعلى هذا يجب على المكلّف الفحص عن الأعلم، لأنّ حجيّة قول أي فقيه في حقّه متوقفة على إحراز عدم وجود الأعلم منه، ولا يجوز التمسّك بأصالة عدم وجود الأعلم؛ لأنّ الأصل في المسائل الأصولية والشبهات الحكمية لا يجوز التمسّك به إلّا بعد الفحص</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قيل بأنّ فتوى غير الأعلم حجّة في نفسها لكن بعدما علم المكلّف بمعارض لها أقوى منه لا يجوز أن يعمل بها، فعلى هذا لا يجب عليه الفحص عن الأعلم </w:t>
      </w:r>
    </w:p>
    <w:p>
      <w:pPr>
        <w:pStyle w:val="BookText"/>
        <w:rPr/>
      </w:pPr>
      <w:r>
        <w:rPr>
          <w:rFonts w:ascii="Amiri" w:hAnsi="Amiri" w:eastAsia="Amiri" w:cs="Amiri"/>
          <w:color w:val="111111"/>
          <w:sz w:val="28"/>
          <w:sz w:val="28"/>
          <w:szCs w:val="28"/>
          <w:rtl w:val="true"/>
          <w:lang w:bidi="ar-SA"/>
        </w:rPr>
        <w:t>مع عدم العلم بوجوده ولو إجمالاً؛ لأنّ فتوى أيّ فقيه لا يعلم بوجود الأعلم منه أو لا يعلم بالاختلاف بينهما حجّة في حقّه ومبرئ لذمته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مقتضى الأدلة هو الرأي الثّاني لا الأوَّل، فيتفرّع على المختار في البحث السّابق عدم وجوب الفحص عن الأعلم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الحالة الثّانية فيجب الفحص عن الأعلم فيها حتى على الرأي الثّاني؛ لأنّ المكلّف قد علم بوجود الأعلم إجمالاً، وعلم بالاختلاف في الفتاوى فأصبح رأي أحد الفقهاء الذي هو الأعلم حجّة تعيينية في حقّه، ورأي غيره ليس بحجّة في حقّه وحينئذٍ لا يجوز له أن يتبع رأي أي فقيه لاحتمال أنّه ليس هو الحجّة في حقّه فيجب عليه الفحص حتى يصل إلى ما هو حجّة في حقّه ومبرئ لذمته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بيانه في هذه المسألة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خير خلقه محمَّد وآله الطّيّبين الطّاهرين</w:t>
      </w:r>
      <w:r>
        <w:rPr>
          <w:rFonts w:eastAsia="Amiri" w:cs="Amiri" w:ascii="Amiri" w:hAnsi="Amiri"/>
          <w:color w:val="111111"/>
          <w:sz w:val="28"/>
          <w:szCs w:val="28"/>
          <w:rtl w:val="true"/>
          <w:lang w:bidi="ar-SA"/>
        </w:rPr>
        <w:t xml:space="preserve">. </w:t>
      </w:r>
      <w:bookmarkStart w:id="485" w:name="pg9124_98680"/>
    </w:p>
    <w:p>
      <w:pPr>
        <w:pStyle w:val="Heading3"/>
        <w:numPr>
          <w:ilvl w:val="2"/>
          <w:numId w:val="1"/>
        </w:numPr>
        <w:rPr/>
      </w:pPr>
      <w:bookmarkStart w:id="486" w:name="__RefHeading___Toc2933438_2870459653"/>
      <w:bookmarkStart w:id="487" w:name="_Toc191"/>
      <w:bookmarkEnd w:id="485"/>
      <w:bookmarkEnd w:id="486"/>
      <w:r>
        <w:rPr>
          <w:rtl w:val="true"/>
        </w:rPr>
        <w:t>المصادر</w:t>
      </w:r>
      <w:bookmarkEnd w:id="4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الاجتهاد والتقليد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p>
    <w:p>
      <w:pPr>
        <w:pStyle w:val="BookText"/>
        <w:rPr/>
      </w:pPr>
      <w:r>
        <w:rPr>
          <w:rFonts w:ascii="Amiri" w:hAnsi="Amiri" w:eastAsia="Amiri" w:cs="Amiri"/>
          <w:color w:val="111111"/>
          <w:sz w:val="28"/>
          <w:sz w:val="28"/>
          <w:szCs w:val="28"/>
          <w:rtl w:val="true"/>
          <w:lang w:bidi="ar-SA"/>
        </w:rPr>
        <w:t>علي تقي الحيدري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إدارة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الاجتهاد والتقليد والاحتياط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بحث سماحة 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علي الرباني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تنظيم ونشر آثار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رضا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مهدي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الدولية للدراسات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الكجوري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بحث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نور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المحقق الشيخ ضياء الدين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هاشم 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نويد الإسلام، قم المقدسة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الآمدي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عفيفي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دانشكاه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الأذهان إلى أحكام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الأدلّة واختلاف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بحث سماحة 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هاشم الهاشمي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على معالم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الموسوي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المنسوب إلى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تقليد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علي الأحمدي الشاهرودي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النيازي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بيام مهر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تمهيد القواعد وهو ملحق في آخر كتاب كشف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التنقيح في 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بحث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إحياء آثار الإمام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في شرح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حسن الموسوي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بحث السيد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الشيخ جعفر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p>
    <w:p>
      <w:pPr>
        <w:pStyle w:val="BookText"/>
        <w:rPr/>
      </w:pPr>
      <w:r>
        <w:rPr>
          <w:rFonts w:ascii="IRNazanin" w:hAnsi="IRNazanin" w:eastAsia="IRNazanin"/>
          <w:color w:val="111111"/>
          <w:sz w:val="28"/>
          <w:sz w:val="28"/>
          <w:szCs w:val="28"/>
          <w:rtl w:val="true"/>
          <w:lang w:bidi="fa-IR"/>
        </w:rPr>
        <w:t>وتعليق الشيخ عباس القوچاني والشيخ علي آخوندي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الدروس الشرعية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 إلى أصول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للطباعة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آراكي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دراه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تقليد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الميرزا حبيب الله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الثاني الشيخ علي بن الحسين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محمّد 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خيام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زبدة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لجنة تحقيق 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الغروية في الأصول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بن عبد الرحيم الطهراني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العلوم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فيض القدير في شرح الجامع الصغير نقلاً عن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القوانين المحكمة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قوانين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أبو القاسم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 دار التراث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كاظم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عباس الزارعي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علي بن الحسين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المحكم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من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النوري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المستصفى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طبعه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السلام عبد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الشيعة في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أحمد بن محمد مهدي النراقي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مطارح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بحث الشيخ مرتضى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كلانتري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معارج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الدين وملاذ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ابن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حاشية سلطان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علي بن الحسين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نهاية الدراية في شرح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محمّد حسين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bookmarkStart w:id="488" w:name="pg9124_98685"/>
    </w:p>
    <w:p>
      <w:pPr>
        <w:pStyle w:val="Heading2"/>
        <w:numPr>
          <w:ilvl w:val="1"/>
          <w:numId w:val="1"/>
        </w:numPr>
        <w:rPr/>
      </w:pPr>
      <w:bookmarkStart w:id="489" w:name="__RefHeading___Toc2933440_2870459653"/>
      <w:bookmarkStart w:id="490" w:name="_Toc192"/>
      <w:bookmarkEnd w:id="488"/>
      <w:bookmarkEnd w:id="489"/>
      <w:r>
        <w:rPr>
          <w:rtl w:val="true"/>
        </w:rPr>
        <w:t xml:space="preserve">موارد الأحكام الموسعة </w:t>
      </w:r>
      <w:r>
        <w:rPr>
          <w:rtl w:val="true"/>
        </w:rPr>
        <w:t xml:space="preserve">- </w:t>
      </w:r>
      <w:r>
        <w:rPr>
          <w:rtl w:val="true"/>
        </w:rPr>
        <w:t xml:space="preserve">الشيخ أحمد العوادي </w:t>
      </w:r>
      <w:r>
        <w:rPr>
          <w:rtl w:val="true"/>
        </w:rPr>
        <w:t>(</w:t>
      </w:r>
      <w:r>
        <w:rPr>
          <w:rtl w:val="true"/>
        </w:rPr>
        <w:t>دام عزه</w:t>
      </w:r>
      <w:r>
        <w:rPr>
          <w:rtl w:val="true"/>
        </w:rPr>
        <w:t>)</w:t>
      </w:r>
      <w:bookmarkEnd w:id="490"/>
    </w:p>
    <w:p>
      <w:pPr>
        <w:pStyle w:val="Heading3"/>
        <w:numPr>
          <w:ilvl w:val="2"/>
          <w:numId w:val="1"/>
        </w:numPr>
        <w:rPr/>
      </w:pPr>
      <w:bookmarkStart w:id="491" w:name="__RefHeading___Toc2933442_2870459653"/>
      <w:bookmarkStart w:id="492" w:name="_Toc193"/>
      <w:bookmarkEnd w:id="491"/>
      <w:r>
        <w:rPr>
          <w:rtl w:val="true"/>
        </w:rPr>
        <w:t>اشارة</w:t>
      </w:r>
      <w:bookmarkEnd w:id="492"/>
    </w:p>
    <w:p>
      <w:pPr>
        <w:pStyle w:val="BookText"/>
        <w:rPr/>
      </w:pPr>
      <w:r>
        <w:rPr>
          <w:rFonts w:ascii="Amiri" w:hAnsi="Amiri" w:eastAsia="Amiri" w:cs="Amiri"/>
          <w:color w:val="111111"/>
          <w:sz w:val="28"/>
          <w:sz w:val="28"/>
          <w:szCs w:val="28"/>
          <w:rtl w:val="true"/>
          <w:lang w:bidi="ar-SA"/>
        </w:rPr>
        <w:t>يُقسَّم الحكم الشرعي إلى تقسيمات عديدة باعتبارات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انقسامه إلى حكم موسّع وغير موسّع باعتبار إمكان إبداله إلى بعض وجوهه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المكلّف في مندوحة من الأخذ بأيٍّ من تلك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موارد الحكم الموسّع 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الامتثال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وللأحكام الموسّعة أهمية؛ حيث إنّها تُعدّ من وجوه علاج التعارض بين الروايات</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3" w:name="pg9124_98687"/>
      <w:bookmarkStart w:id="494" w:name="pg9124_98687"/>
      <w:bookmarkEnd w:id="494"/>
    </w:p>
    <w:p>
      <w:pPr>
        <w:pStyle w:val="Heading3"/>
        <w:numPr>
          <w:ilvl w:val="2"/>
          <w:numId w:val="1"/>
        </w:numPr>
        <w:rPr/>
      </w:pPr>
      <w:bookmarkStart w:id="495" w:name="pg9124_98687"/>
      <w:bookmarkStart w:id="496" w:name="__RefHeading___Toc2933444_2870459653"/>
      <w:bookmarkStart w:id="497" w:name="_Toc194"/>
      <w:bookmarkEnd w:id="495"/>
      <w:bookmarkEnd w:id="496"/>
      <w:r>
        <w:rPr>
          <w:rtl w:val="true"/>
        </w:rPr>
        <w:t>المقدمة</w:t>
      </w:r>
      <w:bookmarkEnd w:id="497"/>
    </w:p>
    <w:p>
      <w:pPr>
        <w:pStyle w:val="Heading4"/>
        <w:numPr>
          <w:ilvl w:val="3"/>
          <w:numId w:val="1"/>
        </w:numPr>
        <w:rPr/>
      </w:pPr>
      <w:bookmarkStart w:id="498" w:name="__RefHeading___Toc2933446_2870459653"/>
      <w:bookmarkStart w:id="499" w:name="_Toc195"/>
      <w:bookmarkEnd w:id="498"/>
      <w:r>
        <w:rPr>
          <w:rtl w:val="true"/>
        </w:rPr>
        <w:t>اشارة</w:t>
      </w:r>
      <w:bookmarkEnd w:id="49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يُقسَّم الحكم الشرعي إلى تقسيمات عديدة باعتبارات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انقسامه إلى حكم موسّع وغير موسّع باعتبار إمكان إبداله إلى بعض وجوهه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المكلّف في مندوحة من الأخذ بأيٍّ من تلك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موارد الحكم الموسّع 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وللأحكام الموسّعة أهمية؛ حيث إنّها تُعدّ من وجوه علاج التعارض بين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يتّضح موضوع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الأحكام الموسّعة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سنُشير إجمالاً إلى أقسام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وأقسام الجمع الدلالي تمهيداً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أقسام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وينقسم التعارض إلى قسمين</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2933448_2870459653"/>
      <w:bookmarkStart w:id="501" w:name="_Toc196"/>
      <w:bookmarkEnd w:id="500"/>
      <w:r>
        <w:rPr>
          <w:rtl w:val="true"/>
        </w:rPr>
        <w:t>القسم الأوَّل</w:t>
      </w:r>
      <w:bookmarkEnd w:id="501"/>
    </w:p>
    <w:p>
      <w:pPr>
        <w:pStyle w:val="BookText"/>
        <w:rPr/>
      </w:pPr>
      <w:r>
        <w:rPr>
          <w:rFonts w:ascii="Amiri" w:hAnsi="Amiri" w:eastAsia="Amiri" w:cs="Amiri"/>
          <w:color w:val="111111"/>
          <w:sz w:val="28"/>
          <w:sz w:val="28"/>
          <w:szCs w:val="28"/>
          <w:rtl w:val="true"/>
          <w:lang w:bidi="ar-SA"/>
        </w:rPr>
        <w:t>التعارض غير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ينتهي إلى اكتشاف جمع دلالي بين الدليلين ينكشف به المراد الجدي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ذلك في حال وجود مرجّح دلالي لأحد الدليلين قرينةً عرفاً على المراد بالآخر </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2933450_2870459653"/>
      <w:bookmarkStart w:id="503" w:name="_Toc197"/>
      <w:bookmarkEnd w:id="502"/>
      <w:r>
        <w:rPr>
          <w:rtl w:val="true"/>
        </w:rPr>
        <w:t>القسم الثّاني</w:t>
      </w:r>
      <w:bookmarkEnd w:id="50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التعارض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لا ينتهي بجمع دلالي مقبول بين الطرفين فيؤدي إلى تكاذب الدليلين جهة وصدوراً</w:t>
      </w:r>
      <w:r>
        <w:rPr>
          <w:rFonts w:eastAsia="Amiri" w:cs="Amiri" w:ascii="Amiri" w:hAnsi="Amiri"/>
          <w:color w:val="111111"/>
          <w:sz w:val="28"/>
          <w:szCs w:val="28"/>
          <w:rtl w:val="true"/>
          <w:lang w:bidi="ar-SA"/>
        </w:rPr>
        <w:t xml:space="preserve">. </w:t>
      </w:r>
      <w:bookmarkStart w:id="504" w:name="pg9124_98688"/>
    </w:p>
    <w:p>
      <w:pPr>
        <w:pStyle w:val="Heading4"/>
        <w:numPr>
          <w:ilvl w:val="3"/>
          <w:numId w:val="1"/>
        </w:numPr>
        <w:rPr/>
      </w:pPr>
      <w:bookmarkStart w:id="505" w:name="__RefHeading___Toc2933452_2870459653"/>
      <w:bookmarkStart w:id="506" w:name="_Toc198"/>
      <w:bookmarkEnd w:id="504"/>
      <w:bookmarkEnd w:id="505"/>
      <w:r>
        <w:rPr>
          <w:rtl w:val="true"/>
        </w:rPr>
        <w:t>أقسام الجمع الدلالي</w:t>
      </w:r>
      <w:bookmarkEnd w:id="506"/>
    </w:p>
    <w:p>
      <w:pPr>
        <w:pStyle w:val="BookText"/>
        <w:rPr/>
      </w:pPr>
      <w:r>
        <w:rPr>
          <w:rFonts w:ascii="Amiri" w:hAnsi="Amiri" w:eastAsia="Amiri" w:cs="Amiri"/>
          <w:color w:val="111111"/>
          <w:sz w:val="28"/>
          <w:sz w:val="28"/>
          <w:szCs w:val="28"/>
          <w:rtl w:val="true"/>
          <w:lang w:bidi="ar-SA"/>
        </w:rPr>
        <w:t>وللجمع الدلالي بين الدليلين الرافع للتعارض بينهما نكاتٌ عديدة، منها حمل أحد الدليلين على كون الحكم فيه موسعاً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حمل الدليل الآخر على كون الحكم فيه مضيقاً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الاعتبار ينقسم الجمع الدلالي في حالات التعارض غير المستقر إلى ما يُنتج كون الحكم في المورد من قبيل الأحكام الموسّعة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يُنتج ذلك فيجري في مورد كون الحكم من قبيل الأحكام المضيّقة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القسمان بالحقيقة هما نحوان من الجمع الدلالي يختلف فيهما مبنى الجمع ومُصحّحه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يختلف مصحّح صدور الكلام الذي يحمل على الكلام الآخر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 من تعرّض لهذا البحث بهذه الصيغة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تفاوت الجمع الدلالي وحيثياته في الأحكام الموسّعة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سماحة 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بحثه الشريف</w:t>
      </w:r>
      <w:r>
        <w:rPr>
          <w:rStyle w:val="FootnoteAnchor"/>
          <w:rtl w:val="true"/>
        </w:rPr>
        <w:footnoteReference w:id="497"/>
      </w:r>
      <w:r>
        <w:rPr>
          <w:rFonts w:ascii="IRNazanin" w:hAnsi="IRNazanin" w:eastAsia="IRNazanin"/>
          <w:color w:val="111111"/>
          <w:sz w:val="28"/>
          <w:sz w:val="28"/>
          <w:szCs w:val="28"/>
          <w:rtl w:val="true"/>
          <w:lang w:bidi="fa-IR"/>
        </w:rPr>
        <w:t xml:space="preserve">حول تعارض الأدلة الشرعية عندما تناول في هذا البحث أسباب الاختلاف والكتمان الناشئ 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ناقلاً التنبيه على أصله عن العلّامة الميرزا مهدي الأصفهاني من أجلّة تلامذة المحقّق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bookmarkStart w:id="507" w:name="pg9124_98689"/>
    </w:p>
    <w:p>
      <w:pPr>
        <w:pStyle w:val="Heading3"/>
        <w:numPr>
          <w:ilvl w:val="2"/>
          <w:numId w:val="1"/>
        </w:numPr>
        <w:rPr/>
      </w:pPr>
      <w:bookmarkStart w:id="508" w:name="__RefHeading___Toc2933454_2870459653"/>
      <w:bookmarkStart w:id="509" w:name="_Toc199"/>
      <w:bookmarkEnd w:id="507"/>
      <w:bookmarkEnd w:id="508"/>
      <w:r>
        <w:rPr>
          <w:rtl w:val="true"/>
        </w:rPr>
        <w:t>المراد بالأحكام الموسّعة</w:t>
      </w:r>
      <w:bookmarkEnd w:id="509"/>
    </w:p>
    <w:p>
      <w:pPr>
        <w:pStyle w:val="BookText"/>
        <w:rPr/>
      </w:pPr>
      <w:r>
        <w:rPr>
          <w:rFonts w:ascii="Amiri" w:hAnsi="Amiri" w:eastAsia="Amiri" w:cs="Amiri"/>
          <w:color w:val="111111"/>
          <w:sz w:val="28"/>
          <w:sz w:val="28"/>
          <w:szCs w:val="28"/>
          <w:rtl w:val="true"/>
          <w:lang w:bidi="ar-SA"/>
        </w:rPr>
        <w:t>الحكم 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الذي يكون في مورده نحو توسعة تتيح إبداله عن وجهه الأصلي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البناء على بعض وجوهه أخرى، ويشمل ذلك حالات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الواقعي ترخيصاً مقروناً برجحان أو مرجوحيّة من غير إلزام، فيمكن أنْ يرد بعض الأدلة في هذه الحالة بمحض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بعضها ببيان الرجحان أو المرجوحيّة على ما هو عليه من عدم الإلزام، ويرد بعضها الآخر على وجه ظاهر في الإلزام دفعاً للمكلف إلى الأخذ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لغيره من الأغراض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الواقعي وجوباً متعلّقاً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المكلّف مخيّراً عقلاً بمقتضاه بين حصصه، فيرد بعض الأدلة بالأمر به حسب وجهه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يرد بعضها الآخر بالأمر بحصة منه لفضيلة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لنكتة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الواقعي وجوباً تخييريّاً بين عدّة خصال فيرد الأمر على وجهه في بعض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الأمر ببعض الخصال 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ملائمة مع حال سائل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يتفق أنْ لا يرد الأمر التخييري بين الخصال في شيء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يُستكشف من الأوامر المتوجّهة إلى الخصال جمعاً بينها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الواقعي وجوباً موسّعاً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الأمر على وجهه في بعض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الأمر بالواجب في أوَّل الوقت أو غيره 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نكتة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الحكم الواقعي وجوباً كفائياً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الأمر على وجهه في بعض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يوّجه إلى بعض المكلفين لنكتة خاصّة في المورد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تختصّ الأحكام الموسّعة بالأحكام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تشمل الأحكام الوضعيّة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يكون الحكم الوضعي مقتضياً للتوسعة كالطهارة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الدليل به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وبالتضييق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درك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استحباب التطهير كما قيل في الأخبار الآمرة بالنزح من البئر عند وقوع النجاسة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نلاحظ أنّ الجمع الدلالي في هذه الموارد لا يكون لصرف النظر عن مدلول أحد الدليلين رأساً؛ لعدم كون ما فيه بياناً للحكم الواقعي على نحوِ ما يتحقّق في حمل العامّ على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يُحمل العامّ على أنّه ليس مسوقاً لبيان الحكم الواقعي أو وجهاً من وجوهه في مورد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سيق في مقام تعليم القاعدة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من الأدلة في هذه الموارد ناظرٌ إلى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بجميع وجوهه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بعضها مُصحّحاً لذكرِ الحكم لا على وجهه في مورد الأحكام الموسّعة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موارد الجمع بين الدليلين هي الموارد التي يكون الحكم في بعضها موسّعاً، فإنّ ذكر الحكم على بعض وجوهه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وجهه الواقعي بحدّه لأغراض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مثلها في موارد الأحكام المضيّقة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السّوق إلى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الزعيم الموجِّه للجماعة والمتصّدي لسوقهم إلى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يقتصر على بعض أفراد الواجب التخييري فيما إذا كان ذلك البعض أفضل، كما في العتق في كفارة الإفطار في شهر رمضان، فالشخص يذكر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افطر متعمداً في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فيأمره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بعتق رقبة؛ لأنّ العتق أفضل أفراد الواجب التخييري، أيّ أفضل من إطعام ستين مسكيناً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صوم شهرين متتابعين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بحال السّائل كما في الأمر بذبح شاة في بعض كفارات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الكفارة مخيّرة بين الشّاة والبقرة والبعير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رفقاً بحال السّائل من جهة كونه فقيراً يأمره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بذبح الشاة من دون ذكر باقي أفراد الواجب التخييري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إيقاع الخلاف بين الشيعة ليعطي انطباعاً للسلطة الغاشمة أنّ الشيعة ليسوا بجماعة موحَّدة وموجَّهة من قيادة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لهم قيادات متعددة ولذلك فهم يختلفون فيما بينهم حتى في أداء عبادتهم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فيدفع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نفسه وعن شيعته الأذى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تنبّه إلى تأثير هذا العامل في اختلاف الأحاديث صاحب الحدائق حيث ذكر في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فصاروا 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محافظة على أنفسهم وشيعتهم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يخالفون بين الأحكام وإن لم يحضرهم أحد من أولئك الأنام، فتراهم يجيبون في المسألة الواحدة بأجوبة متعددة وإنْ لم يكن بها قائل من المخالفين</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 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بحثه الشريف حول إيقاع الخلاف بين الشيعة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وجود الرقابة الشديدة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في تلك الفترة كانت تفرض وجود بعض الاختلافات الشكلية والصورية في الأحكام فيما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اتفاق كلمتهم على الحكم سيكشفهم للسلطة ويكشف انتسابهم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وسيعرضهم لمخاطر كان من الممكن تفاديها بإلقاء الاختلاف بينهم في الأحكام التي لم تكن بتلك الدرجة من الأهمية</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ذلك إيقاع الخلاف بينهم أحياناً وقاية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 يُطعن عليه من قِبل عموم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علمائهم فيما تختلف فتاواهم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هنا نجد أنّ الإمام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الرغم من تبنيهما مذهباً فقهياً يخالف ما عليه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لكنّهما يتمتعان بالوثاقة والاعتبار والمكانة المحترمة عند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عادة العامّة الجرح لأدنى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حين يرون اختلاف الشيعة فربّما نسبوا ذلك </w:t>
      </w:r>
    </w:p>
    <w:p>
      <w:pPr>
        <w:pStyle w:val="BookText"/>
        <w:rPr/>
      </w:pPr>
      <w:r>
        <w:rPr>
          <w:rFonts w:ascii="IRNazanin" w:hAnsi="IRNazanin" w:eastAsia="IRNazanin"/>
          <w:color w:val="111111"/>
          <w:sz w:val="28"/>
          <w:sz w:val="28"/>
          <w:szCs w:val="28"/>
          <w:rtl w:val="true"/>
          <w:lang w:bidi="fa-IR"/>
        </w:rPr>
        <w:t xml:space="preserve">للشيعة أنفسهم لا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فيتصوّرون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يخالفونهم وإنمّا الخلاف جاء من الشيعة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لذلك ما جاء في الكشي ونقله عنه في رجال المامقاني عن يحيى بن عبد الحميد الحماني، وقد تُرجم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 للذهبي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أقواماً يزعمون أنّ جعفر بن محمّد ضعيفٌ في الحديث؟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 القصة كان جعفر بن محمّد رجلاً صالحاً مسلماً ورعاً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فاكتنفه قومٌ جهّال يدخلون عليه ويخرجون من عنده ويقولون حدّثنا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ويحدّثون أحاديث كلَّها منكرات كذب موضوعة على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يستأكلون الناس بذلك ويأخذون منهم الدراهم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فنجد أنّ التغطية التي كان يهدفها الإمام من خلال إلقاء الخلاف بين الشيعة قد تحقّقت بالفعل</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الشيعة ممّن كان قليل التحمّل لبعض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للتقيّة من العامّة كما سيأتي في مورد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بالصلاة تامّة في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بحثه الشريف حول المداراة مع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يكون السائل من أهل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نتيجة لبعض العوامل لا يكون بمستوى تحمّل معرفة الحكم الواقعي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كان يعيش آراء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كانت مرتكزاته محكومة بالتبليغ المضاد للحكم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لاشتهار الحكم المخالف بحيث يستغرب من الرأي الجديد ونحو ذلك ممّا يستوجب عدم إمكان التصريح له بالحكم الواقعي ومواجهته به، فربّما أدّى ذلك إلى تشكيكه في معتقداته الحقّة</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ما تقدّم فلندخل في أصل البحث حول الدليل على كون التوسعة سبباً في </w:t>
      </w:r>
    </w:p>
    <w:p>
      <w:pPr>
        <w:pStyle w:val="BookText"/>
        <w:rPr/>
      </w:pPr>
      <w:r>
        <w:rPr>
          <w:rFonts w:ascii="Amiri" w:hAnsi="Amiri" w:eastAsia="Amiri" w:cs="Amiri"/>
          <w:color w:val="111111"/>
          <w:sz w:val="28"/>
          <w:sz w:val="28"/>
          <w:szCs w:val="28"/>
          <w:rtl w:val="true"/>
          <w:lang w:bidi="ar-SA"/>
        </w:rPr>
        <w:t>تعارض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وينبّه على هذا الأصل العامّ في سبب تعارض الأخبار والجمع بينها بحملها على كون الحكم موسعاً مجموعتان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تنبّه على هذا المعنى بنحو كليٍّ وصريح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تدلّ على أنّه متى كان الحكم موسعاً فقد يتكلم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وجوهه في بعض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وببعضها الآخر في آخر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خاصّة تعارضت فيها الروايات، دلّ بعضها على أنّ كون الحكم موسَّعاً هو أساس الاختلاف</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مجموعة ثالثة وهي الموارد التي تختلف فيها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وتُخرّج على أنّ منشأ الاختلاف توسعة الحكم في المورد لا لدلالة بعض الأدلّة فيه على ذلك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جهة إعمال موازين الجمع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المجموعة كثيرة من أوَّل الفقه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ذكرها أو ذكر شيء منها</w:t>
      </w:r>
      <w:r>
        <w:rPr>
          <w:rFonts w:eastAsia="Amiri" w:cs="Amiri" w:ascii="Amiri" w:hAnsi="Amiri"/>
          <w:color w:val="111111"/>
          <w:sz w:val="28"/>
          <w:szCs w:val="28"/>
          <w:rtl w:val="true"/>
          <w:lang w:bidi="ar-SA"/>
        </w:rPr>
        <w:t xml:space="preserve">. </w:t>
      </w:r>
      <w:bookmarkStart w:id="510" w:name="pg9124_98694"/>
    </w:p>
    <w:p>
      <w:pPr>
        <w:pStyle w:val="Heading3"/>
        <w:numPr>
          <w:ilvl w:val="2"/>
          <w:numId w:val="1"/>
        </w:numPr>
        <w:rPr/>
      </w:pPr>
      <w:bookmarkStart w:id="511" w:name="__RefHeading___Toc2933456_2870459653"/>
      <w:bookmarkStart w:id="512" w:name="_Toc200"/>
      <w:bookmarkEnd w:id="510"/>
      <w:bookmarkEnd w:id="511"/>
      <w:r>
        <w:rPr>
          <w:rtl w:val="true"/>
        </w:rPr>
        <w:t>الأدلة العامّة</w:t>
      </w:r>
      <w:bookmarkEnd w:id="512"/>
    </w:p>
    <w:p>
      <w:pPr>
        <w:pStyle w:val="BookText"/>
        <w:rPr/>
      </w:pPr>
      <w:r>
        <w:rPr>
          <w:rFonts w:ascii="IRNazanin" w:hAnsi="IRNazanin" w:eastAsia="IRNazanin"/>
          <w:color w:val="111111"/>
          <w:sz w:val="28"/>
          <w:sz w:val="28"/>
          <w:szCs w:val="28"/>
          <w:rtl w:val="true"/>
          <w:lang w:bidi="fa-IR"/>
        </w:rPr>
        <w:t>ونذكر منها ما ورد في معتبرة عبد الأعلى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علي بن حنظلة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مسألة وأنا حاضر فأجابه فيها،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كذا وكذا، فأجابه بوجه آخر، حتى أجابه بأربعة أوجه، فقال علي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هذا باب قد أحكمناه، فسمعه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هكذا يا أبا الحسن، فإنّك رجل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الأشياء أشياء مضيّقة وليس يجري إلَّا على وجه واحد، منها وقت الجمعة ليس وقتها إلَّا حدّ واحد، حين تزول الشمس، ومن الأشياء أشياء موسّعة تجري على وجوة كثيرة وهذا منها، والله إنّ له عندي لسبعين وجهاً</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تارةً في 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السند فقد وردت الرواية في كتاب المحاسن لأحمد بن محمّد بن خالد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يرجع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وهو محمّد بن خالد البرقي، عن علي بن النعمان، عن عبد الله بن مسكان، عن عبد الأعلى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وإسناد الرواية صحيح</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أحمد بن محمّد البرقي صاحب كتاب المحاسن فقد وثّقه النجاشي والطوسي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طعن القميّون عليه، وليس الطعن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الطعن في مَنْ يروي عنه</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السابعة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محمّد بن خالد البرقي فهو قميّ والد صاحب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الشيخ</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النجاشي ضعّفه</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التضعيف غير ظاهر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أنْ يرجع إلى حديثه لأنَّه كان يروي عن الضعفاء ويعتمد المراسيل، وعن ابن الغضائري إنّه يعرف وينكر</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أيضاً لا يمثّل قدحاً في الرجل؛ إذ يجوز أنْ يكون إنكار بعض ما رواه من جهة ضعف من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توثيق الشيخ له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الطبقة السادسة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 بن النعمان فهو النخعي الكوفي ثقة، ثبت، وجه صحيح واضح الطريقة، كما عن النجاشي</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 الله بن مسكان فهو كوفي وثّقه الشيخ</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النجاشي ثقة عين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المفيد في رسالته العددية من الفقهاء الأعلام الذين لا مطعن عليهم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الكشي من أصحاب الإجماع</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الخامسة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عبد الأعلى بن أعين العجلي فهو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عنه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رسالته العددية أنّه من فقهاء أصحاب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والأعلام والرؤساء المأخوذ عنهم </w:t>
      </w:r>
    </w:p>
    <w:p>
      <w:pPr>
        <w:pStyle w:val="BookText"/>
        <w:rPr/>
      </w:pPr>
      <w:r>
        <w:rPr>
          <w:rFonts w:ascii="Amiri" w:hAnsi="Amiri" w:eastAsia="Amiri" w:cs="Amiri"/>
          <w:color w:val="111111"/>
          <w:sz w:val="28"/>
          <w:sz w:val="28"/>
          <w:szCs w:val="28"/>
          <w:rtl w:val="true"/>
          <w:lang w:bidi="ar-SA"/>
        </w:rPr>
        <w:t>الحلال والحرام والفُتيا والأحكام الذين لا يُطعن عليهم ولا طريق إلى ذم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أصحاب الأصول المدونة والمصنّفات المشهورة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نوقش</w:t>
      </w:r>
      <w:r>
        <w:rPr>
          <w:rStyle w:val="FootnoteAnchor"/>
          <w:rtl w:val="true"/>
        </w:rPr>
        <w:footnoteReference w:id="514"/>
      </w:r>
      <w:r>
        <w:rPr>
          <w:rFonts w:ascii="Amiri" w:hAnsi="Amiri" w:eastAsia="Amiri" w:cs="Amiri"/>
          <w:color w:val="111111"/>
          <w:sz w:val="28"/>
          <w:sz w:val="28"/>
          <w:szCs w:val="28"/>
          <w:rtl w:val="true"/>
          <w:lang w:bidi="ar-SA"/>
        </w:rPr>
        <w:t>في وثاقته لمجرّد ورود اسمه في العبارة المتقدّمة للشيخ فيمكن توثيقه من خلال رواية صفوان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عبد الملك بن أعين هو نفسه عبد الأعلى الذي يروي صفوان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تكون الرواية معتبرة لعدم وجود 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ضعف في حال أيّ رجل من رجال سند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البحث عن دلالة المعتبرة فالظاهر 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الأشياء أشياء موسّعة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من الوقائع ما فيها سعة بحسب واقعها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يصدر فيها من روايات مشتملة على التحديد فليست واردة لبيان الحكم الواقعي بحدِّه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والقرينة على هذا المعنى أخبارٌ أخرى ذُكر فيها أنّ الصلاة من الموسّعات مّما يدلّ على إرادة هذا المعنى بالأشياء الموسّعة في معتبرة عبد الأعلى بن أعين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زرارة وقد رواها الشيخ، عن الحسين بن سعيد، عن ابن أبي عمير، عن عمر بن أذينة، عن زرارة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الأمور أموراً مضيّقة وأموراً موسّعة، وأنّ الوقت وقتان، الصلاة ممّا فيه السعة فربّما عجّل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أخّر إلَّا صلاة الجمعة، فإنّ صلاة الجمعة من الأمر المضيّق إنّما لها وقت واحد حين تزول، ووقت العصر يوم الجمعة وقت الظهر في سائر الأيام</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الفضيل بن يسار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الأشياء أشياء موسّعة وأشياء مضيّقة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ممّا وُسّع فيه تقدَّم مرة وتؤخّر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والجمعة ممّا ضيّق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وقتها يوم الجمعة ساعة تزول، ووقت العصر فيها وقت الظهر في غيرها</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يظهر كما أُفيد </w:t>
      </w:r>
      <w:r>
        <w:rPr>
          <w:rStyle w:val="FootnoteAnchor"/>
          <w:rtl w:val="true"/>
        </w:rPr>
        <w:footnoteReference w:id="517"/>
      </w:r>
      <w:r>
        <w:rPr>
          <w:rFonts w:ascii="IRNazanin" w:hAnsi="IRNazanin" w:eastAsia="IRNazanin"/>
          <w:color w:val="111111"/>
          <w:sz w:val="28"/>
          <w:sz w:val="28"/>
          <w:szCs w:val="28"/>
          <w:rtl w:val="true"/>
          <w:lang w:bidi="fa-IR"/>
        </w:rPr>
        <w:t xml:space="preserve">أنّ علياً بن حنظلة قد ذكر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شقوقاً لا يختلف الحكم الإلزامي من جهتها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يختلف الحكم غير الإلزامي بلحاظها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يتصوّر أنّ هذا ممّا يجري في سائر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فنبّهه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الأحكام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لا يكون إلّا على وجه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يكون على وجوه متعدّدة لكونها من الموسّعات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عبيد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يكون أصحابنا في المكان مجتمعين في قوم بعضهم يصلي الظهر وبعضهم يصلي العصر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ذلك واسع</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علي بن رئاب المروية في قرب الإسناد قال سمعت عبيد بن زرارة يقول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أصحابنا مجتمعين في منزل الرجل منّا، فيقوم بعضنا يصلي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وبعضنا يصلي العصر وذلك كله في وقت الظهر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الأمر واسع بحمد الله ونعمته</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513" w:name="pg9124_98698"/>
    </w:p>
    <w:p>
      <w:pPr>
        <w:pStyle w:val="Heading3"/>
        <w:numPr>
          <w:ilvl w:val="2"/>
          <w:numId w:val="1"/>
        </w:numPr>
        <w:rPr/>
      </w:pPr>
      <w:bookmarkStart w:id="514" w:name="__RefHeading___Toc2933458_2870459653"/>
      <w:bookmarkStart w:id="515" w:name="_Toc201"/>
      <w:bookmarkEnd w:id="513"/>
      <w:bookmarkEnd w:id="514"/>
      <w:r>
        <w:rPr>
          <w:rtl w:val="true"/>
        </w:rPr>
        <w:t>الأخبار الخاصّة</w:t>
      </w:r>
      <w:bookmarkEnd w:id="515"/>
    </w:p>
    <w:p>
      <w:pPr>
        <w:pStyle w:val="Heading4"/>
        <w:numPr>
          <w:ilvl w:val="3"/>
          <w:numId w:val="1"/>
        </w:numPr>
        <w:rPr/>
      </w:pPr>
      <w:bookmarkStart w:id="516" w:name="__RefHeading___Toc2933460_2870459653"/>
      <w:bookmarkStart w:id="517" w:name="_Toc202"/>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وهي الأخبار الواردة في مسائل بخصوصها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وجه الجمع بينها هو حملها على كون الحكم موسّعاً بدلالة بعض أخبار الباب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كما لاحظنا وردت في موارد 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أوقات الصلوات اليومية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أعداد الصلوات النوافل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في الحرمين الشريفين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الإحرام لحج التمتع من الميقات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إدراك حدّ المتعة</w:t>
      </w:r>
      <w:r>
        <w:rPr>
          <w:rFonts w:eastAsia="Amiri" w:cs="Amiri" w:ascii="Amiri" w:hAnsi="Amiri"/>
          <w:color w:val="111111"/>
          <w:sz w:val="28"/>
          <w:szCs w:val="28"/>
          <w:rtl w:val="true"/>
          <w:lang w:bidi="ar-SA"/>
        </w:rPr>
        <w:t xml:space="preserve">. </w:t>
      </w:r>
      <w:bookmarkStart w:id="518" w:name="pg9124_98699"/>
    </w:p>
    <w:p>
      <w:pPr>
        <w:pStyle w:val="Heading4"/>
        <w:numPr>
          <w:ilvl w:val="3"/>
          <w:numId w:val="1"/>
        </w:numPr>
        <w:rPr/>
      </w:pPr>
      <w:bookmarkStart w:id="519" w:name="__RefHeading___Toc2933462_2870459653"/>
      <w:bookmarkStart w:id="520" w:name="_Toc203"/>
      <w:bookmarkEnd w:id="518"/>
      <w:bookmarkEnd w:id="519"/>
      <w:r>
        <w:rPr>
          <w:rtl w:val="true"/>
        </w:rPr>
        <w:t>المورد الأوَّل</w:t>
      </w:r>
      <w:r>
        <w:rPr>
          <w:rtl w:val="true"/>
        </w:rPr>
        <w:t xml:space="preserve">: </w:t>
      </w:r>
      <w:r>
        <w:rPr>
          <w:rtl w:val="true"/>
        </w:rPr>
        <w:t>اختلاف الأخبار في أوقات الصلوات اليومية</w:t>
      </w:r>
      <w:bookmarkEnd w:id="520"/>
    </w:p>
    <w:p>
      <w:pPr>
        <w:pStyle w:val="Heading5"/>
        <w:numPr>
          <w:ilvl w:val="4"/>
          <w:numId w:val="1"/>
        </w:numPr>
        <w:rPr/>
      </w:pPr>
      <w:bookmarkStart w:id="521" w:name="__RefHeading___Toc2933464_2870459653"/>
      <w:bookmarkStart w:id="522" w:name="_Toc204"/>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لا شكّ في أنّ أوقات الصلوات اليومية من جملة الأمور الموسّعة عدا صلاة الجمعة التي حدّد وقتها بأوّل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فوقت صلاة الصبح من طلوع الفجر إلى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الظهرين من الزوال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العشاءين من الغروب إلى منتصف اللّيل، على تفصيل مذكور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شكّ أيضاً في اختلاف وقت الفضيلة فيها عن وقت الإجزاء لتواتر النصوص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اختلفت النصوص في ما حثّت عليه اختلافاً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اختلف عمل الشيعة في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ذلك في مواضع عديدة نقتصر هنا على التعرض لوقت فضيلة الظهرين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اختلفت فيه الروايات وعمل الأصحاب منذ عصر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 بيّناً، فقد ورد في بعضها الحثّ على المبادرة إليهما دون انتظار كما رواه منصور بن حازم والحارث بن المغيرة وعمر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عنهم ابن مسكان، حيث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نقيس الشمس بالمدينة بالذراع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أنبئكم بأبيّن من هذا؟ إذا زالت الشّمس فقد دخل وقت الظّهر</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الرواة إنّما كانوا يقيسون الوقت بالذراع طلباً لوقت الفضيلة وليس لوقت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كانت الشّمس قد زالت، ولا شكّ بدخول الوقت بزوالها، وقد وجّههم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الصّلاة عند الزّوال بعد النّافلة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تحديد وقته بالأقدام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الطائفة مختلفة، فقد دلّ بعضها على أنّ وقت الظهر من زوال الشّمس ووقت العصر عندما يبلغ الظل أربعة أقدام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إبراهيم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يدخل وقت الظهر؟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يخرج وقتها؟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يمضي من زوالها أربعة 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وقت الظهر ضيّق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يدخل وقت العصر؟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آخر وقت الظهر أوَّلُ وقت العصر </w:t>
      </w:r>
      <w:r>
        <w:rPr>
          <w:rFonts w:eastAsia="IRNazanin" w:cs="IRNazanin"/>
          <w:color w:val="111111"/>
          <w:sz w:val="28"/>
          <w:szCs w:val="28"/>
          <w:rtl w:val="true"/>
          <w:lang w:bidi="fa-IR"/>
        </w:rPr>
        <w:t>...)</w:t>
      </w:r>
      <w:r>
        <w:rPr>
          <w:rStyle w:val="FootnoteAnchor"/>
          <w:rtl w:val="true"/>
        </w:rPr>
        <w:footnoteReference w:id="52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تحديد وقت الظهرين بالذّراع والذّراعين، كما رواه زرارة، قال زرارة قال لي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سألته عن ذلك إنّ حائط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قامة فكان إذا مضى من فيئه ذراع صلّى الظّهر وإذا مضى من فيئه ذراعان صلّى العصر</w:t>
      </w:r>
      <w:r>
        <w:rPr>
          <w:rFonts w:eastAsia="IRNazanin" w:cs="IRNazanin"/>
          <w:color w:val="111111"/>
          <w:sz w:val="28"/>
          <w:szCs w:val="28"/>
          <w:rtl w:val="true"/>
          <w:lang w:bidi="fa-IR"/>
        </w:rPr>
        <w:t>...)</w:t>
      </w:r>
      <w:r>
        <w:rPr>
          <w:rStyle w:val="FootnoteAnchor"/>
          <w:rtl w:val="true"/>
        </w:rPr>
        <w:footnoteReference w:id="522"/>
      </w:r>
      <w:r>
        <w:rPr>
          <w:rFonts w:ascii="Amiri" w:hAnsi="Amiri" w:eastAsia="Amiri" w:cs="Amiri"/>
          <w:color w:val="111111"/>
          <w:sz w:val="28"/>
          <w:sz w:val="28"/>
          <w:szCs w:val="28"/>
          <w:rtl w:val="true"/>
          <w:lang w:bidi="ar-SA"/>
        </w:rPr>
        <w:t xml:space="preserve">، وفي 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بالذّراع والذّراعين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بصير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وحسين صاحب القلانس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أحصيه منهم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تحديد وقت الظهرين بالقامة والقامتين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الحسن بن علي الوشاء، عن أحمد بن عمر،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وقت الظهر والعصر؟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الظهر إذا زالت الشمس إلى أن يذهب الظّل قامة، ووقت العصر قامة ونصف إلى قامتين</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فالملحوظ اختلاف روايات الباب الواردة عن أبي جعفر وأبي عبد الله وأبي الحسن </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وصف هذا الاختلاف بعض الرواة المتأخّرين للأئمة اللاحقين كما في رواية محمّد بن أحمد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بعض أصحابنا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آبائك القدم والقدمين والقامة والقامتين وظل مثلك والذراع والذراعين،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القدم ولا القدمين إذا زالت الشّمس فقد دخل وقت الصلاتين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يديها سبحة وهي ثمان ركعات فإنْ شئت طوّلت وإنْ شئت قصرّت، ثُمَّ صلّ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كان بين الظّهر والعصر 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ثمان ركعات إنْ شئت طوّلت وإنْ شئت قصرّت ثُمَّ صلّ العصر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ولنوضّح حال هذه الرواية سنداً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سند الرواية فقد ذكره الشيخ في التهذيب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الشيخ إلى سعد بن عبد الله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القاسم جعفر بن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ترضّى عنه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أشهر من أنْ يوصف في الفقه والكلام والرواية والثقة والعلم</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انتهت إليه رئاسة الإمامية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الحادية عشر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جعفر بن محمّد بن قولويه فهو صاحب كتاب كامل الزيارات 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القاسم من ثقات أصحابنا وأجلّائهم في الحديث والفقه</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جعفر بن قولويه فهو والد صاحب كتاب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خيار أصحاب سعد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هل يعدّ هذا توثيق؟ يمكن أنْ يُتأمّل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يلتزم بوثاقة مشايخ ابن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يُعدّ عنده ثقة، لأنّ ابن قولويه قد أكثر الرواية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مشايخ ابن قولويه 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فيمكن الكلام في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يهوّن الأمر وجود طريق آخر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عن أبي جعفر محمّد بن علي بن الحسين، عن أبيه، 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الشيخ المفيد فقد تقدّم ذكر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أبي جعفر محمّد بن علي بن الحسين فهو الصّدوق صاحب كتاب من لا يحضره الفقيه، قال عنه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شيخنا وفقيهنا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الطائفة بخراسان</w:t>
      </w:r>
      <w:r>
        <w:rPr>
          <w:rFonts w:eastAsia="Amiri" w:cs="Amiri" w:ascii="Amiri" w:hAnsi="Amiri"/>
          <w:color w:val="111111"/>
          <w:sz w:val="28"/>
          <w:szCs w:val="28"/>
          <w:rtl w:val="true"/>
          <w:lang w:bidi="ar-SA"/>
        </w:rPr>
        <w:t>)</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العاشرة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الأب فهو علي بن الحسين بن بابويه،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القميين في عصره ومتقدّمهم وفقيههم وثقتهم</w:t>
      </w:r>
      <w:r>
        <w:rPr>
          <w:rFonts w:eastAsia="Amiri" w:cs="Amiri" w:ascii="Amiri" w:hAnsi="Amiri"/>
          <w:color w:val="111111"/>
          <w:sz w:val="28"/>
          <w:szCs w:val="28"/>
          <w:rtl w:val="true"/>
          <w:lang w:bidi="ar-SA"/>
        </w:rPr>
        <w:t>)</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طريق </w:t>
      </w:r>
    </w:p>
    <w:p>
      <w:pPr>
        <w:pStyle w:val="BookText"/>
        <w:rPr/>
      </w:pPr>
      <w:r>
        <w:rPr>
          <w:rFonts w:ascii="Amiri" w:hAnsi="Amiri" w:eastAsia="Amiri" w:cs="Amiri"/>
          <w:color w:val="111111"/>
          <w:sz w:val="28"/>
          <w:sz w:val="28"/>
          <w:szCs w:val="28"/>
          <w:rtl w:val="true"/>
          <w:lang w:bidi="ar-SA"/>
        </w:rPr>
        <w:t>الشيخ إلى سعد بن عبد الله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سعد بن عبدالله فقد قال عنه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هذه الطائفة وفقيهها ووجهها</w:t>
      </w:r>
      <w:r>
        <w:rPr>
          <w:rFonts w:eastAsia="Amiri" w:cs="Amiri" w:ascii="Amiri" w:hAnsi="Amiri"/>
          <w:color w:val="111111"/>
          <w:sz w:val="28"/>
          <w:szCs w:val="28"/>
          <w:rtl w:val="true"/>
          <w:lang w:bidi="ar-SA"/>
        </w:rPr>
        <w:t>)</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أحمد بن يحيى بن عمران الأشعري فقد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أصحابنا قالوا كان يروي عن الضعفاء ويعتمد المراسيل</w:t>
      </w:r>
      <w:r>
        <w:rPr>
          <w:rFonts w:eastAsia="Amiri" w:cs="Amiri" w:ascii="Amiri" w:hAnsi="Amiri"/>
          <w:color w:val="111111"/>
          <w:sz w:val="28"/>
          <w:szCs w:val="28"/>
          <w:rtl w:val="true"/>
          <w:lang w:bidi="ar-SA"/>
        </w:rPr>
        <w:t>)</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يضر بوثاقته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الرواية من جهة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محمّد بن أحمد بن يحيى روى هذه الرواية عن بعض أصحابنا ولم يحدّده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مرسل بإبهام الواسطة، إلاّ أنْ يظهر من النقل وقوفه على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 إسناد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الكلام في دلالة الرواية، فالرواية تدلُّ على وجود اختلاف في وقت صلاتي الظّهر والعصر، حيث نُلاحظ أنَّ الوارد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فالقدم والقدمين يختلف عن القامة والقامتين وهو يختلف عن الذراع والذراعين، وهذا يكشف بصورة واضحة عن أنّ الحكم الوارد في أوقات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صلاتي الظّهر 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لبيان الحكم الواقعي بحدّه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لما كان مختلفاً بهذه الكيفية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الأمر موسَّع على المكلَّف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وصف اختلاف الروايات والرواة في فضيلة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الفقهاء في وجه الجمع بين هذه الروايات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سلك جمع من القدماء مسلك الجمع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رواه الكليني عن علي </w:t>
      </w:r>
      <w:bookmarkStart w:id="523" w:name="pg9124_98704"/>
    </w:p>
    <w:p>
      <w:pPr>
        <w:pStyle w:val="BookText"/>
        <w:rPr/>
      </w:pPr>
      <w:bookmarkEnd w:id="523"/>
      <w:r>
        <w:rPr>
          <w:rFonts w:ascii="IRNazanin" w:hAnsi="IRNazanin" w:eastAsia="IRNazanin"/>
          <w:color w:val="111111"/>
          <w:sz w:val="28"/>
          <w:sz w:val="28"/>
          <w:szCs w:val="28"/>
          <w:rtl w:val="true"/>
          <w:lang w:bidi="fa-IR"/>
        </w:rPr>
        <w:t>ابن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صالح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جاء في الحديث أنْ صلِّ الظهر إذا كانت الشمس قامة وقامتين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وذراعاً وذراعين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وقدماً وقدمين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ومن هذا فمتى هذا؟ وكيف هذا وقد يكون الظّل في بعض الأوقات نصف قدم؟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قال ظلّ القامة ولم يقل قامة الظلّ، وذلك أنَّ ظلِّ القامة يختلف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يكثر، ومرَّة يقلّ، والقامة قامة أبداً لا تختلف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ذراع وذراعان، وقدم وقدمان، فصار ذراع وذراعان تفسير القامة والقامتين في الزمان الذي يكون فيه ظلّ القامة ذراعاً وظلُّ القامتين ذراعين، فيكون ظلّ القامة والقامتين والذراع والذراعين متفقين في كلّ زمان معروفين مفسّراً أحدهما بالآخر مسدداً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الزمان يكون فيه ظلّ القامة ذراعاً كان الوقت ذراعاً من ظلّ القامة وكانت القامة ذراعاً من الظلّ، وإذا كان ظلّ القامة أقل أو أكثر كان الوقت محصوراً بالذراع والذراعين، فهذا تفسير القامة والقامتين والذراع والذراعين</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الأقرب اختلاف مؤدّى هذه الروايات فعلاً كما فهم الأصحاب أنفسهم في تلك العصور، ولكنّ السرَّ في الاختلاف كون الأمر من الموسّعات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أوقع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بينهم لحكمة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ينبَّه على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الرواية العامّة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ذكرناه معها ممّا تضمّن أنَّ وقت الصلاة من الموسّعات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يجيب فيها على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ثلاثة</w:t>
      </w:r>
      <w:r>
        <w:rPr>
          <w:rFonts w:eastAsia="IRNazanin" w:cs="IRNazanin"/>
          <w:color w:val="111111"/>
          <w:sz w:val="28"/>
          <w:szCs w:val="28"/>
          <w:rtl w:val="true"/>
          <w:lang w:bidi="fa-IR"/>
        </w:rPr>
        <w:t>:</w:t>
      </w:r>
    </w:p>
    <w:p>
      <w:pPr>
        <w:pStyle w:val="Heading5"/>
        <w:numPr>
          <w:ilvl w:val="4"/>
          <w:numId w:val="1"/>
        </w:numPr>
        <w:rPr/>
      </w:pPr>
      <w:bookmarkStart w:id="524" w:name="__RefHeading___Toc2933466_2870459653"/>
      <w:bookmarkStart w:id="525" w:name="_Toc205"/>
      <w:bookmarkEnd w:id="524"/>
      <w:r>
        <w:rPr>
          <w:rtl w:val="true"/>
        </w:rPr>
        <w:t>الرواية الأُولى</w:t>
      </w:r>
      <w:bookmarkEnd w:id="52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الشيخ، عن الحسين بن سعيد، عن عبد الله بن محمّد، عن أبي 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كتبتُ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روى أصحابنا عن أبي جعفر وأبي </w:t>
      </w:r>
      <w:bookmarkStart w:id="526" w:name="pg9124_98705"/>
    </w:p>
    <w:p>
      <w:pPr>
        <w:pStyle w:val="BookText"/>
        <w:rPr/>
      </w:pPr>
      <w:bookmarkEnd w:id="526"/>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فقد دخل وقت الصلاتين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بين يديهما 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طوّلت وإنْ شئت قصَّرت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بعض مواليك عنهما أنّ وقت الظّهر على أربعة أقدام من الزوال فإذا صلَّيت قبل ذلك لم يجزك وبعضهم يقول يجزي، ولكنّ الفضل في انتظار القدمين والأربعة أقدام، وقد أحببت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أعرف موضع الفضل في الوقت؟ فكتب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القدمان والأربعة أقدام صواب جميعاً</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سند الرواية فإنّ طريق الشيخ في المشيخة إلى الحسين بن سعيد معتبرٌ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عبد الله بن محمّد فهو الحُضيني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فالرواية 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دلالة الرواية فهي تدلّ بصورة واضحة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بصدد بيان الحكم الواقعي بحدّه وإلّا لكان اقتصر على وقت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 على أنَّ الوقت من الموسّعات، أي يكون الحكم موسّعاً على المكلَّف</w:t>
      </w:r>
      <w:r>
        <w:rPr>
          <w:rFonts w:eastAsia="IRNazanin" w:cs="IRNazanin"/>
          <w:color w:val="111111"/>
          <w:sz w:val="28"/>
          <w:szCs w:val="28"/>
          <w:rtl w:val="true"/>
          <w:lang w:bidi="fa-IR"/>
        </w:rPr>
        <w:t>.</w:t>
      </w:r>
    </w:p>
    <w:p>
      <w:pPr>
        <w:pStyle w:val="Heading5"/>
        <w:numPr>
          <w:ilvl w:val="4"/>
          <w:numId w:val="1"/>
        </w:numPr>
        <w:rPr/>
      </w:pPr>
      <w:bookmarkStart w:id="527" w:name="__RefHeading___Toc2933468_2870459653"/>
      <w:bookmarkStart w:id="528" w:name="_Toc206"/>
      <w:bookmarkEnd w:id="527"/>
      <w:r>
        <w:rPr>
          <w:rtl w:val="true"/>
        </w:rPr>
        <w:t>الرواية الثانية</w:t>
      </w:r>
      <w:bookmarkEnd w:id="528"/>
    </w:p>
    <w:p>
      <w:pPr>
        <w:pStyle w:val="BookText"/>
        <w:rPr/>
      </w:pPr>
      <w:r>
        <w:rPr>
          <w:rFonts w:ascii="IRNazanin" w:hAnsi="IRNazanin" w:eastAsia="IRNazanin"/>
          <w:color w:val="111111"/>
          <w:sz w:val="28"/>
          <w:sz w:val="28"/>
          <w:szCs w:val="28"/>
          <w:rtl w:val="true"/>
          <w:lang w:bidi="fa-IR"/>
        </w:rPr>
        <w:t xml:space="preserve">معتبرة سالم أبي خديجة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إنسان وأنا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المسجد وبعض أصحابنا يصلّون العصر وبعضهم يصلُّون الظهر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أمرتهم بهذا، لو صلّوا على وقت واحد عرفوا فأخذ برقابهم</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تارة في سند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دلالته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سند الحديث فقد رواه الكليني، عن محمّد بن يحيى، عن محمّد بن الحسين، عن </w:t>
      </w:r>
    </w:p>
    <w:p>
      <w:pPr>
        <w:pStyle w:val="BookText"/>
        <w:rPr/>
      </w:pPr>
      <w:r>
        <w:rPr>
          <w:rFonts w:ascii="IRNazanin" w:hAnsi="IRNazanin" w:eastAsia="IRNazanin"/>
          <w:color w:val="111111"/>
          <w:sz w:val="28"/>
          <w:sz w:val="28"/>
          <w:szCs w:val="28"/>
          <w:rtl w:val="true"/>
          <w:lang w:bidi="fa-IR"/>
        </w:rPr>
        <w:t xml:space="preserve">عبد الرحمن بن أبي هاشم البجلي، عن سالم أبي خديجة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الكليني فهو موثّق صريحاً دون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أوثق الناس في الحديث وأثبتهم</w:t>
      </w:r>
      <w:r>
        <w:rPr>
          <w:rFonts w:eastAsia="Amiri" w:cs="Amiri" w:ascii="Amiri" w:hAnsi="Amiri"/>
          <w:color w:val="111111"/>
          <w:sz w:val="28"/>
          <w:szCs w:val="28"/>
          <w:rtl w:val="true"/>
          <w:lang w:bidi="ar-SA"/>
        </w:rPr>
        <w:t>)</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محمّد بن يحيى فهو العطّار من مشايخ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أصحابنا في زمانه ثقة، عين، كثير الحديث</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محمّد بن الحسين فهو ابن أبي الخطاب أبو جعفر الزيات الهمداني، قال عنه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 من أصحابنا، عظيم القدر، كثير الرواية، ثقة، عين، حسن التصانيف مسكون إلى روايته</w:t>
      </w:r>
      <w:r>
        <w:rPr>
          <w:rFonts w:eastAsia="Amiri" w:cs="Amiri" w:ascii="Amiri" w:hAnsi="Amiri"/>
          <w:color w:val="111111"/>
          <w:sz w:val="28"/>
          <w:szCs w:val="28"/>
          <w:rtl w:val="true"/>
          <w:lang w:bidi="ar-SA"/>
        </w:rPr>
        <w:t>)</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عبد الرحمن بن أبي هاشم البجلي فقال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جليل من أصحابنا ثقة ثقة</w:t>
      </w:r>
      <w:r>
        <w:rPr>
          <w:rFonts w:eastAsia="Amiri" w:cs="Amiri" w:ascii="Amiri" w:hAnsi="Amiri"/>
          <w:color w:val="111111"/>
          <w:sz w:val="28"/>
          <w:szCs w:val="28"/>
          <w:rtl w:val="true"/>
          <w:lang w:bidi="ar-SA"/>
        </w:rPr>
        <w:t>)</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السادسة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سالم أبو خديجة، فهو سالم بن مُكرم بن عبد الله أبو خديجة، قال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يقال أبو سلمة الكنَّاسي، يقال صاحب الغنم مولى بني أسد الجمَّال، يقال كنيته كانت أبا خديجة وأنَّ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كنَّاه أبا سلمة ثقة ثقة</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في الفهرست </w:t>
      </w:r>
      <w:r>
        <w:rPr>
          <w:rStyle w:val="FootnoteAnchor"/>
          <w:rtl w:val="true"/>
        </w:rPr>
        <w:footnoteReference w:id="541"/>
      </w:r>
      <w:r>
        <w:rPr>
          <w:rFonts w:ascii="Amiri" w:hAnsi="Amiri" w:eastAsia="Amiri" w:cs="Amiri"/>
          <w:color w:val="111111"/>
          <w:sz w:val="28"/>
          <w:sz w:val="28"/>
          <w:szCs w:val="28"/>
          <w:rtl w:val="true"/>
          <w:lang w:bidi="ar-SA"/>
        </w:rPr>
        <w:t xml:space="preserve">سالم بن مكرم يكنَّى أبا </w:t>
      </w:r>
    </w:p>
    <w:p>
      <w:pPr>
        <w:pStyle w:val="BookText"/>
        <w:rPr/>
      </w:pPr>
      <w:r>
        <w:rPr>
          <w:rFonts w:ascii="Amiri" w:hAnsi="Amiri" w:eastAsia="Amiri" w:cs="Amiri"/>
          <w:color w:val="111111"/>
          <w:sz w:val="28"/>
          <w:sz w:val="28"/>
          <w:szCs w:val="28"/>
          <w:rtl w:val="true"/>
          <w:lang w:bidi="ar-SA"/>
        </w:rPr>
        <w:t>خديجة، ومُكرم يكنَّى أبا سلمة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القريب جداً أنَّ منشأ تضعيف الشيخ لأبي خديجة هو كونه من أصحاب أبي الخطَّاب قبل مقتله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يصلح وجهاً للخدش في وثاقة الرجل؛ فإنَّ الرجل بقي بعد ذلك التأريخ مدّة غير قصيرة كان فيها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ابن أبي عمير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إنَّما يكون بعد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يكشف عن صلاح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شهادة علي بن الحسن بن فضّال له بالصلاح التي وردت في كتاب اختيار معرفة الرجال </w:t>
      </w:r>
      <w:r>
        <w:rPr>
          <w:rStyle w:val="FootnoteAnchor"/>
          <w:rtl w:val="true"/>
        </w:rPr>
        <w:footnoteReference w:id="543"/>
      </w:r>
      <w:r>
        <w:rPr>
          <w:rFonts w:ascii="Amiri" w:hAnsi="Amiri" w:eastAsia="Amiri" w:cs="Amiri"/>
          <w:color w:val="111111"/>
          <w:sz w:val="28"/>
          <w:sz w:val="28"/>
          <w:szCs w:val="28"/>
          <w:rtl w:val="true"/>
          <w:lang w:bidi="ar-SA"/>
        </w:rPr>
        <w:t>تكشف عن صحة ما ورد في ذيل خبر الكشّي من أنَّه تاب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في تأكيد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توثيقه مرتين إشارة إلى الردّ على ما ذكره الشيخ في الفهرست من تضعيفه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النجاشي كان ناظراً إلى فهرست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ثبوت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معتبرة ولا إشكال فيها من جهة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دلالة المعتبرة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أنَّه أمرهم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صلّوا في وقت واحد عُرِفوا فأُخذ برقابهم، وهذا ما أشرنا إليه في الدواعي للأحكام الموسَّعة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يلقي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بين الشيعة ليعطي انطباعاً لدى السلطة الغاشمة أنَّهم ليسوا بجماعة منظّمة موجّهين من قيادة واحدة، بما يدفع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عن نفسه وعن شيعته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يدلُّ بوضوح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بصدد بيان الحكم الواقعي بحدِّه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وقت صلاة الظّهر أو العصر هو الوقت الواقعي ولا يجوز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لما كان </w:t>
      </w:r>
      <w:bookmarkStart w:id="529" w:name="pg9124_98708"/>
    </w:p>
    <w:p>
      <w:pPr>
        <w:pStyle w:val="BookText"/>
        <w:rPr/>
      </w:pPr>
      <w:bookmarkEnd w:id="529"/>
      <w:r>
        <w:rPr>
          <w:rFonts w:ascii="IRNazanin" w:hAnsi="IRNazanin" w:eastAsia="IRNazanin"/>
          <w:color w:val="111111"/>
          <w:sz w:val="28"/>
          <w:sz w:val="28"/>
          <w:szCs w:val="28"/>
          <w:rtl w:val="true"/>
          <w:lang w:bidi="fa-IR"/>
        </w:rPr>
        <w:t xml:space="preserve">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يذكر أوقاتاً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ممّا يكشف عن أنَّ أمر الوقت هو من الأحكام الموسّعة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 هناك سعة في التشريع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فيه التحديد بوقت معين فهو لم يصدر لأجل بيان الحكم الواقعي بحدِّه</w:t>
      </w:r>
      <w:r>
        <w:rPr>
          <w:rFonts w:eastAsia="IRNazanin" w:cs="IRNazanin"/>
          <w:color w:val="111111"/>
          <w:sz w:val="28"/>
          <w:szCs w:val="28"/>
          <w:rtl w:val="true"/>
          <w:lang w:bidi="fa-IR"/>
        </w:rPr>
        <w:t>.</w:t>
      </w:r>
    </w:p>
    <w:p>
      <w:pPr>
        <w:pStyle w:val="Heading5"/>
        <w:numPr>
          <w:ilvl w:val="4"/>
          <w:numId w:val="1"/>
        </w:numPr>
        <w:rPr/>
      </w:pPr>
      <w:bookmarkStart w:id="530" w:name="__RefHeading___Toc2933470_2870459653"/>
      <w:bookmarkStart w:id="531" w:name="_Toc207"/>
      <w:bookmarkEnd w:id="530"/>
      <w:r>
        <w:rPr>
          <w:rtl w:val="true"/>
        </w:rPr>
        <w:t>الرواية الثالثة</w:t>
      </w:r>
      <w:bookmarkEnd w:id="531"/>
    </w:p>
    <w:p>
      <w:pPr>
        <w:pStyle w:val="BookText"/>
        <w:rPr/>
      </w:pPr>
      <w:r>
        <w:rPr>
          <w:rFonts w:ascii="IRNazanin" w:hAnsi="IRNazanin" w:eastAsia="IRNazanin"/>
          <w:color w:val="111111"/>
          <w:sz w:val="28"/>
          <w:sz w:val="28"/>
          <w:szCs w:val="28"/>
          <w:rtl w:val="true"/>
          <w:lang w:bidi="fa-IR"/>
        </w:rPr>
        <w:t>ما رواه الكشِّي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 الله محمّد بن إبراهيم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بن يزيد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بنان بن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تركتَ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تركته لا يصلِّي العصر حتَّى تغيب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رسولي إليه فقل له فليصلِّ في مواقيت أصحابه فإنّي حرقت</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فأبلغته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أعلم أنَّك لم تكذب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أمرني بشيء فأكره أنْ أدعه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الرواية تؤكد ما ذكرناه من أنَّ الحكم بذكر الوقت من الأحكام الموسَّعة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هذا يذكر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وقتين لصلاة العصر لأحد أصحابه وهو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bookmarkStart w:id="532" w:name="pg9124_98709"/>
    </w:p>
    <w:p>
      <w:pPr>
        <w:pStyle w:val="Heading4"/>
        <w:numPr>
          <w:ilvl w:val="3"/>
          <w:numId w:val="1"/>
        </w:numPr>
        <w:rPr/>
      </w:pPr>
      <w:bookmarkStart w:id="533" w:name="__RefHeading___Toc2933472_2870459653"/>
      <w:bookmarkStart w:id="534" w:name="_Toc208"/>
      <w:bookmarkEnd w:id="532"/>
      <w:bookmarkEnd w:id="533"/>
      <w:r>
        <w:rPr>
          <w:rtl w:val="true"/>
        </w:rPr>
        <w:t>المورد الثّاني</w:t>
      </w:r>
      <w:r>
        <w:rPr>
          <w:rtl w:val="true"/>
        </w:rPr>
        <w:t xml:space="preserve">: </w:t>
      </w:r>
      <w:r>
        <w:rPr>
          <w:rtl w:val="true"/>
        </w:rPr>
        <w:t>من موارد اختلاف الأخبار في الموسّعات ما ورد في أعداد النوافل</w:t>
      </w:r>
      <w:bookmarkEnd w:id="534"/>
    </w:p>
    <w:p>
      <w:pPr>
        <w:pStyle w:val="Heading5"/>
        <w:numPr>
          <w:ilvl w:val="4"/>
          <w:numId w:val="1"/>
        </w:numPr>
        <w:rPr/>
      </w:pPr>
      <w:bookmarkStart w:id="535" w:name="__RefHeading___Toc2933474_2870459653"/>
      <w:bookmarkStart w:id="536" w:name="_Toc209"/>
      <w:bookmarkEnd w:id="535"/>
      <w:r>
        <w:rPr>
          <w:rtl w:val="true"/>
        </w:rPr>
        <w:t>اشارة</w:t>
      </w:r>
      <w:bookmarkEnd w:id="536"/>
    </w:p>
    <w:p>
      <w:pPr>
        <w:pStyle w:val="BookText"/>
        <w:rPr/>
      </w:pPr>
      <w:r>
        <w:rPr>
          <w:rFonts w:ascii="IRNazanin" w:hAnsi="IRNazanin" w:eastAsia="IRNazanin"/>
          <w:color w:val="111111"/>
          <w:sz w:val="28"/>
          <w:sz w:val="28"/>
          <w:szCs w:val="28"/>
          <w:rtl w:val="true"/>
          <w:lang w:bidi="fa-IR"/>
        </w:rPr>
        <w:t xml:space="preserve">فقد اختلفت الروايات الواردة عن أهل بيت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أعداد النوافل اختلافاً شديداً مما أدَّى الى اختلاف عمل الأصحاب في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استمّر ذلك إلى عهد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ونُبّه في بعض هذه الروايات كمعتبرة عبد الله بن زرارة على أنَّ السرّ في الاختلاف هو كون الأمر من الموسّعات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فلنذكر اختلاف روايات الباب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نذكر تلك المعتبرة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ويلاحظ أنّ تلك الروايات بعضها صادر في عصر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ما بعد عصرهما</w:t>
      </w:r>
      <w:r>
        <w:rPr>
          <w:rFonts w:eastAsia="IRNazanin" w:cs="IRNazanin"/>
          <w:color w:val="111111"/>
          <w:sz w:val="28"/>
          <w:szCs w:val="28"/>
          <w:rtl w:val="true"/>
          <w:lang w:bidi="fa-IR"/>
        </w:rPr>
        <w:t>.</w:t>
      </w:r>
    </w:p>
    <w:p>
      <w:pPr>
        <w:pStyle w:val="Heading5"/>
        <w:numPr>
          <w:ilvl w:val="4"/>
          <w:numId w:val="1"/>
        </w:numPr>
        <w:rPr/>
      </w:pPr>
      <w:bookmarkStart w:id="537" w:name="__RefHeading___Toc2933476_2870459653"/>
      <w:bookmarkStart w:id="538" w:name="_Toc210"/>
      <w:bookmarkEnd w:id="537"/>
      <w:r>
        <w:rPr>
          <w:rtl w:val="true"/>
        </w:rPr>
        <w:t xml:space="preserve">الروايات الواردة عن الإمام أبي جعفر والإمام أبي عبدالله </w:t>
      </w:r>
      <w:r>
        <w:rPr>
          <w:rtl w:val="true"/>
        </w:rPr>
        <w:t>(</w:t>
      </w:r>
      <w:r>
        <w:rPr>
          <w:rtl w:val="true"/>
        </w:rPr>
        <w:t>علیهما السلام</w:t>
      </w:r>
      <w:r>
        <w:rPr>
          <w:rtl w:val="true"/>
        </w:rPr>
        <w:t>)</w:t>
      </w:r>
      <w:bookmarkEnd w:id="538"/>
    </w:p>
    <w:p>
      <w:pPr>
        <w:pStyle w:val="Heading6"/>
        <w:numPr>
          <w:ilvl w:val="5"/>
          <w:numId w:val="1"/>
        </w:numPr>
        <w:rPr/>
      </w:pPr>
      <w:bookmarkStart w:id="539" w:name="__RefHeading___Toc2933478_2870459653"/>
      <w:bookmarkStart w:id="540" w:name="_Toc211"/>
      <w:bookmarkEnd w:id="539"/>
      <w:r>
        <w:rPr>
          <w:rtl w:val="true"/>
        </w:rPr>
        <w:t>اشارة</w:t>
      </w:r>
      <w:bookmarkEnd w:id="540"/>
    </w:p>
    <w:p>
      <w:pPr>
        <w:pStyle w:val="BookText"/>
        <w:rPr/>
      </w:pPr>
      <w:r>
        <w:rPr>
          <w:rFonts w:ascii="IRNazanin" w:hAnsi="IRNazanin" w:eastAsia="IRNazanin"/>
          <w:color w:val="111111"/>
          <w:sz w:val="28"/>
          <w:sz w:val="28"/>
          <w:szCs w:val="28"/>
          <w:rtl w:val="true"/>
          <w:lang w:bidi="fa-IR"/>
        </w:rPr>
        <w:t xml:space="preserve">أمّا الروايات الواردة عن الإمام أبي جعفر والإمام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على ثلاث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تضمّنت أنّ أعداد النوافل إحدى وخمسون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تضمّنت أنّ أعداد النوافل أربع وأربعون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تضمّنت غيرهما</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2933480_2870459653"/>
      <w:bookmarkStart w:id="542" w:name="_Toc212"/>
      <w:bookmarkEnd w:id="541"/>
      <w:r>
        <w:rPr>
          <w:rtl w:val="true"/>
        </w:rPr>
        <w:t>الطائفة الأولى</w:t>
      </w:r>
      <w:r>
        <w:rPr>
          <w:rtl w:val="true"/>
        </w:rPr>
        <w:t xml:space="preserve">: </w:t>
      </w:r>
      <w:r>
        <w:rPr>
          <w:rtl w:val="true"/>
        </w:rPr>
        <w:t>ما تضمّنت أنّ أعداد النوافل إحدى وخمسون</w:t>
      </w:r>
      <w:bookmarkEnd w:id="542"/>
    </w:p>
    <w:p>
      <w:pPr>
        <w:pStyle w:val="Heading6"/>
        <w:numPr>
          <w:ilvl w:val="5"/>
          <w:numId w:val="1"/>
        </w:numPr>
        <w:rPr/>
      </w:pPr>
      <w:bookmarkStart w:id="543" w:name="__RefHeading___Toc2933482_2870459653"/>
      <w:bookmarkStart w:id="544" w:name="_Toc213"/>
      <w:bookmarkEnd w:id="543"/>
      <w:r>
        <w:rPr>
          <w:rtl w:val="true"/>
        </w:rPr>
        <w:t>اشارة</w:t>
      </w:r>
      <w:bookmarkEnd w:id="544"/>
    </w:p>
    <w:p>
      <w:pPr>
        <w:pStyle w:val="BookText"/>
        <w:rPr/>
      </w:pPr>
      <w:r>
        <w:rPr>
          <w:rFonts w:ascii="Amiri" w:hAnsi="Amiri" w:eastAsia="Amiri" w:cs="Amiri"/>
          <w:color w:val="111111"/>
          <w:sz w:val="28"/>
          <w:sz w:val="28"/>
          <w:szCs w:val="28"/>
          <w:rtl w:val="true"/>
          <w:lang w:bidi="ar-SA"/>
        </w:rPr>
        <w:t>وهي عدّة روايات</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2933484_2870459653"/>
      <w:bookmarkStart w:id="546" w:name="_Toc214"/>
      <w:bookmarkEnd w:id="545"/>
      <w:r>
        <w:rPr>
          <w:rtl w:val="true"/>
        </w:rPr>
        <w:t>الرواية الأولى</w:t>
      </w:r>
      <w:bookmarkEnd w:id="54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الكليني، عن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أُذينة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فضيل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الفريضة والنافلة إحدى وخمسون ركعة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ركعتان بعد العتمة جالساً تعدّان بركعة وهو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الفريضة منها </w:t>
      </w:r>
      <w:bookmarkStart w:id="547" w:name="pg9124_98710"/>
    </w:p>
    <w:p>
      <w:pPr>
        <w:pStyle w:val="BookText"/>
        <w:rPr/>
      </w:pPr>
      <w:bookmarkEnd w:id="547"/>
      <w:r>
        <w:rPr>
          <w:rFonts w:ascii="Amiri" w:hAnsi="Amiri" w:eastAsia="Amiri" w:cs="Amiri"/>
          <w:color w:val="111111"/>
          <w:sz w:val="28"/>
          <w:sz w:val="28"/>
          <w:szCs w:val="28"/>
          <w:rtl w:val="true"/>
          <w:lang w:bidi="ar-SA"/>
        </w:rPr>
        <w:t>سبع عشرة ركعة والنافلة أربع وثلاثون ركعة</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والسند معتبر لعدم وجود خلل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علي بن إبراهيم فهو ثقة كما عن النجاشي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إبراهيم بن هاشم فالصحيح أنَّه ثقة؛ لوجوه ذكرها الأعلام وقرائن اعتمدوا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أبي عمير فقد ذكر العلمان</w:t>
      </w:r>
      <w:r>
        <w:rPr>
          <w:rStyle w:val="FootnoteAnchor"/>
          <w:rtl w:val="true"/>
        </w:rPr>
        <w:footnoteReference w:id="548"/>
      </w:r>
      <w:r>
        <w:rPr>
          <w:rFonts w:ascii="Amiri" w:hAnsi="Amiri" w:eastAsia="Amiri" w:cs="Amiri"/>
          <w:color w:val="111111"/>
          <w:sz w:val="28"/>
          <w:sz w:val="28"/>
          <w:szCs w:val="28"/>
          <w:rtl w:val="true"/>
          <w:lang w:bidi="ar-SA"/>
        </w:rPr>
        <w:t>وغيرهما جلالة قدره ووثاقته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أُذينة فهو عمر بن أُذينة وثَّقه الشيخ</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ومدحه النجاشي</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الفضيل بن يسار فقد وثَّقه العلمان</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المعتبرة فهي تصرَّح بكون النوافل أربعاً وثلاثين ركعة</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2933486_2870459653"/>
      <w:bookmarkStart w:id="549" w:name="_Toc215"/>
      <w:bookmarkEnd w:id="548"/>
      <w:r>
        <w:rPr>
          <w:rtl w:val="true"/>
        </w:rPr>
        <w:t>الرواية الثانية</w:t>
      </w:r>
      <w:bookmarkEnd w:id="54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رواية الحارث بن المغيرة النصري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النّهار ست عشرة ركعة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إذا زالت الشمس، وثمان بعد الظهر، وأربع ركعات بعد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تدعهنّ في سفر ولا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وركعتان بعد العشاء </w:t>
      </w:r>
      <w:bookmarkStart w:id="550" w:name="pg9124_98711"/>
    </w:p>
    <w:p>
      <w:pPr>
        <w:pStyle w:val="BookText"/>
        <w:rPr/>
      </w:pPr>
      <w:bookmarkEnd w:id="550"/>
      <w:r>
        <w:rPr>
          <w:rFonts w:ascii="IRNazanin" w:hAnsi="IRNazanin" w:eastAsia="IRNazanin"/>
          <w:color w:val="111111"/>
          <w:sz w:val="28"/>
          <w:sz w:val="28"/>
          <w:szCs w:val="28"/>
          <w:rtl w:val="true"/>
          <w:lang w:bidi="fa-IR"/>
        </w:rPr>
        <w:t>الآخرة كان أبي يصلّيها وهو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اُصليها وأنا قائم،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ثلاث عشرة من الليل</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فقد رواه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بصيغة التعليق على سابقه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والمذكور في الإسناد السابق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العطّار، عن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حديد، عن علي بن النّعمان، عن الحارث بن المغيرة النصريّ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ضعيفة سنداً من جهة علي بن حديد فقد ضعّفه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دلالة الرواية فهي تشير بوضوح إلى أنّ أعداد النوافل هي أربع وثلاثون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مجموع الركعات إحدى وخمسين</w:t>
      </w:r>
      <w:r>
        <w:rPr>
          <w:rFonts w:eastAsia="Amiri" w:cs="Amiri" w:ascii="Amiri" w:hAnsi="Amiri"/>
          <w:color w:val="111111"/>
          <w:sz w:val="28"/>
          <w:szCs w:val="28"/>
          <w:rtl w:val="true"/>
          <w:lang w:bidi="ar-SA"/>
        </w:rPr>
        <w:t>.</w:t>
      </w:r>
    </w:p>
    <w:p>
      <w:pPr>
        <w:pStyle w:val="Heading6"/>
        <w:numPr>
          <w:ilvl w:val="5"/>
          <w:numId w:val="1"/>
        </w:numPr>
        <w:rPr/>
      </w:pPr>
      <w:bookmarkStart w:id="551" w:name="__RefHeading___Toc2933488_2870459653"/>
      <w:bookmarkStart w:id="552" w:name="_Toc216"/>
      <w:bookmarkEnd w:id="551"/>
      <w:r>
        <w:rPr>
          <w:rtl w:val="true"/>
        </w:rPr>
        <w:t>الرواية الثّالثة</w:t>
      </w:r>
      <w:bookmarkEnd w:id="55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الكليني، عن محمّد بن يحيى، عن محمّد بن الحسين، عن محمّد بن إسماعيل بن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عمر بن حريث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جالس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ثماني ركعات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وأربعاً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وثماني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وثلاثاً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وأربعاً بعد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والعشاء الآخرة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وثمان صلاة الليل وثلاثاً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وركعتي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الغداة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فإنْ كنت أقوى على أكثر من هذا يعذبني الله على كثرة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 يعذَّب على ترك السُنَّة</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553" w:name="pg9124_98712"/>
    </w:p>
    <w:p>
      <w:pPr>
        <w:pStyle w:val="BookText"/>
        <w:rPr/>
      </w:pPr>
      <w:bookmarkEnd w:id="553"/>
      <w:r>
        <w:rPr>
          <w:rFonts w:ascii="Amiri" w:hAnsi="Amiri" w:eastAsia="Amiri" w:cs="Amiri"/>
          <w:color w:val="111111"/>
          <w:sz w:val="28"/>
          <w:sz w:val="28"/>
          <w:szCs w:val="28"/>
          <w:rtl w:val="true"/>
          <w:lang w:bidi="ar-SA"/>
        </w:rPr>
        <w:t>والرواية معتبرة لعدم وجود خلل في طريقها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يعقوب فهو الكليني فقد تقدّم ذكر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إسماعيل بن بزيع فهو 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العلمان</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حنَّان فهو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الشيخ</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الرابعة الّتي أدركتها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تكون الرواية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المعتبرة فهي تثبت كون الركعات إحدى وخمسين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سبع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والنوافل أربع وثلاثون ركعة</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2933490_2870459653"/>
      <w:bookmarkStart w:id="555" w:name="_Toc217"/>
      <w:bookmarkEnd w:id="554"/>
      <w:r>
        <w:rPr>
          <w:rtl w:val="true"/>
        </w:rPr>
        <w:t>الرواية الرابعة</w:t>
      </w:r>
      <w:bookmarkEnd w:id="55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الحسين بن سعيد، عن عثمان بن عيسى، عن ابن مسكان، عن سليمان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النافلة ثمان ركعات حين تزول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 ركعات بعد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وركعتان بعد العشاء الآخرة تقرأ فيهما مائة آية قائماً أو قاعداً، والقيام أفضل ولا تعدّهما من الخمسين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وثمان ركعات من آخر الليل تقرأ في صلاة الليل بقل هو الله أحد، وقل يا أيُّها الكافرون في الركعتين الأوليتين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وتقرأ في سائرها ما أحببت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الوتر ثلاث ركعات تقرأ فيهما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وتفصل بينهما بتسليم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الركعتان اللتان قبل الفجر تقرأ في الركعة الأولى منهما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الثانية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السند فهو معتبر؛ لكون طريق الشيخ إلى الحسين بن سعيد صحيحاً ولا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الحسين بن سعيد فقد وثَّقه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صغار الطبقة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عثمان بن عيسى فقد وصفه الشيخ</w:t>
      </w:r>
      <w:r>
        <w:rPr>
          <w:rStyle w:val="FootnoteAnchor"/>
          <w:rtl w:val="true"/>
        </w:rPr>
        <w:footnoteReference w:id="559"/>
      </w:r>
      <w:r>
        <w:rPr>
          <w:rFonts w:ascii="Amiri" w:hAnsi="Amiri" w:eastAsia="Amiri" w:cs="Amiri"/>
          <w:color w:val="111111"/>
          <w:sz w:val="28"/>
          <w:sz w:val="28"/>
          <w:szCs w:val="28"/>
          <w:rtl w:val="true"/>
          <w:lang w:bidi="ar-SA"/>
        </w:rPr>
        <w:t>بالوثاقة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إمكان توثيقه لكونه من مشايخ صفوان وابن أبي عمير كما في القبسات</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الخامسة التي أدركتها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مسكان فهو عبد الله 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وثَّقه العلمان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سليمان بن خالد فقد وصفه النجاشي</w:t>
      </w:r>
      <w:r>
        <w:rPr>
          <w:rStyle w:val="FootnoteAnchor"/>
          <w:rtl w:val="true"/>
        </w:rPr>
        <w:footnoteReference w:id="562"/>
      </w:r>
      <w:r>
        <w:rPr>
          <w:rFonts w:ascii="Amiri" w:hAnsi="Amiri" w:eastAsia="Amiri" w:cs="Amiri"/>
          <w:color w:val="111111"/>
          <w:sz w:val="28"/>
          <w:sz w:val="28"/>
          <w:szCs w:val="28"/>
          <w:rtl w:val="true"/>
          <w:lang w:bidi="ar-SA"/>
        </w:rPr>
        <w:t>بالوجاهة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دالّ على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فالرواية معتبرة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المعتبرة فهي تصرّح بكون النوافل أربعاً وثلاثين ركعة فتكون من روايات الإحدى وخمسين ركعة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الطائفة الأولى من الروايات والتي تضمَّنت الإحدى والخمسين ركعة</w:t>
      </w:r>
      <w:r>
        <w:rPr>
          <w:rFonts w:eastAsia="Amiri" w:cs="Amiri" w:ascii="Amiri" w:hAnsi="Amiri"/>
          <w:color w:val="111111"/>
          <w:sz w:val="28"/>
          <w:szCs w:val="28"/>
          <w:rtl w:val="true"/>
          <w:lang w:bidi="ar-SA"/>
        </w:rPr>
        <w:t xml:space="preserve">. </w:t>
      </w:r>
      <w:bookmarkStart w:id="556" w:name="pg9124_98714"/>
    </w:p>
    <w:p>
      <w:pPr>
        <w:pStyle w:val="Heading6"/>
        <w:numPr>
          <w:ilvl w:val="5"/>
          <w:numId w:val="1"/>
        </w:numPr>
        <w:rPr/>
      </w:pPr>
      <w:bookmarkStart w:id="557" w:name="__RefHeading___Toc2933492_2870459653"/>
      <w:bookmarkStart w:id="558" w:name="_Toc218"/>
      <w:bookmarkEnd w:id="556"/>
      <w:bookmarkEnd w:id="557"/>
      <w:r>
        <w:rPr>
          <w:rtl w:val="true"/>
        </w:rPr>
        <w:t>الطائفة الثّانية</w:t>
      </w:r>
      <w:r>
        <w:rPr>
          <w:rtl w:val="true"/>
        </w:rPr>
        <w:t xml:space="preserve">: </w:t>
      </w:r>
      <w:r>
        <w:rPr>
          <w:rtl w:val="true"/>
        </w:rPr>
        <w:t>ما تضمّنت أنّ أعداد النوافل أربع وأربعون</w:t>
      </w:r>
      <w:bookmarkEnd w:id="558"/>
    </w:p>
    <w:p>
      <w:pPr>
        <w:pStyle w:val="Heading6"/>
        <w:numPr>
          <w:ilvl w:val="5"/>
          <w:numId w:val="1"/>
        </w:numPr>
        <w:rPr/>
      </w:pPr>
      <w:bookmarkStart w:id="559" w:name="__RefHeading___Toc2933494_2870459653"/>
      <w:bookmarkStart w:id="560" w:name="_Toc219"/>
      <w:bookmarkEnd w:id="559"/>
      <w:r>
        <w:rPr>
          <w:rtl w:val="true"/>
        </w:rPr>
        <w:t>اشارة</w:t>
      </w:r>
      <w:bookmarkEnd w:id="560"/>
    </w:p>
    <w:p>
      <w:pPr>
        <w:pStyle w:val="BookText"/>
        <w:rPr/>
      </w:pPr>
      <w:r>
        <w:rPr>
          <w:rFonts w:ascii="IRNazanin" w:hAnsi="IRNazanin" w:eastAsia="IRNazanin"/>
          <w:color w:val="111111"/>
          <w:sz w:val="28"/>
          <w:sz w:val="28"/>
          <w:szCs w:val="28"/>
          <w:rtl w:val="true"/>
          <w:lang w:bidi="fa-IR"/>
        </w:rPr>
        <w:t>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ما تضمَّنت الأربع والأربعين ركعة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وردت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ثلاث روايات</w:t>
      </w:r>
      <w:r>
        <w:rPr>
          <w:rFonts w:eastAsia="IRNazanin" w:cs="IRNazanin"/>
          <w:color w:val="111111"/>
          <w:sz w:val="28"/>
          <w:szCs w:val="28"/>
          <w:rtl w:val="true"/>
          <w:lang w:bidi="fa-IR"/>
        </w:rPr>
        <w:t>:</w:t>
      </w:r>
    </w:p>
    <w:p>
      <w:pPr>
        <w:pStyle w:val="Heading6"/>
        <w:numPr>
          <w:ilvl w:val="5"/>
          <w:numId w:val="1"/>
        </w:numPr>
        <w:rPr/>
      </w:pPr>
      <w:bookmarkStart w:id="561" w:name="__RefHeading___Toc2933496_2870459653"/>
      <w:bookmarkStart w:id="562" w:name="_Toc220"/>
      <w:bookmarkEnd w:id="561"/>
      <w:r>
        <w:rPr>
          <w:rtl w:val="true"/>
        </w:rPr>
        <w:t>الرواية الأولى</w:t>
      </w:r>
      <w:bookmarkEnd w:id="562"/>
    </w:p>
    <w:p>
      <w:pPr>
        <w:pStyle w:val="BookText"/>
        <w:rPr/>
      </w:pPr>
      <w:r>
        <w:rPr>
          <w:rFonts w:ascii="IRNazanin" w:hAnsi="IRNazanin" w:eastAsia="IRNazanin"/>
          <w:color w:val="111111"/>
          <w:sz w:val="28"/>
          <w:sz w:val="28"/>
          <w:szCs w:val="28"/>
          <w:rtl w:val="true"/>
          <w:lang w:bidi="fa-IR"/>
        </w:rPr>
        <w:t>ما رواه الشيخ بإسناده عن أحمد بن محمّد بن عيسى، عن الحسن بن علي ابن بنت إلياس،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أقلّ من أربع وأربعين ركعة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ورأيته يصلِّي بعد العتمة أربع ركعات</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كلام له حول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يمتنع أنْ يحثّ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الأربع والأربعين ركعة؛ لتأكّدها وشدّة استحبابها بهذا الخبر ويحثّ على ما عداها بحديث آخر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أمَّا سند الحديث فطريق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أحمد بن محمّد بن عيسى صحيح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أحمد بن محمّد بن عيسى فقد وثَّقه العلمان</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الحسن بن علي بن بنت إلياس فهو الحسن بن علي بن زياد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وجوه الطائفة كما عن النجاشي</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 الله بن سنان فقد نصَّ النجاشي</w:t>
      </w:r>
      <w:r>
        <w:rPr>
          <w:rStyle w:val="FootnoteAnchor"/>
          <w:rtl w:val="true"/>
        </w:rPr>
        <w:footnoteReference w:id="566"/>
      </w:r>
      <w:r>
        <w:rPr>
          <w:rFonts w:ascii="Amiri" w:hAnsi="Amiri" w:eastAsia="Amiri" w:cs="Amiri"/>
          <w:color w:val="111111"/>
          <w:sz w:val="28"/>
          <w:sz w:val="28"/>
          <w:szCs w:val="28"/>
          <w:rtl w:val="true"/>
          <w:lang w:bidi="ar-SA"/>
        </w:rPr>
        <w:t>على جلالته وعظّم محلَّه في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تكون الرواية معتبرة السند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دلالة المعتبرة فهي تشير بوضوح إلى أنَّ الأربع والأربعين ركعة كانت موضع </w:t>
      </w:r>
      <w:bookmarkStart w:id="563" w:name="pg9124_98715"/>
    </w:p>
    <w:p>
      <w:pPr>
        <w:pStyle w:val="BookText"/>
        <w:rPr/>
      </w:pPr>
      <w:bookmarkEnd w:id="563"/>
      <w:r>
        <w:rPr>
          <w:rFonts w:ascii="IRNazanin" w:hAnsi="IRNazanin" w:eastAsia="IRNazanin"/>
          <w:color w:val="111111"/>
          <w:sz w:val="28"/>
          <w:sz w:val="28"/>
          <w:szCs w:val="28"/>
          <w:rtl w:val="true"/>
          <w:lang w:bidi="fa-IR"/>
        </w:rPr>
        <w:t xml:space="preserve">اهتمام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حثّوا على أنْ لا تكون الركعات أقلّ من أربع وأربعين ركعة</w:t>
      </w:r>
      <w:r>
        <w:rPr>
          <w:rFonts w:eastAsia="IRNazanin" w:cs="IRNazanin"/>
          <w:color w:val="111111"/>
          <w:sz w:val="28"/>
          <w:szCs w:val="28"/>
          <w:rtl w:val="true"/>
          <w:lang w:bidi="fa-IR"/>
        </w:rPr>
        <w:t>.</w:t>
      </w:r>
    </w:p>
    <w:p>
      <w:pPr>
        <w:pStyle w:val="Heading6"/>
        <w:numPr>
          <w:ilvl w:val="5"/>
          <w:numId w:val="1"/>
        </w:numPr>
        <w:rPr/>
      </w:pPr>
      <w:bookmarkStart w:id="564" w:name="__RefHeading___Toc2933498_2870459653"/>
      <w:bookmarkStart w:id="565" w:name="_Toc221"/>
      <w:bookmarkEnd w:id="564"/>
      <w:r>
        <w:rPr>
          <w:rtl w:val="true"/>
        </w:rPr>
        <w:t>الرواية الثانية</w:t>
      </w:r>
      <w:bookmarkEnd w:id="565"/>
    </w:p>
    <w:p>
      <w:pPr>
        <w:pStyle w:val="BookText"/>
        <w:rPr/>
      </w:pPr>
      <w:r>
        <w:rPr>
          <w:rFonts w:ascii="IRNazanin" w:hAnsi="IRNazanin" w:eastAsia="IRNazanin"/>
          <w:color w:val="111111"/>
          <w:sz w:val="28"/>
          <w:sz w:val="28"/>
          <w:szCs w:val="28"/>
          <w:rtl w:val="true"/>
          <w:lang w:bidi="fa-IR"/>
        </w:rPr>
        <w:t>ما رواه الشيخ عن الحسين بن سعيد، عن صفوان، عن ابن بكير،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جرت به السُنّة في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 ركعات الزوال، وركعتان بعد الظهر، وركعتان قبل الظهر، وركعتان بعد المغرب، وثلاث عشرة ركعة من آخر الليل ومنها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وركعتا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جميع ما جرت به السُنّة؟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أبو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أفرأيتَ أنْ قَوِي فزاد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وكان متَّكئاً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قويت فصّلها كما كانت تُصلّى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ليست في ساعة من النهار فليست في ساعة من الليل إن الله عزّ 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آَنَاءِ اللَّيْلِ فَسَبِّحْ</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الكلام في السند فقد مرَّ أنَّ طريق الشيخ إلى الحسين بن سعيد صحيح، كما مرَّ توثيق الحسين بن سعيد وهو من صغار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صفوان فهو ابن يحيى بيَّاع السابري كوفّي 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بكير فهو عبد الله بن بكير كوفُّي، فقيه فطحيّ، ثقة كما ذكره الشيخ</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كبار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زرارة فهو بن أعين كوفي مدحه النجاشي كثيراً</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فالسند معتبر لعدم وجود خلل في الطريق</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الدلالة فإنّ عدد ركعات النوافل المذكورة فيها بعد جمعها يكون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ضمّ الفرائض يكون العدد أربعاً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من الروايات </w:t>
      </w:r>
      <w:bookmarkStart w:id="566" w:name="pg9124_98716"/>
    </w:p>
    <w:p>
      <w:pPr>
        <w:pStyle w:val="BookText"/>
        <w:rPr/>
      </w:pPr>
      <w:bookmarkEnd w:id="566"/>
      <w:r>
        <w:rPr>
          <w:rFonts w:ascii="Amiri" w:hAnsi="Amiri" w:eastAsia="Amiri" w:cs="Amiri"/>
          <w:color w:val="111111"/>
          <w:sz w:val="28"/>
          <w:sz w:val="28"/>
          <w:szCs w:val="28"/>
          <w:rtl w:val="true"/>
          <w:lang w:bidi="ar-SA"/>
        </w:rPr>
        <w:t>المتضمّنة للأربع والأربعين ركعة</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2933500_2870459653"/>
      <w:bookmarkStart w:id="568" w:name="_Toc222"/>
      <w:bookmarkEnd w:id="567"/>
      <w:r>
        <w:rPr>
          <w:rtl w:val="true"/>
        </w:rPr>
        <w:t>الرواية الثّالثة</w:t>
      </w:r>
      <w:bookmarkEnd w:id="568"/>
    </w:p>
    <w:p>
      <w:pPr>
        <w:pStyle w:val="BookText"/>
        <w:rPr/>
      </w:pPr>
      <w:r>
        <w:rPr>
          <w:rFonts w:ascii="IRNazanin" w:hAnsi="IRNazanin" w:eastAsia="IRNazanin"/>
          <w:color w:val="111111"/>
          <w:sz w:val="28"/>
          <w:sz w:val="28"/>
          <w:szCs w:val="28"/>
          <w:rtl w:val="true"/>
          <w:lang w:bidi="fa-IR"/>
        </w:rPr>
        <w:t>ما رواه الشيخ عن الحسين بن سعيد، عن ابن أبي عمير، عن ابن أُذينة،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واتَّجر فكيف لي بالزوال والمحافظة على صلاة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تُصلَّى؟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تُصلَّى ثماني ركعات إذا زالت الشمس وركعتين بعد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وركعتين قبل العصر فهذه اثنتا عشرة ركعة، ويصلي بعد المغرب ركعتين، وبعدما ينتصف الليل ثلاث عشرة ركعة، منها الوتر، ومنها ركعتا الفجر فتلك سبع وعشرون ركعة سوى الفريضة، وإنَّما هذا كلّه تطوّع وليس بمفروض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تارك الفريضة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تارك هذا ليس بكافر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معصية؛ لأنَّه يستحب إذا عمل الرجل عملاً من الخير أنْ يدوم عليه</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فطريق الشيخ إلى الحسين بن سعيد فقد قلنا بأنَّه صحيح، وكذلك مَرّ توثيق الحسين بن سعيد وأبن أبي عمير، وعمر بن أذينة وزرارة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صحيحة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فقد ذكرت الرواية أنَّ النوافل سبع وعشرون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وبضمِّها إلى الفرائض تكون الركعات أربعاً وأربعين ركعة، وعليه فهذه الرواية هي من روايات المتضمّنة للأربع والأربعين ركعة</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2933502_2870459653"/>
      <w:bookmarkStart w:id="570" w:name="_Toc223"/>
      <w:bookmarkEnd w:id="569"/>
      <w:r>
        <w:rPr>
          <w:rtl w:val="true"/>
        </w:rPr>
        <w:t>الطائفة الثالثة</w:t>
      </w:r>
      <w:r>
        <w:rPr>
          <w:rtl w:val="true"/>
        </w:rPr>
        <w:t xml:space="preserve">: </w:t>
      </w:r>
      <w:r>
        <w:rPr>
          <w:rtl w:val="true"/>
        </w:rPr>
        <w:t>ما تضمّنت غيرهما</w:t>
      </w:r>
      <w:bookmarkEnd w:id="57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رواية واحدة وقد رواها الكُليني عن محمّد بن يحيى، عن أحمد ابن محمّد، عن محمّد بن سنان، عن ابن مسكان، عن محمّد 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أفضل ما جرت به السُنّة من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الخمسين</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والرواية ضعيفة بمحمّد 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أنّ محمّد بن أبي عمير هنا ليس هو المشهور الذي هو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رجل آخر كان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نبّه على وجوده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 لم تثبت وثاقته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دلالة الرواية فهي صرَّحت بكون ما جرت به السُنَّة من الصلاة هي تمام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دلّت على كون العدد ستاً وأربعين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رواية واحدة أيضاً وهي ما رواه الشيخ بإسناده عن الحسين بن سعيد، عن حمَّاد بن عيسى، عن شعيب،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التطوّع بالليل والنهار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يستحب أنْ لا يقصر عنه ثمان ركعات عند زوال الشمس، وبعد الظهر ركعتان، وقبل العصر ركعتان، وبعد المغرب ركعتان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العُتمة ركعتان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السحر ثمان ركعات ثمَّ يوتَّر والوتر ثلاث ركعات مفصولة، ثُمَّ ركعتان قبل الفجر، وأحبّ صلاة الليل إليهم آخر الليل</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الكلام في السند فقد تقدم الكلام في طريق الشيخ إلى الحسين بن سعيد وأنّه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حمَّاد بن عيسى فقد وثَّقه العلمان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الخامسة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شعيب فهو شعيب بن يعقوب العقرقوفي، ثقة، عين كما عن النجاشي</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571" w:name="pg9124_98718"/>
    </w:p>
    <w:p>
      <w:pPr>
        <w:pStyle w:val="BookText"/>
        <w:rPr/>
      </w:pPr>
      <w:bookmarkEnd w:id="571"/>
      <w:r>
        <w:rPr>
          <w:rFonts w:ascii="Amiri" w:hAnsi="Amiri" w:eastAsia="Amiri" w:cs="Amiri"/>
          <w:color w:val="111111"/>
          <w:sz w:val="28"/>
          <w:sz w:val="28"/>
          <w:szCs w:val="28"/>
          <w:rtl w:val="true"/>
          <w:lang w:bidi="ar-SA"/>
        </w:rPr>
        <w:t>وهو من الطبقة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بصير فهو يحيى بن أبي القاسم الأسدي، وشعيب العقرقوفي هو ابن أخت يحيى بن أبي القاسم، وهو ثقة وجيه كما عن النجاشي</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فالرواية معتبرة لعدم وجود خلل 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الرواية فإنّها من روايات الطائفة الثّالثة؛ إذ تضمَّنت صلاة ستّ وأربعين 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هي الطوائف التي وردت في عصر الإمامين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Heading5"/>
        <w:numPr>
          <w:ilvl w:val="4"/>
          <w:numId w:val="1"/>
        </w:numPr>
        <w:rPr/>
      </w:pPr>
      <w:bookmarkStart w:id="572" w:name="__RefHeading___Toc2933504_2870459653"/>
      <w:bookmarkStart w:id="573" w:name="_Toc224"/>
      <w:bookmarkEnd w:id="572"/>
      <w:r>
        <w:rPr>
          <w:rtl w:val="true"/>
        </w:rPr>
        <w:t xml:space="preserve">الروايات التي وردت بعد عصر الصادقين </w:t>
      </w:r>
      <w:r>
        <w:rPr>
          <w:rtl w:val="true"/>
        </w:rPr>
        <w:t>(</w:t>
      </w:r>
      <w:r>
        <w:rPr>
          <w:rtl w:val="true"/>
        </w:rPr>
        <w:t>علیهما السلام</w:t>
      </w:r>
      <w:r>
        <w:rPr>
          <w:rtl w:val="true"/>
        </w:rPr>
        <w:t>)</w:t>
      </w:r>
      <w:bookmarkEnd w:id="573"/>
    </w:p>
    <w:p>
      <w:pPr>
        <w:pStyle w:val="Heading6"/>
        <w:numPr>
          <w:ilvl w:val="5"/>
          <w:numId w:val="1"/>
        </w:numPr>
        <w:rPr/>
      </w:pPr>
      <w:bookmarkStart w:id="574" w:name="__RefHeading___Toc2933506_2870459653"/>
      <w:bookmarkStart w:id="575" w:name="_Toc225"/>
      <w:bookmarkEnd w:id="574"/>
      <w:r>
        <w:rPr>
          <w:rtl w:val="true"/>
        </w:rPr>
        <w:t>اشارة</w:t>
      </w:r>
      <w:bookmarkEnd w:id="575"/>
    </w:p>
    <w:p>
      <w:pPr>
        <w:pStyle w:val="BookText"/>
        <w:rPr/>
      </w:pPr>
      <w:r>
        <w:rPr>
          <w:rFonts w:ascii="IRNazanin" w:hAnsi="IRNazanin" w:eastAsia="IRNazanin"/>
          <w:color w:val="111111"/>
          <w:sz w:val="28"/>
          <w:sz w:val="28"/>
          <w:szCs w:val="28"/>
          <w:rtl w:val="true"/>
          <w:lang w:bidi="fa-IR"/>
        </w:rPr>
        <w:t xml:space="preserve">وأمَّا الروايات التي وردت بعد عصر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أيضاً على طوائف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يُبيّن أنّ الأئمة اللاحقين اهتمّوا ببقاء هذا الخلاف</w:t>
      </w:r>
      <w:r>
        <w:rPr>
          <w:rFonts w:eastAsia="IRNazanin" w:cs="IRNazanin"/>
          <w:color w:val="111111"/>
          <w:sz w:val="28"/>
          <w:szCs w:val="28"/>
          <w:rtl w:val="true"/>
          <w:lang w:bidi="fa-IR"/>
        </w:rPr>
        <w:t>.</w:t>
      </w:r>
    </w:p>
    <w:p>
      <w:pPr>
        <w:pStyle w:val="Heading6"/>
        <w:numPr>
          <w:ilvl w:val="5"/>
          <w:numId w:val="1"/>
        </w:numPr>
        <w:rPr/>
      </w:pPr>
      <w:bookmarkStart w:id="576" w:name="__RefHeading___Toc2933508_2870459653"/>
      <w:bookmarkStart w:id="577" w:name="_Toc226"/>
      <w:bookmarkEnd w:id="576"/>
      <w:r>
        <w:rPr>
          <w:rtl w:val="true"/>
        </w:rPr>
        <w:t>الطائفة الأولى</w:t>
      </w:r>
      <w:bookmarkEnd w:id="577"/>
    </w:p>
    <w:p>
      <w:pPr>
        <w:pStyle w:val="Heading6"/>
        <w:numPr>
          <w:ilvl w:val="5"/>
          <w:numId w:val="1"/>
        </w:numPr>
        <w:rPr/>
      </w:pPr>
      <w:bookmarkStart w:id="578" w:name="__RefHeading___Toc2933510_2870459653"/>
      <w:bookmarkStart w:id="579" w:name="_Toc227"/>
      <w:bookmarkEnd w:id="578"/>
      <w:r>
        <w:rPr>
          <w:rtl w:val="true"/>
        </w:rPr>
        <w:t>اشارة</w:t>
      </w:r>
      <w:bookmarkEnd w:id="579"/>
    </w:p>
    <w:p>
      <w:pPr>
        <w:pStyle w:val="BookText"/>
        <w:rPr/>
      </w:pPr>
      <w:r>
        <w:rPr>
          <w:rFonts w:ascii="Amiri" w:hAnsi="Amiri" w:eastAsia="Amiri" w:cs="Amiri"/>
          <w:color w:val="111111"/>
          <w:sz w:val="28"/>
          <w:sz w:val="28"/>
          <w:szCs w:val="28"/>
          <w:rtl w:val="true"/>
          <w:lang w:bidi="ar-SA"/>
        </w:rPr>
        <w:t>وهي عدّة روايات</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2933512_2870459653"/>
      <w:bookmarkStart w:id="581" w:name="_Toc228"/>
      <w:bookmarkEnd w:id="580"/>
      <w:r>
        <w:rPr>
          <w:rtl w:val="true"/>
        </w:rPr>
        <w:t>الرواية الأولى</w:t>
      </w:r>
      <w:bookmarkEnd w:id="58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محمّد بن الحسن، عن سهل، عن أحمد بن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يختلفون في صلاة التطوَّع بعضهم يصلّي أربعاً وأربعين، وبعضهم يصلّي خمسين، فأخبرني بالذي تعمل به أنت كيف هو حتَّى أعمل بمثله؟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أُصلّي واحدة وخمسين ثُمَّ قال أمسك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الزوال ثمانية وأربعاً بعد الظهر، وأربعاً قبل العصر، وركعتين بعد المغرب، وركعتين قبل عشاء الآخرة، وركعتين بعد العشاء من قعود تُعدان بركعة من قيام، وثماني صلاة الليل، والوتر ثلاثاً، وركعتي الفجر، والفرائض سبع عشرة فذلك أحد وخمسون</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582" w:name="pg9124_98719"/>
    </w:p>
    <w:p>
      <w:pPr>
        <w:pStyle w:val="BookText"/>
        <w:rPr/>
      </w:pPr>
      <w:bookmarkEnd w:id="582"/>
      <w:r>
        <w:rPr>
          <w:rFonts w:ascii="Amiri" w:hAnsi="Amiri" w:eastAsia="Amiri" w:cs="Amiri"/>
          <w:color w:val="111111"/>
          <w:sz w:val="28"/>
          <w:sz w:val="28"/>
          <w:szCs w:val="28"/>
          <w:rtl w:val="true"/>
          <w:lang w:bidi="ar-SA"/>
        </w:rPr>
        <w:t>أمَّا سند الحديث فهو ضعيف بسهل بن زياد الآدمي حيث ضعّفه ابن الغضائري</w:t>
      </w:r>
      <w:r>
        <w:rPr>
          <w:rStyle w:val="FootnoteAnchor"/>
          <w:rtl w:val="true"/>
        </w:rPr>
        <w:footnoteReference w:id="577"/>
      </w:r>
      <w:r>
        <w:rPr>
          <w:rFonts w:ascii="Amiri" w:hAnsi="Amiri" w:eastAsia="Amiri" w:cs="Amiri"/>
          <w:color w:val="111111"/>
          <w:sz w:val="28"/>
          <w:sz w:val="28"/>
          <w:szCs w:val="28"/>
          <w:rtl w:val="true"/>
          <w:lang w:bidi="ar-SA"/>
        </w:rPr>
        <w:t>وكذلك النجاشي</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في الفهرست</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دلالة الرواية فهي تذكر أنَّ أصحاب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يختلفون في ذكر أعداد الصلوات فبعضهم يذكر أنَّها أربع وأربعون، والبعض الآخر يذكر أنَّها خمسون ممّا يدلّ على التوسعة في أعداد النوافل؛ لأنَّ الفرائض ثابتة ولا تغيَّر فيها</w:t>
      </w:r>
      <w:r>
        <w:rPr>
          <w:rFonts w:eastAsia="IRNazanin" w:cs="IRNazanin"/>
          <w:color w:val="111111"/>
          <w:sz w:val="28"/>
          <w:szCs w:val="28"/>
          <w:rtl w:val="true"/>
          <w:lang w:bidi="fa-IR"/>
        </w:rPr>
        <w:t>.</w:t>
      </w:r>
    </w:p>
    <w:p>
      <w:pPr>
        <w:pStyle w:val="Heading6"/>
        <w:numPr>
          <w:ilvl w:val="5"/>
          <w:numId w:val="1"/>
        </w:numPr>
        <w:rPr/>
      </w:pPr>
      <w:bookmarkStart w:id="583" w:name="__RefHeading___Toc2933514_2870459653"/>
      <w:bookmarkStart w:id="584" w:name="_Toc229"/>
      <w:bookmarkEnd w:id="583"/>
      <w:r>
        <w:rPr>
          <w:rtl w:val="true"/>
        </w:rPr>
        <w:t>الرواية الثّانية</w:t>
      </w:r>
      <w:bookmarkEnd w:id="584"/>
    </w:p>
    <w:p>
      <w:pPr>
        <w:pStyle w:val="BookText"/>
        <w:rPr/>
      </w:pPr>
      <w:r>
        <w:rPr>
          <w:rFonts w:ascii="IRNazanin" w:hAnsi="IRNazanin" w:eastAsia="IRNazanin"/>
          <w:color w:val="111111"/>
          <w:sz w:val="28"/>
          <w:sz w:val="28"/>
          <w:szCs w:val="28"/>
          <w:rtl w:val="true"/>
          <w:lang w:bidi="fa-IR"/>
        </w:rPr>
        <w:t>ما رواه الشيخ بإسناده عن محمّد بن أحمد بن يحيى، عن محمّد بن عيسى اليقطيني، عن يونس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إسماعيل بن سعد الأحوص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الصلاة من ركعة؟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إحدى</w:t>
      </w:r>
      <w:r>
        <w:rPr>
          <w:rStyle w:val="FootnoteAnchor"/>
          <w:rtl w:val="true"/>
        </w:rPr>
        <w:footnoteReference w:id="580"/>
      </w:r>
      <w:r>
        <w:rPr>
          <w:rFonts w:ascii="Amiri" w:hAnsi="Amiri" w:eastAsia="Amiri" w:cs="Amiri"/>
          <w:color w:val="111111"/>
          <w:sz w:val="28"/>
          <w:sz w:val="28"/>
          <w:szCs w:val="28"/>
          <w:rtl w:val="true"/>
          <w:lang w:bidi="ar-SA"/>
        </w:rPr>
        <w:t>وخمسون ركعة</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سند الرواية فإنَّ طريق الشيخ إلى محمّد بن أحمد بن يحيى صحيحُ لا خلل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أحمد بن يحيى، فقد ذكر النجاشي وثاقته</w:t>
      </w:r>
      <w:r>
        <w:rPr>
          <w:rStyle w:val="FootnoteAnchor"/>
          <w:rtl w:val="true"/>
        </w:rPr>
        <w:footnoteReference w:id="582"/>
      </w:r>
      <w:r>
        <w:rPr>
          <w:rFonts w:ascii="Amiri" w:hAnsi="Amiri" w:eastAsia="Amiri" w:cs="Amiri"/>
          <w:color w:val="111111"/>
          <w:sz w:val="28"/>
          <w:sz w:val="28"/>
          <w:szCs w:val="28"/>
          <w:rtl w:val="true"/>
          <w:lang w:bidi="ar-SA"/>
        </w:rPr>
        <w:t>، وذكر الشيخ جلالة قدره</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صغار الطبقة السابعة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محمّد بن عيسى اليقطيني، فقد وثَّقه النجاشي</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كبار السابعة</w:t>
      </w:r>
      <w:r>
        <w:rPr>
          <w:rFonts w:eastAsia="Amiri" w:cs="Amiri" w:ascii="Amiri" w:hAnsi="Amiri"/>
          <w:color w:val="111111"/>
          <w:sz w:val="28"/>
          <w:szCs w:val="28"/>
          <w:rtl w:val="true"/>
          <w:lang w:bidi="ar-SA"/>
        </w:rPr>
        <w:t xml:space="preserve">. </w:t>
      </w:r>
      <w:bookmarkStart w:id="585" w:name="pg9124_98720"/>
    </w:p>
    <w:p>
      <w:pPr>
        <w:pStyle w:val="BookText"/>
        <w:rPr/>
      </w:pPr>
      <w:bookmarkEnd w:id="585"/>
      <w:r>
        <w:rPr>
          <w:rFonts w:ascii="Amiri" w:hAnsi="Amiri" w:eastAsia="Amiri" w:cs="Amiri"/>
          <w:color w:val="111111"/>
          <w:sz w:val="28"/>
          <w:sz w:val="28"/>
          <w:szCs w:val="28"/>
          <w:rtl w:val="true"/>
          <w:lang w:bidi="ar-SA"/>
        </w:rPr>
        <w:t>وأمَّا يونس بن عبد الرحمن فهو عظيم المنزلة كما عن النجاشي</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ووثَّقه الشيخ أيضاً</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كبار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إسماعيل بن سعد الأحوص فهو قمي وثَّقه الشيخ</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تكون الرواية معتبرة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فالرواية تصرَّح بكون الركعات التي ينبغي أنْ يأتي بها المكلَّف هي إحدى وخمسون ركعة</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2933516_2870459653"/>
      <w:bookmarkStart w:id="587" w:name="_Toc230"/>
      <w:bookmarkEnd w:id="586"/>
      <w:r>
        <w:rPr>
          <w:rtl w:val="true"/>
        </w:rPr>
        <w:t>الطائفة الثّانية</w:t>
      </w:r>
      <w:bookmarkEnd w:id="587"/>
    </w:p>
    <w:p>
      <w:pPr>
        <w:pStyle w:val="BookText"/>
        <w:rPr/>
      </w:pPr>
      <w:r>
        <w:rPr>
          <w:rFonts w:ascii="IRNazanin" w:hAnsi="IRNazanin" w:eastAsia="IRNazanin"/>
          <w:color w:val="111111"/>
          <w:sz w:val="28"/>
          <w:sz w:val="28"/>
          <w:szCs w:val="28"/>
          <w:rtl w:val="true"/>
          <w:lang w:bidi="fa-IR"/>
        </w:rPr>
        <w:t>ما دلّت على أنّها ست وأربعون ركعة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رواية واحدة رواها الشيخ بإسناده عن أحمد بن محمّد بن عيسى، عن يحيى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أفضل ما يتقرب به العباد إلى الله تعالى من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w:t>
      </w:r>
      <w:r>
        <w:rPr>
          <w:rStyle w:val="FootnoteAnchor"/>
          <w:rtl w:val="true"/>
        </w:rPr>
        <w:footnoteReference w:id="588"/>
      </w:r>
      <w:r>
        <w:rPr>
          <w:rFonts w:ascii="Amiri" w:hAnsi="Amiri" w:eastAsia="Amiri" w:cs="Amiri"/>
          <w:color w:val="111111"/>
          <w:sz w:val="28"/>
          <w:sz w:val="28"/>
          <w:szCs w:val="28"/>
          <w:rtl w:val="true"/>
          <w:lang w:bidi="ar-SA"/>
        </w:rPr>
        <w:t>وأربعون ركعة فرائضه ونوافله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ترى أحداً كان أصدع بالحق منه</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الكلام في السند فالرواية ضعيفة بيحيى بن حبيب؛ حيث لم يرد في حقَّه توثيق من قبل الشيخ والنجاشي، بل لم يُذكر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دلالة الرواية فهي تشير بوضوح إلى أنَّ الصلوات هي ست وأربعون ركعة، وهذا يعني أنَّ أعداد النوافل هي تسع وعشرون بينما لو كانت الركعات إحدى وخمسين </w:t>
      </w:r>
      <w:bookmarkStart w:id="588" w:name="pg9124_98721"/>
    </w:p>
    <w:p>
      <w:pPr>
        <w:pStyle w:val="BookText"/>
        <w:rPr/>
      </w:pPr>
      <w:bookmarkEnd w:id="588"/>
      <w:r>
        <w:rPr>
          <w:rFonts w:ascii="Amiri" w:hAnsi="Amiri" w:eastAsia="Amiri" w:cs="Amiri"/>
          <w:color w:val="111111"/>
          <w:sz w:val="28"/>
          <w:sz w:val="28"/>
          <w:szCs w:val="28"/>
          <w:rtl w:val="true"/>
          <w:lang w:bidi="ar-SA"/>
        </w:rPr>
        <w:t>لكانت أعداد النوافل أربعاً وثلاثين ركعة</w:t>
      </w:r>
      <w:r>
        <w:rPr>
          <w:rFonts w:eastAsia="Amiri" w:cs="Amiri" w:ascii="Amiri" w:hAnsi="Amiri"/>
          <w:color w:val="111111"/>
          <w:sz w:val="28"/>
          <w:szCs w:val="28"/>
          <w:rtl w:val="true"/>
          <w:lang w:bidi="ar-SA"/>
        </w:rPr>
        <w:t>.</w:t>
      </w:r>
    </w:p>
    <w:p>
      <w:pPr>
        <w:pStyle w:val="Heading6"/>
        <w:numPr>
          <w:ilvl w:val="5"/>
          <w:numId w:val="1"/>
        </w:numPr>
        <w:rPr/>
      </w:pPr>
      <w:bookmarkStart w:id="589" w:name="__RefHeading___Toc2933518_2870459653"/>
      <w:bookmarkStart w:id="590" w:name="_Toc231"/>
      <w:bookmarkEnd w:id="589"/>
      <w:r>
        <w:rPr>
          <w:rtl w:val="true"/>
        </w:rPr>
        <w:t>الطائفة الثّالثة</w:t>
      </w:r>
      <w:bookmarkEnd w:id="590"/>
    </w:p>
    <w:p>
      <w:pPr>
        <w:pStyle w:val="BookText"/>
        <w:rPr/>
      </w:pPr>
      <w:r>
        <w:rPr>
          <w:rFonts w:ascii="IRNazanin" w:hAnsi="IRNazanin" w:eastAsia="IRNazanin"/>
          <w:color w:val="111111"/>
          <w:sz w:val="28"/>
          <w:sz w:val="28"/>
          <w:szCs w:val="28"/>
          <w:rtl w:val="true"/>
          <w:lang w:bidi="fa-IR"/>
        </w:rPr>
        <w:t>ما دلّت على أنّها خمسون ركعة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رواية واحدة أيضاً رواها الشيخ بإسناده عن سعد، عن معاوية بن حكيم، عن معمّر بن خلاد،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اغتم ترك الخمسين</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الخمسين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به تمام الخمسين؛ لأنَّ الفرائض لا يجوز تركها على كل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سند الحديث فسعد المذكور في الرواية هو سعد بن عبد الله الأشعري، وطريق الشيخ إلى سعد بن عبد الله في المشيخة صحيح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سعد بن عبد الله فهو شيخ هذه الطائفة وفقيهها وجيهها كما عن النجاشي</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معاوية بن حكيم فهو كوفي ثقة جليل، كما عن النجاشي</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معمّر بن خلّاد فهو بغدادي ثقة، كما عن النجاشي</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تكون الرواية معتبرة السند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دلالة المعتبرة فهي تدلّ بوضوح على أنَّ الركعات التي ينبغي أنْ يأتي بها المكلَّف هي خمسون ركعة، ولذلك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ترك الخمسين هو ترك تمام </w:t>
      </w:r>
    </w:p>
    <w:p>
      <w:pPr>
        <w:pStyle w:val="BookText"/>
        <w:rPr/>
      </w:pPr>
      <w:r>
        <w:rPr>
          <w:rFonts w:ascii="Amiri" w:hAnsi="Amiri" w:eastAsia="Amiri" w:cs="Amiri"/>
          <w:color w:val="111111"/>
          <w:sz w:val="28"/>
          <w:sz w:val="28"/>
          <w:szCs w:val="28"/>
          <w:rtl w:val="true"/>
          <w:lang w:bidi="ar-SA"/>
        </w:rPr>
        <w:t>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يكشف عن أنَّ الصلوات هي خمسون 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هي مجموعة الروايات الواردة في أعداد النوافل سواء في عصر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كما ترى مختلفة في 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الرواية التي نبَّهت على أنَّ الاختلاف في أعداد النوافل إنَّما هو من جهة التوسعة فهي معتبرة عبد الله بن زرارة، وهي ما رواه الكشي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عبد الرحمن، عن عبد الله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قولويه والحسين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 حدثني هارون بن الحسن بن محبوب، عن محمّد بن عبد الله بن زرارة وابنيه الحسن والحسين، عن عبد الله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بالصلاة الست والأربعين، وعليك بالحج أنْ تستهل بالإفراد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وتنوي الفسخ إذا قدمت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أتاك به أبو بصير من صلاة إحدى وخمسين، والإهلال بالتمتع إلى الحج، وما أُمرنا به من أنْ يهلّ بالتمتع فلذلك عندنا معانٍ وتصاريف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ما يسعنا ويسعكم، ولا يخالف شيء من الحق ولا يضادّه</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ومحلّ الشاهد من الرواية ما جاء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شاهد لنا هنا فيما ذُكر في أمر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هذه الرواية يقع تارة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فالرواية معتبرة كما عبّرنا، وذلك لأنّ للرواية طريقين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الطريق الأوّل فهو محمّد بن عمر بن عبد العزيز الكشّي هو صاحب كتاب الرجال </w:t>
      </w:r>
    </w:p>
    <w:p>
      <w:pPr>
        <w:pStyle w:val="BookText"/>
        <w:rPr/>
      </w:pP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الكشّي أبو عمرو، ثقة، عين</w:t>
      </w:r>
      <w:r>
        <w:rPr>
          <w:rFonts w:eastAsia="Amiri" w:cs="Amiri" w:ascii="Amiri" w:hAnsi="Amiri"/>
          <w:color w:val="111111"/>
          <w:sz w:val="28"/>
          <w:szCs w:val="28"/>
          <w:rtl w:val="true"/>
          <w:lang w:bidi="ar-SA"/>
        </w:rPr>
        <w:t>)</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ابن عمر بن عبد العزيز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أبو عمرو ثقة بصير بالأخبار وبالرجال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الاعتقاد</w:t>
      </w:r>
      <w:r>
        <w:rPr>
          <w:rFonts w:eastAsia="Amiri" w:cs="Amiri" w:ascii="Amiri" w:hAnsi="Amiri"/>
          <w:color w:val="111111"/>
          <w:sz w:val="28"/>
          <w:szCs w:val="28"/>
          <w:rtl w:val="true"/>
          <w:lang w:bidi="ar-SA"/>
        </w:rPr>
        <w:t>)</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صغار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حمدويه بن نصير فقال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عديم النظير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العلم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المذهب</w:t>
      </w:r>
      <w:r>
        <w:rPr>
          <w:rFonts w:eastAsia="Amiri" w:cs="Amiri" w:ascii="Amiri" w:hAnsi="Amiri"/>
          <w:color w:val="111111"/>
          <w:sz w:val="28"/>
          <w:szCs w:val="28"/>
          <w:rtl w:val="true"/>
          <w:lang w:bidi="ar-SA"/>
        </w:rPr>
        <w:t>)</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محمّد بن عيسى بن عبيد فقد 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يقطين بن موسى مولى أسد بن خزيمة أبو جعفر من أصحابنا ثقة، عين</w:t>
      </w:r>
      <w:r>
        <w:rPr>
          <w:rFonts w:eastAsia="Amiri" w:cs="Amiri" w:ascii="Amiri" w:hAnsi="Amiri"/>
          <w:color w:val="111111"/>
          <w:sz w:val="28"/>
          <w:szCs w:val="28"/>
          <w:rtl w:val="true"/>
          <w:lang w:bidi="ar-SA"/>
        </w:rPr>
        <w:t>)</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كبار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يونس بن عبد الرحمن فقد تقدّم ذكر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تكون الرواية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نُوقش في اعتبارها من جهة حمدويه بن نصير، إذ إنَّه لم يرد ذكره في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فهرست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فيمكن تصحيح اعتبارها بوجود طريق ثانٍ معتبر للرواية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تعدّد الطريق للرواية يمكن الاطمئنان بصدور الرواية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مبنى حجيّة الخبر الموثوق به دون مبنى حجيّة رواية الثقة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الطريق الثّاني فإنّ محمّد بن قولويه هو والد صاحب كتاب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النجاشي</w:t>
      </w:r>
      <w:r>
        <w:rPr>
          <w:rStyle w:val="FootnoteAnchor"/>
          <w:rtl w:val="true"/>
        </w:rPr>
        <w:footnoteReference w:id="599"/>
      </w:r>
      <w:r>
        <w:rPr>
          <w:rFonts w:ascii="Amiri" w:hAnsi="Amiri" w:eastAsia="Amiri" w:cs="Amiri"/>
          <w:color w:val="111111"/>
          <w:sz w:val="28"/>
          <w:sz w:val="28"/>
          <w:szCs w:val="28"/>
          <w:rtl w:val="true"/>
          <w:lang w:bidi="ar-SA"/>
        </w:rPr>
        <w:t>إنّه كان من خيار أصحاب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التاسعة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الحسين بن الحسن بن بندار فهو 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الحسين بن الحسن بن برد الدينوري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بن بندار من الطبقة التاسعة؛ لكونه في طبقة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يضرّ عدم ثبوت وثاقته بعد أنْ كان ابن قولويه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سعد بن عبد الله فقد تقدّم ذكر وثاقته وهو من الثامنة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هارون بن الحسن بن محبوب فهو ثقة صدوق كما ذكره النجاشي</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السابعة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عبد الله بن زرارة فقد ذكر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الحسن بن الجهم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والله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عندي لهجة من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رجل فاضل ديّن</w:t>
      </w:r>
      <w:r>
        <w:rPr>
          <w:rFonts w:eastAsia="Amiri" w:cs="Amiri" w:ascii="Amiri" w:hAnsi="Amiri"/>
          <w:color w:val="111111"/>
          <w:sz w:val="28"/>
          <w:szCs w:val="28"/>
          <w:rtl w:val="true"/>
          <w:lang w:bidi="ar-SA"/>
        </w:rPr>
        <w:t>)</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لا يفيد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الحسن والحسين ابنا محمّد بن عبد الله بن زرارة فلم يرد ذكرهما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مجهولان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عبد الله بن زرارة فقد تقدّم ذكر وثاقته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الطريق الآخر ليس بمعتبر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وجود طريقين مع اختلاف طبقة الضعيف في كل من الطريقين يوجب الاطمئنان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مبنى حجيّة الرواية الموثوق بها لا على مبنى رواية الثقة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بصدور الرواية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لاستبعاد تواطؤهم على الكذب بعد اختلاف طبقة كلٍّ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فالرواية معتبرة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الكلام في الدلالة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بأنّ ما قاله لأبي بصير غير ما قاله لزرارة،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لزرارة عليك بالست والأربعين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مجموع النوافل تسعاً وعشرين ركعة، بينما يقول لأبي بصير أنّ الصلاة إحدى وخمسون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مجموع النوافل أربعاً وثلاثين ركعة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أعداد النوافل مختلفة، ثُمَّ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يخالف شيء من ذلك الحق ولا يُضادّه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شديد الوضوح بأنّ كُلاً من الأمرين حقّ، ولكن ربّما لا يكون الحقّ بحدّه؛ فإنَّه إذا كان مجموع ركعات الصلوات المأمور بها إحدى وخمسين، يكون الأقلّ من ذلك حقّاً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ليس كل الحقّ بل بعضه، فإذا اقتصر المكلّف على الست والأربعين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يكون قد أتى بما أمر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محصّلاً للثواب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الرواية واضحة الدلالة على أنّ أعداد النوافل فيها سعة في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يمكن الإتيان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الست والأربعين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الواحد والخمسين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قد أتى ما أُمر به، لا أنّه لو أتى بالأقلّ لم يكن محصّلاً ومصيباً للثواب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النوافل الرواتب مستحبة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الاقتصار على بعضها من دون أنّ تعدّ من الأحكام الموسّعة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 النوافل الرواتب من الأحكام الموسّعة يكشف على أنّ البعض الذي يجوز الاقتصار عليه يكون وارداً عن أهل بيت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591" w:name="pg9124_98726"/>
    </w:p>
    <w:p>
      <w:pPr>
        <w:pStyle w:val="Heading4"/>
        <w:numPr>
          <w:ilvl w:val="3"/>
          <w:numId w:val="1"/>
        </w:numPr>
        <w:rPr/>
      </w:pPr>
      <w:bookmarkStart w:id="592" w:name="__RefHeading___Toc2933520_2870459653"/>
      <w:bookmarkStart w:id="593" w:name="_Toc232"/>
      <w:bookmarkEnd w:id="591"/>
      <w:bookmarkEnd w:id="592"/>
      <w:r>
        <w:rPr>
          <w:rtl w:val="true"/>
        </w:rPr>
        <w:t>المورد الثّالث</w:t>
      </w:r>
      <w:r>
        <w:rPr>
          <w:rtl w:val="true"/>
        </w:rPr>
        <w:t xml:space="preserve">: </w:t>
      </w:r>
      <w:r>
        <w:rPr>
          <w:rtl w:val="true"/>
        </w:rPr>
        <w:t>من موارد اختلاف الأخبار في الموسّعات ما ورد في الصلاة في الحرمين الشريفين مكة والمدينة</w:t>
      </w:r>
      <w:bookmarkEnd w:id="593"/>
    </w:p>
    <w:p>
      <w:pPr>
        <w:pStyle w:val="Heading5"/>
        <w:numPr>
          <w:ilvl w:val="4"/>
          <w:numId w:val="1"/>
        </w:numPr>
        <w:rPr/>
      </w:pPr>
      <w:bookmarkStart w:id="594" w:name="__RefHeading___Toc2933522_2870459653"/>
      <w:bookmarkStart w:id="595" w:name="_Toc233"/>
      <w:bookmarkEnd w:id="594"/>
      <w:r>
        <w:rPr>
          <w:rtl w:val="true"/>
        </w:rPr>
        <w:t>اشارة</w:t>
      </w:r>
      <w:bookmarkEnd w:id="595"/>
    </w:p>
    <w:p>
      <w:pPr>
        <w:pStyle w:val="BookText"/>
        <w:rPr/>
      </w:pPr>
      <w:r>
        <w:rPr>
          <w:rFonts w:ascii="IRNazanin" w:hAnsi="IRNazanin" w:eastAsia="IRNazanin"/>
          <w:color w:val="111111"/>
          <w:sz w:val="28"/>
          <w:sz w:val="28"/>
          <w:szCs w:val="28"/>
          <w:rtl w:val="true"/>
          <w:lang w:bidi="fa-IR"/>
        </w:rPr>
        <w:t>اختلفت الروايات الواردة عن أهل بيت العصمة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الصلاة في الحرمين الشريفين ورد في بعضها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بعضها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أدّى إلى اختلاف عمل الشيعة في ذلك في طبقة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في معتبرة معاوية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أمره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رووا عنك إنّك أمرتهم بالتمام؟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أصحابك كانوا يدخلون المسجد فيصلّون ويأخذون نعالهم ويخرجون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يستقبلونهم يدخلون المسجد للصلاة فأمرتهم بالتمام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وهو يدلّ على قصر جماعة من الأصحاب من الطبقة الرابعة 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رواية سعد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الآتية في محلها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أيوب بن نوح عن تقصير الصلاة في هذه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والمدينة والكوفة وقبر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روي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صفوان يقصر وابن أبي عمير وجميع أصحابنا يقصرون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الرواية تدلّ على أّن البغداديّين والكوفيّين من الطبقة السادسة كانوا يقصرون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الطبيعي أنّ جماعة آخرين من أصحابنا كانوا يتمّون في تلك الطبقة عملاً بأمرهم بالإتمام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يُنبّه على أنّ الصلاة في الحرمين الشريفين من الأحكام الموسّعة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أشارت أكثر من رواية إلى هذا المعنى كمعتبرة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بن المختار كما سنبيّن ذلك في آخر المورد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ذلك نستعرض الروايات الواردة في عصر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الروايات </w:t>
      </w:r>
      <w:bookmarkStart w:id="596" w:name="pg9124_98727"/>
    </w:p>
    <w:p>
      <w:pPr>
        <w:pStyle w:val="BookText"/>
        <w:rPr/>
      </w:pPr>
      <w:bookmarkEnd w:id="596"/>
      <w:r>
        <w:rPr>
          <w:rFonts w:ascii="IRNazanin" w:hAnsi="IRNazanin" w:eastAsia="IRNazanin"/>
          <w:color w:val="111111"/>
          <w:sz w:val="28"/>
          <w:sz w:val="28"/>
          <w:szCs w:val="28"/>
          <w:rtl w:val="true"/>
          <w:lang w:bidi="fa-IR"/>
        </w:rPr>
        <w:t xml:space="preserve">الواردة ما بعد عصرهما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Heading5"/>
        <w:numPr>
          <w:ilvl w:val="4"/>
          <w:numId w:val="1"/>
        </w:numPr>
        <w:rPr/>
      </w:pPr>
      <w:bookmarkStart w:id="597" w:name="__RefHeading___Toc2933524_2870459653"/>
      <w:bookmarkStart w:id="598" w:name="_Toc234"/>
      <w:bookmarkEnd w:id="597"/>
      <w:r>
        <w:rPr>
          <w:rtl w:val="true"/>
        </w:rPr>
        <w:t xml:space="preserve">الروايات الواردة في عصر الصادقين </w:t>
      </w:r>
      <w:r>
        <w:rPr>
          <w:rtl w:val="true"/>
        </w:rPr>
        <w:t>(</w:t>
      </w:r>
      <w:r>
        <w:rPr>
          <w:rtl w:val="true"/>
        </w:rPr>
        <w:t>علیهما السلام</w:t>
      </w:r>
      <w:r>
        <w:rPr>
          <w:rtl w:val="true"/>
        </w:rPr>
        <w:t>)</w:t>
      </w:r>
      <w:bookmarkEnd w:id="598"/>
    </w:p>
    <w:p>
      <w:pPr>
        <w:pStyle w:val="Heading6"/>
        <w:numPr>
          <w:ilvl w:val="5"/>
          <w:numId w:val="1"/>
        </w:numPr>
        <w:rPr/>
      </w:pPr>
      <w:bookmarkStart w:id="599" w:name="__RefHeading___Toc2933526_2870459653"/>
      <w:bookmarkStart w:id="600" w:name="_Toc235"/>
      <w:bookmarkEnd w:id="599"/>
      <w:r>
        <w:rPr>
          <w:rtl w:val="true"/>
        </w:rPr>
        <w:t>اشارة</w:t>
      </w:r>
      <w:bookmarkEnd w:id="600"/>
    </w:p>
    <w:p>
      <w:pPr>
        <w:pStyle w:val="BookText"/>
        <w:rPr/>
      </w:pPr>
      <w:r>
        <w:rPr>
          <w:rFonts w:ascii="IRNazanin" w:hAnsi="IRNazanin" w:eastAsia="IRNazanin"/>
          <w:color w:val="111111"/>
          <w:sz w:val="28"/>
          <w:sz w:val="28"/>
          <w:szCs w:val="28"/>
          <w:rtl w:val="true"/>
          <w:lang w:bidi="fa-IR"/>
        </w:rPr>
        <w:t xml:space="preserve">أمّا الروايات الواردة في عصر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على طائفتين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القصر </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2933528_2870459653"/>
      <w:bookmarkStart w:id="602" w:name="_Toc236"/>
      <w:bookmarkEnd w:id="601"/>
      <w:r>
        <w:rPr>
          <w:rtl w:val="true"/>
        </w:rPr>
        <w:t>الطائفة الأولى</w:t>
      </w:r>
      <w:r>
        <w:rPr>
          <w:rtl w:val="true"/>
        </w:rPr>
        <w:t xml:space="preserve">: </w:t>
      </w:r>
      <w:r>
        <w:rPr>
          <w:rtl w:val="true"/>
        </w:rPr>
        <w:t>ما ورد في الإتمام</w:t>
      </w:r>
      <w:bookmarkEnd w:id="602"/>
    </w:p>
    <w:p>
      <w:pPr>
        <w:pStyle w:val="Heading6"/>
        <w:numPr>
          <w:ilvl w:val="5"/>
          <w:numId w:val="1"/>
        </w:numPr>
        <w:rPr/>
      </w:pPr>
      <w:bookmarkStart w:id="603" w:name="__RefHeading___Toc2933530_2870459653"/>
      <w:bookmarkStart w:id="604" w:name="_Toc237"/>
      <w:bookmarkEnd w:id="603"/>
      <w:r>
        <w:rPr>
          <w:rtl w:val="true"/>
        </w:rPr>
        <w:t>اشارة</w:t>
      </w:r>
      <w:bookmarkEnd w:id="604"/>
    </w:p>
    <w:p>
      <w:pPr>
        <w:pStyle w:val="BookText"/>
        <w:rPr/>
      </w:pPr>
      <w:r>
        <w:rPr>
          <w:rFonts w:ascii="Amiri" w:hAnsi="Amiri" w:eastAsia="Amiri" w:cs="Amiri"/>
          <w:color w:val="111111"/>
          <w:sz w:val="28"/>
          <w:sz w:val="28"/>
          <w:szCs w:val="28"/>
          <w:rtl w:val="true"/>
          <w:lang w:bidi="ar-SA"/>
        </w:rPr>
        <w:t>أما الطائفة الأولى فهي عدّة روايات</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2933532_2870459653"/>
      <w:bookmarkStart w:id="606" w:name="_Toc238"/>
      <w:bookmarkEnd w:id="605"/>
      <w:r>
        <w:rPr>
          <w:rtl w:val="true"/>
        </w:rPr>
        <w:t>الرواية الأولى</w:t>
      </w:r>
      <w:bookmarkEnd w:id="606"/>
    </w:p>
    <w:p>
      <w:pPr>
        <w:pStyle w:val="BookText"/>
        <w:rPr/>
      </w:pPr>
      <w:r>
        <w:rPr>
          <w:rFonts w:ascii="IRNazanin" w:hAnsi="IRNazanin" w:eastAsia="IRNazanin"/>
          <w:color w:val="111111"/>
          <w:sz w:val="28"/>
          <w:sz w:val="28"/>
          <w:szCs w:val="28"/>
          <w:rtl w:val="true"/>
          <w:lang w:bidi="fa-IR"/>
        </w:rPr>
        <w:t>ما رواه الشيخ في التهذيب عن محمّد بن الحسين بن أبي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مكة فأتمّ يوم تدخل</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أوّلاً في سندها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طريق الشيخ إلى محمّد بن الحسين بن أبي الخطاب فهو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طريق له إلى الرجل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تصحيح الحديث بإسناده إليه في الفهرست حيث ذكر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الوليد عن الصفّار،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محلُّ نظر على تقدير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منع؛ لأنّ إسناد الفهرست ينتهي إلى كتاب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يُحرز فيمن ابتدأ به في التهذيب أنّه نقله عن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يُرجّح أخذ الرواية بشهادة سياقها عن كتاب محمّد بن علي بن محبوب؛ حيث إنّ كتابه أحد مصادر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الحسين بن أبي الخطّاب فقد مرّ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السابعة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صفوان فهو ابن يحيى كوفي ثقة،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السادسة</w:t>
      </w:r>
      <w:r>
        <w:rPr>
          <w:rFonts w:eastAsia="Amiri" w:cs="Amiri" w:ascii="Amiri" w:hAnsi="Amiri"/>
          <w:color w:val="111111"/>
          <w:sz w:val="28"/>
          <w:szCs w:val="28"/>
          <w:rtl w:val="true"/>
          <w:lang w:bidi="ar-SA"/>
        </w:rPr>
        <w:t xml:space="preserve">. </w:t>
      </w:r>
      <w:bookmarkStart w:id="607" w:name="pg9124_98728"/>
    </w:p>
    <w:p>
      <w:pPr>
        <w:pStyle w:val="BookText"/>
        <w:rPr/>
      </w:pPr>
      <w:bookmarkEnd w:id="607"/>
      <w:r>
        <w:rPr>
          <w:rFonts w:ascii="Amiri" w:hAnsi="Amiri" w:eastAsia="Amiri" w:cs="Amiri"/>
          <w:color w:val="111111"/>
          <w:sz w:val="28"/>
          <w:sz w:val="28"/>
          <w:szCs w:val="28"/>
          <w:rtl w:val="true"/>
          <w:lang w:bidi="ar-SA"/>
        </w:rPr>
        <w:t>وأمّا مسمع فهو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ثقة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الطبقة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تكون الرواية 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الدلالة فالرواية صريحة في كون الصلاة في مكة المكرمة تامّة </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2933534_2870459653"/>
      <w:bookmarkStart w:id="609" w:name="_Toc239"/>
      <w:bookmarkEnd w:id="608"/>
      <w:r>
        <w:rPr>
          <w:rtl w:val="true"/>
        </w:rPr>
        <w:t>الرواية الثانية</w:t>
      </w:r>
      <w:bookmarkEnd w:id="609"/>
    </w:p>
    <w:p>
      <w:pPr>
        <w:pStyle w:val="BookText"/>
        <w:rPr/>
      </w:pPr>
      <w:r>
        <w:rPr>
          <w:rFonts w:ascii="IRNazanin" w:hAnsi="IRNazanin" w:eastAsia="IRNazanin"/>
          <w:color w:val="111111"/>
          <w:sz w:val="28"/>
          <w:sz w:val="28"/>
          <w:szCs w:val="28"/>
          <w:rtl w:val="true"/>
          <w:lang w:bidi="fa-IR"/>
        </w:rPr>
        <w:t>ما رواه الشيخ 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ابن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التمام بمكة والمدينة؟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تُصلّ فيها إلَّا صلاة واحدة</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الكلام في السند فطريق الشيخ إلى محمّد بن علي بن محبوب في المشيخة صحيح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علي بن محبوب فقد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القميين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المذهب</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صغار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عبد الجبار ويُعبّر عنه أيضاً بمحمّد بن أبي الصهبان فهو قميّ ثقة كما عن الشيخ</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صفوان فقد تقدّم ذكر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السادسة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عبد الرحمن بن الحجّاج فهو كوفي 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النجاشي</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الخامسة</w:t>
      </w:r>
      <w:r>
        <w:rPr>
          <w:rFonts w:eastAsia="Amiri" w:cs="Amiri" w:ascii="Amiri" w:hAnsi="Amiri"/>
          <w:color w:val="111111"/>
          <w:sz w:val="28"/>
          <w:szCs w:val="28"/>
          <w:rtl w:val="true"/>
          <w:lang w:bidi="ar-SA"/>
        </w:rPr>
        <w:t xml:space="preserve">. </w:t>
      </w:r>
      <w:bookmarkStart w:id="610" w:name="pg9124_98729"/>
    </w:p>
    <w:p>
      <w:pPr>
        <w:pStyle w:val="BookText"/>
        <w:rPr/>
      </w:pPr>
      <w:bookmarkEnd w:id="610"/>
      <w:r>
        <w:rPr>
          <w:rFonts w:ascii="Amiri" w:hAnsi="Amiri" w:eastAsia="Amiri" w:cs="Amiri"/>
          <w:color w:val="111111"/>
          <w:sz w:val="28"/>
          <w:sz w:val="28"/>
          <w:szCs w:val="28"/>
          <w:rtl w:val="true"/>
          <w:lang w:bidi="ar-SA"/>
        </w:rPr>
        <w:t>وعليه تكون الرواية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الرواية فهي صريحة في كون الصلاة التي يؤديها الفرد في الحرمين تامّة ولو كانت صلاة واحدة</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2933536_2870459653"/>
      <w:bookmarkStart w:id="612" w:name="_Toc240"/>
      <w:bookmarkEnd w:id="611"/>
      <w:r>
        <w:rPr>
          <w:rtl w:val="true"/>
        </w:rPr>
        <w:t>الرواية الثّالثة</w:t>
      </w:r>
      <w:bookmarkEnd w:id="612"/>
    </w:p>
    <w:p>
      <w:pPr>
        <w:pStyle w:val="BookText"/>
        <w:rPr/>
      </w:pPr>
      <w:r>
        <w:rPr>
          <w:rFonts w:ascii="IRNazanin" w:hAnsi="IRNazanin" w:eastAsia="IRNazanin"/>
          <w:color w:val="111111"/>
          <w:sz w:val="28"/>
          <w:sz w:val="28"/>
          <w:szCs w:val="28"/>
          <w:rtl w:val="true"/>
          <w:lang w:bidi="fa-IR"/>
        </w:rPr>
        <w:t>ما رواه الكُليني عن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إسماعيل ابن 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المذخور الإتمام بين الحرمين</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سند الحديث ففي اعتبار الرواية بحثٌ من جهة إسماعيل بن مرار؛ إذ لم يرد في حقه توثيق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وروده في تفسير القميّ فلا يوجب التوثيق له لبحثٍ في هذا التفسير كبرى وصغرى لا يناسب إيراده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يُوثق به من جهة اعتماد القُميّين عليه في رواية كتب يونس بن عند الرحمن من غير 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طُعن على الطريق الآخر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طريق محمّد بن عيسى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هذا الطريق قد تأمّل فيه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الاعتماد على روايات إسماعيل بن مرار لا يخلو عن إشكال</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دلالة الرواية فهي تشير بوضوح إلى أنّ الصلاة في الحرمين تامّة من المذخور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6"/>
        <w:numPr>
          <w:ilvl w:val="5"/>
          <w:numId w:val="1"/>
        </w:numPr>
        <w:rPr/>
      </w:pPr>
      <w:bookmarkStart w:id="613" w:name="__RefHeading___Toc2933538_2870459653"/>
      <w:bookmarkStart w:id="614" w:name="_Toc241"/>
      <w:bookmarkEnd w:id="613"/>
      <w:r>
        <w:rPr>
          <w:rtl w:val="true"/>
        </w:rPr>
        <w:t>الطائفة الثانية</w:t>
      </w:r>
      <w:r>
        <w:rPr>
          <w:rtl w:val="true"/>
        </w:rPr>
        <w:t xml:space="preserve">: </w:t>
      </w:r>
      <w:r>
        <w:rPr>
          <w:rtl w:val="true"/>
        </w:rPr>
        <w:t>ما ورد في القصر</w:t>
      </w:r>
      <w:bookmarkEnd w:id="61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الواردة في كون الصلاة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رواية واحدة رواها الشيخ في التهذيب عن موسى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التقصير بين الحرمين والتمام؟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تتمّ حتى تجمع على مقام عشرة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إنّ أصحابنا رووا عنك إنّك أمرتهم بالتمام،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أصحابك كانوا يدخلون المسجد فيصلّون ويأخذون نعالهم ويخرجون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يستقبلونهم يدخلون المسجد للصلاة فأمرتهم بالتمام</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طريق الشيخ إلى موسى بن القاسم في المشيخة فصحيح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موسى بن القاسم فهو كوفي وثّقه العلمان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كبار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عبد الرحمن فهو ابن أبي نجران بدليل رواية موسى بن القاسم عنه، وثّقه النجاشي</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معاوية بن وهب فهو ثقة حسن الطريقة كما عن النجاشي</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تكون الرواية معتبرة السند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الكلام في دلالة المعتبرة فهي تدلّ على أنّ الصلاة في الحرمين هي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ظاهر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تتمّ حتى تجمع على مقام عشرة أيام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جهة أُخرى تبيّن أنّ الصلاة تامّة جائزة رعايةً لبعض المصالح التي نُبّه عليها في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لا يكون هناك تشنيع على الشيعة من خلال الصلاة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يخالفون الصف</w:t>
      </w:r>
      <w:r>
        <w:rPr>
          <w:rFonts w:eastAsia="IRNazanin" w:cs="IRNazanin"/>
          <w:color w:val="111111"/>
          <w:sz w:val="28"/>
          <w:szCs w:val="28"/>
          <w:rtl w:val="true"/>
          <w:lang w:bidi="fa-IR"/>
        </w:rPr>
        <w:t xml:space="preserve">. </w:t>
      </w:r>
      <w:bookmarkStart w:id="615" w:name="pg9124_98731"/>
    </w:p>
    <w:p>
      <w:pPr>
        <w:pStyle w:val="BookText"/>
        <w:rPr/>
      </w:pPr>
      <w:bookmarkEnd w:id="615"/>
      <w:r>
        <w:rPr>
          <w:rFonts w:ascii="Amiri" w:hAnsi="Amiri" w:eastAsia="Amiri" w:cs="Amiri"/>
          <w:color w:val="111111"/>
          <w:sz w:val="28"/>
          <w:sz w:val="28"/>
          <w:szCs w:val="28"/>
          <w:rtl w:val="true"/>
          <w:lang w:bidi="ar-SA"/>
        </w:rPr>
        <w:t>فالنتيجة أنّ هذه المعتبرة تعدّ من روايات الصلاة قصراً في الحرمين الشريفين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الرواية تُشير إلى أنّ هذا المورد من الموسّعات بالنظر إلى تصريح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بأنّه أمر جماعةً من الأصحاب بالتمام؛ كي لا يخرجوا عندما يدخل الناس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جواز التمام لم يكفِ هذا المقدار لأمرهم بالتمام؛ لأنّ الزيادة مبطلة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خاف عليهم ضرراً أو مفسدة</w:t>
      </w:r>
      <w:r>
        <w:rPr>
          <w:rFonts w:eastAsia="IRNazanin" w:cs="IRNazanin"/>
          <w:color w:val="111111"/>
          <w:sz w:val="28"/>
          <w:szCs w:val="28"/>
          <w:rtl w:val="true"/>
          <w:lang w:bidi="fa-IR"/>
        </w:rPr>
        <w:t>.</w:t>
      </w:r>
    </w:p>
    <w:p>
      <w:pPr>
        <w:pStyle w:val="Heading5"/>
        <w:numPr>
          <w:ilvl w:val="4"/>
          <w:numId w:val="1"/>
        </w:numPr>
        <w:rPr/>
      </w:pPr>
      <w:bookmarkStart w:id="616" w:name="__RefHeading___Toc2933540_2870459653"/>
      <w:bookmarkStart w:id="617" w:name="_Toc242"/>
      <w:bookmarkEnd w:id="616"/>
      <w:r>
        <w:rPr>
          <w:rtl w:val="true"/>
        </w:rPr>
        <w:t xml:space="preserve">الروايات الواردة فيما بعد عصر الصادقين </w:t>
      </w:r>
      <w:r>
        <w:rPr>
          <w:rtl w:val="true"/>
        </w:rPr>
        <w:t>(</w:t>
      </w:r>
      <w:r>
        <w:rPr>
          <w:rtl w:val="true"/>
        </w:rPr>
        <w:t>علیهما السلام</w:t>
      </w:r>
      <w:r>
        <w:rPr>
          <w:rtl w:val="true"/>
        </w:rPr>
        <w:t>)</w:t>
      </w:r>
      <w:bookmarkEnd w:id="617"/>
    </w:p>
    <w:p>
      <w:pPr>
        <w:pStyle w:val="Heading6"/>
        <w:numPr>
          <w:ilvl w:val="5"/>
          <w:numId w:val="1"/>
        </w:numPr>
        <w:rPr/>
      </w:pPr>
      <w:bookmarkStart w:id="618" w:name="__RefHeading___Toc2933542_2870459653"/>
      <w:bookmarkStart w:id="619" w:name="_Toc243"/>
      <w:bookmarkEnd w:id="618"/>
      <w:r>
        <w:rPr>
          <w:rtl w:val="true"/>
        </w:rPr>
        <w:t>اشارة</w:t>
      </w:r>
      <w:bookmarkEnd w:id="619"/>
    </w:p>
    <w:p>
      <w:pPr>
        <w:pStyle w:val="BookText"/>
        <w:rPr/>
      </w:pPr>
      <w:r>
        <w:rPr>
          <w:rFonts w:ascii="IRNazanin" w:hAnsi="IRNazanin" w:eastAsia="IRNazanin"/>
          <w:color w:val="111111"/>
          <w:sz w:val="28"/>
          <w:sz w:val="28"/>
          <w:szCs w:val="28"/>
          <w:rtl w:val="true"/>
          <w:lang w:bidi="fa-IR"/>
        </w:rPr>
        <w:t xml:space="preserve">وأمّا الروايات الواردة فيما بعد عصر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كثيرة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أيضاً طائفتان حيث دلّ بعضها على التمام وبعضها الآخر على القصر</w:t>
      </w:r>
      <w:r>
        <w:rPr>
          <w:rFonts w:eastAsia="IRNazanin" w:cs="IRNazanin"/>
          <w:color w:val="111111"/>
          <w:sz w:val="28"/>
          <w:szCs w:val="28"/>
          <w:rtl w:val="true"/>
          <w:lang w:bidi="fa-IR"/>
        </w:rPr>
        <w:t>.</w:t>
      </w:r>
    </w:p>
    <w:p>
      <w:pPr>
        <w:pStyle w:val="Heading6"/>
        <w:numPr>
          <w:ilvl w:val="5"/>
          <w:numId w:val="1"/>
        </w:numPr>
        <w:rPr/>
      </w:pPr>
      <w:bookmarkStart w:id="620" w:name="__RefHeading___Toc2933544_2870459653"/>
      <w:bookmarkStart w:id="621" w:name="_Toc244"/>
      <w:bookmarkEnd w:id="620"/>
      <w:r>
        <w:rPr>
          <w:rtl w:val="true"/>
        </w:rPr>
        <w:t>الطائفة الأُولى</w:t>
      </w:r>
      <w:r>
        <w:rPr>
          <w:rtl w:val="true"/>
        </w:rPr>
        <w:t xml:space="preserve">: </w:t>
      </w:r>
      <w:r>
        <w:rPr>
          <w:rtl w:val="true"/>
        </w:rPr>
        <w:t>ما دلّت على التمام</w:t>
      </w:r>
      <w:bookmarkEnd w:id="621"/>
    </w:p>
    <w:p>
      <w:pPr>
        <w:pStyle w:val="Heading6"/>
        <w:numPr>
          <w:ilvl w:val="5"/>
          <w:numId w:val="1"/>
        </w:numPr>
        <w:rPr/>
      </w:pPr>
      <w:bookmarkStart w:id="622" w:name="__RefHeading___Toc2933546_2870459653"/>
      <w:bookmarkStart w:id="623" w:name="_Toc245"/>
      <w:bookmarkEnd w:id="622"/>
      <w:r>
        <w:rPr>
          <w:rtl w:val="true"/>
        </w:rPr>
        <w:t>اشارة</w:t>
      </w:r>
      <w:bookmarkEnd w:id="623"/>
    </w:p>
    <w:p>
      <w:pPr>
        <w:pStyle w:val="BookText"/>
        <w:rPr/>
      </w:pPr>
      <w:r>
        <w:rPr>
          <w:rFonts w:ascii="Amiri" w:hAnsi="Amiri" w:eastAsia="Amiri" w:cs="Amiri"/>
          <w:color w:val="111111"/>
          <w:sz w:val="28"/>
          <w:sz w:val="28"/>
          <w:szCs w:val="28"/>
          <w:rtl w:val="true"/>
          <w:lang w:bidi="ar-SA"/>
        </w:rPr>
        <w:t>وهي روايات عدّة</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2933548_2870459653"/>
      <w:bookmarkStart w:id="625" w:name="_Toc246"/>
      <w:bookmarkEnd w:id="624"/>
      <w:r>
        <w:rPr>
          <w:rtl w:val="true"/>
        </w:rPr>
        <w:t>الرواية الأولى</w:t>
      </w:r>
      <w:bookmarkEnd w:id="625"/>
    </w:p>
    <w:p>
      <w:pPr>
        <w:pStyle w:val="BookText"/>
        <w:rPr/>
      </w:pPr>
      <w:r>
        <w:rPr>
          <w:rFonts w:ascii="IRNazanin" w:hAnsi="IRNazanin" w:eastAsia="IRNazanin"/>
          <w:color w:val="111111"/>
          <w:sz w:val="28"/>
          <w:sz w:val="28"/>
          <w:szCs w:val="28"/>
          <w:rtl w:val="true"/>
          <w:lang w:bidi="fa-IR"/>
        </w:rPr>
        <w:t>ما رواه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إتمام الصلاة والصيام في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أتمها ولو صلاة واحدة</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فعدّة الكُليني عن أحمد بن محمّد بن عيسى مذكورة وفيهم الثقة كمحمّد ابن يحيى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أحمد بن محمّد فهو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وثاقته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عثمان بن عيسى فقد تقدّم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الخامسة التي أدركتها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فالرواية معتبرة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الدلالة فهي صريحة بكون الصلاة في الحرمين تامّة ولو كانت صلاة واحدة</w:t>
      </w:r>
      <w:r>
        <w:rPr>
          <w:rFonts w:eastAsia="Amiri" w:cs="Amiri" w:ascii="Amiri" w:hAnsi="Amiri"/>
          <w:color w:val="111111"/>
          <w:sz w:val="28"/>
          <w:szCs w:val="28"/>
          <w:rtl w:val="true"/>
          <w:lang w:bidi="ar-SA"/>
        </w:rPr>
        <w:t>.</w:t>
      </w:r>
    </w:p>
    <w:p>
      <w:pPr>
        <w:pStyle w:val="Heading6"/>
        <w:numPr>
          <w:ilvl w:val="5"/>
          <w:numId w:val="1"/>
        </w:numPr>
        <w:rPr/>
      </w:pPr>
      <w:bookmarkStart w:id="626" w:name="__RefHeading___Toc2933550_2870459653"/>
      <w:bookmarkStart w:id="627" w:name="_Toc247"/>
      <w:bookmarkEnd w:id="626"/>
      <w:r>
        <w:rPr>
          <w:rtl w:val="true"/>
        </w:rPr>
        <w:t>الرواية الثّانية</w:t>
      </w:r>
      <w:bookmarkEnd w:id="62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الكُليني أيضاً عن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زياد وأحمد بن محمّد </w:t>
      </w:r>
      <w:bookmarkStart w:id="628" w:name="pg9124_98732"/>
    </w:p>
    <w:p>
      <w:pPr>
        <w:pStyle w:val="BookText"/>
        <w:rPr/>
      </w:pPr>
      <w:bookmarkEnd w:id="628"/>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الرواية قد اختلفت عن آبائك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الإتمام والتقصير في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بأنْ يتمّ الصلاة ولو صلاة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أنْ يقصر ما لم ينوِ مقام عشرة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أزل على الإتمام فيها إلى أنْ صدرنا في حجّنا في عامنا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فقهاء أصحابنا أشاروا عليّ بالتقصير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كنت لا أنوي مقام عشرة أيام قصدت إلى 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ضقت بذلك حتى أعرف رأيك؟ فكتب إليّ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 في الحرمين على غيرهما فإنّي أحب لك إذا دخلتهما أنْ لا تقصر، وتكثر فيهما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بعد ذلك بسنتين مشافهة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كتبت إليك بكذا وأجبتني بكذا،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تعني بالحرمين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مكة والمدينة</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سند الرواية فهو معتبر كما مرّ آنفاً، كما مرّ أيضاً ذكر وثاقة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سهل بن زياد فهو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يضرّ ضعفه بعد اقترانه بأحمد بن محمّد ابن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 بن مهزيار فقد وثّقه العلمان</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كبار السابعة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فهي صريحة في التمام عند إيقاعها في الحرمين الشريفين</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2933552_2870459653"/>
      <w:bookmarkStart w:id="630" w:name="_Toc248"/>
      <w:bookmarkEnd w:id="629"/>
      <w:r>
        <w:rPr>
          <w:rtl w:val="true"/>
        </w:rPr>
        <w:t>الرواية الثّالثة</w:t>
      </w:r>
      <w:bookmarkEnd w:id="63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الكُليني عن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وسهل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أبي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إبراهيم بن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أساله عن </w:t>
      </w:r>
      <w:bookmarkStart w:id="631" w:name="pg9124_98733"/>
    </w:p>
    <w:p>
      <w:pPr>
        <w:pStyle w:val="BookText"/>
        <w:rPr/>
      </w:pPr>
      <w:bookmarkEnd w:id="631"/>
      <w:r>
        <w:rPr>
          <w:rFonts w:ascii="IRNazanin" w:hAnsi="IRNazanin" w:eastAsia="IRNazanin"/>
          <w:color w:val="111111"/>
          <w:sz w:val="28"/>
          <w:sz w:val="28"/>
          <w:szCs w:val="28"/>
          <w:rtl w:val="true"/>
          <w:lang w:bidi="fa-IR"/>
        </w:rPr>
        <w:t>إتمام الصلاة في الحرمين فكتب إليّ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إكثار الصلاة في الحرمين فأكثرْ فيهما وأتمّ</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سند الحديث فلا إشكال فيه إلّا من جهة إبراهيم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بحثاً حيث إنّه لم يرد فيه 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يُحكم بوثاقته بناءً على وثاقة مشايخ البزنطي وابن أبي عمير وصفوان بن يحيى فتكون الرواية معتبرة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الدلالة فهي واضحة بالأمر بالتمام عند الصلاة في الحرمين الشريفين</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2933554_2870459653"/>
      <w:bookmarkStart w:id="633" w:name="_Toc249"/>
      <w:bookmarkEnd w:id="632"/>
      <w:r>
        <w:rPr>
          <w:rtl w:val="true"/>
        </w:rPr>
        <w:t>الرواية الرابعة</w:t>
      </w:r>
      <w:bookmarkEnd w:id="633"/>
    </w:p>
    <w:p>
      <w:pPr>
        <w:pStyle w:val="BookText"/>
        <w:rPr/>
      </w:pPr>
      <w:r>
        <w:rPr>
          <w:rFonts w:ascii="IRNazanin" w:hAnsi="IRNazanin" w:eastAsia="IRNazanin"/>
          <w:color w:val="111111"/>
          <w:sz w:val="28"/>
          <w:sz w:val="28"/>
          <w:szCs w:val="28"/>
          <w:rtl w:val="true"/>
          <w:lang w:bidi="fa-IR"/>
        </w:rPr>
        <w:t>ما رواه الشيخ في التهذيب بإسناده عن محمّد بن الحسين بن أبي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مكة أتمّ أو أقصر؟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على المدينة فأتمّ الصلاة أو أقصر؟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إلى محمّد بن الحسين بن أبي الخطّاب فقد تقدّم الكلام فيه، وكذلك فيه وفي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عمر بن رباح فهو وإنْ لم يرد فيه توثيق، لكن يكفي في توثيقه رواية صفوان ابن يحيى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أحد الثلاثة الذين لا يروون لا يرسلون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الرواية معتبرة بهذا التوثيق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الرواية فهي صريحة بالأمر بالتمام عند الصلاة في مكة والمدينة</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2933556_2870459653"/>
      <w:bookmarkStart w:id="635" w:name="_Toc250"/>
      <w:bookmarkEnd w:id="634"/>
      <w:r>
        <w:rPr>
          <w:rtl w:val="true"/>
        </w:rPr>
        <w:t xml:space="preserve">الروايات الواردة عمّن بعد عصرهما </w:t>
      </w:r>
      <w:r>
        <w:rPr>
          <w:rtl w:val="true"/>
        </w:rPr>
        <w:t>(</w:t>
      </w:r>
      <w:r>
        <w:rPr>
          <w:rtl w:val="true"/>
        </w:rPr>
        <w:t>علیهما السلام</w:t>
      </w:r>
      <w:r>
        <w:rPr>
          <w:rtl w:val="true"/>
        </w:rPr>
        <w:t xml:space="preserve">) </w:t>
      </w:r>
      <w:r>
        <w:rPr>
          <w:rtl w:val="true"/>
        </w:rPr>
        <w:t>من أهل بيت العصمة</w:t>
      </w:r>
      <w:bookmarkEnd w:id="635"/>
    </w:p>
    <w:p>
      <w:pPr>
        <w:pStyle w:val="Heading6"/>
        <w:numPr>
          <w:ilvl w:val="5"/>
          <w:numId w:val="1"/>
        </w:numPr>
        <w:rPr/>
      </w:pPr>
      <w:bookmarkStart w:id="636" w:name="__RefHeading___Toc2933558_2870459653"/>
      <w:bookmarkStart w:id="637" w:name="_Toc251"/>
      <w:bookmarkEnd w:id="636"/>
      <w:r>
        <w:rPr>
          <w:rtl w:val="true"/>
        </w:rPr>
        <w:t>اشارة</w:t>
      </w:r>
      <w:bookmarkEnd w:id="63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الروايات الواردة عمّن بعد عصرهما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 العصمة قصراً عند إيقاعها في الحرمين فهي روايات عديدة</w:t>
      </w:r>
      <w:r>
        <w:rPr>
          <w:rFonts w:eastAsia="IRNazanin" w:cs="IRNazanin"/>
          <w:color w:val="111111"/>
          <w:sz w:val="28"/>
          <w:szCs w:val="28"/>
          <w:rtl w:val="true"/>
          <w:lang w:bidi="fa-IR"/>
        </w:rPr>
        <w:t xml:space="preserve">: </w:t>
      </w:r>
      <w:bookmarkStart w:id="638" w:name="pg9124_98734"/>
    </w:p>
    <w:p>
      <w:pPr>
        <w:pStyle w:val="Heading6"/>
        <w:numPr>
          <w:ilvl w:val="5"/>
          <w:numId w:val="1"/>
        </w:numPr>
        <w:rPr/>
      </w:pPr>
      <w:bookmarkStart w:id="639" w:name="__RefHeading___Toc2933560_2870459653"/>
      <w:bookmarkStart w:id="640" w:name="_Toc252"/>
      <w:bookmarkEnd w:id="638"/>
      <w:bookmarkEnd w:id="639"/>
      <w:r>
        <w:rPr>
          <w:rtl w:val="true"/>
        </w:rPr>
        <w:t>الرواية الأولى</w:t>
      </w:r>
      <w:bookmarkEnd w:id="640"/>
    </w:p>
    <w:p>
      <w:pPr>
        <w:pStyle w:val="BookText"/>
        <w:rPr/>
      </w:pPr>
      <w:r>
        <w:rPr>
          <w:rFonts w:ascii="IRNazanin" w:hAnsi="IRNazanin" w:eastAsia="IRNazanin"/>
          <w:color w:val="111111"/>
          <w:sz w:val="28"/>
          <w:sz w:val="28"/>
          <w:szCs w:val="28"/>
          <w:rtl w:val="true"/>
          <w:lang w:bidi="fa-IR"/>
        </w:rPr>
        <w:t>معتبرة محمّد بن إسماعيل بن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ما رواه الشيخ بإسناده عن أحمد بن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إسماعيل بن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بمكة والمدينة تقصير أو إتمام؟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ما لم تعزم على مقام عشرة</w:t>
      </w:r>
      <w:r>
        <w:rPr>
          <w:rFonts w:eastAsia="IRNazanin" w:cs="IRNazanin"/>
          <w:color w:val="111111"/>
          <w:sz w:val="28"/>
          <w:szCs w:val="28"/>
          <w:rtl w:val="true"/>
          <w:lang w:bidi="fa-IR"/>
        </w:rPr>
        <w:t>)</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السند فقد تقدّم ذكر وثاقة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في الدلالة فهي صريحة في أنّ الصلاة في الحرمين الشريفين قصر ما لم يعزم على مقام عشرة أيام </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2933562_2870459653"/>
      <w:bookmarkStart w:id="642" w:name="_Toc253"/>
      <w:bookmarkEnd w:id="641"/>
      <w:r>
        <w:rPr>
          <w:rtl w:val="true"/>
        </w:rPr>
        <w:t>الرواية الثانية</w:t>
      </w:r>
      <w:bookmarkEnd w:id="642"/>
    </w:p>
    <w:p>
      <w:pPr>
        <w:pStyle w:val="BookText"/>
        <w:rPr/>
      </w:pPr>
      <w:r>
        <w:rPr>
          <w:rFonts w:ascii="IRNazanin" w:hAnsi="IRNazanin" w:eastAsia="IRNazanin"/>
          <w:color w:val="111111"/>
          <w:sz w:val="28"/>
          <w:sz w:val="28"/>
          <w:szCs w:val="28"/>
          <w:rtl w:val="true"/>
          <w:lang w:bidi="fa-IR"/>
        </w:rPr>
        <w:t>ما رواه الشيخ بإسناده عن علي بن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اختلفوا في الحرمين فبعضهم يقصّر وبعضهم 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ممّن يتمّ على رواية قد رواها أصحابنا في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وذكرتُ عبد الله بن جندب أنّه كان 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ابن جندب،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الإتمام إلَّا أنْ تُجمع على إقامة عشرة إيام، وصلِ النوافل ما شئت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محبتي أنْ يأمرني بالإتمام</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فغير معتبر لوجود علي بن حديد وقد تقدّم تضعيف الشيخ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الدلالة فإنّ الرواية أشارت إلى أنّ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ابن حديد أنْ يصلي قصراً في الحرمين ما لم ينوِ إقامة عشرة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تدل على القصر عند الصلاة في الحرمين الشريفين</w:t>
      </w:r>
      <w:r>
        <w:rPr>
          <w:rFonts w:eastAsia="IRNazanin" w:cs="IRNazanin"/>
          <w:color w:val="111111"/>
          <w:sz w:val="28"/>
          <w:szCs w:val="28"/>
          <w:rtl w:val="true"/>
          <w:lang w:bidi="fa-IR"/>
        </w:rPr>
        <w:t>.</w:t>
      </w:r>
    </w:p>
    <w:p>
      <w:pPr>
        <w:pStyle w:val="Heading6"/>
        <w:numPr>
          <w:ilvl w:val="5"/>
          <w:numId w:val="1"/>
        </w:numPr>
        <w:rPr/>
      </w:pPr>
      <w:bookmarkStart w:id="643" w:name="__RefHeading___Toc2933564_2870459653"/>
      <w:bookmarkStart w:id="644" w:name="_Toc254"/>
      <w:bookmarkEnd w:id="643"/>
      <w:r>
        <w:rPr>
          <w:rtl w:val="true"/>
        </w:rPr>
        <w:t>الرواية الثالثة</w:t>
      </w:r>
      <w:bookmarkEnd w:id="64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جعفر بن محمّد 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أيوب بن نوح عن تقصير الصلاة في هذه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والمدينة والكوفة وقبر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روي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أقصّر وكان صفوان يقصّر وابن أبي عمير </w:t>
      </w:r>
      <w:bookmarkStart w:id="645" w:name="pg9124_98735"/>
    </w:p>
    <w:p>
      <w:pPr>
        <w:pStyle w:val="BookText"/>
        <w:rPr/>
      </w:pPr>
      <w:bookmarkEnd w:id="645"/>
      <w:r>
        <w:rPr>
          <w:rFonts w:ascii="Amiri" w:hAnsi="Amiri" w:eastAsia="Amiri" w:cs="Amiri"/>
          <w:color w:val="111111"/>
          <w:sz w:val="28"/>
          <w:sz w:val="28"/>
          <w:szCs w:val="28"/>
          <w:rtl w:val="true"/>
          <w:lang w:bidi="ar-SA"/>
        </w:rPr>
        <w:t>وجميع أصحابنا يقصّرون</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فإنّ ابن قولويه هو صاحب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كما عن النجاشي</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محمّد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صاحب 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بن عبد الله فقد تقدّم ذكر وثاقتهما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أيوب بن نوح فهو ابن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ذكر النجاشي</w:t>
      </w:r>
      <w:r>
        <w:rPr>
          <w:rStyle w:val="FootnoteAnchor"/>
          <w:rtl w:val="true"/>
        </w:rPr>
        <w:footnoteReference w:id="623"/>
      </w:r>
      <w:r>
        <w:rPr>
          <w:rFonts w:ascii="IRNazanin" w:hAnsi="IRNazanin" w:eastAsia="IRNazanin"/>
          <w:color w:val="111111"/>
          <w:sz w:val="28"/>
          <w:sz w:val="28"/>
          <w:szCs w:val="28"/>
          <w:rtl w:val="true"/>
          <w:lang w:bidi="fa-IR"/>
        </w:rPr>
        <w:t xml:space="preserve">عظيم المنزلة عند الإمامين الهادي والعسكري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وعليه فالرواية تكون تامّة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الدلالة فالرواية وإنْ لم ترد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ولكنها تكشف بصورة واضحة عن أنّ أصحاب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صفوان وابن أبي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أجلّ أصحاب الإمام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يعملون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فيكشف هذا عن أنّ الروايات الواردة عن الإمام الكاظم أو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 بالقصر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لما عَمِل بالقصر أجلّ أصحابهم</w:t>
      </w:r>
      <w:r>
        <w:rPr>
          <w:rFonts w:eastAsia="IRNazanin" w:cs="IRNazanin"/>
          <w:color w:val="111111"/>
          <w:sz w:val="28"/>
          <w:szCs w:val="28"/>
          <w:rtl w:val="true"/>
          <w:lang w:bidi="fa-IR"/>
        </w:rPr>
        <w:t>.</w:t>
      </w:r>
    </w:p>
    <w:p>
      <w:pPr>
        <w:pStyle w:val="Heading5"/>
        <w:numPr>
          <w:ilvl w:val="4"/>
          <w:numId w:val="1"/>
        </w:numPr>
        <w:rPr/>
      </w:pPr>
      <w:bookmarkStart w:id="646" w:name="__RefHeading___Toc2933566_2870459653"/>
      <w:bookmarkStart w:id="647" w:name="_Toc255"/>
      <w:bookmarkEnd w:id="646"/>
      <w:r>
        <w:rPr>
          <w:rtl w:val="true"/>
        </w:rPr>
        <w:t>الروايات التي تدلّ بوضوح على أنّ الصلاة في الحرمين الشريفين من الأحكام الموسّعة</w:t>
      </w:r>
      <w:bookmarkEnd w:id="647"/>
    </w:p>
    <w:p>
      <w:pPr>
        <w:pStyle w:val="Heading6"/>
        <w:numPr>
          <w:ilvl w:val="5"/>
          <w:numId w:val="1"/>
        </w:numPr>
        <w:rPr/>
      </w:pPr>
      <w:bookmarkStart w:id="648" w:name="__RefHeading___Toc2933568_2870459653"/>
      <w:bookmarkStart w:id="649" w:name="_Toc256"/>
      <w:bookmarkEnd w:id="648"/>
      <w:r>
        <w:rPr>
          <w:rtl w:val="true"/>
        </w:rPr>
        <w:t>اشارة</w:t>
      </w:r>
      <w:bookmarkEnd w:id="649"/>
    </w:p>
    <w:p>
      <w:pPr>
        <w:pStyle w:val="BookText"/>
        <w:rPr/>
      </w:pPr>
      <w:r>
        <w:rPr>
          <w:rFonts w:ascii="Amiri" w:hAnsi="Amiri" w:eastAsia="Amiri" w:cs="Amiri"/>
          <w:color w:val="111111"/>
          <w:sz w:val="28"/>
          <w:sz w:val="28"/>
          <w:szCs w:val="28"/>
          <w:rtl w:val="true"/>
          <w:lang w:bidi="ar-SA"/>
        </w:rPr>
        <w:t>وأمّا الروايات التي تدلّ بوضوح على أنّ الصلاة في الحرمين الشريفين من الأحكام الموسّعة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المكلّف مخيّر بين القصر والتمام فهي روايات ثلاث</w:t>
      </w:r>
      <w:r>
        <w:rPr>
          <w:rFonts w:eastAsia="Amiri" w:cs="Amiri" w:ascii="Amiri" w:hAnsi="Amiri"/>
          <w:color w:val="111111"/>
          <w:sz w:val="28"/>
          <w:szCs w:val="28"/>
          <w:rtl w:val="true"/>
          <w:lang w:bidi="ar-SA"/>
        </w:rPr>
        <w:t>:</w:t>
      </w:r>
    </w:p>
    <w:p>
      <w:pPr>
        <w:pStyle w:val="Heading6"/>
        <w:numPr>
          <w:ilvl w:val="5"/>
          <w:numId w:val="1"/>
        </w:numPr>
        <w:rPr/>
      </w:pPr>
      <w:bookmarkStart w:id="650" w:name="__RefHeading___Toc2933570_2870459653"/>
      <w:bookmarkStart w:id="651" w:name="_Toc257"/>
      <w:bookmarkEnd w:id="650"/>
      <w:r>
        <w:rPr>
          <w:rtl w:val="true"/>
        </w:rPr>
        <w:t>الرواية الأولى</w:t>
      </w:r>
      <w:bookmarkEnd w:id="65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الكُليني عن محمّد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دخلنا مكة والمدينة نُتمّ أو نقصّر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قصّرت فذاك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أتممت فهو خير تزداد</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الكلام في السند فقد تقدّم الكلام في الكليني ومحمّد بن يحيى العطار وأحمد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 بن الحكم فهو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السابعة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الحسين بن المختار فهو القلانسي فقد ذكر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روى النصّ على الرضا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من أبيه والإشارة إليه منه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خاصّته وثقاته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الورع والعلم والفقه من 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كثير الرقي، ومحمّد بن إسحاق بن عمار، وعلي بن يقطين، ونعيم القابوسي، والحسين بن المختار، وزياد بن مروان، والمخزومي، وداود بن سليمان، ونصر بن قابوس، وداود بن زربي، ويزيد بن سليط، ومحمّد بن سنان</w:t>
      </w:r>
      <w:r>
        <w:rPr>
          <w:rFonts w:eastAsia="IRNazanin" w:cs="IRNazanin"/>
          <w:color w:val="111111"/>
          <w:sz w:val="28"/>
          <w:szCs w:val="28"/>
          <w:rtl w:val="true"/>
          <w:lang w:bidi="fa-IR"/>
        </w:rPr>
        <w:t>)</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تصريح بكونه من خاصة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نوقش</w:t>
      </w:r>
      <w:r>
        <w:rPr>
          <w:rStyle w:val="FootnoteAnchor"/>
          <w:rtl w:val="true"/>
        </w:rPr>
        <w:footnoteReference w:id="627"/>
      </w:r>
      <w:r>
        <w:rPr>
          <w:rFonts w:ascii="Amiri" w:hAnsi="Amiri" w:eastAsia="Amiri" w:cs="Amiri"/>
          <w:color w:val="111111"/>
          <w:sz w:val="28"/>
          <w:sz w:val="28"/>
          <w:szCs w:val="28"/>
          <w:rtl w:val="true"/>
          <w:lang w:bidi="ar-SA"/>
        </w:rPr>
        <w:t>في وثاقته على أساس أنّ عبارة المفيد في الإرشاد يصعب البناء على أنّها مسوقة لبيان الواقع بالنسبة إلى جميع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توثيقه من جهة أنّ العلّامة ذكر عن ابن عقدة أنّ ابن فضّال وثّقه</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كافٍ في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تكون الرواية معتبرة السند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الدلالة فالمعتبرة تشير بوضوح إلى أنْ المكلّف إنْ صلّى قصراً فقد أدّى ما عليه من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له أنْ يصلّي تماماً فيزداد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يكشف عن أنّ الصلاة في الحرمين الشريفين من الأحكام الموسّعة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المكلّف في سعة من التشريع بين القصر والتمام</w:t>
      </w:r>
      <w:r>
        <w:rPr>
          <w:rFonts w:eastAsia="Amiri" w:cs="Amiri" w:ascii="Amiri" w:hAnsi="Amiri"/>
          <w:color w:val="111111"/>
          <w:sz w:val="28"/>
          <w:szCs w:val="28"/>
          <w:rtl w:val="true"/>
          <w:lang w:bidi="ar-SA"/>
        </w:rPr>
        <w:t xml:space="preserve">. </w:t>
      </w:r>
      <w:bookmarkStart w:id="652" w:name="pg9124_98737"/>
    </w:p>
    <w:p>
      <w:pPr>
        <w:pStyle w:val="Heading6"/>
        <w:numPr>
          <w:ilvl w:val="5"/>
          <w:numId w:val="1"/>
        </w:numPr>
        <w:rPr/>
      </w:pPr>
      <w:bookmarkStart w:id="653" w:name="__RefHeading___Toc2933572_2870459653"/>
      <w:bookmarkStart w:id="654" w:name="_Toc258"/>
      <w:bookmarkEnd w:id="652"/>
      <w:bookmarkEnd w:id="653"/>
      <w:r>
        <w:rPr>
          <w:rtl w:val="true"/>
        </w:rPr>
        <w:t>الرواية الثانية</w:t>
      </w:r>
      <w:bookmarkEnd w:id="654"/>
    </w:p>
    <w:p>
      <w:pPr>
        <w:pStyle w:val="BookText"/>
        <w:rPr/>
      </w:pPr>
      <w:r>
        <w:rPr>
          <w:rFonts w:ascii="IRNazanin" w:hAnsi="IRNazanin" w:eastAsia="IRNazanin"/>
          <w:color w:val="111111"/>
          <w:sz w:val="28"/>
          <w:sz w:val="28"/>
          <w:szCs w:val="28"/>
          <w:rtl w:val="true"/>
          <w:lang w:bidi="fa-IR"/>
        </w:rPr>
        <w:t>ما رواه الشيخ بإسناده عن أحمد بن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أبي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 بمكة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شاء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شاء قصّر</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السند فقد تقدّم الكلام فيه إلى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سعد بن أبي خلف فقد وثّقه العلمان</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 بن يقطين فهو ثقة جليل القدر</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الخامسة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المعتبرة فهي تصرّح بأنّ المكلّف مخيّر بين الصلاة تماماً أو قصراً، ممّا يدلّ على أنّ الصلاة في الحرمين الشريفين من الأحكام الموسّعة التي يكون فيها سعة في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ينحصر بمورد واحد وهو التمام أو القصر بل أيّهما يأتي به يكون ممتثلاً</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2933574_2870459653"/>
      <w:bookmarkStart w:id="656" w:name="_Toc259"/>
      <w:bookmarkEnd w:id="655"/>
      <w:r>
        <w:rPr>
          <w:rtl w:val="true"/>
        </w:rPr>
        <w:t>الرواية الثالثة</w:t>
      </w:r>
      <w:bookmarkEnd w:id="65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الشيخ بإسناده إلى الكُليني عن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إسماعيل بن 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التقصير بمكة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أنيّ أحبّ لك مثل الذي أحبّ لنفسي</w:t>
      </w:r>
      <w:r>
        <w:rPr>
          <w:rFonts w:eastAsia="IRNazanin" w:cs="IRNazanin"/>
          <w:color w:val="111111"/>
          <w:sz w:val="28"/>
          <w:szCs w:val="28"/>
          <w:rtl w:val="true"/>
          <w:lang w:bidi="fa-IR"/>
        </w:rPr>
        <w:t>)</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قد تُعدّ من الروايات الدالة على التوسّعة أيضاً بتصريح فيها بأنّه ليس بواجب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واعتبار الرواية محلّ كلام لوجود إسماعيل بن 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الرواية فهي تبيّن أنّ الأئمة كانوا يحثّون على الإتمام في الصلاة عند إيقاعها في الحرمين الشريفين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اتحاد هذه الرواية مع سابقتها؛ لوحدة الراوي المباشر والمروي عنه وتماثل المضمون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من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اختلاف الروايات الواردة عن أهل بيت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عمل الأصحاب يدلّ بوضوح على أنّ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في الحرمين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الأحكام الموسّعة التي يكون التشريع فيها موسّعاً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يمكن للمكلّف أنْ يأخذ بأيّ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صدور البعض منها لأجل بيان الحكم الواقعي حتى يكون الأخذ بخلافها منهيّاً عنه ومخالفاً للحكم الإلزامي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يكون الأخذ بالبعض الآخر مُجزياً ومحصِّلاً للثواب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هناك فضلٌ أكثر عند الإتيان بالصلاة التامّة من باب أنّ أفضل الأمور أحمزها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لا يعني أنّ الإتيان بالصلاة قصراً يكون مخالفاً للحكم الواقعي وغير مجزٍ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اقتصار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القصر في بعض الأحيان لأجل رعاية بعض المصالح التي مرّ ذكرها</w:t>
      </w:r>
      <w:r>
        <w:rPr>
          <w:rFonts w:eastAsia="IRNazanin" w:cs="IRNazanin"/>
          <w:color w:val="111111"/>
          <w:sz w:val="28"/>
          <w:szCs w:val="28"/>
          <w:rtl w:val="true"/>
          <w:lang w:bidi="fa-IR"/>
        </w:rPr>
        <w:t xml:space="preserve">. </w:t>
      </w:r>
      <w:bookmarkStart w:id="657" w:name="pg9124_98739"/>
    </w:p>
    <w:p>
      <w:pPr>
        <w:pStyle w:val="Heading4"/>
        <w:numPr>
          <w:ilvl w:val="3"/>
          <w:numId w:val="1"/>
        </w:numPr>
        <w:rPr/>
      </w:pPr>
      <w:bookmarkStart w:id="658" w:name="__RefHeading___Toc2933576_2870459653"/>
      <w:bookmarkStart w:id="659" w:name="_Toc260"/>
      <w:bookmarkEnd w:id="657"/>
      <w:bookmarkEnd w:id="658"/>
      <w:r>
        <w:rPr>
          <w:rtl w:val="true"/>
        </w:rPr>
        <w:t>المورد الرابع</w:t>
      </w:r>
      <w:r>
        <w:rPr>
          <w:rtl w:val="true"/>
        </w:rPr>
        <w:t xml:space="preserve">: </w:t>
      </w:r>
      <w:r>
        <w:rPr>
          <w:rtl w:val="true"/>
        </w:rPr>
        <w:t>من موارد اختلاف الأخبار ما ورد في كيفيّة الإحرام لحجّ التمتع من الميقات</w:t>
      </w:r>
      <w:bookmarkEnd w:id="659"/>
    </w:p>
    <w:p>
      <w:pPr>
        <w:pStyle w:val="Heading5"/>
        <w:numPr>
          <w:ilvl w:val="4"/>
          <w:numId w:val="1"/>
        </w:numPr>
        <w:rPr/>
      </w:pPr>
      <w:bookmarkStart w:id="660" w:name="__RefHeading___Toc2933578_2870459653"/>
      <w:bookmarkStart w:id="661" w:name="_Toc261"/>
      <w:bookmarkEnd w:id="660"/>
      <w:r>
        <w:rPr>
          <w:rtl w:val="true"/>
        </w:rPr>
        <w:t>اشارة</w:t>
      </w:r>
      <w:bookmarkEnd w:id="661"/>
    </w:p>
    <w:p>
      <w:pPr>
        <w:pStyle w:val="BookText"/>
        <w:rPr/>
      </w:pPr>
      <w:r>
        <w:rPr>
          <w:rFonts w:ascii="IRNazanin" w:hAnsi="IRNazanin" w:eastAsia="IRNazanin"/>
          <w:color w:val="111111"/>
          <w:sz w:val="28"/>
          <w:sz w:val="28"/>
          <w:szCs w:val="28"/>
          <w:rtl w:val="true"/>
          <w:lang w:bidi="fa-IR"/>
        </w:rPr>
        <w:t xml:space="preserve">اختلفت الروايات الواردة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كيفية الإحرام لحجّ التمتع ممّا أدّى إلى اختلاف عمل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بعضها ورد بالتلفظ بالعمرة عند التلبية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بالتلفظ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بالتلفظ بالعمرة والحج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ورابعة لم تذكر شيئاً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أربع طوائف من الروايات سوف نذكرها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نذكر معتبرة عبد الله بن زرارة التي تدلّ بوضوح على أنّ الإحرام لحجّ التمتع من الميقات من الأحكام الموسّعة التي يسع المكلّف أنْ يأتي بأي لفظ شاء</w:t>
      </w:r>
      <w:r>
        <w:rPr>
          <w:rFonts w:eastAsia="IRNazanin" w:cs="IRNazanin"/>
          <w:color w:val="111111"/>
          <w:sz w:val="28"/>
          <w:szCs w:val="28"/>
          <w:rtl w:val="true"/>
          <w:lang w:bidi="fa-IR"/>
        </w:rPr>
        <w:t>.</w:t>
      </w:r>
    </w:p>
    <w:p>
      <w:pPr>
        <w:pStyle w:val="Heading5"/>
        <w:numPr>
          <w:ilvl w:val="4"/>
          <w:numId w:val="1"/>
        </w:numPr>
        <w:rPr/>
      </w:pPr>
      <w:bookmarkStart w:id="662" w:name="__RefHeading___Toc2933580_2870459653"/>
      <w:bookmarkStart w:id="663" w:name="_Toc262"/>
      <w:bookmarkEnd w:id="662"/>
      <w:r>
        <w:rPr>
          <w:rtl w:val="true"/>
        </w:rPr>
        <w:t>الطائفة الأولى</w:t>
      </w:r>
      <w:r>
        <w:rPr>
          <w:rtl w:val="true"/>
        </w:rPr>
        <w:t xml:space="preserve">: </w:t>
      </w:r>
      <w:r>
        <w:rPr>
          <w:rtl w:val="true"/>
        </w:rPr>
        <w:t>ما ورد فيها لفظ العمرة عند التلبية</w:t>
      </w:r>
      <w:bookmarkEnd w:id="663"/>
    </w:p>
    <w:p>
      <w:pPr>
        <w:pStyle w:val="Heading6"/>
        <w:numPr>
          <w:ilvl w:val="5"/>
          <w:numId w:val="1"/>
        </w:numPr>
        <w:rPr/>
      </w:pPr>
      <w:bookmarkStart w:id="664" w:name="__RefHeading___Toc2933582_2870459653"/>
      <w:bookmarkStart w:id="665" w:name="_Toc263"/>
      <w:bookmarkEnd w:id="664"/>
      <w:r>
        <w:rPr>
          <w:rtl w:val="true"/>
        </w:rPr>
        <w:t>اشارة</w:t>
      </w:r>
      <w:bookmarkEnd w:id="665"/>
    </w:p>
    <w:p>
      <w:pPr>
        <w:pStyle w:val="BookText"/>
        <w:rPr/>
      </w:pPr>
      <w:r>
        <w:rPr>
          <w:rFonts w:ascii="Amiri" w:hAnsi="Amiri" w:eastAsia="Amiri" w:cs="Amiri"/>
          <w:color w:val="111111"/>
          <w:sz w:val="28"/>
          <w:sz w:val="28"/>
          <w:szCs w:val="28"/>
          <w:rtl w:val="true"/>
          <w:lang w:bidi="ar-SA"/>
        </w:rPr>
        <w:t>وهي روايتان</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2933584_2870459653"/>
      <w:bookmarkStart w:id="667" w:name="_Toc264"/>
      <w:bookmarkEnd w:id="666"/>
      <w:r>
        <w:rPr>
          <w:rtl w:val="true"/>
        </w:rPr>
        <w:t>الرواية الأولى</w:t>
      </w:r>
      <w:bookmarkEnd w:id="667"/>
    </w:p>
    <w:p>
      <w:pPr>
        <w:pStyle w:val="BookText"/>
        <w:rPr/>
      </w:pPr>
      <w:r>
        <w:rPr>
          <w:rFonts w:ascii="IRNazanin" w:hAnsi="IRNazanin" w:eastAsia="IRNazanin"/>
          <w:color w:val="111111"/>
          <w:sz w:val="28"/>
          <w:sz w:val="28"/>
          <w:szCs w:val="28"/>
          <w:rtl w:val="true"/>
          <w:lang w:bidi="fa-IR"/>
        </w:rPr>
        <w:t>ما رواه الشيخ بإسناده عن الحسين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عن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الملك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جماعة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وافوا المدينة ودخلوا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زرارة أمرنا أنْ نهلّ بالحجّ إذا أحرمنا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خرجوا من عنده دخلت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لم تخبرهم بما أخبرت به زرارة ليأتينّ الكوفة وليصبحنّ بها كذاباً،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ردّهم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لا يسمع هذا بعد اليوم أحد مني</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سند الحديث فقد تقدّم بيان طريق الشيخ إلى الحسين بن سعيد، وهو صحيح</w:t>
      </w:r>
      <w:r>
        <w:rPr>
          <w:rFonts w:eastAsia="Amiri" w:cs="Amiri" w:ascii="Amiri" w:hAnsi="Amiri"/>
          <w:color w:val="111111"/>
          <w:sz w:val="28"/>
          <w:szCs w:val="28"/>
          <w:rtl w:val="true"/>
          <w:lang w:bidi="ar-SA"/>
        </w:rPr>
        <w:t xml:space="preserve">. </w:t>
      </w:r>
      <w:bookmarkStart w:id="668" w:name="pg9124_98740"/>
    </w:p>
    <w:p>
      <w:pPr>
        <w:pStyle w:val="BookText"/>
        <w:rPr/>
      </w:pPr>
      <w:bookmarkEnd w:id="668"/>
      <w:r>
        <w:rPr>
          <w:rFonts w:ascii="Amiri" w:hAnsi="Amiri" w:eastAsia="Amiri" w:cs="Amiri"/>
          <w:color w:val="111111"/>
          <w:sz w:val="28"/>
          <w:sz w:val="28"/>
          <w:szCs w:val="28"/>
          <w:rtl w:val="true"/>
          <w:lang w:bidi="ar-SA"/>
        </w:rPr>
        <w:t>وأمّا الحسين بن سعيد وحمّاد فقد تقدّم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حريز فهو السجستاني كوفي ثقة كما عن الشيخ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عبد الملك بن أعين فهو وإنْ لم يرد في حقه توثيق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ذكر الكشي بإسناده المعتبر إلى الحسن بن علي بن يقطين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المشايخ أن حمران وزرارة وعبد الملك وبكيراً وعبد الرحمن بني أعين كانوا مستقيمين، ومات منهم أربعة في زمان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هذا في حسن عبد الملك واستقامته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فالرجل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فسوف نتعرّض لها بعد ذكر الرواية الثانية؛ لأنّها تنقل الحادثة نفسها</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2933586_2870459653"/>
      <w:bookmarkStart w:id="670" w:name="_Toc265"/>
      <w:bookmarkEnd w:id="669"/>
      <w:r>
        <w:rPr>
          <w:rtl w:val="true"/>
        </w:rPr>
        <w:t>الرواية الثانية</w:t>
      </w:r>
      <w:bookmarkEnd w:id="670"/>
    </w:p>
    <w:p>
      <w:pPr>
        <w:pStyle w:val="BookText"/>
        <w:rPr/>
      </w:pPr>
      <w:r>
        <w:rPr>
          <w:rFonts w:ascii="IRNazanin" w:hAnsi="IRNazanin" w:eastAsia="IRNazanin"/>
          <w:color w:val="111111"/>
          <w:sz w:val="28"/>
          <w:sz w:val="28"/>
          <w:szCs w:val="28"/>
          <w:rtl w:val="true"/>
          <w:lang w:bidi="fa-IR"/>
        </w:rPr>
        <w:t>معتبرة إسماعيل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أنا وميّسر وأناس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لبّوا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فدخلنا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نريد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قوم صرورة فكيف نصنع؟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لبّوا بالعمرة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خرجنا قدم عبد الملك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 من زرارة؟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لبُّوا بالحج وأنّ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لبّوا بالعمرة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 عبد الملك بن أعين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أناساً من مواليك أمرهم زرارة أنْ يلبّوا بالحجّ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دخلوا عليك فأمرتهم أنْ يلبّوا بالعمرة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كلّ إنسان منهم أنْ يسمع على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أعدهم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لبّوا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لبّى بالحجّ</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السند فالرواية رواها الشيخ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جميل بن دراج وابن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حمران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هناك طريقان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جميل بن دراج، عن محمّد بن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ابن أبي نجران، عن محمّد بن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جميل بن درّاج فقد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شيخنا ووجه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أبي نجران فهو عبد الرحمن 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ثقة، كما عن النجاشي</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حمران فقد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الخامسة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إسماعيل الجعفي فهو إمّا إسماعيل بن جابر الجعفي الذي وثّقه الشيخ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جابر الخثعمي الكوفي ثقة ممدوح له أصول</w:t>
      </w:r>
      <w:r>
        <w:rPr>
          <w:rFonts w:eastAsia="Amiri" w:cs="Amiri" w:ascii="Amiri" w:hAnsi="Amiri"/>
          <w:color w:val="111111"/>
          <w:sz w:val="28"/>
          <w:szCs w:val="28"/>
          <w:rtl w:val="true"/>
          <w:lang w:bidi="ar-SA"/>
        </w:rPr>
        <w:t>)</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الخثعمي هو تصحيف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الرجل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معمري الرابعة الذين أدركتهم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هو إسماعيل بن عبد الرحمن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النجاشي في ترجمة بسطام ابن الحصين بن عبد الرحمن الجعفي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وجهاً في أصحابنا وأبوه وعمومته، وكان أوجههم إسماعيل</w:t>
      </w:r>
      <w:r>
        <w:rPr>
          <w:rFonts w:eastAsia="Amiri" w:cs="Amiri" w:ascii="Amiri" w:hAnsi="Amiri"/>
          <w:color w:val="111111"/>
          <w:sz w:val="28"/>
          <w:szCs w:val="28"/>
          <w:rtl w:val="true"/>
          <w:lang w:bidi="ar-SA"/>
        </w:rPr>
        <w:t>)</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من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جميل بن درّاج </w:t>
      </w:r>
      <w:bookmarkStart w:id="671" w:name="pg9124_98742"/>
    </w:p>
    <w:p>
      <w:pPr>
        <w:pStyle w:val="BookText"/>
        <w:rPr/>
      </w:pPr>
      <w:bookmarkEnd w:id="671"/>
      <w:r>
        <w:rPr>
          <w:rFonts w:ascii="Amiri" w:hAnsi="Amiri" w:eastAsia="Amiri" w:cs="Amiri"/>
          <w:color w:val="111111"/>
          <w:sz w:val="28"/>
          <w:sz w:val="28"/>
          <w:szCs w:val="28"/>
          <w:rtl w:val="true"/>
          <w:lang w:bidi="ar-SA"/>
        </w:rPr>
        <w:t>عن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فالرجل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الرواية معتبرة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وهذان الخبران تضمّنا الأمر للسائل بالإهلال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العمرة إلى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التلفظ في التلبية بالعمرة ممّا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لمّا رأى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يؤدّي إلى الفساد وإلى الطعن على منْ يختصّ به من أجلّة أصحابه قال لهم لبّوا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يدلّ على أنّ الإهلال في التلبية بلفظ العمرة ممّا لا إشكال فيه وأنّه جائز شرعاً</w:t>
      </w:r>
      <w:r>
        <w:rPr>
          <w:rFonts w:eastAsia="IRNazanin" w:cs="IRNazanin"/>
          <w:color w:val="111111"/>
          <w:sz w:val="28"/>
          <w:szCs w:val="28"/>
          <w:rtl w:val="true"/>
          <w:lang w:bidi="fa-IR"/>
        </w:rPr>
        <w:t>.</w:t>
      </w:r>
    </w:p>
    <w:p>
      <w:pPr>
        <w:pStyle w:val="Heading5"/>
        <w:numPr>
          <w:ilvl w:val="4"/>
          <w:numId w:val="1"/>
        </w:numPr>
        <w:rPr/>
      </w:pPr>
      <w:bookmarkStart w:id="672" w:name="__RefHeading___Toc2933588_2870459653"/>
      <w:bookmarkStart w:id="673" w:name="_Toc266"/>
      <w:bookmarkEnd w:id="672"/>
      <w:r>
        <w:rPr>
          <w:rtl w:val="true"/>
        </w:rPr>
        <w:t>الطائفة الثانية</w:t>
      </w:r>
      <w:r>
        <w:rPr>
          <w:rtl w:val="true"/>
        </w:rPr>
        <w:t xml:space="preserve">: </w:t>
      </w:r>
      <w:r>
        <w:rPr>
          <w:rtl w:val="true"/>
        </w:rPr>
        <w:t>ما ورد فيها لفظ الحج عند التلبية</w:t>
      </w:r>
      <w:bookmarkEnd w:id="673"/>
    </w:p>
    <w:p>
      <w:pPr>
        <w:pStyle w:val="Heading6"/>
        <w:numPr>
          <w:ilvl w:val="5"/>
          <w:numId w:val="1"/>
        </w:numPr>
        <w:rPr/>
      </w:pPr>
      <w:bookmarkStart w:id="674" w:name="__RefHeading___Toc2933590_2870459653"/>
      <w:bookmarkStart w:id="675" w:name="_Toc267"/>
      <w:bookmarkEnd w:id="674"/>
      <w:r>
        <w:rPr>
          <w:rtl w:val="true"/>
        </w:rPr>
        <w:t>اشارة</w:t>
      </w:r>
      <w:bookmarkEnd w:id="675"/>
    </w:p>
    <w:p>
      <w:pPr>
        <w:pStyle w:val="BookText"/>
        <w:rPr/>
      </w:pPr>
      <w:r>
        <w:rPr>
          <w:rFonts w:ascii="Amiri" w:hAnsi="Amiri" w:eastAsia="Amiri" w:cs="Amiri"/>
          <w:color w:val="111111"/>
          <w:sz w:val="28"/>
          <w:sz w:val="28"/>
          <w:szCs w:val="28"/>
          <w:rtl w:val="true"/>
          <w:lang w:bidi="ar-SA"/>
        </w:rPr>
        <w:t>وهي أربع روايات</w:t>
      </w:r>
      <w:r>
        <w:rPr>
          <w:rFonts w:eastAsia="Amiri" w:cs="Amiri" w:ascii="Amiri" w:hAnsi="Amiri"/>
          <w:color w:val="111111"/>
          <w:sz w:val="28"/>
          <w:szCs w:val="28"/>
          <w:rtl w:val="true"/>
          <w:lang w:bidi="ar-SA"/>
        </w:rPr>
        <w:t>:</w:t>
      </w:r>
    </w:p>
    <w:p>
      <w:pPr>
        <w:pStyle w:val="Heading6"/>
        <w:numPr>
          <w:ilvl w:val="5"/>
          <w:numId w:val="1"/>
        </w:numPr>
        <w:rPr/>
      </w:pPr>
      <w:bookmarkStart w:id="676" w:name="__RefHeading___Toc2933592_2870459653"/>
      <w:bookmarkStart w:id="677" w:name="_Toc268"/>
      <w:bookmarkEnd w:id="676"/>
      <w:r>
        <w:rPr>
          <w:rtl w:val="true"/>
        </w:rPr>
        <w:t>الرواية الأولى</w:t>
      </w:r>
      <w:bookmarkEnd w:id="677"/>
    </w:p>
    <w:p>
      <w:pPr>
        <w:pStyle w:val="BookText"/>
        <w:rPr/>
      </w:pPr>
      <w:r>
        <w:rPr>
          <w:rFonts w:ascii="IRNazanin" w:hAnsi="IRNazanin" w:eastAsia="IRNazanin"/>
          <w:color w:val="111111"/>
          <w:sz w:val="28"/>
          <w:sz w:val="28"/>
          <w:szCs w:val="28"/>
          <w:rtl w:val="true"/>
          <w:lang w:bidi="fa-IR"/>
        </w:rPr>
        <w:t>معتبرة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أتمتع؟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تأتي الوقت فتلبّي بالحجّ، فإذا دخلت مكة طفت بالبيت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وصليت الركعتين خلف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وسعيت بين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وأحللت من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لك أنْ تخرج من مكة حتى تحجّ</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سند الحديث فقد ذكر الشيخ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رواه أيضاً عن حمّاد بن عيسى، عن حريز بن عبد الله، عن زرارة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السند جاء تعليقاً على السند السابق له وهو عن موسى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السند موسى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الشيخ إلى موسى بن القاسم صحيح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بن القاسم ثقة من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بقية رجال السند فقد تقدّم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معتبرة السند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دلالة المعتبرة فهي صريحة بالتلفظ بالحجّ في التلبية عند الميقات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لزرارة تأتي الوقت، أي الميقات فتلبّي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تتلفظ بالحج في التلبية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w:t>
      </w:r>
      <w:bookmarkStart w:id="678" w:name="pg9124_98743"/>
    </w:p>
    <w:p>
      <w:pPr>
        <w:pStyle w:val="BookText"/>
        <w:rPr/>
      </w:pPr>
      <w:bookmarkEnd w:id="678"/>
      <w:r>
        <w:rPr>
          <w:rFonts w:ascii="Amiri" w:hAnsi="Amiri" w:eastAsia="Amiri" w:cs="Amiri"/>
          <w:color w:val="111111"/>
          <w:sz w:val="28"/>
          <w:sz w:val="28"/>
          <w:szCs w:val="28"/>
          <w:rtl w:val="true"/>
          <w:lang w:bidi="ar-SA"/>
        </w:rPr>
        <w:t>من روايات التلفظ بالحجّ في التلبية</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2933594_2870459653"/>
      <w:bookmarkStart w:id="680" w:name="_Toc269"/>
      <w:bookmarkEnd w:id="679"/>
      <w:r>
        <w:rPr>
          <w:rtl w:val="true"/>
        </w:rPr>
        <w:t>الرواية الثانية</w:t>
      </w:r>
      <w:bookmarkEnd w:id="680"/>
    </w:p>
    <w:p>
      <w:pPr>
        <w:pStyle w:val="BookText"/>
        <w:rPr/>
      </w:pPr>
      <w:r>
        <w:rPr>
          <w:rFonts w:ascii="IRNazanin" w:hAnsi="IRNazanin" w:eastAsia="IRNazanin"/>
          <w:color w:val="111111"/>
          <w:sz w:val="28"/>
          <w:sz w:val="28"/>
          <w:szCs w:val="28"/>
          <w:rtl w:val="true"/>
          <w:lang w:bidi="fa-IR"/>
        </w:rPr>
        <w:t>ما رواه الشيخ بإسناده عن موسى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أهللت؟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أهللت بالحجّ ونويت المتعة، فصارت عمرتك كوفية، وحجتك مكية، ولو كنت نويت المتعة وأهللت بالحج كانت عمرتك وحجتك كوفيتين</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سند الحديث فتقدّم الكلام في رجاله ومنه يظهر أنّ الرواية 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دلالة الرواية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كنت نويت المتعة وأهللت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العمرة التي يتمتع بها إلى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الحج عند التلبية، فهذه من الروايات التي تذكر لفظ الحج عند التلبية في الميقات</w:t>
      </w:r>
      <w:r>
        <w:rPr>
          <w:rFonts w:eastAsia="IRNazanin" w:cs="IRNazanin"/>
          <w:color w:val="111111"/>
          <w:sz w:val="28"/>
          <w:szCs w:val="28"/>
          <w:rtl w:val="true"/>
          <w:lang w:bidi="fa-IR"/>
        </w:rPr>
        <w:t>.</w:t>
      </w:r>
    </w:p>
    <w:p>
      <w:pPr>
        <w:pStyle w:val="Heading6"/>
        <w:numPr>
          <w:ilvl w:val="5"/>
          <w:numId w:val="1"/>
        </w:numPr>
        <w:rPr/>
      </w:pPr>
      <w:bookmarkStart w:id="681" w:name="__RefHeading___Toc2933596_2870459653"/>
      <w:bookmarkStart w:id="682" w:name="_Toc270"/>
      <w:bookmarkEnd w:id="681"/>
      <w:r>
        <w:rPr>
          <w:rtl w:val="true"/>
        </w:rPr>
        <w:t>الرواية الثالثة</w:t>
      </w:r>
      <w:bookmarkEnd w:id="682"/>
    </w:p>
    <w:p>
      <w:pPr>
        <w:pStyle w:val="BookText"/>
        <w:rPr/>
      </w:pPr>
      <w:r>
        <w:rPr>
          <w:rFonts w:ascii="IRNazanin" w:hAnsi="IRNazanin" w:eastAsia="IRNazanin"/>
          <w:color w:val="111111"/>
          <w:sz w:val="28"/>
          <w:sz w:val="28"/>
          <w:szCs w:val="28"/>
          <w:rtl w:val="true"/>
          <w:lang w:bidi="fa-IR"/>
        </w:rPr>
        <w:t>ما رواه الشيخ بإسناده عن موسى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التلبية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 بالحجّ فإذا دخلت مكة طفت بالبيت وصليت وأحللت</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فقد تقدّم الكلام في أغلب رجاله ما عدا أبان بن عثمان، وهو لم يرد في حقه توثيق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الكشي عدّه من أصحاب الإجماع الذين أجمعت العصابة على تصحيح ما يصحّ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توثيقه 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الخامسة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دلالة الرواية فهي دالّة بوضوح على أنّ التلبية عند الميقات تكون بلفظ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 روايات الطائفة الواردة بلفظ الحجّ في التلبية</w:t>
      </w:r>
      <w:r>
        <w:rPr>
          <w:rFonts w:eastAsia="Amiri" w:cs="Amiri" w:ascii="Amiri" w:hAnsi="Amiri"/>
          <w:color w:val="111111"/>
          <w:sz w:val="28"/>
          <w:szCs w:val="28"/>
          <w:rtl w:val="true"/>
          <w:lang w:bidi="ar-SA"/>
        </w:rPr>
        <w:t xml:space="preserve">. </w:t>
      </w:r>
      <w:bookmarkStart w:id="683" w:name="pg9124_98744"/>
    </w:p>
    <w:p>
      <w:pPr>
        <w:pStyle w:val="BookText"/>
        <w:rPr/>
      </w:pPr>
      <w:bookmarkEnd w:id="683"/>
      <w:r>
        <w:rPr>
          <w:rFonts w:ascii="Amiri" w:hAnsi="Amiri" w:eastAsia="Amiri" w:cs="Amiri"/>
          <w:color w:val="111111"/>
          <w:sz w:val="28"/>
          <w:sz w:val="28"/>
          <w:szCs w:val="28"/>
          <w:rtl w:val="true"/>
          <w:lang w:bidi="ar-SA"/>
        </w:rPr>
        <w:t>والظاهر اتحاد هذه الرواية مع الرواية السابقة</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2933598_2870459653"/>
      <w:bookmarkStart w:id="685" w:name="_Toc271"/>
      <w:bookmarkEnd w:id="684"/>
      <w:r>
        <w:rPr>
          <w:rtl w:val="true"/>
        </w:rPr>
        <w:t>الرواية الرابعة</w:t>
      </w:r>
      <w:bookmarkEnd w:id="685"/>
    </w:p>
    <w:p>
      <w:pPr>
        <w:pStyle w:val="BookText"/>
        <w:rPr/>
      </w:pPr>
      <w:r>
        <w:rPr>
          <w:rFonts w:ascii="IRNazanin" w:hAnsi="IRNazanin" w:eastAsia="IRNazanin"/>
          <w:color w:val="111111"/>
          <w:sz w:val="28"/>
          <w:sz w:val="28"/>
          <w:szCs w:val="28"/>
          <w:rtl w:val="true"/>
          <w:lang w:bidi="fa-IR"/>
        </w:rPr>
        <w:t>ما رواه الشيخ بإسناده عن موسى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أصنع إذا أردت أن أتمتع؟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 بالحجّ وانوِ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دخلت مكة طفت بالبيت وصليت الركعتين خلف المقام وسعيت بين الصفا والمروة وقصّرتَ ففسختها وجعلتها متعة</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الكلام في السند فقد تقدّم ذكر وثاقة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الرواية فهي تدلّ صريحاً على أنَّ التلفظ في التلبية عند الميقات إنَّما يكون بلفظ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 روايات الطائفة الثانية</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2933600_2870459653"/>
      <w:bookmarkStart w:id="687" w:name="_Toc272"/>
      <w:bookmarkEnd w:id="686"/>
      <w:r>
        <w:rPr>
          <w:rtl w:val="true"/>
        </w:rPr>
        <w:t>الطائفة الثّالثة</w:t>
      </w:r>
      <w:r>
        <w:rPr>
          <w:rtl w:val="true"/>
        </w:rPr>
        <w:t xml:space="preserve">: </w:t>
      </w:r>
      <w:r>
        <w:rPr>
          <w:rtl w:val="true"/>
        </w:rPr>
        <w:t>ما ورد فيها لفظ العمرة والحج معاً</w:t>
      </w:r>
      <w:bookmarkEnd w:id="687"/>
    </w:p>
    <w:p>
      <w:pPr>
        <w:pStyle w:val="Heading6"/>
        <w:numPr>
          <w:ilvl w:val="5"/>
          <w:numId w:val="1"/>
        </w:numPr>
        <w:rPr/>
      </w:pPr>
      <w:bookmarkStart w:id="688" w:name="__RefHeading___Toc2933602_2870459653"/>
      <w:bookmarkStart w:id="689" w:name="_Toc273"/>
      <w:bookmarkEnd w:id="688"/>
      <w:r>
        <w:rPr>
          <w:rtl w:val="true"/>
        </w:rPr>
        <w:t>اشارة</w:t>
      </w:r>
      <w:bookmarkEnd w:id="689"/>
    </w:p>
    <w:p>
      <w:pPr>
        <w:pStyle w:val="BookText"/>
        <w:rPr/>
      </w:pPr>
      <w:r>
        <w:rPr>
          <w:rFonts w:ascii="Amiri" w:hAnsi="Amiri" w:eastAsia="Amiri" w:cs="Amiri"/>
          <w:color w:val="111111"/>
          <w:sz w:val="28"/>
          <w:sz w:val="28"/>
          <w:szCs w:val="28"/>
          <w:rtl w:val="true"/>
          <w:lang w:bidi="ar-SA"/>
        </w:rPr>
        <w:t>وهي روايتان</w:t>
      </w:r>
      <w:r>
        <w:rPr>
          <w:rFonts w:eastAsia="Amiri" w:cs="Amiri" w:ascii="Amiri" w:hAnsi="Amiri"/>
          <w:color w:val="111111"/>
          <w:sz w:val="28"/>
          <w:szCs w:val="28"/>
          <w:rtl w:val="true"/>
          <w:lang w:bidi="ar-SA"/>
        </w:rPr>
        <w:t>:</w:t>
      </w:r>
    </w:p>
    <w:p>
      <w:pPr>
        <w:pStyle w:val="Heading6"/>
        <w:numPr>
          <w:ilvl w:val="5"/>
          <w:numId w:val="1"/>
        </w:numPr>
        <w:rPr/>
      </w:pPr>
      <w:bookmarkStart w:id="690" w:name="__RefHeading___Toc2933604_2870459653"/>
      <w:bookmarkStart w:id="691" w:name="_Toc274"/>
      <w:bookmarkEnd w:id="690"/>
      <w:r>
        <w:rPr>
          <w:rtl w:val="true"/>
        </w:rPr>
        <w:t>الرواية الأولى</w:t>
      </w:r>
      <w:bookmarkEnd w:id="69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الشيخ بإسناده عن موسى بن القاسم، عن ابن أبي عمير، عن حمَّاد،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عثمان خرج حاجّاً فلمَّا صار إلى الأبواء أمر منادياً ينادي بالناس أجعلوها حجَّة ولا تمتعوا فنادى المنادي، فمرَّ المنادي بالمقداد ابن الأسود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لتجدنّ عند القلائص رجلاً ينكر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انتهى المنادي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عند ركائبه يلقمها ضبطاً ودقيقاً، فلمَّا سمع النداء تركها مضى إلى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أمرت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رأي رأيته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أمرت بخلاف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أدبر مولَّياً رافعاً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بحجّة وعمرة معاً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مروان بن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بعد ذلك فكأنِّي أنظر إلى بياض الدقيق مع خضرة الخبط على ذراعيه</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692" w:name="pg9124_98745"/>
    </w:p>
    <w:p>
      <w:pPr>
        <w:pStyle w:val="BookText"/>
        <w:rPr/>
      </w:pPr>
      <w:bookmarkEnd w:id="692"/>
      <w:r>
        <w:rPr>
          <w:rFonts w:ascii="Amiri" w:hAnsi="Amiri" w:eastAsia="Amiri" w:cs="Amiri"/>
          <w:color w:val="111111"/>
          <w:sz w:val="28"/>
          <w:sz w:val="28"/>
          <w:szCs w:val="28"/>
          <w:rtl w:val="true"/>
          <w:lang w:bidi="ar-SA"/>
        </w:rPr>
        <w:t>والكلام تارة في السند، وأخرى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فلم يبقَ إلَّا الحلبي لم نتعرض له وهو عبيد الله بن علي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وثَّقه النجاشي</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الرواية فهي صريحة بالتلفظ بالحج والعمرة معاً في التلبية عند الميقات فهي من روايات الطائفة الثّالثة</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2933606_2870459653"/>
      <w:bookmarkStart w:id="694" w:name="_Toc275"/>
      <w:bookmarkEnd w:id="693"/>
      <w:r>
        <w:rPr>
          <w:rtl w:val="true"/>
        </w:rPr>
        <w:t>الرواية الثّانية</w:t>
      </w:r>
      <w:bookmarkEnd w:id="694"/>
    </w:p>
    <w:p>
      <w:pPr>
        <w:pStyle w:val="BookText"/>
        <w:rPr/>
      </w:pPr>
      <w:r>
        <w:rPr>
          <w:rFonts w:ascii="IRNazanin" w:hAnsi="IRNazanin" w:eastAsia="IRNazanin"/>
          <w:color w:val="111111"/>
          <w:sz w:val="28"/>
          <w:sz w:val="28"/>
          <w:szCs w:val="28"/>
          <w:rtl w:val="true"/>
          <w:lang w:bidi="fa-IR"/>
        </w:rPr>
        <w:t>صحيحة يعقوب بن شعيب، وهي ما رواه الشيخ بإسناده عن موسى بن القاسم، عن صفوان وابن أبي عمير، عن يعقوب 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ترى أن أهلّ؟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سمَّيت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لم تسمِّ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تصنع أنت؟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أجمعها فأقول لبيك بحجّة وعمرة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أنِّي قد قلت لأصحابك غير هذا</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فقد مرّ الكلام في وثاقة رجاله ما عدا يعقوب بن شعيب الذي وثَّقه النجاشي</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الصحيحة فهي تشير بوضوح إلى أنَّ التلفظ الذي ينبغي ذكره في التلبية عند الميقات هو الجمع بين لفظ الحجّ والعمرة، فهذه الرواية من الطائفة الثّالثة</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2933608_2870459653"/>
      <w:bookmarkStart w:id="696" w:name="_Toc276"/>
      <w:bookmarkEnd w:id="695"/>
      <w:r>
        <w:rPr>
          <w:rtl w:val="true"/>
        </w:rPr>
        <w:t>الطائفة الرابعة</w:t>
      </w:r>
      <w:r>
        <w:rPr>
          <w:rtl w:val="true"/>
        </w:rPr>
        <w:t xml:space="preserve">: </w:t>
      </w:r>
      <w:r>
        <w:rPr>
          <w:rtl w:val="true"/>
        </w:rPr>
        <w:t>وهي التي لم يرد فيها ذكر شيء من لفظ الحجّ أو العمرة في التلبية</w:t>
      </w:r>
      <w:bookmarkEnd w:id="696"/>
    </w:p>
    <w:p>
      <w:pPr>
        <w:pStyle w:val="Heading6"/>
        <w:numPr>
          <w:ilvl w:val="5"/>
          <w:numId w:val="1"/>
        </w:numPr>
        <w:rPr/>
      </w:pPr>
      <w:bookmarkStart w:id="697" w:name="__RefHeading___Toc2933610_2870459653"/>
      <w:bookmarkStart w:id="698" w:name="_Toc277"/>
      <w:bookmarkEnd w:id="697"/>
      <w:r>
        <w:rPr>
          <w:rtl w:val="true"/>
        </w:rPr>
        <w:t>اشارة</w:t>
      </w:r>
      <w:bookmarkEnd w:id="698"/>
    </w:p>
    <w:p>
      <w:pPr>
        <w:pStyle w:val="BookText"/>
        <w:rPr/>
      </w:pPr>
      <w:r>
        <w:rPr>
          <w:rFonts w:ascii="Amiri" w:hAnsi="Amiri" w:eastAsia="Amiri" w:cs="Amiri"/>
          <w:color w:val="111111"/>
          <w:sz w:val="28"/>
          <w:sz w:val="28"/>
          <w:szCs w:val="28"/>
          <w:rtl w:val="true"/>
          <w:lang w:bidi="ar-SA"/>
        </w:rPr>
        <w:t>وهي روايتان</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2933612_2870459653"/>
      <w:bookmarkStart w:id="700" w:name="_Toc278"/>
      <w:bookmarkEnd w:id="699"/>
      <w:r>
        <w:rPr>
          <w:rtl w:val="true"/>
        </w:rPr>
        <w:t>الرواية الأولى</w:t>
      </w:r>
      <w:bookmarkEnd w:id="70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الشيخ بإسناده عن سعد بن عبد الله، عن الحسن بن علي بن </w:t>
      </w:r>
      <w:bookmarkStart w:id="701" w:name="pg9124_98746"/>
    </w:p>
    <w:p>
      <w:pPr>
        <w:pStyle w:val="BookText"/>
        <w:rPr/>
      </w:pPr>
      <w:bookmarkEnd w:id="701"/>
      <w:r>
        <w:rPr>
          <w:rFonts w:ascii="IRNazanin" w:hAnsi="IRNazanin" w:eastAsia="IRNazanin"/>
          <w:color w:val="111111"/>
          <w:sz w:val="28"/>
          <w:sz w:val="28"/>
          <w:szCs w:val="28"/>
          <w:rtl w:val="true"/>
          <w:lang w:bidi="fa-IR"/>
        </w:rPr>
        <w:t>عبد الله، عن علي بن مهزيار، عن فضالة بن أيوب، عن رفاعة بن موسى، عن 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أهلُّ؟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 لا حجّاً ولا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وأضمر في نفسك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أدركت متمتعاً وإلاّ كنت حاجّاً</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تارة في السند، وأخرى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فقد تقدّم التعرض لبعض رجاله وبقي الحسن بن علي بن عبد الله فهو ابن المغيرة وثَّقه النجاشي</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وفضالة بن أيوب قد وثَّقه العلمان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ورفاعة بن موسى أيضاً وثَّقه العلمان</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من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وأبان بن تغلب ثقة، جليل القدر، كما عن الشيخ</w:t>
      </w:r>
      <w:r>
        <w:rPr>
          <w:rStyle w:val="FootnoteAnchor"/>
          <w:rtl w:val="true"/>
        </w:rPr>
        <w:footnoteReference w:id="654"/>
      </w:r>
      <w:r>
        <w:rPr>
          <w:rFonts w:ascii="Amiri" w:hAnsi="Amiri" w:eastAsia="Amiri" w:cs="Amiri"/>
          <w:color w:val="111111"/>
          <w:sz w:val="28"/>
          <w:sz w:val="28"/>
          <w:szCs w:val="28"/>
          <w:rtl w:val="true"/>
          <w:lang w:bidi="ar-SA"/>
        </w:rPr>
        <w:t>وهو من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 فهي صريحة في عدم الحاجة إلى ذكر لفظ الحجّ أو العمرة في التلبية عند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 روايات الطائفة الرابعة</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2933614_2870459653"/>
      <w:bookmarkStart w:id="703" w:name="_Toc279"/>
      <w:bookmarkEnd w:id="702"/>
      <w:r>
        <w:rPr>
          <w:rtl w:val="true"/>
        </w:rPr>
        <w:t>الرواية الثانية</w:t>
      </w:r>
      <w:bookmarkEnd w:id="70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الشيخ بإسناده عن محمّد بن يعقوب، عن عدَّة من أصحابنا، عن أحمد بن محمّد، عن علي بن الحكم، عن سيف بن عميرة، عن أبي بكر الحضرمي وزيد الشحّام،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نلبّي ولا نسمِّي </w:t>
      </w:r>
    </w:p>
    <w:p>
      <w:pPr>
        <w:pStyle w:val="BookText"/>
        <w:rPr/>
      </w:pPr>
      <w:r>
        <w:rPr>
          <w:rFonts w:ascii="Amiri" w:hAnsi="Amiri" w:eastAsia="Amiri" w:cs="Amiri"/>
          <w:color w:val="111111"/>
          <w:sz w:val="28"/>
          <w:sz w:val="28"/>
          <w:szCs w:val="28"/>
          <w:rtl w:val="true"/>
          <w:lang w:bidi="ar-SA"/>
        </w:rPr>
        <w:t>شيئاً،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لأصحاب الإضمار أحبّ إلي</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فقد تقدّم ذكر وثاقة جلّ رجاله، وبقي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بن عميرة وقد وثَّقه العلمان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الشحّام وهو زيد بن يونس، وقد وثَّقه الشيخ</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الرابعة التي أدركتها السادسة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منصور بن حازم وهو أيضاً ثقة كما عن النجاشي</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الطبقة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فالرواية 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دلالة الرواية فهي تشير إلى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بأنْ يلبّوا من دون ذكر أيّ شيء سواء لفظ الحج أو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يكشف عن أنَّ الرواية من روايات الطائفة الرابعة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هي الطوائف الأربعة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الرواية التي تشير بوضوح إلى أنَّ الإحرام لحجّ التمتع من الميقات من الأحكام الموسّعة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يسع المكلَّف أنْ يأتي بأيّ لفظ شاء فهي معتبرة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إلى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بالحج أن تهل بالإفراد وتنوي الفسخ إذا قدمت مكَّة وطفت وسعيت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الذي أمرناك به حجّ التمتع، فألزم ذلك ولا يضيقنّ صدرك، والذي أتاك به أبو بصير من الإهلال بالتمتع بالعمرة إلى الحج وما أمرنا به من أنْ يهلّ بالتمتع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فلذلك عندنا معانٍ وتصاريف لذلك ما يسعنا ويسعكم </w:t>
      </w:r>
    </w:p>
    <w:p>
      <w:pPr>
        <w:pStyle w:val="BookText"/>
        <w:rPr/>
      </w:pPr>
      <w:r>
        <w:rPr>
          <w:rFonts w:ascii="Amiri" w:hAnsi="Amiri" w:eastAsia="Amiri" w:cs="Amiri"/>
          <w:color w:val="111111"/>
          <w:sz w:val="28"/>
          <w:sz w:val="28"/>
          <w:szCs w:val="28"/>
          <w:rtl w:val="true"/>
          <w:lang w:bidi="ar-SA"/>
        </w:rPr>
        <w:t>ولا يخالف شيء منه الحق ولا يضادّه</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سند الحديث فقد تعرّضنا له في 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أعداد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وأثبتنا اعتباره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الكلام في الدلالة فقد ذكر السيد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دلالة هذه المعتبرة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فيلاحظ أنّ التلفظ بنوع النّسك لمّا كان من الموسّعات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العبرة بالنية القلبية وهي منعقدة على عمرة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أثر لكون المتلفظ به هو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يكون شيء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لبعض المصالح أمر أحد كبار أصحابه الكوفيين وهو زرارة بأنْ يلبى بالحجّ، في حين أمر أبا بصير بأنْ يُحرم بالعمرة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أراد لزرارة أنّ يشبه حجّه حجّ 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إنّهم أحرموا بالحج ثُمَّ عدلوا إلى عمرة التمتع</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ونزيد على كلام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التلفظ بنوع النّسك لو كان له مدخلية في الحكم الواقعي وأنّه يلزم الإخلال بالحكم الواقعي لو أتى بغير ما هو واجب عليه لمّا صح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يأمر زرارة بأنْ يتلفظ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ويأمر أبا بصير بالتلفظ بالعمرة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يكشف بوضوح عن أنّ التلفظ بنوع النّسك لمّا كان من الموسّعات وأنّ المكلّف في سعة من أمره فمن ثَمَّ اختلف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والشاهد عليه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فلذلك عندنا معانٍ لذلك ما يسعنا ويسعكم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لولا وجود معانٍ وتصاريف يمكن أنْ يحمل كلامنا عليها بحيث تكون هناك من السعة علينا وعليكم ما اختلف كلامنا بالنسبة إلى كيفية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التلفظ بنوع النّسك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وأيضاً يشهد على ذلك ذيل الرواية حيث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يخالف شيء من ذلك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يضادّه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الكلام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يشهد أنّ كُلّا من التلفظ بالحجّ أو العمرة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رعاية لبعض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يكون الفضل في بعضها أكثر فأمر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بشيء يخالف ما أمر أبا بصير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تكون المصلحة ما ذكرها السيد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لزرارة أنْ يشبه حجّه حجّ 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إنّهم احرموا بالحجّ ثُمَّ عدلوا إلى عمرة التمتع</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في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اختلاف الروايات الواردة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في بعضها يأمر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ذكر شيء من الحجّ أو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بعضها الآخر يأمر بذكر لفظ الحجّ أو 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يكشف عن أنّ التلفظ بنوع من الموسّعات التي لو لم يأتِ بها المكلّف لا يغيّر ذلك بالحجّ مادامت النية القلبية منعقدة عن ذلك النّسك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رعاية لبعض المصالح يأمر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بالإهلال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وأحياناً يأمر بالإهلال بالعمرة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كلا الموردين يكون الحكم مجزياً</w:t>
      </w:r>
      <w:r>
        <w:rPr>
          <w:rFonts w:eastAsia="IRNazanin" w:cs="IRNazanin"/>
          <w:color w:val="111111"/>
          <w:sz w:val="28"/>
          <w:szCs w:val="28"/>
          <w:rtl w:val="true"/>
          <w:lang w:bidi="fa-IR"/>
        </w:rPr>
        <w:t xml:space="preserve">. </w:t>
      </w:r>
      <w:bookmarkStart w:id="704" w:name="pg9124_98750"/>
    </w:p>
    <w:p>
      <w:pPr>
        <w:pStyle w:val="Heading4"/>
        <w:numPr>
          <w:ilvl w:val="3"/>
          <w:numId w:val="1"/>
        </w:numPr>
        <w:rPr/>
      </w:pPr>
      <w:bookmarkStart w:id="705" w:name="__RefHeading___Toc2933616_2870459653"/>
      <w:bookmarkStart w:id="706" w:name="_Toc280"/>
      <w:bookmarkEnd w:id="704"/>
      <w:bookmarkEnd w:id="705"/>
      <w:r>
        <w:rPr>
          <w:rtl w:val="true"/>
        </w:rPr>
        <w:t>المورد الخامس</w:t>
      </w:r>
      <w:r>
        <w:rPr>
          <w:rtl w:val="true"/>
        </w:rPr>
        <w:t xml:space="preserve">: </w:t>
      </w:r>
      <w:r>
        <w:rPr>
          <w:rtl w:val="true"/>
        </w:rPr>
        <w:t>من موارد اختلاف الأخبار في الأحكام الموسّعة هو ما ورد في إدراك حدّ المتعة</w:t>
      </w:r>
      <w:bookmarkEnd w:id="706"/>
    </w:p>
    <w:p>
      <w:pPr>
        <w:pStyle w:val="Heading5"/>
        <w:numPr>
          <w:ilvl w:val="4"/>
          <w:numId w:val="1"/>
        </w:numPr>
        <w:rPr/>
      </w:pPr>
      <w:bookmarkStart w:id="707" w:name="__RefHeading___Toc2933618_2870459653"/>
      <w:bookmarkStart w:id="708" w:name="_Toc281"/>
      <w:bookmarkEnd w:id="707"/>
      <w:r>
        <w:rPr>
          <w:rtl w:val="true"/>
        </w:rPr>
        <w:t>اشارة</w:t>
      </w:r>
      <w:bookmarkEnd w:id="708"/>
    </w:p>
    <w:p>
      <w:pPr>
        <w:pStyle w:val="BookText"/>
        <w:rPr/>
      </w:pPr>
      <w:r>
        <w:rPr>
          <w:rFonts w:ascii="IRNazanin" w:hAnsi="IRNazanin" w:eastAsia="IRNazanin"/>
          <w:color w:val="111111"/>
          <w:sz w:val="28"/>
          <w:sz w:val="28"/>
          <w:szCs w:val="28"/>
          <w:rtl w:val="true"/>
          <w:lang w:bidi="fa-IR"/>
        </w:rPr>
        <w:t xml:space="preserve">اختلفت الروايات الواردة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 إدراك المتعة اختلافاً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يأمرون أصحابهم بوجوه مختلفة لبعض المصالح كإيقاع الخلاف مثلاً، وأنْ لا يظهروا على رأي واحد وأنّهم تحت قيادة واحدة، أو لأجل المداراة والتخفيف، أو لأجل زيادة الفضل والثواب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لغيرها من المصالح ممّا اقتضى أنْ يكون الأمر على أنحاء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فلنتعرّض لهذه الروايات التي هي على طوائف مختلفة لنرى مدى الاختلاف الوارد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5"/>
        <w:numPr>
          <w:ilvl w:val="4"/>
          <w:numId w:val="1"/>
        </w:numPr>
        <w:rPr/>
      </w:pPr>
      <w:bookmarkStart w:id="709" w:name="__RefHeading___Toc2933620_2870459653"/>
      <w:bookmarkStart w:id="710" w:name="_Toc282"/>
      <w:bookmarkEnd w:id="709"/>
      <w:r>
        <w:rPr>
          <w:rtl w:val="true"/>
        </w:rPr>
        <w:t>الطائفة الأولى</w:t>
      </w:r>
      <w:r>
        <w:rPr>
          <w:rtl w:val="true"/>
        </w:rPr>
        <w:t xml:space="preserve">: </w:t>
      </w:r>
      <w:r>
        <w:rPr>
          <w:rtl w:val="true"/>
        </w:rPr>
        <w:t>ما دلّ على إدراك المتعة إلى طلوع الفجر من يوم التروية وذهابها بعده</w:t>
      </w:r>
      <w:bookmarkEnd w:id="710"/>
    </w:p>
    <w:p>
      <w:pPr>
        <w:pStyle w:val="Heading6"/>
        <w:numPr>
          <w:ilvl w:val="5"/>
          <w:numId w:val="1"/>
        </w:numPr>
        <w:rPr/>
      </w:pPr>
      <w:bookmarkStart w:id="711" w:name="__RefHeading___Toc2933622_2870459653"/>
      <w:bookmarkStart w:id="712" w:name="_Toc283"/>
      <w:bookmarkEnd w:id="711"/>
      <w:r>
        <w:rPr>
          <w:rtl w:val="true"/>
        </w:rPr>
        <w:t>اشارة</w:t>
      </w:r>
      <w:bookmarkEnd w:id="712"/>
    </w:p>
    <w:p>
      <w:pPr>
        <w:pStyle w:val="BookText"/>
        <w:rPr/>
      </w:pPr>
      <w:r>
        <w:rPr>
          <w:rFonts w:ascii="Amiri" w:hAnsi="Amiri" w:eastAsia="Amiri" w:cs="Amiri"/>
          <w:color w:val="111111"/>
          <w:sz w:val="28"/>
          <w:sz w:val="28"/>
          <w:szCs w:val="28"/>
          <w:rtl w:val="true"/>
          <w:lang w:bidi="ar-SA"/>
        </w:rPr>
        <w:t>وهي عدّة روايات</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2933624_2870459653"/>
      <w:bookmarkStart w:id="714" w:name="_Toc284"/>
      <w:bookmarkEnd w:id="713"/>
      <w:r>
        <w:rPr>
          <w:rtl w:val="true"/>
        </w:rPr>
        <w:t>الرواية الأولى</w:t>
      </w:r>
      <w:bookmarkEnd w:id="71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صحيحة محمّد بن إسماعيل بن بزيع، وهي ما رواه الشيخ بإسناده عن أحمد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أحمد بن محمّد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إسماعيل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تدخل مكة متمّتعة فتحيض قبل أنْ تحل متى تذهب متعتها؟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الشمس من يوم التروية، وكان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الصبح من يوم التروية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عامّة مواليك يدخلون يوم التروية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ويطوفون ويسعون ثم يحرمون بالحجّ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له رواية عجلان بن أبي صالح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إذا زالت الشمس ذهبت المتعة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إحرامها أو تجدّد إحرامها للحج؟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هي على إحرامها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فعليها هدي؟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تحبّ أنْ 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نحن فإذا رأينا هلال ذي الحجة قبل أنْ نحرم فاتتنا المتعة</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والمقصود برواية عجلان أبي صالح هو ما رواه الكليني بإسناده عن محمّد بن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بزيع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درست الواسطي عن عجلان أبي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متمتعة قدِمت مكة فرأت الدم،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تطوف بين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تجلس في بيتها، فإنْ طهرت طافت بالبيت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تطهر فإذا كان يوم التروية أفاضت عليها الماء وأهلت بالحجّ من 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إلى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وقضت المناسك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قدِمت مكة طافت بالبيت طوافين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سعت بين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فعلت فقد حلّ لها كل شيء ما خلا فراش زوجها</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بن إسماعيل بن بزيع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حال رجالها بما لا حاجة إلى تكراره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والكلام في دلالة الحديث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الملاحظ أنّ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عن سؤال محمّد بن إسماعيل بن بزيع عن حدّ إدراك المتعة بنقل كلامين مختلفين عن جدّه وأبيه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ينقلهما بصيغة رُوي ليُحمل أحد النقلين أو كلاهما على عدم الصحة، بل مع الجزم بالنسبة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 بصيغة الجزم إلى الإمامين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ليس له محمل صحيح إلّا أنْ يكون الحدّ لإدراك المتعة من الموسّعات التي يكون</w:t>
      </w:r>
      <w:bookmarkStart w:id="715" w:name="pg9124_98752"/>
    </w:p>
    <w:p>
      <w:pPr>
        <w:pStyle w:val="BookText"/>
        <w:rPr/>
      </w:pPr>
      <w:bookmarkEnd w:id="715"/>
      <w:r>
        <w:rPr>
          <w:rFonts w:ascii="IRNazanin" w:hAnsi="IRNazanin" w:eastAsia="IRNazanin"/>
          <w:color w:val="111111"/>
          <w:sz w:val="28"/>
          <w:sz w:val="28"/>
          <w:szCs w:val="28"/>
          <w:rtl w:val="true"/>
          <w:lang w:bidi="fa-IR"/>
        </w:rPr>
        <w:t>التشريع فيها ذا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ما صدر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مراعاة لبعض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لبيان الفرد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لأجل المداراة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لغير ذلك من المصالح التي ذكرناها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ظاهرة في أنّ الحدّ الأقصى لإدراك المتعة هو زوال الشمس من يوم التروية؛ لأنّ محمّد بن إسماعيل بن بزيع حاول انتزاع الترخيص في الإتيان بعمرة التمتع فيما بعد ذلك من خلال الإشارة إلى رواية عجلان أبي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يُجز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بقرينة الروايات التي سوف نستعرضها من خلال الطوائف الأخرى تُحمل الرواية على خلاف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اقتصر على كون الحدّ الأقصى لإدراك المتعة هو زوال الشمس من يوم التروية لأجل بعض المصالح والأغراض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لا يتأخّر المكلّف ويتهاون فيفوته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الصحيحة فيها دلالة واضحة على أنّ حدّ إدراك المتعة من الأحكام الموسّعة بحيث يمكن للمكلف أنْ يأتي بأعمال عمرة التمتع في أوقات مختلفة ولا يتحدّد بوقت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أنْ لا يتأخّر إلى وقت لا يستطيع أنْ يأتي بأعمال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زوال يوم عرفة كما سيأتي في الروايات اللاحقة</w:t>
      </w:r>
      <w:r>
        <w:rPr>
          <w:rFonts w:eastAsia="Amiri" w:cs="Amiri" w:ascii="Amiri" w:hAnsi="Amiri"/>
          <w:color w:val="111111"/>
          <w:sz w:val="28"/>
          <w:szCs w:val="28"/>
          <w:rtl w:val="true"/>
          <w:lang w:bidi="ar-SA"/>
        </w:rPr>
        <w:t>.</w:t>
      </w:r>
    </w:p>
    <w:p>
      <w:pPr>
        <w:pStyle w:val="Heading6"/>
        <w:numPr>
          <w:ilvl w:val="5"/>
          <w:numId w:val="1"/>
        </w:numPr>
        <w:rPr/>
      </w:pPr>
      <w:bookmarkStart w:id="716" w:name="__RefHeading___Toc2933626_2870459653"/>
      <w:bookmarkStart w:id="717" w:name="_Toc285"/>
      <w:bookmarkEnd w:id="716"/>
      <w:r>
        <w:rPr>
          <w:rtl w:val="true"/>
        </w:rPr>
        <w:t>الرواية الثّانية</w:t>
      </w:r>
      <w:bookmarkEnd w:id="71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صحيحة جميل بن دراج وهي ما رواه الشيخ بإسناده عن الحسين بن سعيد، عن صفوان بن يحيى وابن أبي عمير وفضالة،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الحائض إذا قدمت مكة يوم التروية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تمضي كما هي إلى عرفات فتجعلها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تقيم حتى تطهر وتخرج إلى التنعيم فتحرم فتجعلها عمرة</w:t>
      </w:r>
      <w:r>
        <w:rPr>
          <w:rFonts w:eastAsia="IRNazanin" w:cs="IRNazanin"/>
          <w:color w:val="111111"/>
          <w:sz w:val="28"/>
          <w:szCs w:val="28"/>
          <w:rtl w:val="true"/>
          <w:lang w:bidi="fa-IR"/>
        </w:rPr>
        <w:t>)</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صنعت 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وسند الرواية صحيح، وقد تقدّمت ترجمة الجميع ما عدا فضالة وهو فضالة بن أيوب الأزدي قد وثّقه العلمان</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والطوسي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الخامسة روى عنه رجال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قول بأنّ رواية الحسين بن سعيد عن فضالة كلّها بواسطة أخيه الحسن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ذلك أهمية كبيرة في روايتنا هذه طالما أنّ السند بالإضافة إلى فضالة يوجد صفوان وابن عمير وهما ممّن روى عنهما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السند من هذه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الكلام في دلالة الحديث فإنّ جميل بن دراج سأل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قدوم المرأة الحائض لمكة يوم التروية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أنّ قدومها بعد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بدقائق قليلة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يصدق عليه أنّه يوم التروية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تذهب متعتها بعد طلوع الفجر من يوم التروية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يكشف أنّ هذه الرواية هي من الطائفة الأولى التي جعلت حدّ المتعة هو طلوع الفجر من يوم التروية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نلاحظ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أنْ تجعل حجّها حجّ 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وتأتي بعمرة مفردة بعد الحجّ إنْ تمكنت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وهذه الصحيحة لا تنافي ما سيأتي من الروايات التي تجعل حدّ المتعة زوال يوم التروية أو فجر يوم عرفة؛ لاحتمال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 هذه المرأة لا تطهر إلى ما بعد زوال يوم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يكون حجّها إفراداً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 المتعة هو طلوع الفجر من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تصحّ المتعة في غير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بقرينة الروايات الآتية من أنّ حدّ المتعة يستمر إلى فجر يوم عرفة وإلى الزوال من يوم عرفة سيتضح أنّ هذا الحكم الذي ورد عن أهل </w:t>
      </w:r>
      <w:bookmarkStart w:id="718" w:name="pg9124_98754"/>
    </w:p>
    <w:p>
      <w:pPr>
        <w:pStyle w:val="BookText"/>
        <w:rPr/>
      </w:pPr>
      <w:bookmarkEnd w:id="718"/>
      <w:r>
        <w:rPr>
          <w:rFonts w:ascii="IRNazanin" w:hAnsi="IRNazanin" w:eastAsia="IRNazanin"/>
          <w:color w:val="111111"/>
          <w:sz w:val="28"/>
          <w:sz w:val="28"/>
          <w:szCs w:val="28"/>
          <w:rtl w:val="true"/>
          <w:lang w:bidi="fa-IR"/>
        </w:rPr>
        <w:t xml:space="preserve">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الأحكام الموسّعة التي يكون فيها سعة في التشريع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مخالفتها توجب مخالفة الحكم الواقعي بحدِّه لفرض أنّها لم تصدر لبيان الحكم الواقعي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الاقتصار على بعضها لأجل بعض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الاقتصار لا يعني أنّ مخالفة بعضها يؤدّي إلى مخالفة الحكم الواقعي</w:t>
      </w:r>
      <w:r>
        <w:rPr>
          <w:rFonts w:eastAsia="IRNazanin" w:cs="IRNazanin"/>
          <w:color w:val="111111"/>
          <w:sz w:val="28"/>
          <w:szCs w:val="28"/>
          <w:rtl w:val="true"/>
          <w:lang w:bidi="fa-IR"/>
        </w:rPr>
        <w:t>.</w:t>
      </w:r>
    </w:p>
    <w:p>
      <w:pPr>
        <w:pStyle w:val="Heading5"/>
        <w:numPr>
          <w:ilvl w:val="4"/>
          <w:numId w:val="1"/>
        </w:numPr>
        <w:rPr/>
      </w:pPr>
      <w:bookmarkStart w:id="719" w:name="__RefHeading___Toc2933628_2870459653"/>
      <w:bookmarkStart w:id="720" w:name="_Toc286"/>
      <w:bookmarkEnd w:id="719"/>
      <w:r>
        <w:rPr>
          <w:rtl w:val="true"/>
        </w:rPr>
        <w:t>الطائفة الثانية</w:t>
      </w:r>
      <w:r>
        <w:rPr>
          <w:rtl w:val="true"/>
        </w:rPr>
        <w:t xml:space="preserve">: </w:t>
      </w:r>
      <w:r>
        <w:rPr>
          <w:rtl w:val="true"/>
        </w:rPr>
        <w:t>ما دلّ على إدراك المتعة إلى زوال الشمس من يوم التروية بحيث تفوت المتعة</w:t>
      </w:r>
      <w:bookmarkEnd w:id="720"/>
    </w:p>
    <w:p>
      <w:pPr>
        <w:pStyle w:val="BookText"/>
        <w:rPr/>
      </w:pPr>
      <w:r>
        <w:rPr>
          <w:rFonts w:ascii="IRNazanin" w:hAnsi="IRNazanin" w:eastAsia="IRNazanin"/>
          <w:color w:val="111111"/>
          <w:sz w:val="28"/>
          <w:sz w:val="28"/>
          <w:szCs w:val="28"/>
          <w:rtl w:val="true"/>
          <w:lang w:bidi="fa-IR"/>
        </w:rPr>
        <w:t xml:space="preserve">ولا تصحّ بعد الزوال من يوم التروية، وهي صحيحة محمّد بن إسماعيل ابن بزيع المتقدّمة التي حكى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متعة الحائض تذهب بزوال الشمس من يوم التروية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زوال الشمس من يوم التروية</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حدّ المتعة إلى زوال الشمس من يوم التروية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وجُعلت فداك عامة مواليك يدخلون يوم التروية ويطوفون ويسعون ثم يحرمون بالحج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ذكر له السائل رواية عجلان أبي صالح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إذا زالت الشمس ذهبت المتعة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الرواية تدلّ على أنّ حدّ المتعة هو زوال الشمس من يوم التروية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 حكاية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أبيه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لبيان الحكم الواقعي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على حدّ الإلزام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على نحو الإلزام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ذكره لقول جدّه الصادق وكذلك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مخالفاً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نستبعده، بل نمنعه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w:t>
      </w:r>
      <w:bookmarkStart w:id="721" w:name="pg9124_98755"/>
    </w:p>
    <w:p>
      <w:pPr>
        <w:pStyle w:val="BookText"/>
        <w:rPr/>
      </w:pPr>
      <w:bookmarkEnd w:id="721"/>
      <w:r>
        <w:rPr>
          <w:rFonts w:ascii="IRNazanin" w:hAnsi="IRNazanin" w:eastAsia="IRNazanin"/>
          <w:color w:val="111111"/>
          <w:sz w:val="28"/>
          <w:sz w:val="28"/>
          <w:szCs w:val="28"/>
          <w:rtl w:val="true"/>
          <w:lang w:bidi="fa-IR"/>
        </w:rPr>
        <w:t>يكشف عن أنّ ذكر حدّ المتعة من أنّها إلى زوال يوم التروية يكون من الأحكام الموسّعة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واقتصار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فجر يوم التروية إنّما كان لمصلحة من قبيل حثّه على المبادرة وعدم التهاون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 لا يفوته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الطائفة أنّ كون حدّ المتعة هو زوال يوم التروية يكشف عن كون جعل حدّ المتعة هو فجر يوم التروية لم يكن من الإلزام، وإلّا لاستلزم أن يكون جعل حدّ المتعة هو زوال الشمس من يوم التروية مخالفاً للواقع، وهذا ممتنع</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2933630_2870459653"/>
      <w:bookmarkStart w:id="723" w:name="_Toc287"/>
      <w:bookmarkEnd w:id="722"/>
      <w:r>
        <w:rPr>
          <w:rtl w:val="true"/>
        </w:rPr>
        <w:t>الطائفة الثالثة</w:t>
      </w:r>
      <w:r>
        <w:rPr>
          <w:rtl w:val="true"/>
        </w:rPr>
        <w:t xml:space="preserve">: </w:t>
      </w:r>
      <w:r>
        <w:rPr>
          <w:rtl w:val="true"/>
        </w:rPr>
        <w:t>ما دلّ على إدراك المتعة إلى غروب الشمس من يوم التروية</w:t>
      </w:r>
      <w:bookmarkEnd w:id="723"/>
    </w:p>
    <w:p>
      <w:pPr>
        <w:pStyle w:val="Heading6"/>
        <w:numPr>
          <w:ilvl w:val="5"/>
          <w:numId w:val="1"/>
        </w:numPr>
        <w:rPr/>
      </w:pPr>
      <w:bookmarkStart w:id="724" w:name="__RefHeading___Toc2933632_2870459653"/>
      <w:bookmarkStart w:id="725" w:name="_Toc288"/>
      <w:bookmarkEnd w:id="724"/>
      <w:r>
        <w:rPr>
          <w:rtl w:val="true"/>
        </w:rPr>
        <w:t>اشارة</w:t>
      </w:r>
      <w:bookmarkEnd w:id="725"/>
    </w:p>
    <w:p>
      <w:pPr>
        <w:pStyle w:val="BookText"/>
        <w:rPr/>
      </w:pPr>
      <w:r>
        <w:rPr>
          <w:rFonts w:ascii="Amiri" w:hAnsi="Amiri" w:eastAsia="Amiri" w:cs="Amiri"/>
          <w:color w:val="111111"/>
          <w:sz w:val="28"/>
          <w:sz w:val="28"/>
          <w:szCs w:val="28"/>
          <w:rtl w:val="true"/>
          <w:lang w:bidi="ar-SA"/>
        </w:rPr>
        <w:t>وعدم إدراكها بعد ذلك، وهي روايتان</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2933634_2870459653"/>
      <w:bookmarkStart w:id="727" w:name="_Toc289"/>
      <w:bookmarkEnd w:id="726"/>
      <w:r>
        <w:rPr>
          <w:rtl w:val="true"/>
        </w:rPr>
        <w:t>الأولى</w:t>
      </w:r>
      <w:bookmarkEnd w:id="727"/>
    </w:p>
    <w:p>
      <w:pPr>
        <w:pStyle w:val="BookText"/>
        <w:rPr/>
      </w:pPr>
      <w:r>
        <w:rPr>
          <w:rFonts w:ascii="IRNazanin" w:hAnsi="IRNazanin" w:eastAsia="IRNazanin"/>
          <w:color w:val="111111"/>
          <w:sz w:val="28"/>
          <w:sz w:val="28"/>
          <w:szCs w:val="28"/>
          <w:rtl w:val="true"/>
          <w:lang w:bidi="fa-IR"/>
        </w:rPr>
        <w:t>صحيحة عيص بن القاسم وهي ما رواها الشيخ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موسى ابن القاسم لأنّه المتقدم في الرواية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المتمتع يقدِم مكة يوم التروية صلاة العصر تفوته المتعة؟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له ما بينه وبين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صنع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صحيحة السند لوثاقة جميع رجالها، وقد تقدمت ترجمتهم عدا العيص بن القاسم، فقد قال عنه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عيص بن القاسم بن ثابت بن عبيد بن مهران البجلي كوفي عربي يكنى أبا القاسم ثقة</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تكون الرواية صحيحة السند لوثاقة جميع رواتها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الكلام في الدلالة فقد ذكر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أنّ في ذيل الصحيحة إشكالاً، </w:t>
      </w:r>
      <w:bookmarkStart w:id="728" w:name="pg9124_98756"/>
    </w:p>
    <w:p>
      <w:pPr>
        <w:pStyle w:val="BookText"/>
        <w:rPr/>
      </w:pPr>
      <w:bookmarkEnd w:id="728"/>
      <w:r>
        <w:rPr>
          <w:rFonts w:ascii="IRNazanin" w:hAnsi="IRNazanin" w:eastAsia="IRNazanin"/>
          <w:color w:val="111111"/>
          <w:sz w:val="28"/>
          <w:sz w:val="28"/>
          <w:szCs w:val="28"/>
          <w:rtl w:val="true"/>
          <w:lang w:bidi="fa-IR"/>
        </w:rPr>
        <w:t xml:space="preserve">لأنّ من المسلّم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يحجّ تمتعاً؛ فإنّ المتعة نزلت في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بإمكانه العدول إلى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ذلك لا يمنع دلالة الرواية على كون حدّ إدراك المتعة هو غروب الشمس من يوم التروية ممّا تكشف عن أنّ ما ذكره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لبيان الحكم الواقعي بحدِّه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لاستلزم أنْ يكون ما ذكر في هذه الصحيحة ليس بصحيح مع أنّها تامّة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هي واضحة الدلالة على كون حدّ إدراك المتعة هو غروب الشمس من يوم التروية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اقتصر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الروايات السابقة على فجر يوم التروية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زوال الشمس من يوم التروية لأجل بعض المصالح التي ذكرنا بعضها في الكلام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تكون هذه الرواية أيضاً كاشفة عن كون حدّ إدراك المتعة من الأحكام الموسّعة التي يكون التشريع فيها موسعاً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يمكن للمكلّف أنْ يأخذ بأيّهما شاء</w:t>
      </w:r>
      <w:r>
        <w:rPr>
          <w:rFonts w:eastAsia="IRNazanin" w:cs="IRNazanin"/>
          <w:color w:val="111111"/>
          <w:sz w:val="28"/>
          <w:szCs w:val="28"/>
          <w:rtl w:val="true"/>
          <w:lang w:bidi="fa-IR"/>
        </w:rPr>
        <w:t>.</w:t>
      </w:r>
    </w:p>
    <w:p>
      <w:pPr>
        <w:pStyle w:val="Heading6"/>
        <w:numPr>
          <w:ilvl w:val="5"/>
          <w:numId w:val="1"/>
        </w:numPr>
        <w:rPr/>
      </w:pPr>
      <w:bookmarkStart w:id="729" w:name="__RefHeading___Toc2933636_2870459653"/>
      <w:bookmarkStart w:id="730" w:name="_Toc290"/>
      <w:bookmarkEnd w:id="729"/>
      <w:r>
        <w:rPr>
          <w:rtl w:val="true"/>
        </w:rPr>
        <w:t>الثانية</w:t>
      </w:r>
      <w:bookmarkEnd w:id="730"/>
    </w:p>
    <w:p>
      <w:pPr>
        <w:pStyle w:val="BookText"/>
        <w:rPr/>
      </w:pPr>
      <w:r>
        <w:rPr>
          <w:rFonts w:ascii="IRNazanin" w:hAnsi="IRNazanin" w:eastAsia="IRNazanin"/>
          <w:color w:val="111111"/>
          <w:sz w:val="28"/>
          <w:sz w:val="28"/>
          <w:szCs w:val="28"/>
          <w:rtl w:val="true"/>
          <w:lang w:bidi="fa-IR"/>
        </w:rPr>
        <w:t>ما رواه الشيخ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موسى بن القاسم لفرض أنّه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سهل عن أبيه عن إسحاق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المتمتع يدخل مكة يوم التروية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للمتمتع ما بينه وبين الليل</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سند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الكلام في موسى بن القاسم وفي طريق الشيخ إليه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محمّد بن سهل فقد ذكره النجاشي</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ذكره الشيخ </w:t>
      </w:r>
      <w:r>
        <w:rPr>
          <w:rStyle w:val="FootnoteAnchor"/>
          <w:rtl w:val="true"/>
        </w:rPr>
        <w:footnoteReference w:id="671"/>
      </w:r>
      <w:r>
        <w:rPr>
          <w:rFonts w:ascii="Amiri" w:hAnsi="Amiri" w:eastAsia="Amiri" w:cs="Amiri"/>
          <w:color w:val="111111"/>
          <w:sz w:val="28"/>
          <w:sz w:val="28"/>
          <w:szCs w:val="28"/>
          <w:rtl w:val="true"/>
          <w:lang w:bidi="ar-SA"/>
        </w:rPr>
        <w:t>في الفهرست وأيضاً لم يوثقه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السادسة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أبوه فهو سهل بن اليسع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سهل بن اليسع بن عبد الله بن سعد الأشعري قمي ثقة من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إسحاق بن عبد الله فقد 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إسحاق بن عبد الله بن سعد بن مالك الأشعري قمي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كبار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تكون الرواية ضعيفة بمحمّد بن سهل؛ لأنّه لم يوثّق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يضرّ ضعف سندها في المقام مع وجود رواية صحيحة السند تدلّ على أنّ حدّ إدراك المتعة هو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تكون هذه الرواية صالحة لتأييد أنّ حدّ المتعة من الأحكام الموسّعة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الكلام في دلالة الرواية فمن الواضح أنّ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سئل عن المتمتع الذي يدخل يوم التروية كان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للمتمتع ما بينه وبين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 المتمتع يمكن له أنْ يدرك المتعة قبل غروب الشمس من يوم التروية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وكلام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لبيان الحكم الواقعي بحدِّه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 على حدّ الإلزام بحيث لا يجوز التخلّف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منافياً لما حكاه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كون حدّ إدراك المتعة هو فجر يوم التروية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يرفع هذا التنافي هو أنْ نحمل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اقتصاره على غروب يوم التروية لإدراك المتعة لم يكن صادراً لبيان الحكم الواقعي بحدِّه بحيث لا يجوز التخلّف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نحمله على كون حدّ إدراك المتعة من الأحكام الموسّعة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يُلزَم المكلّف ببعضها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اقتصار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31" w:name="pg9124_98758"/>
    </w:p>
    <w:p>
      <w:pPr>
        <w:pStyle w:val="BookText"/>
        <w:rPr/>
      </w:pPr>
      <w:bookmarkEnd w:id="731"/>
      <w:r>
        <w:rPr>
          <w:rFonts w:ascii="Amiri" w:hAnsi="Amiri" w:eastAsia="Amiri" w:cs="Amiri"/>
          <w:color w:val="111111"/>
          <w:sz w:val="28"/>
          <w:sz w:val="28"/>
          <w:szCs w:val="28"/>
          <w:rtl w:val="true"/>
          <w:lang w:bidi="ar-SA"/>
        </w:rPr>
        <w:t>على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رعاية لبعض المصالح كأنْ لا يتهاون المكلّف في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باب المداراة لبعض المكلّفين الذين لديهم ضعف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كسابقتها تكشف عن كون حدّ إدراك المتعة من الأحكام الموسّعة</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2933638_2870459653"/>
      <w:bookmarkStart w:id="733" w:name="_Toc291"/>
      <w:bookmarkEnd w:id="732"/>
      <w:r>
        <w:rPr>
          <w:rtl w:val="true"/>
        </w:rPr>
        <w:t>الطائفة الرابعة</w:t>
      </w:r>
      <w:r>
        <w:rPr>
          <w:rtl w:val="true"/>
        </w:rPr>
        <w:t xml:space="preserve">: </w:t>
      </w:r>
      <w:r>
        <w:rPr>
          <w:rtl w:val="true"/>
        </w:rPr>
        <w:t>ما دلّ على إدراك المتعة إلى وقت السحر من ليلة عرفة وعدم إدراكها بعد ذلك</w:t>
      </w:r>
      <w:bookmarkEnd w:id="733"/>
    </w:p>
    <w:p>
      <w:pPr>
        <w:pStyle w:val="BookText"/>
        <w:rPr/>
      </w:pPr>
      <w:r>
        <w:rPr>
          <w:rFonts w:ascii="IRNazanin" w:hAnsi="IRNazanin" w:eastAsia="IRNazanin"/>
          <w:color w:val="111111"/>
          <w:sz w:val="28"/>
          <w:sz w:val="28"/>
          <w:szCs w:val="28"/>
          <w:rtl w:val="true"/>
          <w:lang w:bidi="fa-IR"/>
        </w:rPr>
        <w:t>وهي صحيحة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متى يكون للحاج عمرة؟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السّحر من ليلة عرفة</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واردة في التهذيب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موسى بن القاسم عن حسن عن علا بن رزين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 صحّة 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ذكر وثاقته وطبقته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الراوي لكتاب العلاء يمكن أنْ يراد به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يراد به الحسن بن زياد الوشاء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رزين القلاء ثقة جليل القدر له كتاب وهو أربع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الحسن بن محبوب</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وجميع هؤلاء أي الحسن بن محبوب أو الحسن بن فضال أو الحسن بن زياد الوشاء من الطبقة السادسة؛ لأنّ العلاء بن رزين من الطبقة الخامسة فالطبقة تساعد، وجميع هؤلاء من الثقات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العلاء بن رزين فقد 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العلاء بن رزين القلّاء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ثقفي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آنفاً كلام الشيخ في حقّه الذي حكاه عنه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 وهو من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مسلم فقد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مسلم بن رباح أبو جعفر الأوقص الطحّان، مولى ثقيف الأعور، وجه أصحابنا بالكوفة، فقيه، ورع</w:t>
      </w:r>
      <w:r>
        <w:rPr>
          <w:rFonts w:eastAsia="Amiri" w:cs="Amiri" w:ascii="Amiri" w:hAnsi="Amiri"/>
          <w:color w:val="111111"/>
          <w:sz w:val="28"/>
          <w:szCs w:val="28"/>
          <w:rtl w:val="true"/>
          <w:lang w:bidi="ar-SA"/>
        </w:rPr>
        <w:t>)</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الرابعة، وعليه تكون الرواية صحيحة السند لوثاقة جميع رواتها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في الدلالة فقد ذكر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الأخير من اللّيل فإنْ كانت الغاية داخلة في المغيّى دلّت الصحيحة على جواز الإتيان بعمرة التمتع إلى طلوع الفجر من ليلة عرفة، وإنْ كانت خارجة عنه دلّت على جواز الإتيان بها في الثلثين الأولين من اللّيل فقط</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الصحيحة تصلح شاهداً لكون حدّ إدراك المتعة هو السّحر فيما لو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سؤال الراوي هو عمرة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فهمه الشيخ في الاستبصار</w:t>
      </w:r>
      <w:r>
        <w:rPr>
          <w:rStyle w:val="FootnoteAnchor"/>
          <w:rtl w:val="true"/>
        </w:rPr>
        <w:footnoteReference w:id="679"/>
      </w:r>
      <w:r>
        <w:rPr>
          <w:rFonts w:ascii="Amiri" w:hAnsi="Amiri" w:eastAsia="Amiri" w:cs="Amiri"/>
          <w:color w:val="111111"/>
          <w:sz w:val="28"/>
          <w:sz w:val="28"/>
          <w:szCs w:val="28"/>
          <w:rtl w:val="true"/>
          <w:lang w:bidi="ar-SA"/>
        </w:rPr>
        <w:t>فإنّه جعل الصحيحة في عداد الروايات الواردة في حدّ إدراك المتعة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الصحيحة تدل على أنّ وقت إدراك المتعة متسع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ينحصر في وقت معين كالفجر من يوم التروية أو الزوال من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لكانت تلك الروايات صادرة لبيان الحكم الواقعي بحدِّه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يستلزم منافاته للروايات السابقة ممّا لا يمكن دفعه إلّا </w:t>
      </w:r>
      <w:bookmarkStart w:id="734" w:name="pg9124_98760"/>
    </w:p>
    <w:p>
      <w:pPr>
        <w:pStyle w:val="BookText"/>
        <w:rPr/>
      </w:pPr>
      <w:bookmarkEnd w:id="734"/>
      <w:r>
        <w:rPr>
          <w:rFonts w:ascii="Amiri" w:hAnsi="Amiri" w:eastAsia="Amiri" w:cs="Amiri"/>
          <w:color w:val="111111"/>
          <w:sz w:val="28"/>
          <w:sz w:val="28"/>
          <w:szCs w:val="28"/>
          <w:rtl w:val="true"/>
          <w:lang w:bidi="ar-SA"/>
        </w:rPr>
        <w:t>بالحمل على كون إدراك المتعة من الأحكام الموسّعة التي يكون فيها التشريع موسّعاً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المكلّف ببعضها دون بعض</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2933640_2870459653"/>
      <w:bookmarkStart w:id="736" w:name="_Toc292"/>
      <w:bookmarkEnd w:id="735"/>
      <w:r>
        <w:rPr>
          <w:rtl w:val="true"/>
        </w:rPr>
        <w:t>الطائفة الخامسة</w:t>
      </w:r>
      <w:r>
        <w:rPr>
          <w:rtl w:val="true"/>
        </w:rPr>
        <w:t xml:space="preserve">: </w:t>
      </w:r>
      <w:r>
        <w:rPr>
          <w:rtl w:val="true"/>
        </w:rPr>
        <w:t>ما دلّ على إدراك المتعة بإدراك الحجاج بمنى</w:t>
      </w:r>
      <w:r>
        <w:rPr>
          <w:rtl w:val="true"/>
        </w:rPr>
        <w:t xml:space="preserve">, </w:t>
      </w:r>
      <w:r>
        <w:rPr>
          <w:rtl w:val="true"/>
        </w:rPr>
        <w:t>وعدم إدراكها مع عدم إدراكهم فيها</w:t>
      </w:r>
      <w:bookmarkEnd w:id="736"/>
    </w:p>
    <w:p>
      <w:pPr>
        <w:pStyle w:val="Heading6"/>
        <w:numPr>
          <w:ilvl w:val="5"/>
          <w:numId w:val="1"/>
        </w:numPr>
        <w:rPr/>
      </w:pPr>
      <w:bookmarkStart w:id="737" w:name="__RefHeading___Toc2933642_2870459653"/>
      <w:bookmarkStart w:id="738" w:name="_Toc293"/>
      <w:bookmarkEnd w:id="737"/>
      <w:r>
        <w:rPr>
          <w:rtl w:val="true"/>
        </w:rPr>
        <w:t>اشارة</w:t>
      </w:r>
      <w:bookmarkEnd w:id="738"/>
    </w:p>
    <w:p>
      <w:pPr>
        <w:pStyle w:val="BookText"/>
        <w:rPr/>
      </w:pPr>
      <w:r>
        <w:rPr>
          <w:rFonts w:ascii="Amiri" w:hAnsi="Amiri" w:eastAsia="Amiri" w:cs="Amiri"/>
          <w:color w:val="111111"/>
          <w:sz w:val="28"/>
          <w:sz w:val="28"/>
          <w:szCs w:val="28"/>
          <w:rtl w:val="true"/>
          <w:lang w:bidi="ar-SA"/>
        </w:rPr>
        <w:t>ومن المعروف أنّ إدراك الحجاج في منى إنّما يتحقّق من طلوع الفجر ليوم عرفة إلى طلوع الشمس وبعده من يوم عرفة؛ لأنّ الناس يبيتون ليلة عرفة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ويتوجّهون إلى عرفات من بعد طلوع الفجر ليوم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بعد طلوع الشمس ليوم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ويستمر نزوحهم إلى عرفات إلى قبيل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إدراك الناس بمنى من طلوع الفجر ليوم عرفة وما بعده</w:t>
      </w:r>
      <w:r>
        <w:rPr>
          <w:rFonts w:eastAsia="Amiri" w:cs="Amiri" w:ascii="Amiri" w:hAnsi="Amiri"/>
          <w:color w:val="111111"/>
          <w:sz w:val="28"/>
          <w:szCs w:val="28"/>
          <w:rtl w:val="true"/>
          <w:lang w:bidi="ar-SA"/>
        </w:rPr>
        <w:t>.</w:t>
      </w:r>
    </w:p>
    <w:p>
      <w:pPr>
        <w:pStyle w:val="Heading6"/>
        <w:numPr>
          <w:ilvl w:val="5"/>
          <w:numId w:val="1"/>
        </w:numPr>
        <w:rPr/>
      </w:pPr>
      <w:bookmarkStart w:id="739" w:name="__RefHeading___Toc2933644_2870459653"/>
      <w:bookmarkStart w:id="740" w:name="_Toc294"/>
      <w:bookmarkEnd w:id="739"/>
      <w:r>
        <w:rPr>
          <w:rtl w:val="true"/>
        </w:rPr>
        <w:t>وهذه الطائفة مجموعة روايات</w:t>
      </w:r>
      <w:bookmarkEnd w:id="740"/>
    </w:p>
    <w:p>
      <w:pPr>
        <w:pStyle w:val="Heading6"/>
        <w:numPr>
          <w:ilvl w:val="5"/>
          <w:numId w:val="1"/>
        </w:numPr>
        <w:rPr/>
      </w:pPr>
      <w:bookmarkStart w:id="741" w:name="__RefHeading___Toc2933646_2870459653"/>
      <w:bookmarkStart w:id="742" w:name="_Toc295"/>
      <w:bookmarkEnd w:id="741"/>
      <w:r>
        <w:rPr>
          <w:rtl w:val="true"/>
        </w:rPr>
        <w:t>الأولى</w:t>
      </w:r>
      <w:bookmarkEnd w:id="742"/>
    </w:p>
    <w:p>
      <w:pPr>
        <w:pStyle w:val="BookText"/>
        <w:rPr/>
      </w:pPr>
      <w:r>
        <w:rPr>
          <w:rFonts w:ascii="IRNazanin" w:hAnsi="IRNazanin" w:eastAsia="IRNazanin"/>
          <w:color w:val="111111"/>
          <w:sz w:val="28"/>
          <w:sz w:val="28"/>
          <w:szCs w:val="28"/>
          <w:rtl w:val="true"/>
          <w:lang w:bidi="fa-IR"/>
        </w:rPr>
        <w:t>صحيحة الحلبي وهي ما رواه الشيخ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القاسم عن ابن أبي عمير عن حماد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المتمتع يطوف بالبيت ويسعى بين الصفا والمروة ما أدرك الناس بمنى</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الكلام في بعض رجال سند هذه الرواية وبقي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فهو حمّاد بن عثمان الغاب؛ فإنّ ابن أبي عمير وإنْ روى عن حمّاد بن عيسى إلّا أنّ رواياته عن حمّاد بن عثمان بلغت ثمانية وستين مورداً كما 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المعجم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الرجلين ممّن وُثّقا من قِبل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من هذه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الحلبي فهو عبيد الله بن علي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عبيد الله بن علي بن أبي شعبة الحلبي مولى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أبي شعبة بالكوفة بيت مذكور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جميعهم ثقات مرجوعاً إلى ما يقولون وكان عبيد الله كبيرهم ووجههم</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صحيحة لوثاقة جميع رواة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الدلالة، فمن الواضح أنّ الرواية تدلّ على أنّ حدّ إدراك المتعة هو إدراك الناس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يستمر وقت إدراك المتعة إلى ما قبل الزوال من يوم عرفة، أو قبل ذلك بقليل؛ لأنّ الناس يبدأون بالإفاضة من بعد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وتستمر إفاضتهم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قد يفيض بعد طلوع الشمس بوقت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ساعة أو أكثر </w:t>
      </w:r>
      <w:r>
        <w:rPr>
          <w:rFonts w:eastAsia="Amiri" w:cs="Amiri" w:ascii="Amiri" w:hAnsi="Amiri"/>
          <w:color w:val="111111"/>
          <w:sz w:val="28"/>
          <w:szCs w:val="28"/>
          <w:rtl w:val="true"/>
          <w:lang w:bidi="ar-SA"/>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دالّة على أنّ وقت المتعة يستمر إلى نهار يوم عرفة قبل الزوال، وهذا الوقت إذا التزمنا به على أنّه لا تجوز مخالفته بحيث يكون من باب الإلزام لاستلزم ذلك أنْ يكون منافياً لما ورد من الروايات السابقة من كون حدّ إدراك المتعة فجر يوم التروية، أو زوال يوم التروية، أو سحر ليلة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صحيحة السند وكذلك واضحة الدلالة على كون إدراك المتعة يكون في هذا الوقت المحدّد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أنّ وقت إدراك المتعة من الأحكام الموسّعة التي يكون فيها الوقت ممتدّاً وغير محدّد بوقت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ورد في بعض الروايات التحديد بوقت خاصّ كالصحيحة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الروايات الآتية التي سوف نذكرها في 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يكون لرعاية بعض المصالح كالتخفيف على المكلّف وعدم التضييق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لأجل بعض المصالح الأخرى </w:t>
      </w:r>
      <w:bookmarkStart w:id="743" w:name="pg9124_98762"/>
    </w:p>
    <w:p>
      <w:pPr>
        <w:pStyle w:val="BookText"/>
        <w:rPr/>
      </w:pPr>
      <w:bookmarkEnd w:id="743"/>
      <w:r>
        <w:rPr>
          <w:rFonts w:ascii="IRNazanin" w:hAnsi="IRNazanin" w:eastAsia="IRNazanin"/>
          <w:color w:val="111111"/>
          <w:sz w:val="28"/>
          <w:sz w:val="28"/>
          <w:szCs w:val="28"/>
          <w:rtl w:val="true"/>
          <w:lang w:bidi="fa-IR"/>
        </w:rPr>
        <w:t xml:space="preserve">التي يراها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والكلام نفسه يأتي في الروايتين الآتيتين الّتين تحدّدان الوقت لإدراك المتعة بإدراك الناس بمنى</w:t>
      </w:r>
      <w:r>
        <w:rPr>
          <w:rFonts w:eastAsia="Amiri" w:cs="Amiri" w:ascii="Amiri" w:hAnsi="Amiri"/>
          <w:color w:val="111111"/>
          <w:sz w:val="28"/>
          <w:szCs w:val="28"/>
          <w:rtl w:val="true"/>
          <w:lang w:bidi="ar-SA"/>
        </w:rPr>
        <w:t>.</w:t>
      </w:r>
    </w:p>
    <w:p>
      <w:pPr>
        <w:pStyle w:val="Heading6"/>
        <w:numPr>
          <w:ilvl w:val="5"/>
          <w:numId w:val="1"/>
        </w:numPr>
        <w:rPr/>
      </w:pPr>
      <w:bookmarkStart w:id="744" w:name="__RefHeading___Toc2933648_2870459653"/>
      <w:bookmarkStart w:id="745" w:name="_Toc296"/>
      <w:bookmarkEnd w:id="744"/>
      <w:r>
        <w:rPr>
          <w:rtl w:val="true"/>
        </w:rPr>
        <w:t>الثّانية</w:t>
      </w:r>
      <w:bookmarkEnd w:id="745"/>
    </w:p>
    <w:p>
      <w:pPr>
        <w:pStyle w:val="BookText"/>
        <w:rPr/>
      </w:pPr>
      <w:r>
        <w:rPr>
          <w:rFonts w:ascii="IRNazanin" w:hAnsi="IRNazanin" w:eastAsia="IRNazanin"/>
          <w:color w:val="111111"/>
          <w:sz w:val="28"/>
          <w:sz w:val="28"/>
          <w:szCs w:val="28"/>
          <w:rtl w:val="true"/>
          <w:lang w:bidi="fa-IR"/>
        </w:rPr>
        <w:t>صحيحة مرازم بن حكيم وهي ما رواه الشيخ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محمّد بن الحسين بن أبي الخطاب، عن أحمد بن محمّد بن أبي نصر، عن مرازم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المتمتع يدخل ليلة عرفة مكة والمرأة حائض، حتى متى يكون لهما المتعة؟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أدركوا الناس بمنى</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الكلام في بعض رجال السند وبقي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بن أبي نصر فهو كوفي ثقة بلا خلاف، وهو 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وصفوان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يروون ولا يرسلون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أصحاب الإجماع الستة في الطبقة السادسة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ومرازم بن حكيم 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مُرازم بن حكيم الأزدي المدائني مولى ثقة</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الدلالة فهو نفس ما مرّ في الرواية السابقة</w:t>
      </w:r>
      <w:r>
        <w:rPr>
          <w:rFonts w:eastAsia="Amiri" w:cs="Amiri" w:ascii="Amiri" w:hAnsi="Amiri"/>
          <w:color w:val="111111"/>
          <w:sz w:val="28"/>
          <w:szCs w:val="28"/>
          <w:rtl w:val="true"/>
          <w:lang w:bidi="ar-SA"/>
        </w:rPr>
        <w:t>.</w:t>
      </w:r>
    </w:p>
    <w:p>
      <w:pPr>
        <w:pStyle w:val="Heading6"/>
        <w:numPr>
          <w:ilvl w:val="5"/>
          <w:numId w:val="1"/>
        </w:numPr>
        <w:rPr/>
      </w:pPr>
      <w:bookmarkStart w:id="746" w:name="__RefHeading___Toc2933650_2870459653"/>
      <w:bookmarkStart w:id="747" w:name="_Toc297"/>
      <w:bookmarkEnd w:id="746"/>
      <w:r>
        <w:rPr>
          <w:rtl w:val="true"/>
        </w:rPr>
        <w:t>الثالثة</w:t>
      </w:r>
      <w:bookmarkEnd w:id="74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صحيحة هشام بن سالم ومرازم وشعيب وهي ما رواه الكليني عن علي بن إبراهيم عن أبيه عن ابن أبي عمير عن هشام بن سالم ومرازم وشعيب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المتمتع يدخل ليلة عرفة فيطوف ويسعى ثم يحلّ ثم يحرم ويأتي منى؟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الكلام في بعض رجال السند وبقي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بن سالم وقد قال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هشام بن سالم الجواليقي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وشعيب وهو ابن يعقوب العقرقوفي، 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يعقوب ابن أخت أبي بصير يحيى بن القاسم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تكون الرواية صحيحة لوثاقة جميع رواتها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والصحيحة ذكرت أنّ الرجل المتمتع بعد أنْ يكمل الأعمال لعمرة التمتع يذهب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تحدّد الوقت وإنْ كان بحسب الغالب يكون ذهاب المتمتع إلى منى ليلة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الصحيحة مطلقة وهي تشمل ما لو كان وصوله إلى منى بعد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تكون هذه الرواية من الروايات الدالّة على أنّ حدّ إدراك المتعة هو إدراك الناس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التحديد بإدراك الناس بمنى ليس من باب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لكان منافياً مع ما مرّ من الروايات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التحديد من باب الموسّعات التي يكون التشريع فيها ذا سعة بحيث يمكن للمكلّف فيها أنْ لا يتحدّد بوقت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له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يستلزم فوات الوقت لعمرة التمتع كما سنذكره في الروايات الآتية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الطائفة لا تنافي ما ذُكر في الطوائف السابقة فيكون التحديد بإدراك الناس بمنى لأجل بعض المصالح التي لاحظها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يكون من قبيل التخفيف وعدم التضييق على المكلّف ما دام الوقت متسّعاً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للمكلّف أنْ يكمل عمرة التمتع اذا لم يفت وقتها المحدد في الروايات الآتية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ختام هذه الطائفة نذكر كلاماً للسيد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 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إدراك الناس بمنى لوحظ في هذه الروايات على نحو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نحو الطريقية إلى إدراك الوقوف الاختياري في عرفات في تمام الوقت الواجب، لوضوح أنّ من يدرك النّاس في منى يدرك الوقوف الاختياري في عرفات في تمام الوقت اللازم؟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يُرجّح الثاني بقرينة أنّ الكون في منى قبل الوقوف في عرفات ليس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مناسبات الحكم الموضوع أنْ يكون إدراك الناس بمنى ملحوظاً على نحو الطريقية إلى إدراك الوقوف الاختياري بعرفات في تمام الواجب</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ليس بواضح، فإنّه كما أنّ التحديد بطلوع الفجر، أو زوال الشمس، أو غروبها من يوم التروية، أو بالسّحر من ليلة عرفة مبني على الموضوعية؛ لوضوح أنّ إدراك الوقوف الاختياري في عرفة لا يتوقف على الانتهاء من أعمال عمرة التمتع إلى هذه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يحتمل أنْ يكون إدراك الناس بمنى قبل توجّههم إلى عرفات مبنيّاً على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الجمود على ظاهر اللفظ في النصوص المذكورة فلا معدل عنه إلّا بقرينة</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bookmarkStart w:id="748" w:name="pg9124_98765"/>
    </w:p>
    <w:p>
      <w:pPr>
        <w:pStyle w:val="BookText"/>
        <w:rPr/>
      </w:pPr>
      <w:bookmarkEnd w:id="748"/>
      <w:r>
        <w:rPr>
          <w:rFonts w:ascii="Amiri" w:hAnsi="Amiri" w:eastAsia="Amiri" w:cs="Amiri"/>
          <w:color w:val="111111"/>
          <w:sz w:val="28"/>
          <w:sz w:val="28"/>
          <w:szCs w:val="28"/>
          <w:rtl w:val="true"/>
          <w:lang w:bidi="ar-SA"/>
        </w:rPr>
        <w:t xml:space="preserve">فالسيد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 النّاس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ملحوظ بنفس لحاظ باقي العناوين الأُخرى</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2933652_2870459653"/>
      <w:bookmarkStart w:id="750" w:name="_Toc298"/>
      <w:bookmarkEnd w:id="749"/>
      <w:r>
        <w:rPr>
          <w:rtl w:val="true"/>
        </w:rPr>
        <w:t>الطائفة السادسة</w:t>
      </w:r>
      <w:r>
        <w:rPr>
          <w:rtl w:val="true"/>
        </w:rPr>
        <w:t xml:space="preserve">: </w:t>
      </w:r>
      <w:r>
        <w:rPr>
          <w:rtl w:val="true"/>
        </w:rPr>
        <w:t>وهي ما دلّ على أنّ إدراك المتعة يكون إلى زوال الشمس من يوم عرفة دون ما بعد ذلك</w:t>
      </w:r>
      <w:bookmarkEnd w:id="750"/>
    </w:p>
    <w:p>
      <w:pPr>
        <w:pStyle w:val="BookText"/>
        <w:rPr/>
      </w:pPr>
      <w:r>
        <w:rPr>
          <w:rFonts w:ascii="IRNazanin" w:hAnsi="IRNazanin" w:eastAsia="IRNazanin"/>
          <w:color w:val="111111"/>
          <w:sz w:val="28"/>
          <w:sz w:val="28"/>
          <w:szCs w:val="28"/>
          <w:rtl w:val="true"/>
          <w:lang w:bidi="fa-IR"/>
        </w:rPr>
        <w:t>وهي ما رواه الشيخ بإسناده عن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جميل بن دراج،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والمتمتع له المتعة إلى زوال الشمس من يوم عرفة، وله الحجّ إلى زوال الشمس من يوم النحر</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صحيحة وقد تقدم الكلام في ترجمة جميع رجال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الدلالة فمحل الشاهد هو المقطع الأوَّل وهو ظاهر في أنّ من انتهى من أعمال عمرة التمتع في مكة قبل زوال الشمس من يوم عرفة يكون قد أدرك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من لم ينتهِ منها حتّى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فالصحيحة تدلّ على أنّ حدّ إدراك المتعة هو زوال الشمس من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لا ينافي ما ورد في الطوائف الأخرى من كون حدّ إدراك المتعة هو فجر يوم التروية، أو زوال يوم التروية، أو السحر من يوم التروية؛ لأنّ هذه الصحيحة إنّما تنافي ما سبق من الروايات لو كانت تلك الروايات بصدد بيان الحكم الواقعي بحدِّه وأنّها تُلزم الرجل المتمتع بأنْ يدرك المتعة قبل فجر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ذكرنا غير مرَّة أنّ هذا ليس بتام؛ فإنّ هذه الروايات لم تكن بياناً للحكم الواقعي بحدِّه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ذُكرت لأجل بعض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حدّ إدراك المتعة من الأحكام الموسّعة التي يكون التشريع فيها موسّعاً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لا تُلزم المكلّف بخصوص أيّ واحدة من تلك التحديدات، وعليه يكون اقتصار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كون حدّ إدراك المتعة هو </w:t>
      </w:r>
      <w:bookmarkStart w:id="751" w:name="pg9124_98766"/>
    </w:p>
    <w:p>
      <w:pPr>
        <w:pStyle w:val="BookText"/>
        <w:rPr/>
      </w:pPr>
      <w:bookmarkEnd w:id="751"/>
      <w:r>
        <w:rPr>
          <w:rFonts w:ascii="IRNazanin" w:hAnsi="IRNazanin" w:eastAsia="IRNazanin"/>
          <w:color w:val="111111"/>
          <w:sz w:val="28"/>
          <w:sz w:val="28"/>
          <w:szCs w:val="28"/>
          <w:rtl w:val="true"/>
          <w:lang w:bidi="fa-IR"/>
        </w:rPr>
        <w:t xml:space="preserve">الزوال من يوم عرفة لأجل بعض المصالح التي لاحظها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كالتخفيف وعدم التضييق على المكلّف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فإنّه سوف يأتي في الطائفة الأخيرة أنّ الوقت يمتدّ إلى زمانٍ يمكنه إدراك مسمّى الوقوف</w:t>
      </w:r>
      <w:r>
        <w:rPr>
          <w:rFonts w:eastAsia="IRNazanin" w:cs="IRNazanin"/>
          <w:color w:val="111111"/>
          <w:sz w:val="28"/>
          <w:szCs w:val="28"/>
          <w:rtl w:val="true"/>
          <w:lang w:bidi="fa-IR"/>
        </w:rPr>
        <w:t>.</w:t>
      </w:r>
    </w:p>
    <w:p>
      <w:pPr>
        <w:pStyle w:val="Heading5"/>
        <w:numPr>
          <w:ilvl w:val="4"/>
          <w:numId w:val="1"/>
        </w:numPr>
        <w:rPr/>
      </w:pPr>
      <w:bookmarkStart w:id="752" w:name="__RefHeading___Toc2933654_2870459653"/>
      <w:bookmarkStart w:id="753" w:name="_Toc299"/>
      <w:bookmarkEnd w:id="752"/>
      <w:r>
        <w:rPr>
          <w:rtl w:val="true"/>
        </w:rPr>
        <w:t>الطائفة الأخيرة</w:t>
      </w:r>
      <w:r>
        <w:rPr>
          <w:rtl w:val="true"/>
        </w:rPr>
        <w:t xml:space="preserve">: </w:t>
      </w:r>
      <w:r>
        <w:rPr>
          <w:rtl w:val="true"/>
        </w:rPr>
        <w:t>ما قيل بدلالتها على إدراك المتعة مع إدراك الوقوف الاختياري</w:t>
      </w:r>
      <w:bookmarkEnd w:id="753"/>
    </w:p>
    <w:p>
      <w:pPr>
        <w:pStyle w:val="BookText"/>
        <w:rPr/>
      </w:pPr>
      <w:r>
        <w:rPr>
          <w:rFonts w:ascii="Amiri" w:hAnsi="Amiri" w:eastAsia="Amiri" w:cs="Amiri"/>
          <w:color w:val="111111"/>
          <w:sz w:val="28"/>
          <w:sz w:val="28"/>
          <w:szCs w:val="28"/>
          <w:rtl w:val="true"/>
          <w:lang w:bidi="ar-SA"/>
        </w:rPr>
        <w:t xml:space="preserve">إمّا بتمامه أو الوقوف الركني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مسمّى الوقوف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الطائفة هي مجموعة من الروايات تصل إلى خمس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هذه الروايات قد نوقش في دلالتها على هذا المعنى</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ولنأخذ رواية واحدة لنرى مدى عدم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صحيحة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أهلّ بالحجّ والعمرة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مكة والناس بعرفات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فخشي إنْ هو طاف وسعى بين الصفا والمروة أنْ يفوته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 العمرة فإذا أتمّ حجّه صنع كما صنعت عائشة ولا هدي عليه</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والسند هو ما رواه الشيخ بإسناده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صحيحة لصحّة طريق الشيخ إلى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رجال السند من ثقات الإمامية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الكلام في دلالة الصحيحة فقد ذكر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المحتمل أن يكون مراد السائل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والناس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الحجاج بعرفات في صباح يوم عرفة بعد خروجهم إليها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السائد المتعارف من أنّهم يبيتون ليلة عرفة في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ويتوجّهون إلى عرفات بعد صلاة الصبح أو بعد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فما </w:t>
      </w:r>
      <w:bookmarkStart w:id="754" w:name="pg9124_98767"/>
    </w:p>
    <w:p>
      <w:pPr>
        <w:pStyle w:val="BookText"/>
        <w:rPr/>
      </w:pPr>
      <w:bookmarkEnd w:id="754"/>
      <w:r>
        <w:rPr>
          <w:rFonts w:ascii="IRNazanin" w:hAnsi="IRNazanin" w:eastAsia="IRNazanin"/>
          <w:color w:val="111111"/>
          <w:sz w:val="28"/>
          <w:sz w:val="28"/>
          <w:szCs w:val="28"/>
          <w:rtl w:val="true"/>
          <w:lang w:bidi="fa-IR"/>
        </w:rPr>
        <w:t>يستفاد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فخشي إنْ هو طاف وسعى بين الصفا والمروة أنْ يفوته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كان يبني على إدراك المتعة مع الإتيان بأعمال العمرة قبل ظهر يوم عرفة مع عدم خوف فوت الموقف في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 خوف فوت الموقف فكان جاهلاً بحكمه فسأل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لا تدل هذه الصحيحة على كون حدّ إدراك المتعة هو إدراك المسمّى من الوقوف بعرفات، وكذلك باقي الروايات أيضاً فيها 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الحدّ لإدراك المتعة الذي لا يجوز تجاوزه هو الزوال من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أنهى أعمال عمرة تمتعه قبل الزوال من يوم عرفة فقد أدرك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لم يمكنه إنهاء أعمال عرفة قبل الزوال من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له أنْ يدرك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ويعدل إلى حجّ الإفراد</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2933656_2870459653"/>
      <w:bookmarkStart w:id="756" w:name="_Toc300"/>
      <w:bookmarkEnd w:id="755"/>
      <w:r>
        <w:rPr>
          <w:rtl w:val="true"/>
        </w:rPr>
        <w:t>وخلاصة هذا المورد</w:t>
      </w:r>
      <w:bookmarkEnd w:id="75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إنّك ترى أنّ هذا المورد الذي نحن بصدده قد وردت فيه طوائف كثيرة من الروايات، فقد ورد إدراك المتعة عند فجر يوم التروية، وزوال يوم التروية، والسّحر من ليلة عرفة، وإدراك الناس بمنى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الزوال من يوم عرفة، وعليه فيمكن عدّ حدّ إدراك المتعة من الموسّعات، فإنّ الحكم الواقعي في المسألة هو جواز العدول إلى حجّ الإفراد فيما إذا لم يتمكن من إكمال عمرة التمتع من فجر يوم التروية إلى الزوال من يوم عرفة، وأمّا إذا تمكن من إكمال عمرته في هذا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قبل الزوال من يوم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فيمكنه أنْ يتمّ عمرته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إشكال في ذلك هذا هو الحكم الواقعي، ولكن لفرض أنّ حدّ إدراك المتعة كان من الموسّعات التي يكون التشريع فيها ذا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يأمرون أصحابهم بوجوه مختلفة،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حدّ إدراك المتعة هو الفجر من يوم التروية فلا يمكن إدراكها بعد ذلك، أو أنْ يأمر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حدّ إدراك المتعة هو السّحر من ليلة عرفة ولا يمكن إدراك المتعة بعد ذلك وغيرها ممّا مرّ في الروايات السابقة، وكان أمر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الوجوه لبعض المصالح التي كان يلحظها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يكون من قبيل إيقاع الخلاف بين الشيعة؛ ليعطي انطباعاً لدى السلطة الظالمة بأنّهم ليسوا بجماعة منظّمة وموحّدة من قبل قيادة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قبيل التشديد على المكلفين من أجل أنْ لا يجعل لديهم تهاوناً ممّا يؤدّي إلى فوت الحج، إلى غير ذلك من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يلزم أنّ أمر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الوجوه لاختلاف درجات الفضل؛ فإنّه قد يكون الجميع على درجة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المصلحة التي كان يلحظها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دفعته إلى الأمر بذلك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تحديد إدراك المتعة من الأحكام الموسّعة التي يكون التشريع فيها موسّعاً بحيث لا يتقيّد المكلّف بوقت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يؤخّر أعمال عمرته إلى وقت زوال الشمس من يوم عرفة؛ فإنّه تفوت المتعة عند زوال الشّمس من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بيانه في موارد الأحكام الموسعة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خير خلقه محمّداً وآله الطيبين الطاهرين</w:t>
      </w:r>
      <w:r>
        <w:rPr>
          <w:rFonts w:eastAsia="Amiri" w:cs="Amiri" w:ascii="Amiri" w:hAnsi="Amiri"/>
          <w:color w:val="111111"/>
          <w:sz w:val="28"/>
          <w:szCs w:val="28"/>
          <w:rtl w:val="true"/>
          <w:lang w:bidi="ar-SA"/>
        </w:rPr>
        <w:t xml:space="preserve">. </w:t>
      </w:r>
      <w:bookmarkStart w:id="757" w:name="pg9124_98769"/>
    </w:p>
    <w:p>
      <w:pPr>
        <w:pStyle w:val="Heading3"/>
        <w:numPr>
          <w:ilvl w:val="2"/>
          <w:numId w:val="1"/>
        </w:numPr>
        <w:rPr/>
      </w:pPr>
      <w:bookmarkStart w:id="758" w:name="__RefHeading___Toc2933658_2870459653"/>
      <w:bookmarkStart w:id="759" w:name="_Toc301"/>
      <w:bookmarkEnd w:id="757"/>
      <w:bookmarkEnd w:id="758"/>
      <w:r>
        <w:rPr>
          <w:rtl w:val="true"/>
        </w:rPr>
        <w:t>المصادر</w:t>
      </w:r>
      <w:bookmarkEnd w:id="7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للشيخ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تحقيق جواد القيومي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فيما اختلف من الأخبار للشيخ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شرح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لأبحاث السيد محمّد رضا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أمجد رياض والشيخ نزار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أوَّليَّة محدودة التداول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الأدلة واختلاف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بحث سماحة 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افاداته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في شرح المقنعة لشيخ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 في أحكام العترة الطاهرة للشيخ يوسف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خاتمة المستدرك للمحدث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الأقوال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w:t>
      </w:r>
    </w:p>
    <w:p>
      <w:pPr>
        <w:pStyle w:val="BookText"/>
        <w:rPr/>
      </w:pPr>
      <w:r>
        <w:rPr>
          <w:rFonts w:ascii="Amiri" w:hAnsi="Amiri" w:eastAsia="Amiri" w:cs="Amiri"/>
          <w:color w:val="111111"/>
          <w:sz w:val="28"/>
          <w:sz w:val="28"/>
          <w:szCs w:val="28"/>
          <w:rtl w:val="true"/>
          <w:lang w:bidi="ar-SA"/>
        </w:rPr>
        <w:t>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للشيخ أبو العباس أحمد بن علي بن أحمد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الأُصول للشيخ أبي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الشيخ محمّد مهدي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للشيخ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جواد القيّومي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قبسات من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أبحاث السيد محمّد رضا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ونظّمها السيد محمّد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أوّليّة محدودة التداول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قوانين الأصول للميرزا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القرص الليزري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لثقة الإسلام أبي جعفر محمّد بن يعقوب بن إسحاق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لأبي القاسم جعفر بن محمّد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جواد القيّومي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لأحمد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القرص الليزري للمكتبة الشاملة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للسيد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الشيعة للحر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bookmarkStart w:id="760" w:name="pg9124_98771"/>
    </w:p>
    <w:p>
      <w:pPr>
        <w:pStyle w:val="Heading2"/>
        <w:numPr>
          <w:ilvl w:val="1"/>
          <w:numId w:val="1"/>
        </w:numPr>
        <w:rPr/>
      </w:pPr>
      <w:bookmarkStart w:id="761" w:name="__RefHeading___Toc2933660_2870459653"/>
      <w:bookmarkStart w:id="762" w:name="_Toc302"/>
      <w:bookmarkEnd w:id="760"/>
      <w:bookmarkEnd w:id="761"/>
      <w:r>
        <w:rPr>
          <w:rtl w:val="true"/>
        </w:rPr>
        <w:t xml:space="preserve">دعوى الشيخ الطوسي </w:t>
      </w:r>
      <w:r>
        <w:rPr>
          <w:rtl w:val="true"/>
        </w:rPr>
        <w:t>(</w:t>
      </w:r>
      <w:r>
        <w:rPr>
          <w:rtl w:val="true"/>
        </w:rPr>
        <w:t>قدس سره</w:t>
      </w:r>
      <w:r>
        <w:rPr>
          <w:rtl w:val="true"/>
        </w:rPr>
        <w:t xml:space="preserve">): </w:t>
      </w:r>
      <w:r>
        <w:rPr>
          <w:rtl w:val="true"/>
        </w:rPr>
        <w:t xml:space="preserve">أن ابن أبي عمير وصفوان والبزنطي لا يرسلون إلّا عن ثقة </w:t>
      </w:r>
      <w:r>
        <w:rPr>
          <w:rtl w:val="true"/>
        </w:rPr>
        <w:t xml:space="preserve">- </w:t>
      </w:r>
      <w:r>
        <w:rPr>
          <w:rtl w:val="true"/>
        </w:rPr>
        <w:t xml:space="preserve">الشيخ حميد رمح الحلّي </w:t>
      </w:r>
      <w:r>
        <w:rPr>
          <w:rtl w:val="true"/>
        </w:rPr>
        <w:t>(</w:t>
      </w:r>
      <w:r>
        <w:rPr>
          <w:rtl w:val="true"/>
        </w:rPr>
        <w:t>دام عزه</w:t>
      </w:r>
      <w:r>
        <w:rPr>
          <w:rtl w:val="true"/>
        </w:rPr>
        <w:t>)</w:t>
      </w:r>
      <w:bookmarkEnd w:id="762"/>
    </w:p>
    <w:p>
      <w:pPr>
        <w:pStyle w:val="Heading3"/>
        <w:numPr>
          <w:ilvl w:val="2"/>
          <w:numId w:val="1"/>
        </w:numPr>
        <w:rPr/>
      </w:pPr>
      <w:bookmarkStart w:id="763" w:name="__RefHeading___Toc2933662_2870459653"/>
      <w:bookmarkStart w:id="764" w:name="_Toc303"/>
      <w:bookmarkEnd w:id="763"/>
      <w:r>
        <w:rPr>
          <w:rtl w:val="true"/>
        </w:rPr>
        <w:t>اشارة</w:t>
      </w:r>
      <w:bookmarkEnd w:id="76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جملة ما وقع البحث فيه بين الأعلام هو دعوى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عمير وصفوان بن يحيى وأحمد بن محمّد بن أبي نصر البزنطي لا يرسلون إلّا عن ثقة، ما يستلزم معاملة مراسيلهم معاملة الصحاح، ما يعني سلامتها من الإرسال، وهذا ما يتكفّل بحثنا بدراسته</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إنَّ إثبات معظم الأحكام الشرعيَّة، وكذلك أغلب أجزاء الضّروريات وشرائطها، إنَّما يتم بخبر الآحاد؛ لأنَّ ما ثبت منها بالعلم الضروري، كوجوب الصّلاة، ونحوها من الضّروريات، أو العلم الحاصل من الخبر المتواتر، أو المحفوف بالقرينة القطعيّة، قليل بالقياس إليه، كما لا يخفى على المتتبّع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المعلوم أنّ إثبات الحكم الشرعي بخبر الآحاد يتوقف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إثبات حجّيّة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مجموعة أمور، هي ثبوت أصل صدوره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وثبوت جهة الصدور، بأن يثبت صدوره بداعي الجد دون التقيّة ونحوها، وثبوت ظهوره في المعنى بحسب العرف، وثبوت حجيّة ذلك الظهور، بعد تأمين سلامته ممّا يسبب اتّصافه بالضعف السندي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ما وقع البحث فيه هو دعوى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عمير وصفوان بن يحيى وأحمد بن محمّد بن أبي نصر البزنطي لا يرسلون إلّا عن ثقة، ما يستلزم معاملة مراسيلهم معاملة الصحاح، ما يعني سلامتها من الإرسال، وهو ما يتكفّل بحثنا هذا بدراسته، ويقع البحث عن ذلك في فصول</w:t>
      </w:r>
      <w:r>
        <w:rPr>
          <w:rFonts w:eastAsia="Amiri" w:cs="Amiri" w:ascii="Amiri" w:hAnsi="Amiri"/>
          <w:color w:val="111111"/>
          <w:sz w:val="28"/>
          <w:szCs w:val="28"/>
          <w:rtl w:val="true"/>
          <w:lang w:bidi="ar-SA"/>
        </w:rPr>
        <w:t xml:space="preserve">: </w:t>
      </w:r>
      <w:bookmarkStart w:id="765" w:name="pg9124_98774"/>
    </w:p>
    <w:p>
      <w:pPr>
        <w:pStyle w:val="Heading3"/>
        <w:numPr>
          <w:ilvl w:val="2"/>
          <w:numId w:val="1"/>
        </w:numPr>
        <w:rPr/>
      </w:pPr>
      <w:bookmarkStart w:id="766" w:name="__RefHeading___Toc2933664_2870459653"/>
      <w:bookmarkStart w:id="767" w:name="_Toc304"/>
      <w:bookmarkEnd w:id="765"/>
      <w:bookmarkEnd w:id="766"/>
      <w:r>
        <w:rPr>
          <w:rtl w:val="true"/>
        </w:rPr>
        <w:t>الفصل الأوّل</w:t>
      </w:r>
      <w:r>
        <w:rPr>
          <w:rtl w:val="true"/>
        </w:rPr>
        <w:t xml:space="preserve">: </w:t>
      </w:r>
      <w:r>
        <w:rPr>
          <w:rtl w:val="true"/>
        </w:rPr>
        <w:t>في معنى المرسَل</w:t>
      </w:r>
      <w:bookmarkEnd w:id="767"/>
    </w:p>
    <w:p>
      <w:pPr>
        <w:pStyle w:val="BookText"/>
        <w:rPr/>
      </w:pPr>
      <w:r>
        <w:rPr>
          <w:rFonts w:ascii="Amiri" w:hAnsi="Amiri" w:eastAsia="Amiri" w:cs="Amiri"/>
          <w:color w:val="111111"/>
          <w:sz w:val="28"/>
          <w:sz w:val="28"/>
          <w:szCs w:val="28"/>
          <w:rtl w:val="true"/>
          <w:lang w:bidi="ar-SA"/>
        </w:rPr>
        <w:t>وما يراد به في المقام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مأخوذ من إرسال الدابة، أي رفع القيد والربط عنها</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رواته أجمع، أو من آخرهم واحد أو أكثر، بل حتى وإن ذُكر الساقط بلفظ مبهم، كبعضٍ، وبعض أصحابنا</w:t>
      </w:r>
      <w:r>
        <w:rPr>
          <w:rStyle w:val="FootnoteAnchor"/>
          <w:rtl w:val="true"/>
        </w:rPr>
        <w:footnoteReference w:id="694"/>
      </w:r>
      <w:r>
        <w:rPr>
          <w:rFonts w:ascii="Amiri" w:hAnsi="Amiri" w:eastAsia="Amiri" w:cs="Amiri"/>
          <w:color w:val="111111"/>
          <w:sz w:val="28"/>
          <w:sz w:val="28"/>
          <w:szCs w:val="28"/>
          <w:rtl w:val="true"/>
          <w:lang w:bidi="ar-SA"/>
        </w:rPr>
        <w:t>، فإنّه يدخل في المرسَل اصطلاحاً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يتوسّع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اختلاف المبحوث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ليشمل ما حذف من سنده راوٍ أو أكثر، من أوّله أو وسطه أو آخره ليدخل فيه المعلّق</w:t>
      </w:r>
      <w:r>
        <w:rPr>
          <w:rStyle w:val="FootnoteAnchor"/>
          <w:rtl w:val="true"/>
        </w:rPr>
        <w:footnoteReference w:id="695"/>
      </w:r>
      <w:r>
        <w:rPr>
          <w:rFonts w:ascii="IRNazanin" w:hAnsi="IRNazanin" w:eastAsia="IRNazanin"/>
          <w:color w:val="111111"/>
          <w:sz w:val="28"/>
          <w:sz w:val="28"/>
          <w:szCs w:val="28"/>
          <w:rtl w:val="true"/>
          <w:lang w:bidi="fa-IR"/>
        </w:rPr>
        <w:t>، والمنقطع</w:t>
      </w:r>
      <w:r>
        <w:rPr>
          <w:rStyle w:val="FootnoteAnchor"/>
          <w:rtl w:val="true"/>
        </w:rPr>
        <w:footnoteReference w:id="696"/>
      </w:r>
      <w:r>
        <w:rPr>
          <w:rFonts w:ascii="IRNazanin" w:hAnsi="IRNazanin" w:eastAsia="IRNazanin"/>
          <w:color w:val="111111"/>
          <w:sz w:val="28"/>
          <w:sz w:val="28"/>
          <w:szCs w:val="28"/>
          <w:rtl w:val="true"/>
          <w:lang w:bidi="fa-IR"/>
        </w:rPr>
        <w:t>، والمعضل</w:t>
      </w:r>
      <w:r>
        <w:rPr>
          <w:rStyle w:val="FootnoteAnchor"/>
          <w:rtl w:val="true"/>
        </w:rPr>
        <w:footnoteReference w:id="697"/>
      </w:r>
      <w:r>
        <w:rPr>
          <w:rFonts w:ascii="Amiri" w:hAnsi="Amiri" w:eastAsia="Amiri" w:cs="Amiri"/>
          <w:color w:val="111111"/>
          <w:sz w:val="28"/>
          <w:sz w:val="28"/>
          <w:szCs w:val="28"/>
          <w:rtl w:val="true"/>
          <w:lang w:bidi="ar-SA"/>
        </w:rPr>
        <w:t>، بل أُدخل فيه</w:t>
      </w:r>
      <w:r>
        <w:rPr>
          <w:rStyle w:val="FootnoteAnchor"/>
          <w:rtl w:val="true"/>
        </w:rPr>
        <w:footnoteReference w:id="698"/>
      </w:r>
      <w:r>
        <w:rPr>
          <w:rFonts w:ascii="Amiri" w:hAnsi="Amiri" w:eastAsia="Amiri" w:cs="Amiri"/>
          <w:color w:val="111111"/>
          <w:sz w:val="28"/>
          <w:sz w:val="28"/>
          <w:szCs w:val="28"/>
          <w:rtl w:val="true"/>
          <w:lang w:bidi="ar-SA"/>
        </w:rPr>
        <w:t xml:space="preserve">حتى المتّصل السند المشتمل على مجهول الحال أو المهمل، بل يطلق على </w:t>
      </w:r>
    </w:p>
    <w:p>
      <w:pPr>
        <w:pStyle w:val="BookText"/>
        <w:rPr/>
      </w:pPr>
      <w:r>
        <w:rPr>
          <w:rFonts w:ascii="IRNazanin" w:hAnsi="IRNazanin" w:eastAsia="IRNazanin"/>
          <w:color w:val="111111"/>
          <w:sz w:val="28"/>
          <w:sz w:val="28"/>
          <w:szCs w:val="28"/>
          <w:rtl w:val="true"/>
          <w:lang w:bidi="fa-IR"/>
        </w:rPr>
        <w:t>المعنعن</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ملاقاة الراوي بالعنعنة لمن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الراوي بالعنعنة من أن يكون معروفاً بالتدليس، وإلّا لم يكفِ اللقاء، لأنّ المدلس قد يتجوّز بالعنعنة مع عدم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آخرون كون الراوي قد أدرك المروي عنه بالعنعنة إدراكاً بيّناً، وكونه معروفاً بالرواية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والمضمر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الحجّية مطلقاً، لعدم العلم بكون الرواية عن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وله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 الراوي من الأجلاء الذين يظهر من حالهم أنّهم لا يروون عن غير المعصوم، فهو حجّة، كالإضمار الذي ربما يُرى في إخبار زرارة ومحمد بن مسلم، وبين ما إذا لم يكن كذلك، وإن توفرت فيه عناصر الحجّية من الوثاقة ونحوها، فلا تكون الرواية معتبرة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إذا كان للإضمار سبب لا يعود للراوي، كالتقيّة، أو سبق ذكر المعصوم، أو علم المخاطب، أو من أجل تقطيع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 عن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الراوي من الأجلاء، فتكون الرواية معتبرة،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يُعبّر عن الرواية المضمرة بالمقطوعة، كما في مقطوعة ابن أذينة الواردة فيما يتعلق بميراث الزوجة من الرباع،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والمرفوع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أضيف إلى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أو فعل أو تقرير، أي وصل آخر السند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اعتراه قطع أو إرسال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 وسط سنده أو آخره واحد أو أكثر مع التصريح بلفظ الرفع، وهذا داخل في المرسل بالمعنى الأعمّ، أمّا الأوّل فبينه وبين المرسل عموم وخصوص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مقباس 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وتوضيح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ولبّ اللباب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بتصرّف</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يخص محل كلامنا هو ما سقط فيه الواسطة بين المذكورين وبين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بإرسالٍ بالمعنى الأخصّ، أو بتعليق أو انقطاع أو إعضال أو عنعنة أو إضمار أو رفعٍ، أو ذُكرت بلفظ مبهم</w:t>
      </w:r>
      <w:r>
        <w:rPr>
          <w:rFonts w:eastAsia="IRNazanin" w:cs="IRNazanin"/>
          <w:color w:val="111111"/>
          <w:sz w:val="28"/>
          <w:szCs w:val="28"/>
          <w:rtl w:val="true"/>
          <w:lang w:bidi="fa-IR"/>
        </w:rPr>
        <w:t xml:space="preserve">. </w:t>
      </w:r>
      <w:bookmarkStart w:id="768" w:name="pg9124_98777"/>
    </w:p>
    <w:p>
      <w:pPr>
        <w:pStyle w:val="Heading3"/>
        <w:numPr>
          <w:ilvl w:val="2"/>
          <w:numId w:val="1"/>
        </w:numPr>
        <w:rPr/>
      </w:pPr>
      <w:bookmarkStart w:id="769" w:name="__RefHeading___Toc2933666_2870459653"/>
      <w:bookmarkStart w:id="770" w:name="_Toc305"/>
      <w:bookmarkEnd w:id="768"/>
      <w:bookmarkEnd w:id="769"/>
      <w:r>
        <w:rPr>
          <w:rtl w:val="true"/>
        </w:rPr>
        <w:t>الفصل الثاني</w:t>
      </w:r>
      <w:r>
        <w:rPr>
          <w:rtl w:val="true"/>
        </w:rPr>
        <w:t xml:space="preserve">: </w:t>
      </w:r>
      <w:r>
        <w:rPr>
          <w:rtl w:val="true"/>
        </w:rPr>
        <w:t>الأقوال في حجّيته</w:t>
      </w:r>
      <w:bookmarkEnd w:id="770"/>
    </w:p>
    <w:p>
      <w:pPr>
        <w:pStyle w:val="Heading4"/>
        <w:numPr>
          <w:ilvl w:val="3"/>
          <w:numId w:val="1"/>
        </w:numPr>
        <w:rPr/>
      </w:pPr>
      <w:bookmarkStart w:id="771" w:name="__RefHeading___Toc2933668_2870459653"/>
      <w:bookmarkStart w:id="772" w:name="_Toc306"/>
      <w:bookmarkEnd w:id="771"/>
      <w:r>
        <w:rPr>
          <w:rtl w:val="true"/>
        </w:rPr>
        <w:t>اشارة</w:t>
      </w:r>
      <w:bookmarkEnd w:id="772"/>
    </w:p>
    <w:p>
      <w:pPr>
        <w:pStyle w:val="BookText"/>
        <w:rPr/>
      </w:pPr>
      <w:r>
        <w:rPr>
          <w:rFonts w:ascii="Amiri" w:hAnsi="Amiri" w:eastAsia="Amiri" w:cs="Amiri"/>
          <w:color w:val="111111"/>
          <w:sz w:val="28"/>
          <w:sz w:val="28"/>
          <w:szCs w:val="28"/>
          <w:rtl w:val="true"/>
          <w:lang w:bidi="ar-SA"/>
        </w:rPr>
        <w:t>وهي أربعة</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2933670_2870459653"/>
      <w:bookmarkStart w:id="774" w:name="_Toc307"/>
      <w:bookmarkEnd w:id="773"/>
      <w:r>
        <w:rPr>
          <w:rtl w:val="true"/>
        </w:rPr>
        <w:t>القول الأوّل</w:t>
      </w:r>
      <w:r>
        <w:rPr>
          <w:rtl w:val="true"/>
        </w:rPr>
        <w:t xml:space="preserve">: </w:t>
      </w:r>
      <w:r>
        <w:rPr>
          <w:rtl w:val="true"/>
        </w:rPr>
        <w:t>القبول مطلقاً</w:t>
      </w:r>
      <w:bookmarkEnd w:id="774"/>
    </w:p>
    <w:p>
      <w:pPr>
        <w:pStyle w:val="BookText"/>
        <w:rPr/>
      </w:pPr>
      <w:r>
        <w:rPr>
          <w:rFonts w:ascii="Amiri" w:hAnsi="Amiri" w:eastAsia="Amiri" w:cs="Amiri"/>
          <w:color w:val="111111"/>
          <w:sz w:val="28"/>
          <w:sz w:val="28"/>
          <w:szCs w:val="28"/>
          <w:rtl w:val="true"/>
          <w:lang w:bidi="ar-SA"/>
        </w:rPr>
        <w:t>سواء كان المرسِل الثقة صحابياً أو لا، وسواء كان جليلاً أو لا، وسواء أسقط راوياً واحداً من السند أم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لجماعة من الجمهور، وأضاف أنّ الرازي نقله في المحصول عن الأكثرين</w:t>
      </w:r>
      <w:r>
        <w:rPr>
          <w:rStyle w:val="FootnoteAnchor"/>
          <w:rtl w:val="true"/>
        </w:rPr>
        <w:footnoteReference w:id="700"/>
      </w:r>
      <w:r>
        <w:rPr>
          <w:rFonts w:ascii="Amiri" w:hAnsi="Amiri" w:eastAsia="Amiri" w:cs="Amiri"/>
          <w:color w:val="111111"/>
          <w:sz w:val="28"/>
          <w:sz w:val="28"/>
          <w:szCs w:val="28"/>
          <w:rtl w:val="true"/>
          <w:lang w:bidi="ar-SA"/>
        </w:rPr>
        <w:t>، إذ قال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حنيفة ومالك وجمهور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مقبول</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وأطال في إقامة الأدلة على بطلانه، حيث إنّه يختار قبول المراسيل بتفصيل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أصحابنا، مَن كانوا يسمون بأهل الحديث أو الأخبار</w:t>
      </w:r>
      <w:r>
        <w:rPr>
          <w:rStyle w:val="FootnoteAnchor"/>
          <w:rtl w:val="true"/>
        </w:rPr>
        <w:footnoteReference w:id="702"/>
      </w:r>
      <w:r>
        <w:rPr>
          <w:rFonts w:ascii="Amiri" w:hAnsi="Amiri" w:eastAsia="Amiri" w:cs="Amiri"/>
          <w:color w:val="111111"/>
          <w:sz w:val="28"/>
          <w:sz w:val="28"/>
          <w:szCs w:val="28"/>
          <w:rtl w:val="true"/>
          <w:lang w:bidi="ar-SA"/>
        </w:rPr>
        <w:t>، ونسب هذا القول إلى محمد بن خالد البرقي، والد أحمد مؤلف كتاب المحاسن، وربما ينسب إلى الأخير، إذ قيل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ثقة في نفسه، غير أنّه أكثر الرواية عن الضعفاء، واعتمد المراسيل، وكان لا يبالي عمّن أخذ، على طريقة أهل الأخبار</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لهذا القول بأدلة كثيرة لا يهمنا التعرّض لها في المقام</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2933672_2870459653"/>
      <w:bookmarkStart w:id="776" w:name="_Toc308"/>
      <w:bookmarkEnd w:id="775"/>
      <w:r>
        <w:rPr>
          <w:rtl w:val="true"/>
        </w:rPr>
        <w:t>القول الثّاني</w:t>
      </w:r>
      <w:r>
        <w:rPr>
          <w:rtl w:val="true"/>
        </w:rPr>
        <w:t xml:space="preserve">: </w:t>
      </w:r>
      <w:r>
        <w:rPr>
          <w:rtl w:val="true"/>
        </w:rPr>
        <w:t>عدم القبول مطلقاً</w:t>
      </w:r>
      <w:bookmarkEnd w:id="776"/>
    </w:p>
    <w:p>
      <w:pPr>
        <w:pStyle w:val="BookText"/>
        <w:rPr/>
      </w:pPr>
      <w:r>
        <w:rPr>
          <w:rFonts w:ascii="Amiri" w:hAnsi="Amiri" w:eastAsia="Amiri" w:cs="Amiri"/>
          <w:color w:val="111111"/>
          <w:sz w:val="28"/>
          <w:sz w:val="28"/>
          <w:szCs w:val="28"/>
          <w:rtl w:val="true"/>
          <w:lang w:bidi="ar-SA"/>
        </w:rPr>
        <w:t xml:space="preserve">وذهب إليه جماعة، منهم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والاستبصار</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وأيضاً ذكر رواية محمد بن علي بن محبوب، عن العباس بن عبد الله بن المغيرة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في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المياه وأحكامها، الحديث </w:t>
      </w:r>
      <w:r>
        <w:rPr>
          <w:rFonts w:eastAsia="IRNazanin" w:cs="IRNazanin"/>
          <w:color w:val="111111"/>
          <w:sz w:val="28"/>
          <w:szCs w:val="28"/>
          <w:lang w:bidi="fa-IR"/>
        </w:rPr>
        <w:t>1309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خبر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مقدار الماء الذي لا ينجسه شيء، حديث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 ما في هذا الخبر أنّه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الموارد التي ناقش فيها بالإرسال، وإن كان المرسِل أحد أصحاب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بخلاف ما صرّح به في العدّة من استثناء أصحاب الإجماع، وأنّهم لا يرسلون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ذلك</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بخلاف ما صرح</w:t>
      </w:r>
    </w:p>
    <w:p>
      <w:pPr>
        <w:pStyle w:val="BookText"/>
        <w:rPr/>
      </w:pPr>
      <w:r>
        <w:rPr>
          <w:rFonts w:ascii="Amiri" w:hAnsi="Amiri" w:eastAsia="Amiri" w:cs="Amiri"/>
          <w:color w:val="111111"/>
          <w:sz w:val="28"/>
          <w:sz w:val="28"/>
          <w:szCs w:val="28"/>
          <w:rtl w:val="true"/>
          <w:lang w:bidi="ar-SA"/>
        </w:rPr>
        <w:t xml:space="preserve">به في العدة </w:t>
      </w:r>
      <w:r>
        <w:rPr>
          <w:rStyle w:val="FootnoteAnchor"/>
          <w:rtl w:val="true"/>
        </w:rPr>
        <w:footnoteReference w:id="705"/>
      </w:r>
      <w:r>
        <w:rPr>
          <w:rFonts w:ascii="Amiri" w:hAnsi="Amiri" w:eastAsia="Amiri" w:cs="Amiri"/>
          <w:color w:val="111111"/>
          <w:sz w:val="28"/>
          <w:sz w:val="28"/>
          <w:szCs w:val="28"/>
          <w:rtl w:val="true"/>
          <w:lang w:bidi="ar-SA"/>
        </w:rPr>
        <w:t>من استثناء أصحاب الإجماع، ووصفهم بأنّهم لا يرسلون إلّا عن ثقة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تأمّل سيد أساتذتنا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الاستشهاد بكلام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التهذيبين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مقرّر محاضراته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هذا التأمّل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مدفوع نقضاً وحلّا ً، فذكر في معرض بيان 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الشيخ قد تكفّل في التهذيبين بحلّ ظاهرة التعارض بين الأخبار، وذلك ممّا ألجأه أحياناً إلى اتباع الأسلوب الإقناعي في البحث المتمثّل في حمل جملةٍ من الروايات على بعض المحامل البعيدة، أو المناقشة في حجّيتها ببعض الوجوه التي لا تنسجم مع مبانيه الرجالية والأصولية المذكورة في سائر كتبه، وهذا ظاهر لمن تتبع طريقته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الكتابين، ولتوضيحه وذكر الشواهد عليه مجال آخر، وعلى هذا فلا يمكن الاستناد إلى ما ذكر في التهذيبين، خلافاً لما صرّح به هو في كتاب العدة، أو ذكره غيره من أعلام الرجاليين</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bookmarkStart w:id="777" w:name="pg9124_98779"/>
    </w:p>
    <w:p>
      <w:pPr>
        <w:pStyle w:val="BookText"/>
        <w:rPr/>
      </w:pPr>
      <w:bookmarkEnd w:id="777"/>
      <w:r>
        <w:rPr>
          <w:rFonts w:ascii="Amiri" w:hAnsi="Amiri" w:eastAsia="Amiri" w:cs="Amiri"/>
          <w:color w:val="111111"/>
          <w:sz w:val="28"/>
          <w:sz w:val="28"/>
          <w:szCs w:val="28"/>
          <w:rtl w:val="true"/>
          <w:lang w:bidi="ar-SA"/>
        </w:rPr>
        <w:t xml:space="preserve">واختار القول بعدم الحجّية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تهذيب الأصول</w:t>
      </w:r>
      <w:r>
        <w:rPr>
          <w:rStyle w:val="FootnoteAnchor"/>
          <w:rtl w:val="true"/>
        </w:rPr>
        <w:footnoteReference w:id="707"/>
      </w:r>
      <w:r>
        <w:rPr>
          <w:rFonts w:ascii="Amiri" w:hAnsi="Amiri" w:eastAsia="Amiri" w:cs="Amiri"/>
          <w:color w:val="111111"/>
          <w:sz w:val="28"/>
          <w:sz w:val="28"/>
          <w:szCs w:val="28"/>
          <w:rtl w:val="true"/>
          <w:lang w:bidi="ar-SA"/>
        </w:rPr>
        <w:t xml:space="preserve">، والشهيد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درايته،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والمرسل ليس بحجّةٍ مطلقاً، سواء أرسله الصحابي أم غيره، وسواء سقط منه واحدٌ أم أكثر، وسواء كان المرسِل جليلاً أم لا</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بل تنظّر فيه حتى في حالة تحقّق العلم بكون المرسل لا يروي إلّا عن الثقة، كابن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 أيضاً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 قصارى جهده في إقامة الأدلة على مختاره، واعتبر دعوى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أصحاب الإجماع لا يرسلون إلّا عن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باطلةً، واجتهاداً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استنبطه من اعتقاده التسوية بين مراسيل هؤلاء ومسانيد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بذلك في المعتبر</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مذهب جماعة من العامّة كالحاجبي والعضدي والرازي، ونسبه الأخير للشافعي، إلّا أنّه غير صحيح، لأنّ الشافعي لا يرفض المرسل مطلقاً، بل يقبله بشروطٍ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رأيه التفصيل وليس المنع من الحجّية مطلقاً، والذي دعا الرازي لنسبة هذا القول للشافعي هو أنّه ذكر قولين فقط، وهما القبول وعدمه فلا بُدَّ من أن يدخل القول بالتفصيل تحت واحد منهما</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8" w:name="__RefHeading___Toc2933674_2870459653"/>
      <w:bookmarkStart w:id="779" w:name="_Toc309"/>
      <w:bookmarkEnd w:id="778"/>
      <w:r>
        <w:rPr>
          <w:rtl w:val="true"/>
        </w:rPr>
        <w:t>القول الثّالث</w:t>
      </w:r>
      <w:r>
        <w:rPr>
          <w:rtl w:val="true"/>
        </w:rPr>
        <w:t xml:space="preserve">: </w:t>
      </w:r>
      <w:r>
        <w:rPr>
          <w:rtl w:val="true"/>
        </w:rPr>
        <w:t>التوقف</w:t>
      </w:r>
      <w:bookmarkEnd w:id="77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نسبه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المعارج اعتماداً على اقتصاره على نقله عن الشيخ القول بأنّ الراوي إذا كان ممّن عرف أنّه لا يروي إلّا عن ثقة، من غير </w:t>
      </w:r>
      <w:bookmarkStart w:id="780" w:name="pg9124_98780"/>
    </w:p>
    <w:p>
      <w:pPr>
        <w:pStyle w:val="BookText"/>
        <w:rPr/>
      </w:pPr>
      <w:bookmarkEnd w:id="780"/>
      <w:r>
        <w:rPr>
          <w:rFonts w:ascii="Amiri" w:hAnsi="Amiri" w:eastAsia="Amiri" w:cs="Amiri"/>
          <w:color w:val="111111"/>
          <w:sz w:val="28"/>
          <w:sz w:val="28"/>
          <w:szCs w:val="28"/>
          <w:rtl w:val="true"/>
          <w:lang w:bidi="ar-SA"/>
        </w:rPr>
        <w:t xml:space="preserve">إشعار بالقبول والردّ، فبعد أن نقل عبارة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ممّن عرف أنّه لا يروي إلّا عن ثقة، قبلت مطلقاً، وإن لم يكن كذلك قبلت بشرط أن لا يكون لها معارض من المسانيد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الطائفة عملت بالمراسيل عند سلامتها عن المعارض كما عملت بالمسانيد، فمن أجاز أحدهما أجاز الآخر</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عبارة المحقّق بلفظها، وهي تدلّ على توقفه في الحكم حيث اقتصر على نقله عن الشيخ بحجّته من غير إشعار بالقبول والردّ</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1" w:name="__RefHeading___Toc2933676_2870459653"/>
      <w:bookmarkStart w:id="782" w:name="_Toc310"/>
      <w:bookmarkEnd w:id="781"/>
      <w:r>
        <w:rPr>
          <w:rtl w:val="true"/>
        </w:rPr>
        <w:t>القول الرابع</w:t>
      </w:r>
      <w:r>
        <w:rPr>
          <w:rtl w:val="true"/>
        </w:rPr>
        <w:t xml:space="preserve">: </w:t>
      </w:r>
      <w:r>
        <w:rPr>
          <w:rtl w:val="true"/>
        </w:rPr>
        <w:t>التفصيل</w:t>
      </w:r>
      <w:bookmarkEnd w:id="78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صور متعدّدة أوصلها البعض إلى أكثر من عشر صور</w:t>
      </w:r>
      <w:r>
        <w:rPr>
          <w:rStyle w:val="FootnoteAnchor"/>
          <w:rtl w:val="true"/>
        </w:rPr>
        <w:footnoteReference w:id="713"/>
      </w:r>
      <w:r>
        <w:rPr>
          <w:rFonts w:ascii="Amiri" w:hAnsi="Amiri" w:eastAsia="Amiri" w:cs="Amiri"/>
          <w:color w:val="111111"/>
          <w:sz w:val="28"/>
          <w:sz w:val="28"/>
          <w:szCs w:val="28"/>
          <w:rtl w:val="true"/>
          <w:lang w:bidi="ar-SA"/>
        </w:rPr>
        <w:t>، إحداها الصورة التي هي محل البحث، وهي التفصيل بين مراسيل مَن حكي الإجماع على تصحيح ما يصحّ عنهم والمعبّر عنهم بأصحاب الإجماع، وبين مراسيل غيرهم</w:t>
      </w:r>
      <w:r>
        <w:rPr>
          <w:rFonts w:eastAsia="Amiri" w:cs="Amiri" w:ascii="Amiri" w:hAnsi="Amiri"/>
          <w:color w:val="111111"/>
          <w:sz w:val="28"/>
          <w:szCs w:val="28"/>
          <w:rtl w:val="true"/>
          <w:lang w:bidi="ar-SA"/>
        </w:rPr>
        <w:t xml:space="preserve">. </w:t>
      </w:r>
      <w:bookmarkStart w:id="783" w:name="pg9124_98781"/>
    </w:p>
    <w:p>
      <w:pPr>
        <w:pStyle w:val="Heading3"/>
        <w:numPr>
          <w:ilvl w:val="2"/>
          <w:numId w:val="1"/>
        </w:numPr>
        <w:rPr/>
      </w:pPr>
      <w:bookmarkStart w:id="784" w:name="__RefHeading___Toc2933678_2870459653"/>
      <w:bookmarkStart w:id="785" w:name="_Toc311"/>
      <w:bookmarkEnd w:id="783"/>
      <w:bookmarkEnd w:id="784"/>
      <w:r>
        <w:rPr>
          <w:rtl w:val="true"/>
        </w:rPr>
        <w:t>الفصل الثّالث</w:t>
      </w:r>
      <w:r>
        <w:rPr>
          <w:rtl w:val="true"/>
        </w:rPr>
        <w:t xml:space="preserve">: </w:t>
      </w:r>
      <w:r>
        <w:rPr>
          <w:rtl w:val="true"/>
        </w:rPr>
        <w:t>في طرق التوثيق</w:t>
      </w:r>
      <w:bookmarkEnd w:id="785"/>
    </w:p>
    <w:p>
      <w:pPr>
        <w:pStyle w:val="Heading4"/>
        <w:numPr>
          <w:ilvl w:val="3"/>
          <w:numId w:val="1"/>
        </w:numPr>
        <w:rPr/>
      </w:pPr>
      <w:bookmarkStart w:id="786" w:name="__RefHeading___Toc2933680_2870459653"/>
      <w:bookmarkStart w:id="787" w:name="_Toc312"/>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وهي على قسمين</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2933682_2870459653"/>
      <w:bookmarkStart w:id="789" w:name="_Toc313"/>
      <w:bookmarkEnd w:id="788"/>
      <w:r>
        <w:rPr>
          <w:rtl w:val="true"/>
        </w:rPr>
        <w:t>الأوّل</w:t>
      </w:r>
      <w:r>
        <w:rPr>
          <w:rtl w:val="true"/>
        </w:rPr>
        <w:t xml:space="preserve">: </w:t>
      </w:r>
      <w:r>
        <w:rPr>
          <w:rtl w:val="true"/>
        </w:rPr>
        <w:t>طرق التوثيق الخاصّة</w:t>
      </w:r>
      <w:bookmarkEnd w:id="789"/>
    </w:p>
    <w:p>
      <w:pPr>
        <w:pStyle w:val="Heading5"/>
        <w:numPr>
          <w:ilvl w:val="4"/>
          <w:numId w:val="1"/>
        </w:numPr>
        <w:rPr/>
      </w:pPr>
      <w:bookmarkStart w:id="790" w:name="__RefHeading___Toc2933684_2870459653"/>
      <w:bookmarkStart w:id="791" w:name="_Toc314"/>
      <w:bookmarkEnd w:id="790"/>
      <w:r>
        <w:rPr>
          <w:rtl w:val="true"/>
        </w:rPr>
        <w:t>اشارة</w:t>
      </w:r>
      <w:bookmarkEnd w:id="791"/>
    </w:p>
    <w:p>
      <w:pPr>
        <w:pStyle w:val="BookText"/>
        <w:rPr/>
      </w:pPr>
      <w:r>
        <w:rPr>
          <w:rFonts w:ascii="Amiri" w:hAnsi="Amiri" w:eastAsia="Amiri" w:cs="Amiri"/>
          <w:color w:val="111111"/>
          <w:sz w:val="28"/>
          <w:sz w:val="28"/>
          <w:szCs w:val="28"/>
          <w:rtl w:val="true"/>
          <w:lang w:bidi="ar-SA"/>
        </w:rPr>
        <w:t>وهي أربعة، نذكرها إجمالاً</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2933686_2870459653"/>
      <w:bookmarkStart w:id="793" w:name="_Toc315"/>
      <w:bookmarkEnd w:id="792"/>
      <w:r>
        <w:rPr>
          <w:rtl w:val="true"/>
        </w:rPr>
        <w:t>أوّلاً</w:t>
      </w:r>
      <w:r>
        <w:rPr>
          <w:rtl w:val="true"/>
        </w:rPr>
        <w:t xml:space="preserve">: </w:t>
      </w:r>
      <w:r>
        <w:rPr>
          <w:rtl w:val="true"/>
        </w:rPr>
        <w:t xml:space="preserve">نصّ أحد المعصومين </w:t>
      </w:r>
      <w:r>
        <w:rPr>
          <w:rtl w:val="true"/>
        </w:rPr>
        <w:t>(</w:t>
      </w:r>
      <w:r>
        <w:rPr>
          <w:rtl w:val="true"/>
        </w:rPr>
        <w:t>علیهم السلام</w:t>
      </w:r>
      <w:r>
        <w:rPr>
          <w:rtl w:val="true"/>
        </w:rPr>
        <w:t>)</w:t>
      </w:r>
      <w:bookmarkEnd w:id="793"/>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بسند صحيح مِنْ تَرحُّم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صفوان بن يحيى</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4" w:name="__RefHeading___Toc2933688_2870459653"/>
      <w:bookmarkStart w:id="795" w:name="_Toc316"/>
      <w:bookmarkEnd w:id="794"/>
      <w:r>
        <w:rPr>
          <w:rtl w:val="true"/>
        </w:rPr>
        <w:t>ثانياً</w:t>
      </w:r>
      <w:r>
        <w:rPr>
          <w:rtl w:val="true"/>
        </w:rPr>
        <w:t xml:space="preserve">: </w:t>
      </w:r>
      <w:r>
        <w:rPr>
          <w:rtl w:val="true"/>
        </w:rPr>
        <w:t>نصّ أحد الأعلام المتقدّمين كابن قولويه</w:t>
      </w:r>
      <w:bookmarkEnd w:id="795"/>
    </w:p>
    <w:p>
      <w:pPr>
        <w:pStyle w:val="BookText"/>
        <w:rPr/>
      </w:pPr>
      <w:r>
        <w:rPr>
          <w:rFonts w:ascii="Amiri" w:hAnsi="Amiri" w:eastAsia="Amiri" w:cs="Amiri"/>
          <w:color w:val="111111"/>
          <w:sz w:val="28"/>
          <w:sz w:val="28"/>
          <w:szCs w:val="28"/>
          <w:rtl w:val="true"/>
          <w:lang w:bidi="ar-SA"/>
        </w:rPr>
        <w:t>أو الكشّي، أو الصدوق، أو المفيد، أو النجاشي، أو الشيخ، أو ابن عقدة، أو ابن فضّال، أو ابن الغضائري، وأضرابهم</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6" w:name="__RefHeading___Toc2933690_2870459653"/>
      <w:bookmarkStart w:id="797" w:name="_Toc317"/>
      <w:bookmarkEnd w:id="796"/>
      <w:r>
        <w:rPr>
          <w:rtl w:val="true"/>
        </w:rPr>
        <w:t>ثالثاً</w:t>
      </w:r>
      <w:r>
        <w:rPr>
          <w:rtl w:val="true"/>
        </w:rPr>
        <w:t xml:space="preserve">: </w:t>
      </w:r>
      <w:r>
        <w:rPr>
          <w:rtl w:val="true"/>
        </w:rPr>
        <w:t>نصّ أحد الأعلام المتأخّرين</w:t>
      </w:r>
      <w:bookmarkEnd w:id="79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لم يعتمد عليه البعض لوجود شواهد على انقطاع طرق المتأخّرين، فضلاً عن متأخّري المتأخّرين في التوثيق، لضياع كتب الرجال، وحصر طرقهم في الإجازات الصادرة عنهم كلّها إلى الشيخ، وانقطاع السلسلة بعد الشيخ، وبناء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أصالة العدالة في المسلم</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bookmarkStart w:id="798" w:name="pg9124_98782"/>
    </w:p>
    <w:p>
      <w:pPr>
        <w:pStyle w:val="Heading5"/>
        <w:numPr>
          <w:ilvl w:val="4"/>
          <w:numId w:val="1"/>
        </w:numPr>
        <w:rPr/>
      </w:pPr>
      <w:bookmarkStart w:id="799" w:name="__RefHeading___Toc2933692_2870459653"/>
      <w:bookmarkStart w:id="800" w:name="_Toc318"/>
      <w:bookmarkEnd w:id="798"/>
      <w:bookmarkEnd w:id="799"/>
      <w:r>
        <w:rPr>
          <w:rtl w:val="true"/>
        </w:rPr>
        <w:t>رابعاً</w:t>
      </w:r>
      <w:r>
        <w:rPr>
          <w:rtl w:val="true"/>
        </w:rPr>
        <w:t xml:space="preserve">: </w:t>
      </w:r>
      <w:r>
        <w:rPr>
          <w:rtl w:val="true"/>
        </w:rPr>
        <w:t>دعوى الإجماع من قبل المتقدّمين أو المتأخّرين</w:t>
      </w:r>
      <w:bookmarkEnd w:id="800"/>
    </w:p>
    <w:p>
      <w:pPr>
        <w:pStyle w:val="BookText"/>
        <w:rPr/>
      </w:pPr>
      <w:r>
        <w:rPr>
          <w:rFonts w:ascii="Amiri" w:hAnsi="Amiri" w:eastAsia="Amiri" w:cs="Amiri"/>
          <w:color w:val="111111"/>
          <w:sz w:val="28"/>
          <w:sz w:val="28"/>
          <w:szCs w:val="28"/>
          <w:rtl w:val="true"/>
          <w:lang w:bidi="ar-SA"/>
        </w:rPr>
        <w:t>وذلك لتنزيله منزلة الإخبار عن استفاضة التوثيق واشتهاره، وهو كافٍ لحصول العلم العادي به</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2933694_2870459653"/>
      <w:bookmarkStart w:id="802" w:name="_Toc319"/>
      <w:bookmarkEnd w:id="801"/>
      <w:r>
        <w:rPr>
          <w:rtl w:val="true"/>
        </w:rPr>
        <w:t>الثاني</w:t>
      </w:r>
      <w:r>
        <w:rPr>
          <w:rtl w:val="true"/>
        </w:rPr>
        <w:t xml:space="preserve">: </w:t>
      </w:r>
      <w:r>
        <w:rPr>
          <w:rtl w:val="true"/>
        </w:rPr>
        <w:t>طرق التوثيق العامّة</w:t>
      </w:r>
      <w:bookmarkEnd w:id="802"/>
    </w:p>
    <w:p>
      <w:pPr>
        <w:pStyle w:val="Heading5"/>
        <w:numPr>
          <w:ilvl w:val="4"/>
          <w:numId w:val="1"/>
        </w:numPr>
        <w:rPr/>
      </w:pPr>
      <w:bookmarkStart w:id="803" w:name="__RefHeading___Toc2933696_2870459653"/>
      <w:bookmarkStart w:id="804" w:name="_Toc320"/>
      <w:bookmarkEnd w:id="803"/>
      <w:r>
        <w:rPr>
          <w:rtl w:val="true"/>
        </w:rPr>
        <w:t>اشارة</w:t>
      </w:r>
      <w:bookmarkEnd w:id="804"/>
    </w:p>
    <w:p>
      <w:pPr>
        <w:pStyle w:val="BookText"/>
        <w:rPr/>
      </w:pPr>
      <w:r>
        <w:rPr>
          <w:rFonts w:ascii="Amiri" w:hAnsi="Amiri" w:eastAsia="Amiri" w:cs="Amiri"/>
          <w:color w:val="111111"/>
          <w:sz w:val="28"/>
          <w:sz w:val="28"/>
          <w:szCs w:val="28"/>
          <w:rtl w:val="true"/>
          <w:lang w:bidi="ar-SA"/>
        </w:rPr>
        <w:t>وهي كثيرة، نذكرها إجمالاً، مع التنبيه على وقوع الخلاف في بعضها</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2933698_2870459653"/>
      <w:bookmarkStart w:id="806" w:name="_Toc321"/>
      <w:bookmarkEnd w:id="805"/>
      <w:r>
        <w:rPr>
          <w:rtl w:val="true"/>
        </w:rPr>
        <w:t>أوّلاً</w:t>
      </w:r>
      <w:r>
        <w:rPr>
          <w:rtl w:val="true"/>
        </w:rPr>
        <w:t xml:space="preserve">: </w:t>
      </w:r>
      <w:r>
        <w:rPr>
          <w:rtl w:val="true"/>
        </w:rPr>
        <w:t xml:space="preserve">كونه من أصحاب الإمام الصادق </w:t>
      </w:r>
      <w:r>
        <w:rPr>
          <w:rtl w:val="true"/>
        </w:rPr>
        <w:t>(</w:t>
      </w:r>
      <w:r>
        <w:rPr>
          <w:rtl w:val="true"/>
        </w:rPr>
        <w:t>علیه السلام</w:t>
      </w:r>
      <w:r>
        <w:rPr>
          <w:rtl w:val="true"/>
        </w:rPr>
        <w:t>)</w:t>
      </w:r>
      <w:bookmarkEnd w:id="806"/>
    </w:p>
    <w:p>
      <w:pPr>
        <w:pStyle w:val="BookText"/>
        <w:rPr/>
      </w:pPr>
      <w:r>
        <w:rPr>
          <w:rFonts w:ascii="IRNazanin" w:hAnsi="IRNazanin" w:eastAsia="IRNazanin"/>
          <w:color w:val="111111"/>
          <w:sz w:val="28"/>
          <w:sz w:val="28"/>
          <w:szCs w:val="28"/>
          <w:rtl w:val="true"/>
          <w:lang w:bidi="fa-IR"/>
        </w:rPr>
        <w:t xml:space="preserve">وقد اختلف في نسبة هذا النوع من التوثيق، وأنّه لابن عقدة أم للشيخ المفيد؟ والمراد من هذا الطريق هو بيان أنّ هناك عدةً ممّن رووا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 العيون والثقات، وهم عمدة النقلة عنه، وإنّ مستند هذه المقولة هو استقراء القائل بها لكل مفردة رجالية ممّن روى عنه، وليس المراد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صدرت من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حسية عامّة استقرائية، عبر وسائط معاصرة لتلك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وأنّ هناك عدّة ممّن 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ممّن عرف بالضعف، كوهب بن وهب البختري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عدّوها قرينة ظنية حدسية تحتاج إلى أن تنضم إليها قرائن أخرى</w:t>
      </w:r>
      <w:r>
        <w:rPr>
          <w:rFonts w:eastAsia="IRNazanin" w:cs="IRNazanin"/>
          <w:color w:val="111111"/>
          <w:sz w:val="28"/>
          <w:szCs w:val="28"/>
          <w:rtl w:val="true"/>
          <w:lang w:bidi="fa-IR"/>
        </w:rPr>
        <w:t>.</w:t>
      </w:r>
    </w:p>
    <w:p>
      <w:pPr>
        <w:pStyle w:val="Heading5"/>
        <w:numPr>
          <w:ilvl w:val="4"/>
          <w:numId w:val="1"/>
        </w:numPr>
        <w:rPr/>
      </w:pPr>
      <w:bookmarkStart w:id="807" w:name="__RefHeading___Toc2933700_2870459653"/>
      <w:bookmarkStart w:id="808" w:name="_Toc322"/>
      <w:bookmarkEnd w:id="807"/>
      <w:r>
        <w:rPr>
          <w:rtl w:val="true"/>
        </w:rPr>
        <w:t>ثانياً</w:t>
      </w:r>
      <w:r>
        <w:rPr>
          <w:rtl w:val="true"/>
        </w:rPr>
        <w:t xml:space="preserve">: </w:t>
      </w:r>
      <w:r>
        <w:rPr>
          <w:rtl w:val="true"/>
        </w:rPr>
        <w:t xml:space="preserve">الوكالة عن الإمام </w:t>
      </w:r>
      <w:r>
        <w:rPr>
          <w:rtl w:val="true"/>
        </w:rPr>
        <w:t>(</w:t>
      </w:r>
      <w:r>
        <w:rPr>
          <w:rtl w:val="true"/>
        </w:rPr>
        <w:t>علیه السلام</w:t>
      </w:r>
      <w:r>
        <w:rPr>
          <w:rtl w:val="true"/>
        </w:rPr>
        <w:t>)</w:t>
      </w:r>
      <w:bookmarkEnd w:id="808"/>
    </w:p>
    <w:p>
      <w:pPr>
        <w:pStyle w:val="BookText"/>
        <w:rPr/>
      </w:pPr>
      <w:r>
        <w:rPr>
          <w:rFonts w:ascii="Amiri" w:hAnsi="Amiri" w:eastAsia="Amiri" w:cs="Amiri"/>
          <w:color w:val="111111"/>
          <w:sz w:val="28"/>
          <w:sz w:val="28"/>
          <w:szCs w:val="28"/>
          <w:rtl w:val="true"/>
          <w:lang w:bidi="ar-SA"/>
        </w:rPr>
        <w:t>وقد عدّها البعض من أقوى أمارات المدح، بل العدالة والوثاقة، واستشكل آخرون في دلالتها على الوثاقة، لعدم اشتراطها شرعاً بالعدالة، بل غايتها أنّ العادة جارية على عدم توكيل من لا يوثق بأمانته في الأمور المالية، وقد عدّ الشيخ في الغيبة جملة من الوكلاء المذمومين، ممّا يدل على إمكان الانفكاك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قول بالتفصيل</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2933702_2870459653"/>
      <w:bookmarkStart w:id="810" w:name="_Toc323"/>
      <w:bookmarkEnd w:id="809"/>
      <w:r>
        <w:rPr>
          <w:rtl w:val="true"/>
        </w:rPr>
        <w:t>ثالثاً</w:t>
      </w:r>
      <w:r>
        <w:rPr>
          <w:rtl w:val="true"/>
        </w:rPr>
        <w:t xml:space="preserve">: </w:t>
      </w:r>
      <w:r>
        <w:rPr>
          <w:rtl w:val="true"/>
        </w:rPr>
        <w:t xml:space="preserve">مصاحبة المعصوم </w:t>
      </w:r>
      <w:r>
        <w:rPr>
          <w:rtl w:val="true"/>
        </w:rPr>
        <w:t>(</w:t>
      </w:r>
      <w:r>
        <w:rPr>
          <w:rtl w:val="true"/>
        </w:rPr>
        <w:t>علیه السلام</w:t>
      </w:r>
      <w:r>
        <w:rPr>
          <w:rtl w:val="true"/>
        </w:rPr>
        <w:t>)</w:t>
      </w:r>
      <w:bookmarkEnd w:id="81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والأقوال فيه كسابقه</w:t>
      </w:r>
      <w:r>
        <w:rPr>
          <w:rFonts w:eastAsia="Amiri" w:cs="Amiri" w:ascii="Amiri" w:hAnsi="Amiri"/>
          <w:color w:val="111111"/>
          <w:sz w:val="28"/>
          <w:szCs w:val="28"/>
          <w:rtl w:val="true"/>
          <w:lang w:bidi="ar-SA"/>
        </w:rPr>
        <w:t xml:space="preserve">. </w:t>
      </w:r>
      <w:bookmarkStart w:id="811" w:name="pg9124_98783"/>
    </w:p>
    <w:p>
      <w:pPr>
        <w:pStyle w:val="Heading5"/>
        <w:numPr>
          <w:ilvl w:val="4"/>
          <w:numId w:val="1"/>
        </w:numPr>
        <w:rPr/>
      </w:pPr>
      <w:bookmarkStart w:id="812" w:name="__RefHeading___Toc2933704_2870459653"/>
      <w:bookmarkStart w:id="813" w:name="_Toc324"/>
      <w:bookmarkEnd w:id="811"/>
      <w:bookmarkEnd w:id="812"/>
      <w:r>
        <w:rPr>
          <w:rtl w:val="true"/>
        </w:rPr>
        <w:t>رابعاً</w:t>
      </w:r>
      <w:r>
        <w:rPr>
          <w:rtl w:val="true"/>
        </w:rPr>
        <w:t xml:space="preserve">: </w:t>
      </w:r>
      <w:r>
        <w:rPr>
          <w:rtl w:val="true"/>
        </w:rPr>
        <w:t xml:space="preserve">كثرة الرواية عن المعصوم </w:t>
      </w:r>
      <w:r>
        <w:rPr>
          <w:rtl w:val="true"/>
        </w:rPr>
        <w:t>(</w:t>
      </w:r>
      <w:r>
        <w:rPr>
          <w:rtl w:val="true"/>
        </w:rPr>
        <w:t>علیه السلام</w:t>
      </w:r>
      <w:r>
        <w:rPr>
          <w:rtl w:val="true"/>
        </w:rPr>
        <w:t>)</w:t>
      </w:r>
      <w:bookmarkEnd w:id="813"/>
    </w:p>
    <w:p>
      <w:pPr>
        <w:pStyle w:val="BookText"/>
        <w:rPr/>
      </w:pPr>
      <w:r>
        <w:rPr>
          <w:rFonts w:ascii="IRNazanin" w:hAnsi="IRNazanin" w:eastAsia="IRNazanin"/>
          <w:color w:val="111111"/>
          <w:sz w:val="28"/>
          <w:sz w:val="28"/>
          <w:szCs w:val="28"/>
          <w:rtl w:val="true"/>
          <w:lang w:bidi="fa-IR"/>
        </w:rPr>
        <w:t xml:space="preserve">وقد استدل على أماريَّته على الوثاقة بمجموعة من الروايات، منها ما رواه الكشي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الرجال منّا على قدر روايتهم عنّا</w:t>
      </w:r>
      <w:r>
        <w:rPr>
          <w:rFonts w:eastAsia="IRNazanin" w:cs="IRNazanin"/>
          <w:color w:val="111111"/>
          <w:sz w:val="28"/>
          <w:szCs w:val="28"/>
          <w:rtl w:val="true"/>
          <w:lang w:bidi="fa-IR"/>
        </w:rPr>
        <w:t>)</w:t>
      </w:r>
      <w:r>
        <w:rPr>
          <w:rStyle w:val="FootnoteAnchor"/>
          <w:rtl w:val="true"/>
        </w:rPr>
        <w:footnoteReference w:id="71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الروايات ضعيفة سنداً، بل ودلالةً، إذ إنّ المراد من كثرة الرواية كثرتها بعد ثبوت حجية قول الراوي</w:t>
      </w:r>
      <w:r>
        <w:rPr>
          <w:rFonts w:eastAsia="Amiri" w:cs="Amiri" w:ascii="Amiri" w:hAnsi="Amiri"/>
          <w:color w:val="111111"/>
          <w:sz w:val="28"/>
          <w:szCs w:val="28"/>
          <w:rtl w:val="true"/>
          <w:lang w:bidi="ar-SA"/>
        </w:rPr>
        <w:t>.</w:t>
      </w:r>
    </w:p>
    <w:p>
      <w:pPr>
        <w:pStyle w:val="Heading5"/>
        <w:numPr>
          <w:ilvl w:val="4"/>
          <w:numId w:val="1"/>
        </w:numPr>
        <w:rPr/>
      </w:pPr>
      <w:bookmarkStart w:id="814" w:name="__RefHeading___Toc2933706_2870459653"/>
      <w:bookmarkStart w:id="815" w:name="_Toc325"/>
      <w:bookmarkEnd w:id="814"/>
      <w:r>
        <w:rPr>
          <w:rtl w:val="true"/>
        </w:rPr>
        <w:t>خامساً</w:t>
      </w:r>
      <w:r>
        <w:rPr>
          <w:rtl w:val="true"/>
        </w:rPr>
        <w:t xml:space="preserve">: </w:t>
      </w:r>
      <w:r>
        <w:rPr>
          <w:rtl w:val="true"/>
        </w:rPr>
        <w:t>كونه صاحب كتاب أو أصل</w:t>
      </w:r>
      <w:bookmarkEnd w:id="815"/>
    </w:p>
    <w:p>
      <w:pPr>
        <w:pStyle w:val="BookText"/>
        <w:rPr/>
      </w:pPr>
      <w:r>
        <w:rPr>
          <w:rFonts w:ascii="Amiri" w:hAnsi="Amiri" w:eastAsia="Amiri" w:cs="Amiri"/>
          <w:color w:val="111111"/>
          <w:sz w:val="28"/>
          <w:sz w:val="28"/>
          <w:szCs w:val="28"/>
          <w:rtl w:val="true"/>
          <w:lang w:bidi="ar-SA"/>
        </w:rPr>
        <w:t>وقد اعترض عليه بأنّه ربّ مؤلف كذاب وضّاع، وبأنّ الحسن بن صالح بن حي الثوري البتري صاحب أصل إلّا أنّه متروك العمل بما يختصّ بروايته، وكذلك علي بن أبي حمزة البطائني وأبو الجارود وأضرابهم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اشترط البعض في الاعتماد عليه، انضمام تلقي الطائفة للأصل، أو الكتاب، أو كون رواياته مبثوثةً في الأبواب، ووجود الطرق إليه في كتب الفهارس والمشيخة، كما يلاحظ ذلك من الشيخ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ولبعضهم تفاصيل أخرى في الاعتماد على هذا الطريق من طرق التوثيق</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2933708_2870459653"/>
      <w:bookmarkStart w:id="817" w:name="_Toc326"/>
      <w:bookmarkEnd w:id="816"/>
      <w:r>
        <w:rPr>
          <w:rtl w:val="true"/>
        </w:rPr>
        <w:t>سادساً</w:t>
      </w:r>
      <w:r>
        <w:rPr>
          <w:rtl w:val="true"/>
        </w:rPr>
        <w:t xml:space="preserve">: </w:t>
      </w:r>
      <w:r>
        <w:rPr>
          <w:rtl w:val="true"/>
        </w:rPr>
        <w:t>كونه واقعاً في سندٍ حكم بصحته المتقدمون أو مَنْ قرب منهم</w:t>
      </w:r>
      <w:bookmarkEnd w:id="817"/>
    </w:p>
    <w:p>
      <w:pPr>
        <w:pStyle w:val="BookText"/>
        <w:rPr/>
      </w:pPr>
      <w:r>
        <w:rPr>
          <w:rFonts w:ascii="Amiri" w:hAnsi="Amiri" w:eastAsia="Amiri" w:cs="Amiri"/>
          <w:color w:val="111111"/>
          <w:sz w:val="28"/>
          <w:sz w:val="28"/>
          <w:szCs w:val="28"/>
          <w:rtl w:val="true"/>
          <w:lang w:bidi="ar-SA"/>
        </w:rPr>
        <w:t>كما في تنصيص الصدوق على تصحيح بعض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باحتمال كون الحاكم بالصحة قد اعتمد على أصالة العدالة، أو القرائن الموجبة للوثوق بالصدور، لا إلى تصحيح الطريق</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18" w:name="__RefHeading___Toc2933710_2870459653"/>
      <w:bookmarkStart w:id="819" w:name="_Toc327"/>
      <w:bookmarkEnd w:id="818"/>
      <w:r>
        <w:rPr>
          <w:rtl w:val="true"/>
        </w:rPr>
        <w:t>سابعاً</w:t>
      </w:r>
      <w:r>
        <w:rPr>
          <w:rtl w:val="true"/>
        </w:rPr>
        <w:t xml:space="preserve">: </w:t>
      </w:r>
      <w:r>
        <w:rPr>
          <w:rtl w:val="true"/>
        </w:rPr>
        <w:t>كونه من مشايخ الإجازة المشتهرين</w:t>
      </w:r>
      <w:bookmarkStart w:id="820" w:name="pg9124_98784"/>
      <w:bookmarkEnd w:id="819"/>
    </w:p>
    <w:p>
      <w:pPr>
        <w:pStyle w:val="BookText"/>
        <w:rPr/>
      </w:pPr>
      <w:bookmarkEnd w:id="820"/>
      <w:r>
        <w:rPr>
          <w:rFonts w:ascii="Amiri" w:hAnsi="Amiri" w:eastAsia="Amiri" w:cs="Amiri"/>
          <w:color w:val="111111"/>
          <w:sz w:val="28"/>
          <w:sz w:val="28"/>
          <w:szCs w:val="28"/>
          <w:rtl w:val="true"/>
          <w:lang w:bidi="ar-SA"/>
        </w:rPr>
        <w:t>وأشكل عليه بتضعيف النجاشي لجملة من مشايخ الإجازة كالحسن بن محمّد بن يحيى، وبعدم استغناء أصحاب الإجماع عن التوثيق</w:t>
      </w:r>
      <w:r>
        <w:rPr>
          <w:rStyle w:val="FootnoteAnchor"/>
          <w:rtl w:val="true"/>
        </w:rPr>
        <w:footnoteReference w:id="718"/>
      </w:r>
      <w:r>
        <w:rPr>
          <w:rFonts w:ascii="Amiri" w:hAnsi="Amiri" w:eastAsia="Amiri" w:cs="Amiri"/>
          <w:color w:val="111111"/>
          <w:sz w:val="28"/>
          <w:sz w:val="28"/>
          <w:szCs w:val="28"/>
          <w:rtl w:val="true"/>
          <w:lang w:bidi="ar-SA"/>
        </w:rPr>
        <w:t>، فما بالك في مشايخ الإجازة؟ وأجيب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تعرض كتب الرجال وعدم تعرضهم قد لا يندرج تحت ضابطة، فقد تراهم يتعرضون لذكر بعض أصحاب الإجماع دون بعض مع تقارب وثاقتهم في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قرائن التوثيق ليست من قبيل اللوازم التكوينية غير المنفكة عن العدالة والوثاقة</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2933712_2870459653"/>
      <w:bookmarkStart w:id="822" w:name="_Toc328"/>
      <w:bookmarkEnd w:id="821"/>
      <w:r>
        <w:rPr>
          <w:rtl w:val="true"/>
        </w:rPr>
        <w:t>ثامناً</w:t>
      </w:r>
      <w:r>
        <w:rPr>
          <w:rtl w:val="true"/>
        </w:rPr>
        <w:t xml:space="preserve">: </w:t>
      </w:r>
      <w:r>
        <w:rPr>
          <w:rtl w:val="true"/>
        </w:rPr>
        <w:t>كونه من مشيخة الكتب الأربعة</w:t>
      </w:r>
      <w:bookmarkEnd w:id="822"/>
    </w:p>
    <w:p>
      <w:pPr>
        <w:pStyle w:val="BookText"/>
        <w:rPr/>
      </w:pPr>
      <w:r>
        <w:rPr>
          <w:rFonts w:ascii="Amiri" w:hAnsi="Amiri" w:eastAsia="Amiri" w:cs="Amiri"/>
          <w:color w:val="111111"/>
          <w:sz w:val="28"/>
          <w:sz w:val="28"/>
          <w:szCs w:val="28"/>
          <w:rtl w:val="true"/>
          <w:lang w:bidi="ar-SA"/>
        </w:rPr>
        <w:t>باعتبار ما ذكره المشايخ الثلاثة في أوائل هذه الكتب من أنّهم استخرجوا أحاديثها من الكتب المشهورة المعوّل عليها والآثار الصحيحة أو المقترنة بقرائن تدلّ على صحتها</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2933714_2870459653"/>
      <w:bookmarkStart w:id="824" w:name="_Toc329"/>
      <w:bookmarkEnd w:id="823"/>
      <w:r>
        <w:rPr>
          <w:rtl w:val="true"/>
        </w:rPr>
        <w:t>تاسعاً</w:t>
      </w:r>
      <w:r>
        <w:rPr>
          <w:rtl w:val="true"/>
        </w:rPr>
        <w:t xml:space="preserve">: </w:t>
      </w:r>
      <w:r>
        <w:rPr>
          <w:rtl w:val="true"/>
        </w:rPr>
        <w:t>كون الراوي ممّن اتفق على العمل برواياته</w:t>
      </w:r>
      <w:bookmarkEnd w:id="824"/>
    </w:p>
    <w:p>
      <w:pPr>
        <w:pStyle w:val="BookText"/>
        <w:rPr/>
      </w:pPr>
      <w:r>
        <w:rPr>
          <w:rFonts w:ascii="IRNazanin" w:hAnsi="IRNazanin" w:eastAsia="IRNazanin"/>
          <w:color w:val="111111"/>
          <w:sz w:val="28"/>
          <w:sz w:val="28"/>
          <w:szCs w:val="28"/>
          <w:rtl w:val="true"/>
          <w:lang w:bidi="fa-IR"/>
        </w:rPr>
        <w:t xml:space="preserve">كحفص بن غياث، وغياث بن كلوب، ونوح بن دراج، والسكوني من العامّة، وعبد الله بن بكير وغيره من الفطحية، وسماعة بن مهران، وعلي بن أبي حمزة، وعثمان بن عيسى من الواقفة، ومن بعد هؤلاء عملت الطائفة بما رواه بنو فضّال وبنو سماعة والطاطريون وغيرهم، عن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لم ينكروه، ولم يكن عندهم خلافه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اختلفوا في مفاد هذا التوثيق على غرار اختلافهم في مفاد تصحيح ما يصح عن أصحاب الإجماع</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25" w:name="__RefHeading___Toc2933716_2870459653"/>
      <w:bookmarkStart w:id="826" w:name="_Toc330"/>
      <w:bookmarkEnd w:id="825"/>
      <w:r>
        <w:rPr>
          <w:rtl w:val="true"/>
        </w:rPr>
        <w:t>عاشراً</w:t>
      </w:r>
      <w:r>
        <w:rPr>
          <w:rtl w:val="true"/>
        </w:rPr>
        <w:t xml:space="preserve">: </w:t>
      </w:r>
      <w:r>
        <w:rPr>
          <w:rtl w:val="true"/>
        </w:rPr>
        <w:t xml:space="preserve">كونه ممّن قيل في حقه </w:t>
      </w:r>
      <w:r>
        <w:rPr>
          <w:rtl w:val="true"/>
        </w:rPr>
        <w:t>(</w:t>
      </w:r>
      <w:r>
        <w:rPr>
          <w:rtl w:val="true"/>
        </w:rPr>
        <w:t>إنّه لا يروي إلّا عن ثقة</w:t>
      </w:r>
      <w:r>
        <w:rPr>
          <w:rtl w:val="true"/>
        </w:rPr>
        <w:t xml:space="preserve">) </w:t>
      </w:r>
      <w:r>
        <w:rPr>
          <w:rtl w:val="true"/>
        </w:rPr>
        <w:t>أو ما كان في معناها</w:t>
      </w:r>
      <w:bookmarkStart w:id="827" w:name="pg9124_98785"/>
      <w:bookmarkEnd w:id="826"/>
    </w:p>
    <w:p>
      <w:pPr>
        <w:pStyle w:val="BookText"/>
        <w:rPr/>
      </w:pPr>
      <w:bookmarkEnd w:id="827"/>
      <w:r>
        <w:rPr>
          <w:rFonts w:ascii="Amiri" w:hAnsi="Amiri" w:eastAsia="Amiri" w:cs="Amiri"/>
          <w:color w:val="111111"/>
          <w:sz w:val="28"/>
          <w:sz w:val="28"/>
          <w:szCs w:val="28"/>
          <w:rtl w:val="true"/>
          <w:lang w:bidi="ar-SA"/>
        </w:rPr>
        <w:t>وممّن قيل في حقه ذلك جعفر بن بشير، وأحمد بن محمّد بن عيسى الأشعري، وعلي ابن الحسين الطاطري، وابن قولويه صاحب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برواية هؤلاء عن الضعفاء، كرواية الأوّل عن صالح بن الحكم الذي ضعّفه النجاشي، ورواية الثاني عن محمد بن سنان،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النوع من التوثيق يفيد أنّ مجمل من روى عنهم قد عرفوا بالوثاقة، بنحو لا يمانع روايته عن بعض الضعاف</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2933718_2870459653"/>
      <w:bookmarkStart w:id="829" w:name="_Toc331"/>
      <w:bookmarkEnd w:id="828"/>
      <w:r>
        <w:rPr>
          <w:rtl w:val="true"/>
        </w:rPr>
        <w:t>حادي عشر</w:t>
      </w:r>
      <w:r>
        <w:rPr>
          <w:rtl w:val="true"/>
        </w:rPr>
        <w:t xml:space="preserve">: </w:t>
      </w:r>
      <w:r>
        <w:rPr>
          <w:rtl w:val="true"/>
        </w:rPr>
        <w:t>عدم استثناء القميين الراوي من رجال نوادر الحكمة</w:t>
      </w:r>
      <w:bookmarkEnd w:id="829"/>
    </w:p>
    <w:p>
      <w:pPr>
        <w:pStyle w:val="BookText"/>
        <w:rPr/>
      </w:pPr>
      <w:r>
        <w:rPr>
          <w:rFonts w:ascii="Amiri" w:hAnsi="Amiri" w:eastAsia="Amiri" w:cs="Amiri"/>
          <w:color w:val="111111"/>
          <w:sz w:val="28"/>
          <w:sz w:val="28"/>
          <w:szCs w:val="28"/>
          <w:rtl w:val="true"/>
          <w:lang w:bidi="ar-SA"/>
        </w:rPr>
        <w:t>عدم استثناء القميين الراوي من رجال نوادر الحكمة</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عليه بأنّ استثناء القميّين من الكتاب المذكور ليس توثيقاً بالمعنى المصطلح له، وإنّما أرادوا به عدم روايتهم لتلك الروايات لما لاح لهم من قرائن الوضع والتدليس، ولو بحسب المباني الخاصة بهم</w:t>
      </w:r>
      <w:r>
        <w:rPr>
          <w:rFonts w:eastAsia="Amiri" w:cs="Amiri" w:ascii="Amiri" w:hAnsi="Amiri"/>
          <w:color w:val="111111"/>
          <w:sz w:val="28"/>
          <w:szCs w:val="28"/>
          <w:rtl w:val="true"/>
          <w:lang w:bidi="ar-SA"/>
        </w:rPr>
        <w:t>.</w:t>
      </w:r>
    </w:p>
    <w:p>
      <w:pPr>
        <w:pStyle w:val="Heading5"/>
        <w:numPr>
          <w:ilvl w:val="4"/>
          <w:numId w:val="1"/>
        </w:numPr>
        <w:rPr/>
      </w:pPr>
      <w:bookmarkStart w:id="830" w:name="__RefHeading___Toc2933720_2870459653"/>
      <w:bookmarkStart w:id="831" w:name="_Toc332"/>
      <w:bookmarkEnd w:id="830"/>
      <w:r>
        <w:rPr>
          <w:rtl w:val="true"/>
        </w:rPr>
        <w:t>ثاني عشر</w:t>
      </w:r>
      <w:r>
        <w:rPr>
          <w:rtl w:val="true"/>
        </w:rPr>
        <w:t xml:space="preserve">: </w:t>
      </w:r>
      <w:r>
        <w:rPr>
          <w:rtl w:val="true"/>
        </w:rPr>
        <w:t>كونه من أصحاب الإجماع الكبير أو الصغير</w:t>
      </w:r>
      <w:bookmarkEnd w:id="83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الإجماع الكبير هو الإجماع في ثمانية عشر أو اثنين وعشرين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عمّمه البعض ليشمل جميع الفقهاء الأوّلين من أصحاب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الستّة المصرح بأسمائهم أفقههم، واعتمد في ذلك على ظاهر المقطع الأوّل من عبارة الكشي الآتية، وإن لم تُفد توثيق أحد بعينه، لعدم ذكر اسم غير الستّة المذكورين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والمراد من الإجماع الصغير، هو الإجماع في الثلاثة موضوع البحث، أعني محمّد بن أبي عمير، وأحمد بن محمّد بن أبي نصر، وصفوان بن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قال الكشي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تسمية الفقهاء من أصحاب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أجمعت العصابة على تصديق هؤلاء الأوّلين من أصحاب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وانقادوا لهم بالفقه،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أفقه الأولين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ومعروف بن خربوذ، وبُريد، وأبو بصير الأسدي، والفضيل بن يسار، ومحمد بن مسلم الطائفي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أفقه الستّة زرارة،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أبي بصير الأسدي، أبو بصير المرادي، وهو ليث بن البختري</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تسمية الفقهاء من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أجمعت العصابة على تصحيح ما يصح من هؤلاء الستة الذين عددناهم وسميناهم، ستة نفر، جميل بن دراج، وعبد الله بن مسكان، وعبد الله بن بكير، وحماد بن عيسى، وحماد بن عثمان، وأبان 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أبو إسحاق الفقيه، يعني ثعلبة بن ميمون، أنّ أفقه هؤلاء جميل بن دراج</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أيضاً،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تسمية الفقهاء من أصحاب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أجمع أصحابنا على تصحيح ما يصح عن هؤلاء وتصديقهم، وأقروا لهم بالفقه والعلم، وهم ستة نفر أُخر، دون الستّة نفر الذين ذكرناهم في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يونس بن عبدالرحمن، وصفوان بن يحيى بياع السابري، ومحمّد بن أبي </w:t>
      </w:r>
    </w:p>
    <w:p>
      <w:pPr>
        <w:pStyle w:val="BookText"/>
        <w:rPr/>
      </w:pPr>
      <w:r>
        <w:rPr>
          <w:rFonts w:ascii="Amiri" w:hAnsi="Amiri" w:eastAsia="Amiri" w:cs="Amiri"/>
          <w:color w:val="111111"/>
          <w:sz w:val="28"/>
          <w:sz w:val="28"/>
          <w:szCs w:val="28"/>
          <w:rtl w:val="true"/>
          <w:lang w:bidi="ar-SA"/>
        </w:rPr>
        <w:t>عمير، وعبد الله بن المغيرة، والحسن بن محبوب، وأحمد بن محمد بن أبي نصر، وقال بعضهم مكان الحسن بن محبوب، الحسن بن علي بن فضّال، وفضالة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 مكان ابن فضّال، عثمان بن عيسى، وأفقه هؤلاء يونس بن عبد الرحمن، وصفوان بن يحيى</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هذا الإجماع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w:t>
      </w:r>
      <w:r>
        <w:rPr>
          <w:rStyle w:val="FootnoteAnchor"/>
          <w:rtl w:val="true"/>
        </w:rPr>
        <w:footnoteReference w:id="724"/>
      </w:r>
      <w:r>
        <w:rPr>
          <w:rFonts w:ascii="IRNazanin" w:hAnsi="IRNazanin" w:eastAsia="IRNazanin"/>
          <w:color w:val="111111"/>
          <w:sz w:val="28"/>
          <w:sz w:val="28"/>
          <w:szCs w:val="28"/>
          <w:rtl w:val="true"/>
          <w:lang w:bidi="fa-IR"/>
        </w:rPr>
        <w:t>، وآخرون</w:t>
      </w:r>
      <w:r>
        <w:rPr>
          <w:rFonts w:eastAsia="IRNazanin" w:cs="IRNazanin"/>
          <w:color w:val="111111"/>
          <w:sz w:val="28"/>
          <w:szCs w:val="28"/>
          <w:rtl w:val="true"/>
          <w:lang w:bidi="fa-IR"/>
        </w:rPr>
        <w:t xml:space="preserve">. </w:t>
      </w:r>
      <w:bookmarkStart w:id="832" w:name="pg9124_98788"/>
    </w:p>
    <w:p>
      <w:pPr>
        <w:pStyle w:val="Heading3"/>
        <w:numPr>
          <w:ilvl w:val="2"/>
          <w:numId w:val="1"/>
        </w:numPr>
        <w:rPr/>
      </w:pPr>
      <w:bookmarkStart w:id="833" w:name="__RefHeading___Toc2933722_2870459653"/>
      <w:bookmarkStart w:id="834" w:name="_Toc333"/>
      <w:bookmarkEnd w:id="832"/>
      <w:bookmarkEnd w:id="833"/>
      <w:r>
        <w:rPr>
          <w:rtl w:val="true"/>
        </w:rPr>
        <w:t>الفصل الرابع</w:t>
      </w:r>
      <w:r>
        <w:rPr>
          <w:rtl w:val="true"/>
        </w:rPr>
        <w:t xml:space="preserve">: </w:t>
      </w:r>
      <w:r>
        <w:rPr>
          <w:rtl w:val="true"/>
        </w:rPr>
        <w:t xml:space="preserve">في المراد من </w:t>
      </w:r>
      <w:r>
        <w:rPr>
          <w:rtl w:val="true"/>
        </w:rPr>
        <w:t>(</w:t>
      </w:r>
      <w:r>
        <w:rPr>
          <w:rtl w:val="true"/>
        </w:rPr>
        <w:t>تصحيح ما يصح عنهم</w:t>
      </w:r>
      <w:r>
        <w:rPr>
          <w:rtl w:val="true"/>
        </w:rPr>
        <w:t>)</w:t>
      </w:r>
      <w:bookmarkEnd w:id="834"/>
    </w:p>
    <w:p>
      <w:pPr>
        <w:pStyle w:val="BookText"/>
        <w:rPr/>
      </w:pPr>
      <w:r>
        <w:rPr>
          <w:rFonts w:ascii="IRNazanin" w:hAnsi="IRNazanin" w:eastAsia="IRNazanin"/>
          <w:color w:val="111111"/>
          <w:sz w:val="28"/>
          <w:sz w:val="28"/>
          <w:szCs w:val="28"/>
          <w:rtl w:val="true"/>
          <w:lang w:bidi="fa-IR"/>
        </w:rPr>
        <w:t xml:space="preserve">قال سيدنا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افاداته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الصحّة في العرف واللّغة إنّما هي بمعنى المطابقة للواقع، والظاهر أنّها تستخدم في هذا المعنى في توصيف الحديث بها في كلمات المتقدمين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قد يلاحظ في التوصيف بها أصل صدور الحديث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من جهة توفر القرائن الدالة على ذلك بغض النظر عن كون الصدور لبيان حكم الله الواقعي، أو لداعٍ آخر كالتقية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يلاحظ في التوصيف بها مطابقة مضمون الحديث للواقع بغض النظر عن كونه صادراً عن الإمام بالسند المنقول به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الخبر المروي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وصف بالصحّة يراد به مطابقته للواقع بأحد اللّحاظين المتقدّمين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وصف الراوي بأنّه صحيح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أنّ المراد بالصحّة فيه هو المعنى اللّغوي أي مطابقة الخبر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الصحّة تستخدم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مطابقة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توصيف الحديث بها في كلمات المتقدّمين</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الصحّة في اصطلاح المتأخّرين فهي وصف للسند المتّصل المتّسم بوثاقة جميع رواته أو عدالتهم، على اختلاف الآراء فيه</w:t>
      </w:r>
      <w:r>
        <w:rPr>
          <w:rFonts w:eastAsia="Amiri" w:cs="Amiri" w:ascii="Amiri" w:hAnsi="Amiri"/>
          <w:color w:val="111111"/>
          <w:sz w:val="28"/>
          <w:szCs w:val="28"/>
          <w:rtl w:val="true"/>
          <w:lang w:bidi="ar-SA"/>
        </w:rPr>
        <w:t xml:space="preserve">. </w:t>
      </w:r>
      <w:bookmarkStart w:id="835" w:name="pg9124_98789"/>
    </w:p>
    <w:p>
      <w:pPr>
        <w:pStyle w:val="Heading3"/>
        <w:numPr>
          <w:ilvl w:val="2"/>
          <w:numId w:val="1"/>
        </w:numPr>
        <w:rPr/>
      </w:pPr>
      <w:bookmarkStart w:id="836" w:name="__RefHeading___Toc2933724_2870459653"/>
      <w:bookmarkStart w:id="837" w:name="_Toc334"/>
      <w:bookmarkEnd w:id="835"/>
      <w:bookmarkEnd w:id="836"/>
      <w:r>
        <w:rPr>
          <w:rtl w:val="true"/>
        </w:rPr>
        <w:t>الفصل الخامس</w:t>
      </w:r>
      <w:r>
        <w:rPr>
          <w:rtl w:val="true"/>
        </w:rPr>
        <w:t xml:space="preserve">: </w:t>
      </w:r>
      <w:r>
        <w:rPr>
          <w:rtl w:val="true"/>
        </w:rPr>
        <w:t>في الأقوال في تفسير مفاد كلام الكشي</w:t>
      </w:r>
      <w:bookmarkEnd w:id="837"/>
    </w:p>
    <w:p>
      <w:pPr>
        <w:pStyle w:val="Heading4"/>
        <w:numPr>
          <w:ilvl w:val="3"/>
          <w:numId w:val="1"/>
        </w:numPr>
        <w:rPr/>
      </w:pPr>
      <w:bookmarkStart w:id="838" w:name="__RefHeading___Toc2933726_2870459653"/>
      <w:bookmarkStart w:id="839" w:name="_Toc335"/>
      <w:bookmarkEnd w:id="838"/>
      <w:r>
        <w:rPr>
          <w:rtl w:val="true"/>
        </w:rPr>
        <w:t>اشارة</w:t>
      </w:r>
      <w:bookmarkEnd w:id="839"/>
    </w:p>
    <w:p>
      <w:pPr>
        <w:pStyle w:val="BookText"/>
        <w:rPr/>
      </w:pPr>
      <w:r>
        <w:rPr>
          <w:rFonts w:ascii="Amiri" w:hAnsi="Amiri" w:eastAsia="Amiri" w:cs="Amiri"/>
          <w:color w:val="111111"/>
          <w:sz w:val="28"/>
          <w:sz w:val="28"/>
          <w:szCs w:val="28"/>
          <w:rtl w:val="true"/>
          <w:lang w:bidi="ar-SA"/>
        </w:rPr>
        <w:t xml:space="preserve">وقد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لاختلافهم في تفسير الموصول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ما يصح عنهم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قولين رئيسين</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واستدل عليه بما تقرّر في محله من علم الأصول من أنّه في الخبر مع الواسطة لا يكفي أن يشمله دليل حجّية خبر الثقة مرة واحدة، بل لا بُدَّ من أن يشمله بعدد ما فيه من الوسائط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ولمزيد اطلاع على رأيه الشريف 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قبسات من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0" w:name="__RefHeading___Toc2933728_2870459653"/>
      <w:bookmarkStart w:id="841" w:name="_Toc336"/>
      <w:bookmarkEnd w:id="840"/>
      <w:r>
        <w:rPr>
          <w:rtl w:val="true"/>
        </w:rPr>
        <w:t>القول الأوّل</w:t>
      </w:r>
      <w:bookmarkEnd w:id="841"/>
    </w:p>
    <w:p>
      <w:pPr>
        <w:pStyle w:val="Heading5"/>
        <w:numPr>
          <w:ilvl w:val="4"/>
          <w:numId w:val="1"/>
        </w:numPr>
        <w:rPr/>
      </w:pPr>
      <w:bookmarkStart w:id="842" w:name="__RefHeading___Toc2933730_2870459653"/>
      <w:bookmarkStart w:id="843" w:name="_Toc337"/>
      <w:bookmarkEnd w:id="842"/>
      <w:r>
        <w:rPr>
          <w:rtl w:val="true"/>
        </w:rPr>
        <w:t>اشارة</w:t>
      </w:r>
      <w:bookmarkEnd w:id="843"/>
    </w:p>
    <w:p>
      <w:pPr>
        <w:pStyle w:val="BookText"/>
        <w:rPr/>
      </w:pPr>
      <w:r>
        <w:rPr>
          <w:rFonts w:ascii="IRNazanin" w:hAnsi="IRNazanin" w:eastAsia="IRNazanin"/>
          <w:color w:val="111111"/>
          <w:sz w:val="28"/>
          <w:sz w:val="28"/>
          <w:szCs w:val="28"/>
          <w:rtl w:val="true"/>
          <w:lang w:bidi="fa-IR"/>
        </w:rPr>
        <w:t xml:space="preserve">وهو قول مَن فسروا الموصول في عبارة الكشي بالمروي لا بالرواية بالمعنى المصدري، فيكون حاصل هذا القول، تصحيح الروايات المنقولة عن هؤلاء ونسبتها إلى الإمام بمجرد صحتها عنهم، حتى لو رووا عن معروف بالفسق أو الوضع، أو كان مجهول الحال أو مهملاً، والحكم بصدوره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وكون مضمونه مطابقاً لحكم الله الواقعي</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وعلّلوا ذلك بأنّ الصحة وصف للمتن دون السند</w:t>
      </w:r>
      <w:r>
        <w:rPr>
          <w:rFonts w:eastAsia="Amiri" w:cs="Amiri" w:ascii="Amiri" w:hAnsi="Amiri"/>
          <w:color w:val="111111"/>
          <w:sz w:val="28"/>
          <w:szCs w:val="28"/>
          <w:rtl w:val="true"/>
          <w:lang w:bidi="ar-SA"/>
        </w:rPr>
        <w:t xml:space="preserve">. </w:t>
      </w:r>
      <w:bookmarkStart w:id="844" w:name="pg9124_98790"/>
    </w:p>
    <w:p>
      <w:pPr>
        <w:pStyle w:val="BookText"/>
        <w:rPr/>
      </w:pPr>
      <w:bookmarkEnd w:id="844"/>
      <w:r>
        <w:rPr>
          <w:rFonts w:ascii="Amiri" w:hAnsi="Amiri" w:eastAsia="Amiri" w:cs="Amiri"/>
          <w:color w:val="111111"/>
          <w:sz w:val="28"/>
          <w:sz w:val="28"/>
          <w:szCs w:val="28"/>
          <w:rtl w:val="true"/>
          <w:lang w:bidi="ar-SA"/>
        </w:rPr>
        <w:t xml:space="preserve">وعلى هذا القول فإنّه لا دلالة لكلام الكشي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توثيق المروي عنهم لهؤلاء الثقات، إذ الفرض صحة الروايات حتى مع كذب 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الوثوق بالصدور، والاطمئنان به، وهو أجنبي عن إفادة التوثيق لمن رووا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المحقّق الكاشاني هذا القول إلى فهم جماعة من المتأخرين</w:t>
      </w:r>
      <w:r>
        <w:rPr>
          <w:rStyle w:val="FootnoteAnchor"/>
          <w:rtl w:val="true"/>
        </w:rPr>
        <w:footnoteReference w:id="727"/>
      </w:r>
      <w:r>
        <w:rPr>
          <w:rFonts w:ascii="IRNazanin" w:hAnsi="IRNazanin" w:eastAsia="IRNazanin"/>
          <w:color w:val="111111"/>
          <w:sz w:val="28"/>
          <w:sz w:val="28"/>
          <w:szCs w:val="28"/>
          <w:rtl w:val="true"/>
          <w:lang w:bidi="fa-IR"/>
        </w:rPr>
        <w:t>، ونسبه الوحيد البهبهاني إلى المشهور،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فالمشهور أنّ المراد صحة كل ما رواه حيث تصح الرواية إليه، فلا يلاحظ ما بعده إلى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فيه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الظاهر</w:t>
      </w:r>
      <w:r>
        <w:rPr>
          <w:rFonts w:eastAsia="IRNazanin" w:cs="IRNazanin"/>
          <w:color w:val="111111"/>
          <w:sz w:val="28"/>
          <w:szCs w:val="28"/>
          <w:rtl w:val="true"/>
          <w:lang w:bidi="fa-IR"/>
        </w:rPr>
        <w:t>)</w:t>
      </w:r>
      <w:r>
        <w:rPr>
          <w:rStyle w:val="FootnoteAnchor"/>
          <w:rtl w:val="true"/>
        </w:rPr>
        <w:footnoteReference w:id="728"/>
      </w:r>
      <w:r>
        <w:rPr>
          <w:rFonts w:ascii="Amiri" w:hAnsi="Amiri" w:eastAsia="Amiri" w:cs="Amiri"/>
          <w:color w:val="111111"/>
          <w:sz w:val="28"/>
          <w:sz w:val="28"/>
          <w:szCs w:val="28"/>
          <w:rtl w:val="true"/>
          <w:lang w:bidi="ar-SA"/>
        </w:rPr>
        <w:t>بل عبّر عنه المحقّق الداماد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عليه الأصحاب</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نوقش هذا الرأي بنقاشات عديدة، منها</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2933732_2870459653"/>
      <w:bookmarkStart w:id="846" w:name="_Toc338"/>
      <w:bookmarkEnd w:id="845"/>
      <w:r>
        <w:rPr>
          <w:rtl w:val="true"/>
        </w:rPr>
        <w:t>أوّلاً</w:t>
      </w:r>
      <w:bookmarkEnd w:id="846"/>
    </w:p>
    <w:p>
      <w:pPr>
        <w:pStyle w:val="BookText"/>
        <w:rPr/>
      </w:pPr>
      <w:r>
        <w:rPr>
          <w:rFonts w:ascii="Amiri" w:hAnsi="Amiri" w:eastAsia="Amiri" w:cs="Amiri"/>
          <w:color w:val="111111"/>
          <w:sz w:val="28"/>
          <w:sz w:val="28"/>
          <w:szCs w:val="28"/>
          <w:rtl w:val="true"/>
          <w:lang w:bidi="ar-SA"/>
        </w:rPr>
        <w:t xml:space="preserve">إنّ جرح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قدح النجاشي برجل روى عنه أحد هؤلاء المذكورين في كلام الكشي يعارض تفسير عبارة الكشي بهذا التفسير، أي أنّه لو كان تفسير الموصول في عبارة الكشي بالمروي صحيحاً لما كان لجرح الشيخ أو قدح النجاشي وجه</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2933734_2870459653"/>
      <w:bookmarkStart w:id="848" w:name="_Toc339"/>
      <w:bookmarkEnd w:id="847"/>
      <w:r>
        <w:rPr>
          <w:rtl w:val="true"/>
        </w:rPr>
        <w:t>ثانياً</w:t>
      </w:r>
      <w:bookmarkEnd w:id="848"/>
    </w:p>
    <w:p>
      <w:pPr>
        <w:pStyle w:val="BookText"/>
        <w:rPr/>
      </w:pP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يرى صحّة الروايات الواردة عن المذكورين في عبارة الكشي، كما يقتضيه تفسير الموصول في عبارة الكشي بالمروي، لما ترك العمل ببعض أخبار أصحاب الإجماع</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زيادة توضيح لهذه المناقشات والجواب عنها عند الحديث عن تفسير عبارة الكشي بكون المذكورين لا يرسلون إلّا عن ثقة؛ إذ إنّ هذه الإيرادات وغيرها أوردت </w:t>
      </w:r>
      <w:bookmarkStart w:id="849" w:name="pg9124_98791"/>
    </w:p>
    <w:p>
      <w:pPr>
        <w:pStyle w:val="BookText"/>
        <w:rPr/>
      </w:pPr>
      <w:bookmarkEnd w:id="849"/>
      <w:r>
        <w:rPr>
          <w:rFonts w:ascii="Amiri" w:hAnsi="Amiri" w:eastAsia="Amiri" w:cs="Amiri"/>
          <w:color w:val="111111"/>
          <w:sz w:val="28"/>
          <w:sz w:val="28"/>
          <w:szCs w:val="28"/>
          <w:rtl w:val="true"/>
          <w:lang w:bidi="ar-SA"/>
        </w:rPr>
        <w:t>بعينها على هذا التفسير، فانتظر</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2933736_2870459653"/>
      <w:bookmarkStart w:id="851" w:name="_Toc340"/>
      <w:bookmarkEnd w:id="850"/>
      <w:r>
        <w:rPr>
          <w:rtl w:val="true"/>
        </w:rPr>
        <w:t>القول الثّاني</w:t>
      </w:r>
      <w:bookmarkEnd w:id="851"/>
    </w:p>
    <w:p>
      <w:pPr>
        <w:pStyle w:val="Heading5"/>
        <w:numPr>
          <w:ilvl w:val="4"/>
          <w:numId w:val="1"/>
        </w:numPr>
        <w:rPr/>
      </w:pPr>
      <w:bookmarkStart w:id="852" w:name="__RefHeading___Toc2933738_2870459653"/>
      <w:bookmarkStart w:id="853" w:name="_Toc341"/>
      <w:bookmarkEnd w:id="852"/>
      <w:r>
        <w:rPr>
          <w:rtl w:val="true"/>
        </w:rPr>
        <w:t>اشارة</w:t>
      </w:r>
      <w:bookmarkEnd w:id="853"/>
    </w:p>
    <w:p>
      <w:pPr>
        <w:pStyle w:val="BookText"/>
        <w:rPr/>
      </w:pPr>
      <w:r>
        <w:rPr>
          <w:rFonts w:ascii="Amiri" w:hAnsi="Amiri" w:eastAsia="Amiri" w:cs="Amiri"/>
          <w:color w:val="111111"/>
          <w:sz w:val="28"/>
          <w:sz w:val="28"/>
          <w:szCs w:val="28"/>
          <w:rtl w:val="true"/>
          <w:lang w:bidi="ar-SA"/>
        </w:rPr>
        <w:t xml:space="preserve">وهو قول مَنْ فسروا الموصول في تعبير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ما يصح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المروي، قال المحقّق الكاشاني في أوائل كتاب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 خبير بأنّ هذه العبارة ليست صريحة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القول الأوّل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ظاهرةً فيه فإنّ ما يصح عنهم إنّما هو الرواية لا المروي</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 أصحاب هذا التفسير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تفسيرهم للموصول بسند الرواية لا متنها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المقصود بالتحديد من تصحيح السند على أقوال</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2933740_2870459653"/>
      <w:bookmarkStart w:id="855" w:name="_Toc342"/>
      <w:bookmarkEnd w:id="854"/>
      <w:r>
        <w:rPr>
          <w:rtl w:val="true"/>
        </w:rPr>
        <w:t>الأوّل</w:t>
      </w:r>
      <w:bookmarkEnd w:id="855"/>
    </w:p>
    <w:p>
      <w:pPr>
        <w:pStyle w:val="Heading6"/>
        <w:numPr>
          <w:ilvl w:val="5"/>
          <w:numId w:val="1"/>
        </w:numPr>
        <w:rPr/>
      </w:pPr>
      <w:bookmarkStart w:id="856" w:name="__RefHeading___Toc2933742_2870459653"/>
      <w:bookmarkStart w:id="857" w:name="_Toc343"/>
      <w:bookmarkEnd w:id="856"/>
      <w:r>
        <w:rPr>
          <w:rtl w:val="true"/>
        </w:rPr>
        <w:t>اشارة</w:t>
      </w:r>
      <w:bookmarkEnd w:id="857"/>
    </w:p>
    <w:p>
      <w:pPr>
        <w:pStyle w:val="BookText"/>
        <w:rPr/>
      </w:pPr>
      <w:r>
        <w:rPr>
          <w:rFonts w:ascii="Amiri" w:hAnsi="Amiri" w:eastAsia="Amiri" w:cs="Amiri"/>
          <w:color w:val="111111"/>
          <w:sz w:val="28"/>
          <w:sz w:val="28"/>
          <w:szCs w:val="28"/>
          <w:rtl w:val="true"/>
          <w:lang w:bidi="ar-SA"/>
        </w:rPr>
        <w:t>توثيق هؤلاء المذكورين في عبارة الكشي فقط</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الاتفاق على وثاقة المذكورين من غير منازع، أي لم يختلف الرجاليون أو الرواة أو الفقهاء في وثاقتهم، بخلاف غيرهم من الرواة، كونه يمثل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لم يستفد ذلك من كلام الكشي لكان وجودها كعدمه،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نقل عن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ومال إليه الفيض في الوافي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كونه كنايةً عن الإجماع على عدالتهم وصدقهم، بخلاف غيرهم ممّن لم ينقل الإجماع على</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عدالته</w:t>
      </w:r>
      <w:r>
        <w:rPr>
          <w:rFonts w:eastAsia="IRNazanin" w:cs="IRNazanin"/>
          <w:color w:val="111111"/>
          <w:sz w:val="28"/>
          <w:szCs w:val="28"/>
          <w:rtl w:val="true"/>
          <w:lang w:bidi="fa-IR"/>
        </w:rPr>
        <w:t>)</w:t>
      </w:r>
      <w:r>
        <w:rPr>
          <w:rStyle w:val="FootnoteAnchor"/>
          <w:rtl w:val="true"/>
        </w:rPr>
        <w:footnoteReference w:id="732"/>
      </w:r>
      <w:r>
        <w:rPr>
          <w:rFonts w:ascii="Amiri" w:hAnsi="Amiri" w:eastAsia="Amiri" w:cs="Amiri"/>
          <w:color w:val="111111"/>
          <w:sz w:val="28"/>
          <w:sz w:val="28"/>
          <w:szCs w:val="28"/>
          <w:rtl w:val="true"/>
          <w:lang w:bidi="ar-SA"/>
        </w:rPr>
        <w:t>، ونسبه البعض إلى الأكثر كما حكي عن الفصول</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bookmarkStart w:id="858" w:name="pg9124_98792"/>
    </w:p>
    <w:p>
      <w:pPr>
        <w:pStyle w:val="BookText"/>
        <w:rPr/>
      </w:pPr>
      <w:bookmarkEnd w:id="858"/>
      <w:r>
        <w:rPr>
          <w:rFonts w:ascii="Amiri" w:hAnsi="Amiri" w:eastAsia="Amiri" w:cs="Amiri"/>
          <w:color w:val="111111"/>
          <w:sz w:val="28"/>
          <w:sz w:val="28"/>
          <w:szCs w:val="28"/>
          <w:rtl w:val="true"/>
          <w:lang w:bidi="ar-SA"/>
        </w:rPr>
        <w:t xml:space="preserve">وهو مختار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الظاهر أنّ كلام الكشي إنّما ينظر إلى بيان جلالة هؤلاء، وأنّ الإجماع قد انعقد على وثاقتهم وفقههم وتصديقهم فيما يروونه</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نوقش هذا القول بمناقشات كثيرة منها</w:t>
      </w:r>
      <w:r>
        <w:rPr>
          <w:rFonts w:eastAsia="Amiri" w:cs="Amiri" w:ascii="Amiri" w:hAnsi="Amiri"/>
          <w:color w:val="111111"/>
          <w:sz w:val="28"/>
          <w:szCs w:val="28"/>
          <w:rtl w:val="true"/>
          <w:lang w:bidi="ar-SA"/>
        </w:rPr>
        <w:t>:</w:t>
      </w:r>
    </w:p>
    <w:p>
      <w:pPr>
        <w:pStyle w:val="Heading6"/>
        <w:numPr>
          <w:ilvl w:val="5"/>
          <w:numId w:val="1"/>
        </w:numPr>
        <w:rPr/>
      </w:pPr>
      <w:bookmarkStart w:id="859" w:name="__RefHeading___Toc2933744_2870459653"/>
      <w:bookmarkStart w:id="860" w:name="_Toc344"/>
      <w:bookmarkEnd w:id="859"/>
      <w:r>
        <w:rPr>
          <w:rtl w:val="true"/>
        </w:rPr>
        <w:t>أوّلاً</w:t>
      </w:r>
      <w:bookmarkEnd w:id="860"/>
    </w:p>
    <w:p>
      <w:pPr>
        <w:pStyle w:val="BookText"/>
        <w:rPr/>
      </w:pPr>
      <w:r>
        <w:rPr>
          <w:rFonts w:ascii="Amiri" w:hAnsi="Amiri" w:eastAsia="Amiri" w:cs="Amiri"/>
          <w:color w:val="111111"/>
          <w:sz w:val="28"/>
          <w:sz w:val="28"/>
          <w:szCs w:val="28"/>
          <w:rtl w:val="true"/>
          <w:lang w:bidi="ar-SA"/>
        </w:rPr>
        <w:t>إنّ في مجموع كلام الكشي عن الطوائف الثلاث تعبيرين،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تصديقهم والإقرار لهم بالفقه، والآخر تصحيح ما يصح عنهم، فالإجماع على وثاقتهم وفقههم هو مفاد التعبير الأوّل، فيبقى التعبير الثّاني من دون مفاد، إلّا أن يدعى أنّ مفاد لفظ التصحيح هو عين مفاد لفظ التصديق، وهو بعيد جداً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مزية خاصة للفظ التصحيح، فيكون المعنى أنّ المذكورين في الطوائف الثلاث جميعاً وإن أجمعت العصابة على تصديقهم وثقتهم، فقد امتاز ما عدا الأوائل بتصحيح العصابة لأخبارهم أيضاً</w:t>
      </w:r>
      <w:r>
        <w:rPr>
          <w:rFonts w:eastAsia="Amiri" w:cs="Amiri" w:ascii="Amiri" w:hAnsi="Amiri"/>
          <w:color w:val="111111"/>
          <w:sz w:val="28"/>
          <w:szCs w:val="28"/>
          <w:rtl w:val="true"/>
          <w:lang w:bidi="ar-SA"/>
        </w:rPr>
        <w:t>.</w:t>
      </w:r>
    </w:p>
    <w:p>
      <w:pPr>
        <w:pStyle w:val="Heading6"/>
        <w:numPr>
          <w:ilvl w:val="5"/>
          <w:numId w:val="1"/>
        </w:numPr>
        <w:rPr/>
      </w:pPr>
      <w:bookmarkStart w:id="861" w:name="__RefHeading___Toc2933746_2870459653"/>
      <w:bookmarkStart w:id="862" w:name="_Toc345"/>
      <w:bookmarkEnd w:id="861"/>
      <w:r>
        <w:rPr>
          <w:rtl w:val="true"/>
        </w:rPr>
        <w:t>ثانياً</w:t>
      </w:r>
      <w:bookmarkEnd w:id="862"/>
    </w:p>
    <w:p>
      <w:pPr>
        <w:pStyle w:val="Heading6"/>
        <w:numPr>
          <w:ilvl w:val="5"/>
          <w:numId w:val="1"/>
        </w:numPr>
        <w:rPr/>
      </w:pPr>
      <w:bookmarkStart w:id="863" w:name="__RefHeading___Toc2933748_2870459653"/>
      <w:bookmarkStart w:id="864" w:name="_Toc346"/>
      <w:bookmarkEnd w:id="863"/>
      <w:r>
        <w:rPr>
          <w:rtl w:val="true"/>
        </w:rPr>
        <w:t>اشارة</w:t>
      </w:r>
      <w:bookmarkEnd w:id="864"/>
    </w:p>
    <w:p>
      <w:pPr>
        <w:pStyle w:val="BookText"/>
        <w:rPr/>
      </w:pPr>
      <w:r>
        <w:rPr>
          <w:rFonts w:ascii="Amiri" w:hAnsi="Amiri" w:eastAsia="Amiri" w:cs="Amiri"/>
          <w:color w:val="111111"/>
          <w:sz w:val="28"/>
          <w:sz w:val="28"/>
          <w:szCs w:val="28"/>
          <w:rtl w:val="true"/>
          <w:lang w:bidi="ar-SA"/>
        </w:rPr>
        <w:t>إنّ كون الراوي ثقةً أمر مشترك، فلا وجه لاختصاص الإجماع بالمذكورين في عبارة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هذه المناقشة بجوابين</w:t>
      </w:r>
      <w:r>
        <w:rPr>
          <w:rFonts w:eastAsia="Amiri" w:cs="Amiri" w:ascii="Amiri" w:hAnsi="Amiri"/>
          <w:color w:val="111111"/>
          <w:sz w:val="28"/>
          <w:szCs w:val="28"/>
          <w:rtl w:val="true"/>
          <w:lang w:bidi="ar-SA"/>
        </w:rPr>
        <w:t>:</w:t>
      </w:r>
    </w:p>
    <w:p>
      <w:pPr>
        <w:pStyle w:val="Heading6"/>
        <w:numPr>
          <w:ilvl w:val="5"/>
          <w:numId w:val="1"/>
        </w:numPr>
        <w:rPr/>
      </w:pPr>
      <w:bookmarkStart w:id="865" w:name="__RefHeading___Toc2933750_2870459653"/>
      <w:bookmarkStart w:id="866" w:name="_Toc347"/>
      <w:bookmarkEnd w:id="865"/>
      <w:r>
        <w:rPr>
          <w:rtl w:val="true"/>
        </w:rPr>
        <w:t>الجواب الأوّل</w:t>
      </w:r>
      <w:bookmarkEnd w:id="86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عن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الاعتراض بظاهره في غاية السخافة، إذ كون الرجل ثقةً لا يستلزم الإجماع على وثاقته، إلّا أن يكون المراد ما أورده بعض المحققين من أنّه ليس في التعبير بها لتلك الجماعة دون غيرهم ممّن لا خلاف في عدالته فائدة</w:t>
      </w:r>
      <w:r>
        <w:rPr>
          <w:rFonts w:eastAsia="Amiri" w:cs="Amiri" w:ascii="Amiri" w:hAnsi="Amiri"/>
          <w:color w:val="111111"/>
          <w:sz w:val="28"/>
          <w:szCs w:val="28"/>
          <w:rtl w:val="true"/>
          <w:lang w:bidi="ar-SA"/>
        </w:rPr>
        <w:t xml:space="preserve">. </w:t>
      </w:r>
      <w:bookmarkStart w:id="867" w:name="pg9124_98793"/>
    </w:p>
    <w:p>
      <w:pPr>
        <w:pStyle w:val="BookText"/>
        <w:rPr/>
      </w:pPr>
      <w:bookmarkEnd w:id="867"/>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أردت عدم خلاف من المعدّلين المعروفين في الرجال،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نجد مَنْ وثقه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أردت عدم وجدان خلاف منهم،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غير ظهور الوفاق</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8" w:name="__RefHeading___Toc2933752_2870459653"/>
      <w:bookmarkStart w:id="869" w:name="_Toc348"/>
      <w:bookmarkEnd w:id="868"/>
      <w:r>
        <w:rPr>
          <w:rtl w:val="true"/>
        </w:rPr>
        <w:t>الجواب الآخر</w:t>
      </w:r>
      <w:bookmarkEnd w:id="869"/>
    </w:p>
    <w:p>
      <w:pPr>
        <w:pStyle w:val="BookText"/>
        <w:rPr/>
      </w:pPr>
      <w:r>
        <w:rPr>
          <w:rFonts w:ascii="Amiri" w:hAnsi="Amiri" w:eastAsia="Amiri" w:cs="Amiri"/>
          <w:color w:val="111111"/>
          <w:sz w:val="28"/>
          <w:sz w:val="28"/>
          <w:szCs w:val="28"/>
          <w:rtl w:val="true"/>
          <w:lang w:bidi="ar-SA"/>
        </w:rPr>
        <w:t>إنّ مراد الكشي ليس هو مجرد نقل الإجماع على وثاقتهم، بل مراده نقل الإجماع المذكور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بيان انقياد العصابة لهم بالفقه والعلم، بل الأفقهية في الجملة، والمجموع مزية جليلة، وفضيلة عظيمة غير مشتركة بينهم وبين غيرهم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كلا المجيبين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رفضا هذا القول، حيث استقر الأوّل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رواية هؤلاء إذا صحت إليهم لا تقصر عن أكثر الصحاح</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واستعان الثّاني بعبارة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التعبير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بعبارة تصحيح ما يصح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شيء بالأكل من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ثقة من الألفاظ الدائرة الشائعة لا داعي للتعبير عنها بما لا ينطبق عليها مدلوله إلّا بعد التكلّف</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0" w:name="__RefHeading___Toc2933754_2870459653"/>
      <w:bookmarkStart w:id="871" w:name="_Toc349"/>
      <w:bookmarkEnd w:id="870"/>
      <w:r>
        <w:rPr>
          <w:rtl w:val="true"/>
        </w:rPr>
        <w:t>الثاني</w:t>
      </w:r>
      <w:bookmarkEnd w:id="871"/>
    </w:p>
    <w:p>
      <w:pPr>
        <w:pStyle w:val="BookText"/>
        <w:rPr/>
      </w:pPr>
      <w:r>
        <w:rPr>
          <w:rFonts w:ascii="Amiri" w:hAnsi="Amiri" w:eastAsia="Amiri" w:cs="Amiri"/>
          <w:color w:val="111111"/>
          <w:sz w:val="28"/>
          <w:sz w:val="28"/>
          <w:szCs w:val="28"/>
          <w:rtl w:val="true"/>
          <w:lang w:bidi="ar-SA"/>
        </w:rPr>
        <w:t>أضبطية هؤلاء المذكورين وحفظهم وتثبتهم وفقاهتهم فقط، أي أنّ هؤلاء قد وقع الاتفاق على تفوقهم على من سواهم في هذه الصفات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هذا القول وسابقه يظهر بالتفريق بين مصطلحي الثقة والضابط، فالأوّل هو من يُوثَق بخبره، ويُؤمَن من الكذب عادةً، والثاني هو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حافظاً لما يرويه، متيقظاً غير مغفّل إن حدَّث من حفظهِ، ضابطاً لكتابه، حافظاً له من الغلط والتصحيف </w:t>
      </w:r>
      <w:bookmarkStart w:id="872" w:name="pg9124_98794"/>
    </w:p>
    <w:p>
      <w:pPr>
        <w:pStyle w:val="BookText"/>
        <w:rPr/>
      </w:pPr>
      <w:bookmarkEnd w:id="872"/>
      <w:r>
        <w:rPr>
          <w:rFonts w:ascii="Amiri" w:hAnsi="Amiri" w:eastAsia="Amiri" w:cs="Amiri"/>
          <w:color w:val="111111"/>
          <w:sz w:val="28"/>
          <w:sz w:val="28"/>
          <w:szCs w:val="28"/>
          <w:rtl w:val="true"/>
          <w:lang w:bidi="ar-SA"/>
        </w:rPr>
        <w:t>والتحريف إن حدّث فيه، عارفاً بما يختل به المعنى إن روى بالمعنى</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المحقّق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الضبط مضمّناً في الثقة</w:t>
      </w:r>
      <w:r>
        <w:rPr>
          <w:rStyle w:val="FootnoteAnchor"/>
          <w:rtl w:val="true"/>
        </w:rPr>
        <w:footnoteReference w:id="740"/>
      </w:r>
      <w:r>
        <w:rPr>
          <w:rFonts w:ascii="Amiri" w:hAnsi="Amiri" w:eastAsia="Amiri" w:cs="Amiri"/>
          <w:color w:val="111111"/>
          <w:sz w:val="28"/>
          <w:sz w:val="28"/>
          <w:szCs w:val="28"/>
          <w:rtl w:val="true"/>
          <w:lang w:bidi="ar-SA"/>
        </w:rPr>
        <w:t>، وعليه يكون هذا القول داخلاً ضمن القول السابق فالثقة ضابط من غير عكس، لذلك جعلهما البعض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صحيح لوضوح الفرق بين المصطلحين كما تقدم، لإمكان أن يكون الثقة غير ضابط كما لا يخفى</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2933756_2870459653"/>
      <w:bookmarkStart w:id="874" w:name="_Toc350"/>
      <w:bookmarkEnd w:id="873"/>
      <w:r>
        <w:rPr>
          <w:rtl w:val="true"/>
        </w:rPr>
        <w:t>الثّالث</w:t>
      </w:r>
      <w:bookmarkEnd w:id="874"/>
    </w:p>
    <w:p>
      <w:pPr>
        <w:pStyle w:val="Heading6"/>
        <w:numPr>
          <w:ilvl w:val="5"/>
          <w:numId w:val="1"/>
        </w:numPr>
        <w:rPr/>
      </w:pPr>
      <w:bookmarkStart w:id="875" w:name="__RefHeading___Toc2933758_2870459653"/>
      <w:bookmarkStart w:id="876" w:name="_Toc351"/>
      <w:bookmarkEnd w:id="875"/>
      <w:r>
        <w:rPr>
          <w:rtl w:val="true"/>
        </w:rPr>
        <w:t>اشارة</w:t>
      </w:r>
      <w:bookmarkEnd w:id="876"/>
    </w:p>
    <w:p>
      <w:pPr>
        <w:pStyle w:val="BookText"/>
        <w:rPr/>
      </w:pPr>
      <w:r>
        <w:rPr>
          <w:rFonts w:ascii="IRNazanin" w:hAnsi="IRNazanin" w:eastAsia="IRNazanin"/>
          <w:color w:val="111111"/>
          <w:sz w:val="28"/>
          <w:sz w:val="28"/>
          <w:szCs w:val="28"/>
          <w:rtl w:val="true"/>
          <w:lang w:bidi="fa-IR"/>
        </w:rPr>
        <w:t xml:space="preserve">توثيق من يروي عنه هؤلاء مباشرةً أو مع الواسطة، أي أنّ هذا الإجماع توثيق لهؤلاء الأشخاص المذكورين ومَنْ روى عنهم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روايتهم عنهم تكون بمثابة الشهادة على تعديل المروي عنهم إذا كانوا مجهولي الحال أو مهملين، فضلاً عمّا إذا كانوا من الثقات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يعم الكلام ما إذا كان المروي عنهم من الضعفاء أو الوضاعين؟</w:t>
      </w:r>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بناءً على أنّ رواية هؤلاء عن الضعيف بمثابة الشهادة على تعديله، ولهذا عُدّ الخبر المروي عن أحد المذكورين في كلام الكشي من جملة القرائن</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تكرره في أصل أو أصلين منها فصاعداً بطرق مختلفة وأسانيد عديدة 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اندراجه في الكتب التي عرضت على أحد الأئمة › فأثنوا على مؤلفيها، ككتاب عبد الله الحلبي الذي عرض على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يونس بن عبد الرحمن، والفضل بن شاذان، المعروضين على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أحد الكتب التي شاع بين سلفهم الوثوق بها، والاعتماد عليها، سواء كان مؤلفوها</w:t>
      </w:r>
    </w:p>
    <w:p>
      <w:pPr>
        <w:pStyle w:val="BookText"/>
        <w:rPr/>
      </w:pPr>
      <w:r>
        <w:rPr>
          <w:rFonts w:ascii="Amiri" w:hAnsi="Amiri" w:eastAsia="Amiri" w:cs="Amiri"/>
          <w:color w:val="111111"/>
          <w:sz w:val="28"/>
          <w:sz w:val="28"/>
          <w:szCs w:val="28"/>
          <w:rtl w:val="true"/>
          <w:lang w:bidi="ar-SA"/>
        </w:rPr>
        <w:t>من الفرقة الناجية، ككتاب الصلاة لحريز بن عبد الله السجستاني، وكتاب علي بن مهزيار، أو من غيرهم ككتاب حفص بن غياث القاضي، وحسين بن عبد الله السعدي، وكتاب القبلة لعلي بن الحسين الطاطري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الخبر في أصل معروف الانتساب إلى أحد الجماعة الذين أجمعوا على تصديقهم كزرارة، ومحمد بن مسلم، والفضيل بن يسار، أو على تصحيح ما يصح عنهم، كصفوان والبزنطي وابن أبي عمير، ويونس بن عبد الرحمن، أو سمع العمل برواياتهم كعمار الساباطي ونظرائه ممّن عدّهم شيخ الطائفة في كتاب العدة، ونقله عنه المحقّق في المعتبر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سلك هذا المنوال جماعة من أعلام علماء الرجال، وبه اعتُذر للشيخ الطوسي عن العمل بالضعيف، بل حكموا اعتماداً عليه بصحة حديث بعض الرواة من غير الإماميين كعلي بن محمد ابن رياح وغيره، لما لاح لهم من القرائن المذكورة المقتضية للوثوق بهم والاعتماد عليهم، وإن لم يكونوا في عداد الجماعة الذين انعقد الإجماع على تصحيح ما يصح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مشرق الشمسين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يعتمد عليها المتقدمون في الحكم بصحة الخبر، حتى وإن عُد ضعيفاً باصطلاح المتأخّرين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التعميم، فلا يشمل الأخبار التي روى فيها هؤلاء عن الضعفاء أو الوضاعين، وهو ما يقتضيه الجمع بين الأدلة، ويؤيده ما نقل عن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 يعثر في الكتب الفقهية، من أوّل كتاب الطهارة إلى آخر كتاب الديات، على عمل فقيه من فقهائنا بخبرٍ ضعيف محتجاً بأنّ في سنده أحد الجماعة وهو إليه </w:t>
      </w:r>
    </w:p>
    <w:p>
      <w:pPr>
        <w:pStyle w:val="BookText"/>
        <w:rPr/>
      </w:pP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ما استفاد منه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أنّه لم يعثر على هذا التصحيح في كلمات المتقدمين وأنّ وجوده إنّما هو في كلمات المتأخرين، ومِن ثَمّ فإنّ غاية ما يفيده هذا الإجماع بيان جلالة هؤلاء وأنّ الإجماع قد انعقد على وثاقتهم وفقههم وتصديقهم فيما يروونه، ونصّ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السيد صاحب الرياض أراد بذلك أنّه لم يعثر على ذلك في كلمات من تقدم على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فهو موجود في كلمات جملة من المتأخرين كالشهيد الثاني، والعلّامة المجلسي، والشيخ البهائي، ويبعد أن يخفى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التصحيح المنسوب إلى الأصحاب في كلمات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المحقق الكاشاني في أوائل كتابه الكافي إلى المتأخرين، وهو ظاهر في أنّه أيضاً لم يعثر على ذلك في كلمات المتقدمين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المقدمة الثّانية من كتابه بعد ما حكى الإجماع على التصحيح من الكشي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فهم جماعة من المتأخرين من قوله أجمعت العصابة أو الأصحاب على تصحيح ما يصح عن هؤلاء الحكم بصحة الحديث المنقول عنهم ونسبته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صحته عنهم، من دون اعتبار العدالة في مَن يروون عنه، حتى لو رووا عن معروف بالفسق، أو بالوضع فضلاً عمّا لو أرسلوا الحديث، كان ما نقلوه صحيحاً محكوماً على نسبته إلى أهل بيت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هذه العبارة ليست صريحة في ذلك ولا ظاهرة فيه، فإنّ ما يصح عنهم إنّما هو الرواية لا المروي، بل كما يحتمل ذلك يحتمل كونها كناية عن الإجماع على </w:t>
      </w:r>
    </w:p>
    <w:p>
      <w:pPr>
        <w:pStyle w:val="BookText"/>
        <w:rPr/>
      </w:pPr>
      <w:r>
        <w:rPr>
          <w:rFonts w:ascii="Amiri" w:hAnsi="Amiri" w:eastAsia="Amiri" w:cs="Amiri"/>
          <w:color w:val="111111"/>
          <w:sz w:val="28"/>
          <w:sz w:val="28"/>
          <w:szCs w:val="28"/>
          <w:rtl w:val="true"/>
          <w:lang w:bidi="ar-SA"/>
        </w:rPr>
        <w:t>عدالتهم وصدقهم، بخلاف غيرهم ممّن لم ينقل الإجماع على عدالته</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ذكره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المحقّق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تفيد نسبة الإجماع إلى المتأخرين ونفيه عن القدماء، وإنّما أفادت بيان فهم المتأخرين للإجماع بشكل لا يرتضيه المحقّق المذكور لا غير، لذلك تراه يقدم تفسيرات أخرى تحتمل من عبارة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هذا القول يصلح وجهاً لطرح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لروايات أصحاب الإجماع المشتمل سندها على ضعيف</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اتضحت هذه الأقوال في تفسير كلام الكشي، فاعلم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بحثه عن خبر الواحد في كتاب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الأصل في هذه الدعوى كما صرّح بذلك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أحد الراويين مسنداً والآخر مُرسلاً، نظر في حال المرسِل، فإن كان ممّن يعلم أنّه لا يرسل إلّا عن ثقة موثوق به، فلا ترجيح لخبر غيره على خبره، ولأجل ذلك سوّت الطائفة بين ما يرويه محمّد بن أبي عمير، وصفوان بن يحيى، وأحمد بن محمّد بن أبي نصر، وغيرهم من الثقات الذين عرفوا بأنّهم لا يروون ولا يرسلون إلّا عمّن يوثق به، وبين ما أسنده غيرهم</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وقد تبعه في ذلك جمع ممّن اطلعنا على كلماتهم كالمحقّق في المعتبر، والعلّامة في المختلف، والشهيد في الذكرى، وشارح الدروس، والوحيد في الفوائد، وصاحب الرياض، والسيد بحر العلوم في فوائده، وصاحب كشف الرموز، والشيخ البهائي وغيرهم</w:t>
      </w:r>
      <w:r>
        <w:rPr>
          <w:rFonts w:eastAsia="Amiri" w:cs="Amiri" w:ascii="Amiri" w:hAnsi="Amiri"/>
          <w:color w:val="111111"/>
          <w:sz w:val="28"/>
          <w:szCs w:val="28"/>
          <w:rtl w:val="true"/>
          <w:lang w:bidi="ar-SA"/>
        </w:rPr>
        <w:t xml:space="preserve">. </w:t>
      </w:r>
      <w:bookmarkStart w:id="877" w:name="pg9124_98798"/>
    </w:p>
    <w:p>
      <w:pPr>
        <w:pStyle w:val="BookText"/>
        <w:rPr/>
      </w:pPr>
      <w:bookmarkEnd w:id="877"/>
      <w:r>
        <w:rPr>
          <w:rFonts w:ascii="Amiri" w:hAnsi="Amiri" w:eastAsia="Amiri" w:cs="Amiri"/>
          <w:color w:val="111111"/>
          <w:sz w:val="28"/>
          <w:sz w:val="28"/>
          <w:szCs w:val="28"/>
          <w:rtl w:val="true"/>
          <w:lang w:bidi="ar-SA"/>
        </w:rPr>
        <w:t xml:space="preserve">ومن الواضح أننا إذا أردنا إرجاع عبارة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إلى الأقوال المتقدمة في تفسير كلام الكشي، فإنّها تناسب القولين الأوّل والأخير،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تصحيح المروي دون الرواية بالمعنى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يواجه مشكلة طعن الشيخ نفسه ببعض مرويات هؤلاء معلّلاً ذلك بالإرسال، وهو ما سيأتي بيانه ومحاولة الإجابة عنه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توثيق من يروى عنه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المشاكل التي سنتعرض لها وللإجابة عنها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ذهب الرافضون لدعوى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منشأ التسوية هو عبارة الكشي المتقدمة، كما صرّح بذلك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موضع من الجزء الأوّل من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في المقام ثلاث دعاوٍ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الكشي إجماع العصابة على تصحيح ما يصح عن جماعة، منهم الثّلاثة موضوع البحث، وقد تقدم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المذكورين في عبارة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خصوص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يروون ولا يرسلون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الشيخ أيضاً تسوية الطائفة بين مراسيل هؤلاء وصحاح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أنّ الدعوى الأولى هي المنشأ للأخيرتين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فتكونان تفسيراً وتعليلاً لها، اجتهد في فهمه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أنّه إخبار مستقل منه، وأنّه يشهد لهم بذلك، فيكون التصحيح ثابتاً للطوائف الثّلاثة التي ذكرها الكشي، أمّا التسوية وعدم الإرسال إلّا عن ثقة فثابت لخصوص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w:t>
      </w:r>
    </w:p>
    <w:p>
      <w:pPr>
        <w:pStyle w:val="BookText"/>
        <w:rPr/>
      </w:pPr>
      <w:r>
        <w:rPr>
          <w:rFonts w:ascii="Amiri" w:hAnsi="Amiri" w:eastAsia="Amiri" w:cs="Amiri"/>
          <w:color w:val="111111"/>
          <w:sz w:val="28"/>
          <w:sz w:val="28"/>
          <w:szCs w:val="28"/>
          <w:rtl w:val="true"/>
          <w:lang w:bidi="ar-SA"/>
        </w:rPr>
        <w:t xml:space="preserve">التزم جماعة منهم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w:t>
      </w:r>
      <w:r>
        <w:rPr>
          <w:rFonts w:eastAsia="Amiri" w:cs="Amiri" w:ascii="Amiri" w:hAnsi="Amiri"/>
          <w:color w:val="111111"/>
          <w:sz w:val="28"/>
          <w:szCs w:val="28"/>
          <w:rtl w:val="true"/>
          <w:lang w:bidi="ar-SA"/>
        </w:rPr>
        <w:t>:</w:t>
      </w:r>
    </w:p>
    <w:p>
      <w:pPr>
        <w:pStyle w:val="Heading6"/>
        <w:numPr>
          <w:ilvl w:val="5"/>
          <w:numId w:val="1"/>
        </w:numPr>
        <w:rPr/>
      </w:pPr>
      <w:bookmarkStart w:id="878" w:name="__RefHeading___Toc2933760_2870459653"/>
      <w:bookmarkStart w:id="879" w:name="_Toc352"/>
      <w:bookmarkEnd w:id="878"/>
      <w:r>
        <w:rPr>
          <w:rtl w:val="true"/>
        </w:rPr>
        <w:t>الأوّل</w:t>
      </w:r>
      <w:bookmarkEnd w:id="87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منشأ الدعويين الأخيرتين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كلام الكشي من إجماع العصابة، </w:t>
      </w:r>
    </w:p>
    <w:p>
      <w:pPr>
        <w:pStyle w:val="BookText"/>
        <w:rPr/>
      </w:pPr>
      <w:r>
        <w:rPr>
          <w:rFonts w:ascii="Amiri" w:hAnsi="Amiri" w:eastAsia="Amiri" w:cs="Amiri"/>
          <w:color w:val="111111"/>
          <w:sz w:val="28"/>
          <w:sz w:val="28"/>
          <w:szCs w:val="28"/>
          <w:rtl w:val="true"/>
          <w:lang w:bidi="ar-SA"/>
        </w:rPr>
        <w:t>وأنّه مجتهد في استخراج علّة وسبب قبولهم وتصحيحهم لأخبار هؤلاء، لا أنّه مخبر بذلك شاهد به، إذ صرح بذلك غير مرة، فتارةً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الدعوى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دعوى أنّهم لا يرسلون إلّا عن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اجتهاد من الشيخ، قد استنبطه من اعتقاده تسوية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المنصوص عليها في عبارة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مراسيل هؤلاء ومسانيد غيرهم، وهذا لا يتم</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 وقال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المطمأن به أنّ منشأ هذه الدعوى هو دعوى الكشي الإجماع على تصحيح ما يصح عن هؤلاء، وقد زعم الشيخ أنّ منشأ الإجماع هو أنّ هؤلاء لا يروون إلّا عن ثقة، وقد مرّ قريباً بطلان ذلك</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ولازم ذلك عدم اختصاص الثّلاثة بالتسوية المزبورة، بل ستثبت لجميع مَن ذكرهم الكشي، ويؤكد ذلك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يقتصر على الثّلاثة،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وغيرهم من الثقات الذين عرفوا بأنّهم لا يروون ولا يرسلون إلّا عمّن يوثق به</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لذلك انصبّ تركيز الرافضين لدعوى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إثبات اختصاص الثّلاثة دون غيرهم بالتسوية المزبورة ليتسنى لهم إضعاف دعوى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قد خصّهم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بنفسه أيضاً لم يدعِ ذلك في حقّ أحدٍ غير الثّلاثة المذكورين في كلامه</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جملةٍ ممّن عدا الثلاثة موضوع البحث من أصحاب الإجماع عن </w:t>
      </w:r>
      <w:bookmarkStart w:id="880" w:name="pg9124_98800"/>
    </w:p>
    <w:p>
      <w:pPr>
        <w:pStyle w:val="BookText"/>
        <w:rPr/>
      </w:pPr>
      <w:bookmarkEnd w:id="880"/>
      <w:r>
        <w:rPr>
          <w:rFonts w:ascii="Amiri" w:hAnsi="Amiri" w:eastAsia="Amiri" w:cs="Amiri"/>
          <w:color w:val="111111"/>
          <w:sz w:val="28"/>
          <w:sz w:val="28"/>
          <w:szCs w:val="28"/>
          <w:rtl w:val="true"/>
          <w:lang w:bidi="ar-SA"/>
        </w:rPr>
        <w:t>غير المعصوم قليلة جداً، فلا مجال لتصور الإرسال أصلاً في رواياتهم، حتى يحكم لهم بعدم الإرسال إلّا عن ثقة، مضافاً إلى أنّ جماعة منهم قد روى عن الضعفاء، فهذا سالم ابن أبي حفصة قد تضافرت الروايات في ذمّه وضلاله وإضلاله، قد روى محمد بن يعقوب بسندٍ صحيح عن زرارة عنه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نوقشت دعوى انحصار منشأ التسوية المزبورة في دعوى الكشي بإمكان وجود منشأ آخر يحتمل اعتماد الشيخ عليه في هذه التسوية، خصوصاً أنّ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فيهم الرافضون لدعوى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يعترفون بوجود عشرات المصادر الرجالية التي لم تصل إلينا، فاحتمال وجود منشأ آخر لهذه الدعوى 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دعوى الكشي وارد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الأمرين الذَين اعتمد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الشيخ نفسه قد خصّ الثّلاثة بذلك، وأنّ رواية جملة ممّن عداهم عن غير المعصوم قليلة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تؤيد عدم كون عبارة الكشي منشأً لدعوى الشيخ</w:t>
      </w:r>
      <w:r>
        <w:rPr>
          <w:rFonts w:eastAsia="Amiri" w:cs="Amiri" w:ascii="Amiri" w:hAnsi="Amiri"/>
          <w:color w:val="111111"/>
          <w:sz w:val="28"/>
          <w:szCs w:val="28"/>
          <w:rtl w:val="true"/>
          <w:lang w:bidi="ar-SA"/>
        </w:rPr>
        <w:t>.</w:t>
      </w:r>
    </w:p>
    <w:p>
      <w:pPr>
        <w:pStyle w:val="Heading6"/>
        <w:numPr>
          <w:ilvl w:val="5"/>
          <w:numId w:val="1"/>
        </w:numPr>
        <w:rPr/>
      </w:pPr>
      <w:bookmarkStart w:id="881" w:name="__RefHeading___Toc2933762_2870459653"/>
      <w:bookmarkStart w:id="882" w:name="_Toc353"/>
      <w:bookmarkEnd w:id="881"/>
      <w:r>
        <w:rPr>
          <w:rtl w:val="true"/>
        </w:rPr>
        <w:t>الثّاني</w:t>
      </w:r>
      <w:bookmarkEnd w:id="88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على فرض التسليم بأنّ منشأ دعوى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دعوى الكشي، وأنّ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مجتهداً في استخراج سبب تصحيحهم لأخبارهم، بل كان مخبراً بعدم إرسالهم إلّا عن ثقة، شاهداً بذلك، فإنّه مع ذلك 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الشيخ من أنّ هؤلاء الثلاثة، صفوان وابن أبي عمير، وأحمد بن محمّد بن أبي نصر، لا يروون ولا يرسلون إلّا عن ثقة، غير قابل للتصديق</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bookmarkStart w:id="883" w:name="pg9124_98801"/>
    </w:p>
    <w:p>
      <w:pPr>
        <w:pStyle w:val="BookText"/>
        <w:rPr/>
      </w:pPr>
      <w:bookmarkEnd w:id="883"/>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الدعوى باطلة</w:t>
      </w:r>
      <w:r>
        <w:rPr>
          <w:rFonts w:eastAsia="Amiri" w:cs="Amiri" w:ascii="Amiri" w:hAnsi="Amiri"/>
          <w:color w:val="111111"/>
          <w:sz w:val="28"/>
          <w:szCs w:val="28"/>
          <w:rtl w:val="true"/>
          <w:lang w:bidi="ar-SA"/>
        </w:rPr>
        <w:t>)</w:t>
      </w:r>
      <w:r>
        <w:rPr>
          <w:rStyle w:val="FootnoteAnchor"/>
          <w:rtl w:val="true"/>
        </w:rPr>
        <w:footnoteReference w:id="752"/>
      </w:r>
      <w:r>
        <w:rPr>
          <w:rFonts w:ascii="IRNazanin" w:hAnsi="IRNazanin" w:eastAsia="IRNazanin"/>
          <w:color w:val="111111"/>
          <w:sz w:val="28"/>
          <w:sz w:val="28"/>
          <w:szCs w:val="28"/>
          <w:rtl w:val="true"/>
          <w:lang w:bidi="fa-IR"/>
        </w:rPr>
        <w:t xml:space="preserve">، وأنّها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دعوى دون إثباتها خرط القتاد</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4" w:name="__RefHeading___Toc2933764_2870459653"/>
      <w:bookmarkStart w:id="885" w:name="_Toc354"/>
      <w:bookmarkEnd w:id="884"/>
      <w:r>
        <w:rPr>
          <w:rtl w:val="true"/>
        </w:rPr>
        <w:t>الثّالث</w:t>
      </w:r>
      <w:bookmarkEnd w:id="885"/>
    </w:p>
    <w:p>
      <w:pPr>
        <w:pStyle w:val="BookText"/>
        <w:rPr/>
      </w:pPr>
      <w:r>
        <w:rPr>
          <w:rFonts w:ascii="Amiri" w:hAnsi="Amiri" w:eastAsia="Amiri" w:cs="Amiri"/>
          <w:color w:val="111111"/>
          <w:sz w:val="28"/>
          <w:sz w:val="28"/>
          <w:szCs w:val="28"/>
          <w:rtl w:val="true"/>
          <w:lang w:bidi="ar-SA"/>
        </w:rPr>
        <w:t>إنّ التسوية المذكورة لو كانت صحيحةً، وأمراً معروفاً متسالماً عليه بين الأصحاب لذكرت في كلام أحدٍ من القدماء لا محالة، والحال أنّه ليس منها في كلماتهم عين ولا أثر</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رُدّ هذا الدليل بعين ما تقدم من مناقشة انحصار منشأ التسوية المذكورة بدعوى الكشي إمكان ذكرها في المصادر الرجالية التي يعترف حتى المستدل نفسه بعدم وصول العشرات منها إلينا، فقد اعترف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عند الكلام في ثبوت الوثاقة بنص أحد أعلام المتقدمين، أن عدد الكتب الرجالية من زمان الحسن بن محبوب إلى زمان الشيخ بلغ نيفاً ومائة كتاب</w:t>
      </w:r>
      <w:r>
        <w:rPr>
          <w:rStyle w:val="FootnoteAnchor"/>
          <w:rtl w:val="true"/>
        </w:rPr>
        <w:footnoteReference w:id="755"/>
      </w:r>
      <w:r>
        <w:rPr>
          <w:rFonts w:ascii="Amiri" w:hAnsi="Amiri" w:eastAsia="Amiri" w:cs="Amiri"/>
          <w:color w:val="111111"/>
          <w:sz w:val="28"/>
          <w:sz w:val="28"/>
          <w:szCs w:val="28"/>
          <w:rtl w:val="true"/>
          <w:lang w:bidi="ar-SA"/>
        </w:rPr>
        <w:t>، وذكر أيضاً عند الكلام في ثبوت الوثاقة بنصّ أحد أعلام المتأخّرين، أنّ باقي الكتب الرجالية المعروفة في عصر الشيخ والنجاشي لم يبقَ منها عين ولا أثر في عصر المتأخرين</w:t>
      </w:r>
      <w:r>
        <w:rPr>
          <w:rStyle w:val="FootnoteAnchor"/>
          <w:rtl w:val="true"/>
        </w:rPr>
        <w:footnoteReference w:id="756"/>
      </w:r>
      <w:r>
        <w:rPr>
          <w:rFonts w:ascii="Amiri" w:hAnsi="Amiri" w:eastAsia="Amiri" w:cs="Amiri"/>
          <w:color w:val="111111"/>
          <w:sz w:val="28"/>
          <w:sz w:val="28"/>
          <w:szCs w:val="28"/>
          <w:rtl w:val="true"/>
          <w:lang w:bidi="ar-SA"/>
        </w:rPr>
        <w:t>، وأنّ ما وصل إلى المتأخرين كتابا الشيخ وفهرست النجاشي ورجال البرقي واختيار الكشي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اتضح لك فيما مضى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 بذلك ونقله، بل ووصف الثّلاثة موضوع البحث بأنّهم عُرفوا بأنّهم لا يرسلون إلّا عن ثقة، بل نسب التسوية بين مراسيلهم وصحاح غيرهم للطائفة، والنجاشي قد ذكرها في ترجمة ابن أبي عمير باعتراف </w:t>
      </w:r>
      <w:bookmarkStart w:id="886" w:name="pg9124_98802"/>
    </w:p>
    <w:p>
      <w:pPr>
        <w:pStyle w:val="BookText"/>
        <w:rPr/>
      </w:pPr>
      <w:bookmarkEnd w:id="886"/>
      <w:r>
        <w:rPr>
          <w:rFonts w:ascii="IRNazanin" w:hAnsi="IRNazanin" w:eastAsia="IRNazanin"/>
          <w:color w:val="111111"/>
          <w:sz w:val="28"/>
          <w:sz w:val="28"/>
          <w:szCs w:val="28"/>
          <w:rtl w:val="true"/>
          <w:lang w:bidi="fa-IR"/>
        </w:rPr>
        <w:t>المعترض نفسه</w:t>
      </w:r>
      <w:r>
        <w:rPr>
          <w:rStyle w:val="FootnoteAnchor"/>
          <w:rtl w:val="true"/>
        </w:rPr>
        <w:footnoteReference w:id="757"/>
      </w:r>
      <w:r>
        <w:rPr>
          <w:rFonts w:ascii="Amiri" w:hAnsi="Amiri" w:eastAsia="Amiri" w:cs="Amiri"/>
          <w:color w:val="111111"/>
          <w:sz w:val="28"/>
          <w:sz w:val="28"/>
          <w:szCs w:val="28"/>
          <w:rtl w:val="true"/>
          <w:lang w:bidi="ar-SA"/>
        </w:rPr>
        <w:t>، وعبارة الكشي قد تقدّم نقل تصريحه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العصابة على تصحيح ما يصح عن طوائف ثلاث، أحدها المشتملة على الثلاثة موضوع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المعترض أبى إلّا أن يفسِّر الإجماع بالوثاقة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التسوية لو كانت أمراً معروفاً لذكرها ابن أبي عقيل في كتابه، أو ابن قولويه في مقدمة كامل الزيارات، أو النعماني في الغيبة، أو الكليني، أو الصدوق في توحيده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ذكر التسوية في الكتب المذكورة لا يكشف عن عدم وجودها واقعاً، وغاية مايقتضيه ذلك التوقف في الجزم بالتسوية المذكورة لا 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قطعنا النظر عن كتابي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وفهرست النجاشي واختيار الكشي، وإلّا فلا داعي للتوقف، خصوصاً مع عدم وجود معارض، وبعدما نقلنا لك تصريح الرافضين أنفسهم بوجود كتب رجالية للمتقدمين لم يبقَ منها عين ولا أثر في عصر المتأخّرين</w:t>
      </w:r>
      <w:r>
        <w:rPr>
          <w:rFonts w:eastAsia="Amiri" w:cs="Amiri" w:ascii="Amiri" w:hAnsi="Amiri"/>
          <w:color w:val="111111"/>
          <w:sz w:val="28"/>
          <w:szCs w:val="28"/>
          <w:rtl w:val="true"/>
          <w:lang w:bidi="ar-SA"/>
        </w:rPr>
        <w:t>.</w:t>
      </w:r>
    </w:p>
    <w:p>
      <w:pPr>
        <w:pStyle w:val="Heading6"/>
        <w:numPr>
          <w:ilvl w:val="5"/>
          <w:numId w:val="1"/>
        </w:numPr>
        <w:rPr/>
      </w:pPr>
      <w:bookmarkStart w:id="887" w:name="__RefHeading___Toc2933766_2870459653"/>
      <w:bookmarkStart w:id="888" w:name="_Toc355"/>
      <w:bookmarkEnd w:id="887"/>
      <w:r>
        <w:rPr>
          <w:rtl w:val="true"/>
        </w:rPr>
        <w:t>الرابع</w:t>
      </w:r>
      <w:bookmarkEnd w:id="888"/>
    </w:p>
    <w:p>
      <w:pPr>
        <w:pStyle w:val="Heading6"/>
        <w:numPr>
          <w:ilvl w:val="5"/>
          <w:numId w:val="1"/>
        </w:numPr>
        <w:rPr/>
      </w:pPr>
      <w:bookmarkStart w:id="889" w:name="__RefHeading___Toc2933768_2870459653"/>
      <w:bookmarkStart w:id="890" w:name="_Toc356"/>
      <w:bookmarkEnd w:id="889"/>
      <w:r>
        <w:rPr>
          <w:rtl w:val="true"/>
        </w:rPr>
        <w:t>اشارة</w:t>
      </w:r>
      <w:bookmarkEnd w:id="89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ممّا يكشف عن أنَّ نسبة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التسوية المذكورة إلى الأصحاب ليست إلّا اجتهاداً منه، وأنّها غير ثابتة في نفسها، أنّ الشيخ نفسه ذكر رواية محمّد ابن أبي عمير عن بعض أصحابنا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 ثم قال في كلا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والاستبصار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 ما فيه أنّه مرسل، وما هذا سبيله لا يعارض به الأخبار المسندة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ذكر مثل هذه العبارة في حقّ غير ابن أبي عمير من أصحاب الإجماع، فقد ذكر رواية محمّد بن علي بن محبوب عن العباس عن عبد الله بن المغيرة عن بعض </w:t>
      </w:r>
    </w:p>
    <w:p>
      <w:pPr>
        <w:pStyle w:val="BookText"/>
        <w:rPr/>
      </w:pPr>
      <w:r>
        <w:rPr>
          <w:rFonts w:ascii="IRNazanin" w:hAnsi="IRNazanin" w:eastAsia="IRNazanin"/>
          <w:color w:val="111111"/>
          <w:sz w:val="28"/>
          <w:sz w:val="28"/>
          <w:szCs w:val="28"/>
          <w:rtl w:val="true"/>
          <w:lang w:bidi="fa-IR"/>
        </w:rPr>
        <w:t xml:space="preserve">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 قال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خبر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ما في هذا الخبر أنّه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الموارد التي ناقش الشيخ فيها بالإرسال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إيراد عبارة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غير الثلاثة موضع البحث، كعبد الله بن المغيرة، دليل قاطع على أنّ منشأ الدعوى ليس عبارة الكشي الناصّة على الإجماع على تصحيح ما يصح عنهم، كما ادّعاه المستدل فيما تقدم من الحديث عن الأمر الأوّل الذي التزم به، بل وصرّح باطمئنانه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مراسيل غير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كعبد الله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يؤثر على المدّعى، لأنّه لم يدعِ أنّ أصحاب الإجماع لا يروون ولا يرسلون إلّا عن ثقة، وإنّما ادّعى أنّ الثلاثة وغيرهم عرفوا بأنّهم لا يرسلون إلّا عن ثقة، فكيف تأتى له الجزم بأنّ الكلام في أصحاب الإجماع، خصوصاً بعدما تقدّم من إبطال كون عبارة الكشي هي المنشأ لدعوى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المتتبع للموارد التي طعن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بأخبار الثّلاثة موضوع البحث في كتابي التهذيب والاستبصار لا يجد غير ثمانية موارد من ضمنها المورد الذي ذكره المستدل، فلو سلّمنا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رفض هذه الروايات الثّمانية لكونها مرسلةً، فإنّ في قبالها عشرات الروايات المرسلة ممّن كان المرسِل فيها أحد الثلاثة موضوع البحث قد عمل بها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واستند إليها</w:t>
      </w:r>
      <w:r>
        <w:rPr>
          <w:rFonts w:eastAsia="Amiri" w:cs="Amiri" w:ascii="Amiri" w:hAnsi="Amiri"/>
          <w:color w:val="111111"/>
          <w:sz w:val="28"/>
          <w:szCs w:val="28"/>
          <w:rtl w:val="true"/>
          <w:lang w:bidi="ar-SA"/>
        </w:rPr>
        <w:t xml:space="preserve">. </w:t>
      </w:r>
      <w:bookmarkStart w:id="891" w:name="pg9124_98804"/>
    </w:p>
    <w:p>
      <w:pPr>
        <w:pStyle w:val="BookText"/>
        <w:rPr/>
      </w:pPr>
      <w:bookmarkEnd w:id="891"/>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طعن في كل من التهذيب والاستبصار بما مجموعه ثمان روايات من روايات الثلاثة موضوع البحث بالإرسال، لكن بعد التأمل يمكن تحصيل وجهٍ آخر للطعن، لذا يحسن أن نتتبع الروايات لينكشف حالها، وهذه الروايات هي</w:t>
      </w:r>
      <w:r>
        <w:rPr>
          <w:rFonts w:eastAsia="Amiri" w:cs="Amiri" w:ascii="Amiri" w:hAnsi="Amiri"/>
          <w:color w:val="111111"/>
          <w:sz w:val="28"/>
          <w:szCs w:val="28"/>
          <w:rtl w:val="true"/>
          <w:lang w:bidi="ar-SA"/>
        </w:rPr>
        <w:t>:</w:t>
      </w:r>
    </w:p>
    <w:p>
      <w:pPr>
        <w:pStyle w:val="Heading6"/>
        <w:numPr>
          <w:ilvl w:val="5"/>
          <w:numId w:val="1"/>
        </w:numPr>
        <w:rPr/>
      </w:pPr>
      <w:bookmarkStart w:id="892" w:name="__RefHeading___Toc2933770_2870459653"/>
      <w:bookmarkStart w:id="893" w:name="_Toc357"/>
      <w:bookmarkEnd w:id="892"/>
      <w:r>
        <w:rPr>
          <w:rtl w:val="true"/>
        </w:rPr>
        <w:t>الرواية الأولى</w:t>
      </w:r>
      <w:bookmarkEnd w:id="893"/>
    </w:p>
    <w:p>
      <w:pPr>
        <w:pStyle w:val="BookText"/>
        <w:rPr/>
      </w:pPr>
      <w:r>
        <w:rPr>
          <w:rFonts w:ascii="IRNazanin" w:hAnsi="IRNazanin" w:eastAsia="IRNazanin"/>
          <w:color w:val="111111"/>
          <w:sz w:val="28"/>
          <w:sz w:val="28"/>
          <w:szCs w:val="28"/>
          <w:rtl w:val="true"/>
          <w:lang w:bidi="fa-IR"/>
        </w:rPr>
        <w:t xml:space="preserve">وهي الرواية التي ذكرها المستدل، وهي رواية محمد بن أبي عمير عن بعض أصحابنا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السائبة وغير السائبة سواء في العتق</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طعن بها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فيه أنّه مرسَل، وما هذا سبيله لا يعارض به الأخبار المسندة</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والتعبير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أنّ الإرسال ليس هو السّبب الوحيد للطعن بالرواية، ولو فُسرت الرواية بعدم التفريق بين السائبة وغيرها في الولاء فإنّها ستكون معارضة لروايات عديدة صحيحة قد فرّقت بين السائبة وغيرها في العتق لا في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لفظ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مقبولة عنده، لأنّه يقول بالمساواة بينهما في العتق، وهو ما صرّح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في ظاهر الخبر أنّ ولاء السائبة مثل ولاء غيرها، وإنّما جعلهما سواء في العتق، ونحن نقول بذلك</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 ثم ذكر خمسة أحاديث تكشف عن هذه المساواة، وتؤكّد مفاد هذه المرسلة</w:t>
      </w:r>
      <w:r>
        <w:rPr>
          <w:rFonts w:eastAsia="Amiri" w:cs="Amiri" w:ascii="Amiri" w:hAnsi="Amiri"/>
          <w:color w:val="111111"/>
          <w:sz w:val="28"/>
          <w:szCs w:val="28"/>
          <w:rtl w:val="true"/>
          <w:lang w:bidi="ar-SA"/>
        </w:rPr>
        <w:t xml:space="preserve">. </w:t>
      </w:r>
      <w:bookmarkStart w:id="894" w:name="pg9124_98805"/>
    </w:p>
    <w:p>
      <w:pPr>
        <w:pStyle w:val="Heading6"/>
        <w:numPr>
          <w:ilvl w:val="5"/>
          <w:numId w:val="1"/>
        </w:numPr>
        <w:rPr/>
      </w:pPr>
      <w:bookmarkStart w:id="895" w:name="__RefHeading___Toc2933772_2870459653"/>
      <w:bookmarkStart w:id="896" w:name="_Toc358"/>
      <w:bookmarkEnd w:id="894"/>
      <w:bookmarkEnd w:id="895"/>
      <w:r>
        <w:rPr>
          <w:rtl w:val="true"/>
        </w:rPr>
        <w:t>الرواية الثّانية</w:t>
      </w:r>
      <w:bookmarkEnd w:id="896"/>
    </w:p>
    <w:p>
      <w:pPr>
        <w:pStyle w:val="BookText"/>
        <w:rPr/>
      </w:pPr>
      <w:r>
        <w:rPr>
          <w:rFonts w:ascii="IRNazanin" w:hAnsi="IRNazanin" w:eastAsia="IRNazanin"/>
          <w:color w:val="111111"/>
          <w:sz w:val="28"/>
          <w:sz w:val="28"/>
          <w:szCs w:val="28"/>
          <w:rtl w:val="true"/>
          <w:lang w:bidi="fa-IR"/>
        </w:rPr>
        <w:t xml:space="preserve">عن ابن أبي عمير عن بعض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الكر من الماء الذي لا ينجسه شيء ألف ومائتا رطل</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يطعن في هذه الرواية بالإرسال أصلاً، بل أوردها للاستدلال على أنّ مقدار الكر ألف ومائتا رطل، ورفع توهم مناقضتها للروايات التي تتضمن التحديد بثلاثة أشبار وذراعين، وما أشبه ذلك،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يمتنع أن يكون ما قدره هذه الأقدار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الثّلاثة أشبار والذراعين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ألف ومائتا رطل</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 ثم أورد طرفاً من الأخبار التي ذكرت ذلك، من دون تعرض لإخلال الإرسال فيها</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2933774_2870459653"/>
      <w:bookmarkStart w:id="898" w:name="_Toc359"/>
      <w:bookmarkEnd w:id="897"/>
      <w:r>
        <w:rPr>
          <w:rtl w:val="true"/>
        </w:rPr>
        <w:t>الرواية الثّالثة</w:t>
      </w:r>
      <w:bookmarkEnd w:id="898"/>
    </w:p>
    <w:p>
      <w:pPr>
        <w:pStyle w:val="BookText"/>
        <w:rPr/>
      </w:pPr>
      <w:r>
        <w:rPr>
          <w:rFonts w:ascii="IRNazanin" w:hAnsi="IRNazanin" w:eastAsia="IRNazanin"/>
          <w:color w:val="111111"/>
          <w:sz w:val="28"/>
          <w:sz w:val="28"/>
          <w:szCs w:val="28"/>
          <w:rtl w:val="true"/>
          <w:lang w:bidi="fa-IR"/>
        </w:rPr>
        <w:t>ما رواه محمّد 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لي عن عبد الله، يعني ابن المغيرة، يرفعه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الكر ستمائة رطل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علّق عليها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 ما فيه أنّه مرسل غير مسند</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أيضاً أنّ الطعن في هذه الرواية كسابقتها لم يكن للإرسال فحسب، بل ولأنّها مضادة لأحاديث تثبت أنّ مقدار الكر ألف ومائتا 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أنّه لم يعمل بها أحد من فقهائنا</w:t>
      </w:r>
      <w:r>
        <w:rPr>
          <w:rStyle w:val="FootnoteAnchor"/>
          <w:rtl w:val="true"/>
        </w:rPr>
        <w:footnoteReference w:id="767"/>
      </w:r>
      <w:r>
        <w:rPr>
          <w:rFonts w:ascii="Amiri" w:hAnsi="Amiri" w:eastAsia="Amiri" w:cs="Amiri"/>
          <w:color w:val="111111"/>
          <w:sz w:val="28"/>
          <w:sz w:val="28"/>
          <w:szCs w:val="28"/>
          <w:rtl w:val="true"/>
          <w:lang w:bidi="ar-SA"/>
        </w:rPr>
        <w:t xml:space="preserve">، ومع ذلك حاول في النهاية قبول مفادها برفع التعارض بإمكان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الذي سأل عن الكر كان من البلد الذي عادة أرطالهم ما يوازي </w:t>
      </w:r>
      <w:bookmarkStart w:id="899" w:name="pg9124_98806"/>
    </w:p>
    <w:p>
      <w:pPr>
        <w:pStyle w:val="BookText"/>
        <w:rPr/>
      </w:pPr>
      <w:bookmarkEnd w:id="899"/>
      <w:r>
        <w:rPr>
          <w:rFonts w:ascii="Amiri" w:hAnsi="Amiri" w:eastAsia="Amiri" w:cs="Amiri"/>
          <w:color w:val="111111"/>
          <w:sz w:val="28"/>
          <w:sz w:val="28"/>
          <w:szCs w:val="28"/>
          <w:rtl w:val="true"/>
          <w:lang w:bidi="ar-SA"/>
        </w:rPr>
        <w:t>رطلين بالبغدادي، فأفتاه على ما علم من عادته، ويكون مشتملاً على القدر الذي قدمناه في الكر</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الطعن لو كان منحصراً بالإرسال مع عدم معارضتها لروايات أخرى لأمكن أن يكون راجعاً إلى أصل دعوى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والحال أنّ الأمر ليس كذلك كما لا يخفى</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2933776_2870459653"/>
      <w:bookmarkStart w:id="901" w:name="_Toc360"/>
      <w:bookmarkEnd w:id="900"/>
      <w:r>
        <w:rPr>
          <w:rtl w:val="true"/>
        </w:rPr>
        <w:t>الرواية الرابعة</w:t>
      </w:r>
      <w:bookmarkEnd w:id="901"/>
    </w:p>
    <w:p>
      <w:pPr>
        <w:pStyle w:val="BookText"/>
        <w:rPr/>
      </w:pPr>
      <w:r>
        <w:rPr>
          <w:rFonts w:ascii="IRNazanin" w:hAnsi="IRNazanin" w:eastAsia="IRNazanin"/>
          <w:color w:val="111111"/>
          <w:sz w:val="28"/>
          <w:sz w:val="28"/>
          <w:szCs w:val="28"/>
          <w:rtl w:val="true"/>
          <w:lang w:bidi="fa-IR"/>
        </w:rPr>
        <w:t xml:space="preserve">عن صفوان عن علي بن إسماعيل الدعشي، عن رجل من أهل الشام، عن عبد الله بن أبان الزيات،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تزوج ابنة عمه، وقد أرضعته أم ولد جده، هل تحرم على الغلام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الخبر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مقطوع الإسناد، وما هذا حكمه لا يعترض به الأخبار الصحيحة</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فالطعن بالإرسال لكونه في مقام التعارض، لا أنّ المرسل مرفوض مطلقاً، لذلك حاول تأويله بما لا يتعارض مع الروايات الصحيحة فيُقبل على الرغم من كونه مرسلاً،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سَلِم من ذلك لكان محمولاً على أنّه إذا كانت أم ولدٍ قد أرضعته بغير لبن جده، أو تكون أرضعته إرضاعاً لا يُحرِّم، ولو كان رضاعاً تاماً لكان قد صار عمها إن كان الجد من قبل الأب، وإن كان الجد من قبل الأم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هناك وجه يقتضي التحريم</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bookmarkStart w:id="902" w:name="pg9124_98807"/>
    </w:p>
    <w:p>
      <w:pPr>
        <w:pStyle w:val="Heading6"/>
        <w:numPr>
          <w:ilvl w:val="5"/>
          <w:numId w:val="1"/>
        </w:numPr>
        <w:rPr/>
      </w:pPr>
      <w:bookmarkStart w:id="903" w:name="__RefHeading___Toc2933778_2870459653"/>
      <w:bookmarkStart w:id="904" w:name="_Toc361"/>
      <w:bookmarkEnd w:id="902"/>
      <w:bookmarkEnd w:id="903"/>
      <w:r>
        <w:rPr>
          <w:rtl w:val="true"/>
        </w:rPr>
        <w:t>الرواية الخامسة</w:t>
      </w:r>
      <w:bookmarkEnd w:id="904"/>
    </w:p>
    <w:p>
      <w:pPr>
        <w:pStyle w:val="BookText"/>
        <w:rPr/>
      </w:pPr>
      <w:r>
        <w:rPr>
          <w:rFonts w:ascii="Amiri" w:hAnsi="Amiri" w:eastAsia="Amiri" w:cs="Amiri"/>
          <w:color w:val="111111"/>
          <w:sz w:val="28"/>
          <w:sz w:val="28"/>
          <w:szCs w:val="28"/>
          <w:rtl w:val="true"/>
          <w:lang w:bidi="ar-SA"/>
        </w:rPr>
        <w:t>أحمد بن محمّد بن عيسى عن ابن أبي عمير، عن عبد الرحمن بن الحجاج، عمّن رواه،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تورثوا من الأجداد إلا ثلاثة، أبو الأم، وأبو الأب، وأبو أب الأب</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طعن الشيخ بهذا الخبر بأنّه غير معمول به؛ لأنّه مرسل غير 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لأنّ الجد الأعلى لا يرث مع الجد الأدنى، بل الجد الأدنى يحوز المال كله</w:t>
      </w:r>
      <w:r>
        <w:rPr>
          <w:rStyle w:val="FootnoteAnchor"/>
          <w:rtl w:val="true"/>
        </w:rPr>
        <w:footnoteReference w:id="773"/>
      </w:r>
      <w:r>
        <w:rPr>
          <w:rFonts w:ascii="Amiri" w:hAnsi="Amiri" w:eastAsia="Amiri" w:cs="Amiri"/>
          <w:color w:val="111111"/>
          <w:sz w:val="28"/>
          <w:sz w:val="28"/>
          <w:szCs w:val="28"/>
          <w:rtl w:val="true"/>
          <w:lang w:bidi="ar-SA"/>
        </w:rPr>
        <w:t>، واستدل على ذلك بروايتين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أنّه جعل الإرسال أحد وجوه 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الطعن منحصر في الإرسال، بل ضم إليه معارضته لما يدل على أنّ الجد الأعلى لا يرث مع الجد الأدنى، مضافاً إلى أنّه حمل الرواية في الاستبصار على التقية؛ لأنّه يجوز أن يكون في متقدمي العامّة من يفتي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أنّه قَبِل المرسلة على الرغم من إرسالها</w:t>
      </w:r>
      <w:r>
        <w:rPr>
          <w:rFonts w:eastAsia="Amiri" w:cs="Amiri" w:ascii="Amiri" w:hAnsi="Amiri"/>
          <w:color w:val="111111"/>
          <w:sz w:val="28"/>
          <w:szCs w:val="28"/>
          <w:rtl w:val="true"/>
          <w:lang w:bidi="ar-SA"/>
        </w:rPr>
        <w:t>.</w:t>
      </w:r>
    </w:p>
    <w:p>
      <w:pPr>
        <w:pStyle w:val="Heading6"/>
        <w:numPr>
          <w:ilvl w:val="5"/>
          <w:numId w:val="1"/>
        </w:numPr>
        <w:rPr/>
      </w:pPr>
      <w:bookmarkStart w:id="905" w:name="__RefHeading___Toc2933780_2870459653"/>
      <w:bookmarkStart w:id="906" w:name="_Toc362"/>
      <w:bookmarkEnd w:id="905"/>
      <w:r>
        <w:rPr>
          <w:rtl w:val="true"/>
        </w:rPr>
        <w:t>الرواية السادسة</w:t>
      </w:r>
      <w:bookmarkEnd w:id="90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علي بن الحسين بن فضّال، عن أيوب بن نوح، عن محمّد ابن أبي عمير، عن جميل، فيما يعلم،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الميت جدتين، أم أبيه وأم أمه، فالسّدس بينهما </w:t>
      </w:r>
      <w:r>
        <w:rPr>
          <w:rStyle w:val="FootnoteAnchor"/>
          <w:rtl w:val="true"/>
        </w:rPr>
        <w:footnoteReference w:id="774"/>
      </w:r>
      <w:r>
        <w:rPr>
          <w:rFonts w:ascii="Amiri" w:hAnsi="Amiri" w:eastAsia="Amiri" w:cs="Amiri"/>
          <w:color w:val="111111"/>
          <w:sz w:val="28"/>
          <w:sz w:val="28"/>
          <w:szCs w:val="28"/>
          <w:rtl w:val="true"/>
          <w:lang w:bidi="ar-SA"/>
        </w:rPr>
        <w:t xml:space="preserve">وقد طعن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مع رواية ثانية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هذان الخبران غير معمول بهما، لأنّ الخبر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بين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مقطوع الإسناد</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907" w:name="pg9124_98808"/>
    </w:p>
    <w:p>
      <w:pPr>
        <w:pStyle w:val="BookText"/>
        <w:rPr/>
      </w:pPr>
      <w:bookmarkEnd w:id="907"/>
      <w:r>
        <w:rPr>
          <w:rFonts w:ascii="Amiri" w:hAnsi="Amiri" w:eastAsia="Amiri" w:cs="Amiri"/>
          <w:color w:val="111111"/>
          <w:sz w:val="28"/>
          <w:sz w:val="28"/>
          <w:szCs w:val="28"/>
          <w:rtl w:val="true"/>
          <w:lang w:bidi="ar-SA"/>
        </w:rPr>
        <w:t>ولكن طعنه لم يقتصر أيضاً على الإرسال ليكون خادشاً في أصل المدّعى موضوع البحث، بل ولأنّه مخالف لما قدمه من الأخبار،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والثّاني مع الأوّل مخالفان لما قدمناه من الأخبار، لأنّا قد بيّنا أنّ الجدة إنّما تستحق الطعمة من نصيب ولدها، والخبر يتضمن أيضاً أنّها تعطى الطعمة إذا لم يكن هناك ولدها</w:t>
      </w:r>
      <w:r>
        <w:rPr>
          <w:rFonts w:eastAsia="Amiri" w:cs="Amiri" w:ascii="Amiri" w:hAnsi="Amiri"/>
          <w:color w:val="111111"/>
          <w:sz w:val="28"/>
          <w:szCs w:val="28"/>
          <w:rtl w:val="true"/>
          <w:lang w:bidi="ar-SA"/>
        </w:rPr>
        <w:t>)</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في نهاية المطاف احتمل أن يكون الخبران وردا مورد التقية، لأنّ هذه القضية قضى بها أبو بكر في خلافته، فيجوز أن يكون روى على ما قضى به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8" w:name="__RefHeading___Toc2933782_2870459653"/>
      <w:bookmarkStart w:id="909" w:name="_Toc363"/>
      <w:bookmarkEnd w:id="908"/>
      <w:r>
        <w:rPr>
          <w:rtl w:val="true"/>
        </w:rPr>
        <w:t>الرواية السّابعة</w:t>
      </w:r>
      <w:bookmarkEnd w:id="909"/>
    </w:p>
    <w:p>
      <w:pPr>
        <w:pStyle w:val="BookText"/>
        <w:rPr/>
      </w:pPr>
      <w:r>
        <w:rPr>
          <w:rFonts w:ascii="Amiri" w:hAnsi="Amiri" w:eastAsia="Amiri" w:cs="Amiri"/>
          <w:color w:val="111111"/>
          <w:sz w:val="28"/>
          <w:sz w:val="28"/>
          <w:szCs w:val="28"/>
          <w:rtl w:val="true"/>
          <w:lang w:bidi="ar-SA"/>
        </w:rPr>
        <w:t>وهي في الحقيقة ليست رواية واحدة، بل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أحمد بن محمّد عن محمّد بن أبي عمير عن خلّاد عن السّري،</w:t>
      </w:r>
    </w:p>
    <w:p>
      <w:pPr>
        <w:pStyle w:val="BookText"/>
        <w:rPr/>
      </w:pPr>
      <w:r>
        <w:rPr>
          <w:rFonts w:ascii="IRNazanin" w:hAnsi="IRNazanin" w:eastAsia="IRNazanin"/>
          <w:color w:val="111111"/>
          <w:sz w:val="28"/>
          <w:sz w:val="28"/>
          <w:szCs w:val="28"/>
          <w:rtl w:val="true"/>
          <w:lang w:bidi="fa-IR"/>
        </w:rPr>
        <w:t xml:space="preserve">يرفعه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يموت ويترك مالاً ليس له وارث؟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همشاريجه</w:t>
      </w:r>
      <w:r>
        <w:rPr>
          <w:rStyle w:val="FootnoteAnchor"/>
          <w:rtl w:val="true"/>
        </w:rPr>
        <w:footnoteReference w:id="778"/>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أيضاً عن داود،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رجل على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له وارث، فدفع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ميراثه إلى همشهريجه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بالرواية الثّانية فقط بالإرسال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رواية </w:t>
      </w:r>
      <w:bookmarkStart w:id="910" w:name="pg9124_98809"/>
    </w:p>
    <w:p>
      <w:pPr>
        <w:pStyle w:val="BookText"/>
        <w:rPr/>
      </w:pPr>
      <w:bookmarkEnd w:id="910"/>
      <w:r>
        <w:rPr>
          <w:rFonts w:ascii="Amiri" w:hAnsi="Amiri" w:eastAsia="Amiri" w:cs="Amiri"/>
          <w:color w:val="111111"/>
          <w:sz w:val="28"/>
          <w:sz w:val="28"/>
          <w:szCs w:val="28"/>
          <w:rtl w:val="true"/>
          <w:lang w:bidi="ar-SA"/>
        </w:rPr>
        <w:t>مرسلة لا تعارض ما قدمناه من الأخبار</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الطعن موجه للروايتين معاً، لأنّ مفاد المتن فيهما واحد، وكلتاهما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قال عن الخبر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رواية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للخبرين لا لخصوص الأخيرة، على الرغم من أنّه في الاستبصار طعن في كل منهما بالإرسال على 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وكيفما كان، فإنّ طعن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فيهما لا للإرسال فحسب، بل ولأنّهما معارضتان للروايات الصحيحة الدالة على أنّ من لا وارث له فماله من الأنفال، على أنّه في نهاية المطاف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فسّرهما بما يرفع التنافي بينهما وبين غيرهما من الروايات الصحاح، فتقبل حينئذٍ،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أنّه ليس فيها ما ينافي ما تقدّم، لأنّ الذي تضمن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تركته همشاريجه، ولعل ذلك فِعْل لبعض الاستصلاح؛ لأنّه إذا كان المال له خاصة على ما قدمناه، جاز له أن يعمل به ما شاء، وليس في الرواية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حكم كل مال لا وارث له، فيكون منافياً لما تقدم من الأخبار</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1" w:name="__RefHeading___Toc2933784_2870459653"/>
      <w:bookmarkStart w:id="912" w:name="_Toc364"/>
      <w:bookmarkEnd w:id="911"/>
      <w:r>
        <w:rPr>
          <w:rtl w:val="true"/>
        </w:rPr>
        <w:t>الرواية الثّامنة</w:t>
      </w:r>
      <w:bookmarkEnd w:id="912"/>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الحسن بن سعيد، عن ابن أبي عمير، عن حفص بن سوقة، عمّن أخبره،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يأتي أهله من خلفها؟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المأتيين، فيه الغسل</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ففي التهذيب لم يطعن بهذه الرواية، بل قبلها، وجعلها مؤيدةً لغيرها من الروايات المسندة في بيان حكم إتيان الزوجة من الدبر، ولكنه في الاستبصار طعن فيها بالإرسال،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هذا حكمه لا يعارض به الأخبار المسندة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لوجوب الغسل عند إتيان الزوجة من الدبر، وأضاف إلى خدشة الإرسال كون الخبر من أخبار الآحاد التي لا توجب العلم ولا العمل، فلا يجب العمل بها، ولكنّه في نهاية الأمر أورد احتمال أن يكون هذا الخبر قد ورد مورد التقية، لأنّه موافق لمذاهب بعض العامة</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الروايات الثمانية لم يكن للإرسال فحسب، بل لمعارضتها للأخبار الصحيحة، ومع ذلك رأيناه يحاول تأويلها جميعاً بتأويلات يرتفع معها التعارض، فتُقبل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لو سلّمنا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رفض هذه الروايات الثمانية لكونها مرسلةً، فإنّ في قبالها عشرات الروايات المرسلة ممن كان المرسِل فيها أحد الثلاثة، قد عمل بها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الإنصاف أنّ عشرات المراسيل التي عمل بها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مورداً عمل بها فيه وحدها، بل عمل بها منضمّةً لغيرها من الصحاح، فيمكن أن يكون العمل بها ليس اعتماداً على كونهم لا يرسلون إلا عن ثقةٍ، إذ إنّ مراسيل غيرهم قد تذكر إلى جانب الصحاح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عثر على مورد أو أكثر قد عمل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بمراسيل هؤلاء الثلاثة في حال انفرادهم في الرواية، وهو ما أكّده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لذلك عملوا </w:t>
      </w:r>
      <w:bookmarkStart w:id="913" w:name="pg9124_98811"/>
    </w:p>
    <w:p>
      <w:pPr>
        <w:pStyle w:val="BookText"/>
        <w:rPr/>
      </w:pPr>
      <w:bookmarkEnd w:id="913"/>
      <w:r>
        <w:rPr>
          <w:rFonts w:ascii="Amiri" w:hAnsi="Amiri" w:eastAsia="Amiri" w:cs="Amiri"/>
          <w:color w:val="111111"/>
          <w:sz w:val="28"/>
          <w:sz w:val="28"/>
          <w:szCs w:val="28"/>
          <w:rtl w:val="true"/>
          <w:lang w:bidi="ar-SA"/>
        </w:rPr>
        <w:t>بمراسيلهم إذا انفردوا عن رواية غيرهم</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كما يحتمل ذلك جداً في الحكم بثبوت الأرش دون القصاص على الرجل يضرب سنّ الصبي فتسقط ثم تنبت، ويد الرجل تكسر ثم تبرأ، اعتماداً على مرسلتين لابن أبي عمير</w:t>
      </w:r>
      <w:r>
        <w:rPr>
          <w:rStyle w:val="FootnoteAnchor"/>
          <w:rtl w:val="true"/>
        </w:rPr>
        <w:footnoteReference w:id="786"/>
      </w:r>
      <w:r>
        <w:rPr>
          <w:rFonts w:ascii="Amiri" w:hAnsi="Amiri" w:eastAsia="Amiri" w:cs="Amiri"/>
          <w:color w:val="111111"/>
          <w:sz w:val="28"/>
          <w:sz w:val="28"/>
          <w:szCs w:val="28"/>
          <w:rtl w:val="true"/>
          <w:lang w:bidi="ar-SA"/>
        </w:rPr>
        <w:t xml:space="preserve">، لأمكننا القطع بالتزام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بالدعوى، فتأمل</w:t>
      </w:r>
      <w:r>
        <w:rPr>
          <w:rFonts w:eastAsia="Amiri" w:cs="Amiri" w:ascii="Amiri" w:hAnsi="Amiri"/>
          <w:color w:val="111111"/>
          <w:sz w:val="28"/>
          <w:szCs w:val="28"/>
          <w:rtl w:val="true"/>
          <w:lang w:bidi="ar-SA"/>
        </w:rPr>
        <w:t>.</w:t>
      </w:r>
    </w:p>
    <w:p>
      <w:pPr>
        <w:pStyle w:val="Heading6"/>
        <w:numPr>
          <w:ilvl w:val="5"/>
          <w:numId w:val="1"/>
        </w:numPr>
        <w:rPr/>
      </w:pPr>
      <w:bookmarkStart w:id="914" w:name="__RefHeading___Toc2933786_2870459653"/>
      <w:bookmarkStart w:id="915" w:name="_Toc365"/>
      <w:bookmarkEnd w:id="914"/>
      <w:r>
        <w:rPr>
          <w:rtl w:val="true"/>
        </w:rPr>
        <w:t>الخامس</w:t>
      </w:r>
      <w:bookmarkEnd w:id="9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الدعوى، وإنّ هؤلاء الثلاثة وأضرابهم من الثقات لا يروون ولا يرسلون إلّا عن ثقةٍ، دعوى دون إثباتها خرط القتاد، فإنّ معرفة ذلك في غير ما إذا صرّح الراوي بنفسه أنّه لا يروي ولا يرسل إلّا عن ثقةٍ، أمر غير ميسور، ومن الظاهر أنّه لم ينسب إلى أحد هؤلاء إخباره وتصريحه بذلك، وليس لنا طريق آخر لكشفه</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يناقش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نسبة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ادّعاه في العدة إلى تصريحهم بذلك أنفسهم لا يستلزم عدم صدور تصريح منهم بذلك،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غير ملزمين بنقل كل شأن من شؤون الرواة، فيمكن أن يكون التصريح موجوداً لدى الطبقة الأولى التي يعترف المستدل نفسه بضياع تراثهم، وعدم وصوله إلينا كما تقدم نقل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جرت الطائفة عملياً على مقتضاه دون التزامهم بنقل التصريح إلى من بعدهم، ومع إمكان ذلك فلا ترجع شهادة الشيخ في العدة إلى أمرٍ حدسي، بل تكون شهادته وإخباره حجّة قطعاً بعد كفاية احتمال حسيّة المنشأ في حجّية الخبر، وهو ما يعترف به المستدل نفسه عند كلامه في ثبوت الوثاقة بنصّ أحد المتقدمين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إخبارهم عن الوثاقة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نشأ من الحدس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الاحتمال </w:t>
      </w:r>
      <w:bookmarkStart w:id="916" w:name="pg9124_98812"/>
    </w:p>
    <w:p>
      <w:pPr>
        <w:pStyle w:val="BookText"/>
        <w:rPr/>
      </w:pPr>
      <w:bookmarkEnd w:id="916"/>
      <w:r>
        <w:rPr>
          <w:rFonts w:ascii="Amiri" w:hAnsi="Amiri" w:eastAsia="Amiri" w:cs="Amiri"/>
          <w:color w:val="111111"/>
          <w:sz w:val="28"/>
          <w:sz w:val="28"/>
          <w:szCs w:val="28"/>
          <w:rtl w:val="true"/>
          <w:lang w:bidi="ar-SA"/>
        </w:rPr>
        <w:t>لا يُعتنى به بعد قيام السيرة على حجّية خبر الثقة فيما لم يعلم أنّه نشأ من الحدس، ولا ريب في أنّ احتمال الحس في أخبارهم موجود وجداناً</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ثم إنّ وصف المستدل للاطلاع على كون الراوي لا يروي أو لا يرسل إلّا عن ثقة مع عدم تصريحه بنفسه، بأنّه أمر غير ميسور، قد يصح بالنسبة إلى مَن طال الزمان بينه وبينه، أمّا بالنسبة لمن قرب عهده منه، أو عاصره، وعرف أنّه في غاية التحرز عن الرواية عن غير الثقة، يتيسر له الاطمئنان والقطع بأنّه لا يروي عن غير الثقة</w:t>
      </w:r>
      <w:r>
        <w:rPr>
          <w:rFonts w:eastAsia="Amiri" w:cs="Amiri" w:ascii="Amiri" w:hAnsi="Amiri"/>
          <w:color w:val="111111"/>
          <w:sz w:val="28"/>
          <w:szCs w:val="28"/>
          <w:rtl w:val="true"/>
          <w:lang w:bidi="ar-SA"/>
        </w:rPr>
        <w:t>.</w:t>
      </w:r>
    </w:p>
    <w:p>
      <w:pPr>
        <w:pStyle w:val="Heading6"/>
        <w:numPr>
          <w:ilvl w:val="5"/>
          <w:numId w:val="1"/>
        </w:numPr>
        <w:rPr/>
      </w:pPr>
      <w:bookmarkStart w:id="917" w:name="__RefHeading___Toc2933788_2870459653"/>
      <w:bookmarkStart w:id="918" w:name="_Toc366"/>
      <w:bookmarkEnd w:id="917"/>
      <w:r>
        <w:rPr>
          <w:rtl w:val="true"/>
        </w:rPr>
        <w:t>السادس</w:t>
      </w:r>
      <w:bookmarkEnd w:id="9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ثبت رواية هؤلاء عن الضعفاء في موارد ذكر جملةً منها الشيخ نفسه، ولا أدري أنّه مع ذلك كيف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هؤلاء لا يروون عن الضعفاء؟ فهذا صفوان روى عن علي بن أبي حمزة البطائني كتابه، ذكره الشيخ، وهو الذي قال فيه علي بن الحسن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يعقوب بسندٍ صحيح عن صفوان بن يحيى، عن علي بن أبي حمزة</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وتتبع المستدل موارد رواية الثّلاثة عن الضعفاء فذكر تسعةً منها، وادّعى أنّ روايتهم عن الضعفاء غير منحصرة فيما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دعواه كثرة روايتهم عن المجاهيل غير المذكورين في الرجال، حتى حكم في نهاية كلامه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الشيخ من أنّ هؤلاء الثلاثة، صفوان، وابن أبي عمير، وأحمد بن محمّد بن أبي نصر، لا يروون ولا يرسلون إلّا عن ثقةٍ، غير قابل للتصديق، وهو أعلم بما قال</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يناقش هذا الدليل بوجوه،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الاعتراف بأنّ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قد ذكر تعبيري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 ثقةٍ، فلو ثبت ما ادّعاه المستدل من رواية الثلاثة عن الضعفاء المتسالم على ضعفهم، وبناءً على عدم التفريق بين المعطوف، والمعطوف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لا يروون ولا يرسلون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دعوى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ساقطةً لا محالة، ولكننا لا نسلّم بالشقين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 الضعفاء الذين ادّعى المستدل رواية الثلاثة عنهم لم يتسالم الأصحاب على القول بضعفهم، أو ما يقرب من ذلك، فتضعيف 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رجال ابن أبي عمير لا يستلزم عدم صحة دعوى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ابتناءها على الاجتهاد والحدس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هناك فرقاً بين عدم الرواية عن الضعفاء وبين عدم الإرسال إلّا عمّن يوثق به، فحتى لو ثبتت روايتهم عن الضعفاء في المسانيد، لا يستلزم ذلك كون الساقط في مراسيلهم هو من الضعفاء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يكون المراد من التعبير بالرواية في كلام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الإرسال، بقرينة عطفه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يروون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كان حمل الكلام على التأسيس أولى من حمله على التأكيد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العطف عطف تفسير، فيصير المعنى أنّ الثلاثة إذا أرادوا أن يرسلوا فإنّهم لا يرسلون إلّا عن ثقة، حتى وإن ثبتت روايتهم عن الضعفاء في غير حال الإرسال، فيكون المعنى أنّ أحد الثلاثة إذا أراد أن يُسقط الواسطة بينه وبين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يكون الساقط ثقةً، وهذا لا ينافي روايتهم عن الضعفاء، إن سلّمنا ذلك، فتأمل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رواية الثلاثة عمّن تسالم الأصحاب على ضعفه، فإنّه معارض بشهادة </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وإخباره بتسوية الطائفة بين مراسيلهم ومسانيد غيرهم، فمع التسليم بالمكافأة لا يستلزم ذلك أكثر من سقوط الشهادتين في خصوص مورد التعارض، دون استلزامه القدح بأصل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لو سلّمنا بتمامية المعارض، فإنّ دعوى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تتوقف صحتها على عدم وجود معارض، بل تكون شهادة أحدهم بضعف أحد ممّن روى عنه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كالبطائني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شهادة النجاشي بوثاقة الحسن اللؤلؤي في قبال شهادة الشيخ بضعفه، فإنّه لا يلزم منه إلّا سقوط قوليهما في خصوص مورد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السّادسة من الفصل الثّالث من المعارج حكى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أرسل الراوي الرواية،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ممّن عرف أنّه لا يروي إلّا عن ثقةٍ، قُبلت مطلقاً، وإن لم يكن كذلك، قُبلت بشرط أن لا يكون لها معارض من المسانيد الصحيحة، واحتج لذلك بأنّ الطائفة عملت بالمراسيل عند سلامتها من المعارض، كما عملت بالمسانيد</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سلّمنا ثبوت رواية الثّلاثة عمّن، تسالم الأصحاب على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ادّعى المستدل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الشّق الثاني من عبارة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كذلك قبلت بشرط أن لا يكون لها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ينطبق على الثّلاثة موضوع البحث، وهو ما يتناسب مع طريقة تعامله مع مراسيل الثلاثة، فإنّه يطعن بها عند وجود معارض من الروايات الصحيحة، ويقبلها عند خلوها من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بيانه مفصلاً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فلا يكون الثلاثة موضوع البحث مصاديق لدعوى وجود جماعة لا يروون ولا يرسلون إلّا عن ثقةٍ، فتُقبل مراسيلهم مطلقاً، وإن كانت الدعوى في نفسها سالمةً من الطعن، يصلح أن يكون مصداقاً لها كل من ثبت في حقه أنّه لا يروي ولا يرسل إلا عن ثقة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تقدم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العدّة، وحُكي عنه في المعارج، وجود جماعة عرفوا بأنّهم لا يروون ولا يرسلون إلّا عن ثقة، وذكر أنّ منهم الثلاثة موضوع البحث وغيرهم، ولكن كون منشأ هذه الدعوى هو عبارة الكشي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إلى ذلك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عدم وجودها في كلمات المتقدمين في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هذه الدعوى مجرد اجتهاد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الإجماع المذكور في عبارة الكشي</w:t>
      </w:r>
      <w:r>
        <w:rPr>
          <w:rStyle w:val="FootnoteAnchor"/>
          <w:rtl w:val="true"/>
        </w:rPr>
        <w:footnoteReference w:id="792"/>
      </w:r>
      <w:r>
        <w:rPr>
          <w:rFonts w:ascii="Amiri" w:hAnsi="Amiri" w:eastAsia="Amiri" w:cs="Amiri"/>
          <w:color w:val="111111"/>
          <w:sz w:val="28"/>
          <w:sz w:val="28"/>
          <w:szCs w:val="28"/>
          <w:rtl w:val="true"/>
          <w:lang w:bidi="ar-SA"/>
        </w:rPr>
        <w:t xml:space="preserve">، أو هو غير عبارة الكشي من المصادر الحديثية التي يعترف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بعدم وصول أغلبها إلى المتأخرين، وهو احتمال وارد، خصوصاً وأنّ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الطائفة، ولكن حتى على فرض ترجيح هذا الاحتمال فإنّ وقوع الضعفاء في مرويات الثلاثة، وطعن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في الموارد الثمانية المتقدمة، وتعامله مع مراسيل الثلاثة بنفس طريقة تعامله مع مراسيل غيرهم، وعدم 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مراسيل الثلاثة في الاستدلال إلّا مع انضمامها إلى غيرها من الصحاح، يلزمنا بالقول بقبول مراسيل الثلاثة في حال خلوها عن المعارض، لا أنّها تُقبل مطلقاً، كما حكى ذلك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المعارج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ممّن عرف بأنّه لا يروي إلّا عن ثقةٍ، قبلت مطلقاً</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 xml:space="preserve">بجعل الثلاثة مصاديق لمن لا يروي إلّا عن ثقة؛ لوقوع </w:t>
      </w:r>
    </w:p>
    <w:p>
      <w:pPr>
        <w:pStyle w:val="BookText"/>
        <w:rPr/>
      </w:pPr>
      <w:r>
        <w:rPr>
          <w:rFonts w:ascii="Amiri" w:hAnsi="Amiri" w:eastAsia="Amiri" w:cs="Amiri"/>
          <w:color w:val="111111"/>
          <w:sz w:val="28"/>
          <w:sz w:val="28"/>
          <w:szCs w:val="28"/>
          <w:rtl w:val="true"/>
          <w:lang w:bidi="ar-SA"/>
        </w:rPr>
        <w:t xml:space="preserve">الضعفاء في مروياتهم، كما تقدم، وطعن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في الموارد الثمانية فيها بالإرسال في مقام تعارضها مع الروايات الصحيحة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إلّا أن يلتزم بعدم إمكانية الاستناد إلى ما ذكر في التهذيبين، من الطعن برواياتهم بالإرسال، والاعتماد على ما صرّح به في العدّة من أنّهم لا يرسلون إلّا عن ثقة، اعتماداً على ما نقلناه سابقاً عن سيدنا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بيان وجه تأمل سيد أساتذتنا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النقض بالالتزام بحجّية مراسيلهم اعتماداً على كلام الشيخ نفسه في العدّة من أنّهم لا يروون ولا يرسلون إلّا عن ثقةٍ</w:t>
      </w:r>
      <w:r>
        <w:rPr>
          <w:rStyle w:val="FootnoteAnchor"/>
          <w:rtl w:val="true"/>
        </w:rPr>
        <w:footnoteReference w:id="794"/>
      </w:r>
      <w:r>
        <w:rPr>
          <w:rFonts w:ascii="IRNazanin" w:hAnsi="IRNazanin" w:eastAsia="IRNazanin"/>
          <w:color w:val="111111"/>
          <w:sz w:val="28"/>
          <w:sz w:val="28"/>
          <w:szCs w:val="28"/>
          <w:rtl w:val="true"/>
          <w:lang w:bidi="fa-IR"/>
        </w:rPr>
        <w:t xml:space="preserve">، ولعلّ السبب في ذلك ما ذكره سيدنا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القبسات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شرع في تأليف التهذيب في حياة أستاذه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المتوفى عام أربعمائة وثلاثة عشر، وله آنذاك أقل من ثمان وعشرين سنة، وقد أكمله بعد وفاة الشيخ المفيد، ثم ألّفَ الاستبصار معتمداً على ما ورد في التهذيب، إلّا بعض الإضافات الطفيفة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كتاب العدّة في أصول الفقه الذي اشتمل على ما تقدّم بشأن ابن أبي عمير وأضرابه، فقد ألّفه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أستاذه الآخر، وهو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عام أربعمائة وستة وثلاثين، كما يقتضيه الترحم عليه في مواضع شتى من هذا الكتاب</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قيد الحياة إلى عام أربعمائة وستين، وعلى ذلك فلا يستغرب أنّه لم يكن حين تأليفه التهذيبين مطّلعاً على ما حكاه من عمل الطائفة بمراسيل ابن أبي عمير وأضرابه، لاسيّما وأنه لم يبقَ مع أستاذه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أقلّ من خمس سنين، وأمّا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المعروف عنه أنّه لم يكن يعمل بأخبار الآحاد، ولذلك لم يكن </w:t>
      </w:r>
    </w:p>
    <w:p>
      <w:pPr>
        <w:pStyle w:val="BookText"/>
        <w:rPr/>
      </w:pPr>
      <w:r>
        <w:rPr>
          <w:rFonts w:ascii="Amiri" w:hAnsi="Amiri" w:eastAsia="Amiri" w:cs="Amiri"/>
          <w:color w:val="111111"/>
          <w:sz w:val="28"/>
          <w:sz w:val="28"/>
          <w:szCs w:val="28"/>
          <w:rtl w:val="true"/>
          <w:lang w:bidi="ar-SA"/>
        </w:rPr>
        <w:t>الأمر المذكور موضع اهتمامه بطبيعة الحال</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الحل بالالتزام بتكفّل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التهذيبين بحل ظاهرة التعارض بين الأخبار، وذلك ممّا ألجأه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إتّباع الأسلوب الإقناعي في البحث، المتمثّل في حمل جملة من الروايات على بعض المحامل البعيدة، أو المناقشة في حجّيتها ببعض الوجوه التي لا تنسجم مع مبانيه الرجالية أو الأصولية المذكورة في سائر كتبه، وهذا ظاهر لمن تتبع طريقته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الكتابين </w:t>
      </w:r>
      <w:r>
        <w:rPr>
          <w:rStyle w:val="FootnoteAnchor"/>
          <w:rtl w:val="true"/>
        </w:rPr>
        <w:footnoteReference w:id="796"/>
      </w:r>
      <w:r>
        <w:rPr>
          <w:rFonts w:ascii="Amiri" w:hAnsi="Amiri" w:eastAsia="Amiri" w:cs="Amiri"/>
          <w:color w:val="111111"/>
          <w:sz w:val="28"/>
          <w:sz w:val="28"/>
          <w:szCs w:val="28"/>
          <w:rtl w:val="true"/>
          <w:lang w:bidi="ar-SA"/>
        </w:rPr>
        <w:t xml:space="preserve">، ويؤيده ما حكاه المحقق في المعارج عن الشيخ نفسه بأنّ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ممّن عرف بأنّه لا يروي إلّا عن ثقة، قبلت مطلقاً</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هذا البيان على الرغم من تماميّته في إثبات اختلاف آراء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 عنها في 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على إثبات عدم كون دعوى الشيخ في العدَّة حدسيَّة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والصلاة على محمد وآله الطيبين الطاهرين المعصومين</w:t>
      </w:r>
      <w:r>
        <w:rPr>
          <w:rFonts w:eastAsia="Amiri" w:cs="Amiri" w:ascii="Amiri" w:hAnsi="Amiri"/>
          <w:color w:val="111111"/>
          <w:sz w:val="28"/>
          <w:szCs w:val="28"/>
          <w:rtl w:val="true"/>
          <w:lang w:bidi="ar-SA"/>
        </w:rPr>
        <w:t xml:space="preserve">. </w:t>
      </w:r>
      <w:bookmarkStart w:id="919" w:name="pg9124_98818"/>
    </w:p>
    <w:p>
      <w:pPr>
        <w:pStyle w:val="Heading3"/>
        <w:numPr>
          <w:ilvl w:val="2"/>
          <w:numId w:val="1"/>
        </w:numPr>
        <w:rPr/>
      </w:pPr>
      <w:bookmarkStart w:id="920" w:name="__RefHeading___Toc2933790_2870459653"/>
      <w:bookmarkStart w:id="921" w:name="_Toc367"/>
      <w:bookmarkEnd w:id="919"/>
      <w:bookmarkEnd w:id="920"/>
      <w:r>
        <w:rPr>
          <w:rtl w:val="true"/>
        </w:rPr>
        <w:t>مصادر البحث</w:t>
      </w:r>
      <w:bookmarkEnd w:id="9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عبد العزيز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آصف المحسني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المسؤول العام للقسم الثقافي في الحركة الإسلامية الأفغانية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في شرح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الوصول إلى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الحلي الحسن بن يوسف بن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المقال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علي الكني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يوسف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الرواشح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 داماد محمّد باقر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البداية في 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الشيخ زين الدين بن علي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عقائد الصدوق أو تصحيح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محمّد بن النعمان العكبري البغدادي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العدّة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بن محمّد اكمل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مجمع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آية الله العظمى السيد علي الحسيني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المؤرخ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قبسات من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أبحاث السيد محمّد رضا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أوّلية محدودة التداول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القناع عن وجوه حجية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أسد الله التستري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نبي الله احمد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رحماني موراس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 ومستنبط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الميرزا حسين النوري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مشرق الشمسين وأكسير السعادتين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 بهاء الدين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الاستانة الرضوية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البحوث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معارج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نجم الدين أبو القاسم جعفر بن الحسن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الاولى</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الشهيد الثاني مع تعليقة سلطان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 في 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نجم الدين أبو القاسم جعفر بن الحسن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 وتفصيل طبقات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القاسم الموسوي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مطابع مركز نشر 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الطبعة 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مقباس الهداية في 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دليل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منتقى الجمان في الأحاديث الصحاح والحسان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الحسن بن زين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نفائس الأصول في شرح 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أحمد بن إدريس الصنهاجي المصري القرافي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 محمد محسن الفيض الكاشاني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 xml:space="preserve">. </w:t>
      </w:r>
      <w:bookmarkStart w:id="922" w:name="pg9124_98821"/>
    </w:p>
    <w:p>
      <w:pPr>
        <w:pStyle w:val="Heading2"/>
        <w:numPr>
          <w:ilvl w:val="1"/>
          <w:numId w:val="1"/>
        </w:numPr>
        <w:rPr/>
      </w:pPr>
      <w:bookmarkStart w:id="923" w:name="__RefHeading___Toc2933792_2870459653"/>
      <w:bookmarkStart w:id="924" w:name="_Toc368"/>
      <w:bookmarkEnd w:id="922"/>
      <w:bookmarkEnd w:id="923"/>
      <w:r>
        <w:rPr>
          <w:rtl w:val="true"/>
        </w:rPr>
        <w:t>تحقيق حال جابر الجعفي</w:t>
      </w:r>
      <w:r>
        <w:rPr>
          <w:rtl w:val="true"/>
        </w:rPr>
        <w:t>(</w:t>
      </w:r>
      <w:r>
        <w:rPr>
          <w:rtl w:val="true"/>
        </w:rPr>
        <w:t>الحلقة الثالثة</w:t>
      </w:r>
      <w:r>
        <w:rPr>
          <w:rtl w:val="true"/>
        </w:rPr>
        <w:t xml:space="preserve">) - </w:t>
      </w:r>
      <w:r>
        <w:rPr>
          <w:rtl w:val="true"/>
        </w:rPr>
        <w:t xml:space="preserve">الشيخ محمَّد الجعفري </w:t>
      </w:r>
      <w:r>
        <w:rPr>
          <w:rtl w:val="true"/>
        </w:rPr>
        <w:t>(</w:t>
      </w:r>
      <w:r>
        <w:rPr>
          <w:rtl w:val="true"/>
        </w:rPr>
        <w:t>دام عزه</w:t>
      </w:r>
      <w:r>
        <w:rPr>
          <w:rtl w:val="true"/>
        </w:rPr>
        <w:t>)</w:t>
      </w:r>
      <w:bookmarkEnd w:id="924"/>
    </w:p>
    <w:p>
      <w:pPr>
        <w:pStyle w:val="Heading3"/>
        <w:numPr>
          <w:ilvl w:val="2"/>
          <w:numId w:val="1"/>
        </w:numPr>
        <w:rPr/>
      </w:pPr>
      <w:bookmarkStart w:id="925" w:name="__RefHeading___Toc2933794_2870459653"/>
      <w:bookmarkStart w:id="926" w:name="_Toc369"/>
      <w:bookmarkEnd w:id="925"/>
      <w:r>
        <w:rPr>
          <w:rtl w:val="true"/>
        </w:rPr>
        <w:t>اشارة</w:t>
      </w:r>
      <w:bookmarkEnd w:id="926"/>
    </w:p>
    <w:p>
      <w:pPr>
        <w:pStyle w:val="BookText"/>
        <w:rPr/>
      </w:pPr>
      <w:r>
        <w:rPr>
          <w:rFonts w:ascii="Amiri" w:hAnsi="Amiri" w:eastAsia="Amiri" w:cs="Amiri"/>
          <w:color w:val="111111"/>
          <w:sz w:val="28"/>
          <w:sz w:val="28"/>
          <w:szCs w:val="28"/>
          <w:rtl w:val="true"/>
          <w:lang w:bidi="ar-SA"/>
        </w:rPr>
        <w:t xml:space="preserve">يعدّ جابر بن يزيد الجعفي من مشاهير علماء الكوفة، وقد تتلمذ على مشاهير علماء الأمصار من التابعين، وأخذ عنه مشاهير العلماء كأبي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المذهب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وسفيان الثوري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تختص معارف جابر بالفقه، بل شملت التفسير وعلوم القرآن الأخرى، والعقائد والفضائل والأخلاق والتاريخ، ومن ثَمَّ ذكر الذهبي في ترجمته أنَّه أحد أوعية العلم، وقد نقل الكشي حكاية في ترجمة يونس بن عبد الرحمن أنَّ علم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إلى أربعة أحدهم جابر بن يزيد الجعفي</w:t>
      </w:r>
      <w:r>
        <w:rPr>
          <w:rFonts w:eastAsia="IRNazanin" w:cs="IRNazanin"/>
          <w:color w:val="111111"/>
          <w:sz w:val="28"/>
          <w:szCs w:val="28"/>
          <w:rtl w:val="true"/>
          <w:lang w:bidi="fa-IR"/>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7" w:name="pg9124_98823"/>
      <w:bookmarkStart w:id="928" w:name="pg9124_98823"/>
      <w:bookmarkEnd w:id="928"/>
    </w:p>
    <w:p>
      <w:pPr>
        <w:pStyle w:val="BookText"/>
        <w:rPr/>
      </w:pPr>
      <w:bookmarkStart w:id="929" w:name="pg9124_98823"/>
      <w:bookmarkEnd w:id="929"/>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كان الكلام في الحلقتين الأوَّليين في جهات حول شخصية التابعي المشهور جابر ابن يزيد الجعفي، وكانت الجهة الأخيرة في العلاقة بين جابر والغلاة، وهي تتضمن محورين،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حول الغلوّ وعلاقة جابر بالغلاة،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وصل الكلام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2933796_2870459653"/>
      <w:bookmarkStart w:id="931" w:name="_Toc370"/>
      <w:bookmarkEnd w:id="930"/>
      <w:r>
        <w:rPr>
          <w:rtl w:val="true"/>
        </w:rPr>
        <w:t>الآثار المنسوبة إلى جابر الجعفي عند الغلاة</w:t>
      </w:r>
      <w:bookmarkEnd w:id="931"/>
    </w:p>
    <w:p>
      <w:pPr>
        <w:pStyle w:val="Heading4"/>
        <w:numPr>
          <w:ilvl w:val="3"/>
          <w:numId w:val="1"/>
        </w:numPr>
        <w:rPr/>
      </w:pPr>
      <w:bookmarkStart w:id="932" w:name="__RefHeading___Toc2933798_2870459653"/>
      <w:bookmarkStart w:id="933" w:name="_Toc371"/>
      <w:bookmarkEnd w:id="932"/>
      <w:r>
        <w:rPr>
          <w:rtl w:val="true"/>
        </w:rPr>
        <w:t>اشارة</w:t>
      </w:r>
      <w:bookmarkEnd w:id="933"/>
    </w:p>
    <w:p>
      <w:pPr>
        <w:pStyle w:val="BookText"/>
        <w:rPr/>
      </w:pPr>
      <w:r>
        <w:rPr>
          <w:rFonts w:ascii="IRNazanin" w:hAnsi="IRNazanin" w:eastAsia="IRNazanin"/>
          <w:color w:val="111111"/>
          <w:sz w:val="28"/>
          <w:sz w:val="28"/>
          <w:szCs w:val="28"/>
          <w:rtl w:val="true"/>
          <w:lang w:bidi="fa-IR"/>
        </w:rPr>
        <w:t xml:space="preserve">إنَّ آثار جابر عند الغلاة لا تنحصر بالضرورة فيما يتضمن غلوّاً واضحاً في شأن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يكون فَهْم هذا الانتماء من جهة أنْ يكون مضمون الرواية من سنخ تلفيقات الغلاة وأسلوب وضعهم، وذلك لأنَّ للغلاة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لبعض الصوفية والفلاسفة الإشراقيين، أو الموصوفين بالعرفان النظري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نمطاً من التلفيق الفكري الخاص ممَّا يعدّونه ضرباً راقياً من المعرفة، كما أنَّ كثيراً من الخوارق التي يروونها هي على نمط خاصّ يغاير المعهود لدى عامّة المسلمين والشيعة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يظهر ذلك جلياً لمن لاحظ رسائلهم التي بقي شيء غير قليل منها محفوظاً في ضمن التراث العلوي منسوباً إلى مشاهير الموصوفين بالغلوّ في علم الرجال لدى الشيعة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يتوقع تسرب جملة من الأخبار التي وضعها أهل الغلوّ والتخليط عن جابر إلى بعض مصنفات الإمامية ممَّا كان طريقه عمرو بن شمر، ويونس بن ظبيان، ومحمَّد بن </w:t>
      </w:r>
    </w:p>
    <w:p>
      <w:pPr>
        <w:pStyle w:val="BookText"/>
        <w:rPr/>
      </w:pPr>
      <w:r>
        <w:rPr>
          <w:rFonts w:ascii="Amiri" w:hAnsi="Amiri" w:eastAsia="Amiri" w:cs="Amiri"/>
          <w:color w:val="111111"/>
          <w:sz w:val="28"/>
          <w:sz w:val="28"/>
          <w:szCs w:val="28"/>
          <w:rtl w:val="true"/>
          <w:lang w:bidi="ar-SA"/>
        </w:rPr>
        <w:t>سنان، وعبد الرحمن بن عبد الله الأصم، ومحمَّد بن الحسن بن شمون، ومحمَّد بن علي أبو سمينة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أمر طبيعي بالالتفات إلى تستر كثير من الغلاة على ما يكون صريحاً في الغلوّ عن عامّة الرواة، بل يكون من الأسرار التي يلقونها إلى خاصتهم، كما نجد أنَّ الخصيبي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الهداية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المتعلّق بالأئمة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الفكر الشيعي العامّ، ولكن من دقّق في حيثياته، أو لاحظ سائر مصنفاته كالرسالة الراستباشية يجده يصرح بتأليه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والالتزام بتناسخ الأرواح، وحليّة المحرمات لأهل المعرفة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نجد الحسن بن شعبة الحرّاني صاحب تحف العقول ألّف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مقتصراً على ما يكون مقبولاً لدى عموم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في مصنفات أخرى له محفوظة لدى العلويين تبنّى بنحو صريح مبادئ الغلاة، ويرى لزوم الحفاظ على الظاهر مع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وينقسم ما يرويه الغلاة عن جابر إلى مجموعتين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ذات مضامين معهودة في التراث الإمامي المعتبر ممَّا يخلو عن شوائب الغلوّ والتخليط</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قد استخرجها الغلاة من كتب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يعدّونها من المؤلفات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عرضوها إمَّا في المصنفات التي ألّفوها لمقام الظاهر، أو وجهوها إلى عقائدهم الباطنة التي يعتبرونها من الأسرار بشيء من التوجيه والتأويل، وربما جعلوا بعضها، لأنَّ نسبة الروايات إلى هؤلاء الذين يغالي فيهم الغلاة أحبّ من نسبتها إلى عامّة الشيعة من أهل الظاهر مثل زرارة، وأبي بصير، وعبد الله بن أبي يعفور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ولعلَّ من جملة المجموعة الأولى ما أورده الحسن بن شعبة في تحف العقول في غرر الروايات الواردة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روايتان عن جابر الجعفي كلتاهما ذات مضامين راقية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حيث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اغتنم من أهل زمانك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حضرتَ لم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غِبتَ لم تُفتَقد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شهدتَ لم تُشاوَر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لم يُقبَل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خَطبتَ لم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وأوصيك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ظُلمتَ فلا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خانوك فلا تَخُن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كُذبتَ فلا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مُدحتَ فلا تفرح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ذُممتَ فلا تجزع</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الوصية لم نعثر عليها في كتب الإمامية، ومضمونها حسن، إلَّا أنَّ بعض تعابيرها أشبه بتعابير العلماء من أسلوب تعبير الروايات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معنيٌ بمجاهدة نفسه ليغلبها على هواها فمرة يقيم أودها ويخالف هواها في محبة الله، ومرة تصرعه نفسه فيتبع هواها فينعشه الله فينتعش، ويقيل الله عثرته فيتذكر، ويفزع إلى التوبة والمخافة فيزداد بصيرة ومعرفة لما زيد فيه من الخوف</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آخر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لجابر حيث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يوماً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والله يا جابر محزوناً مشغول القلب،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حزنك وشغل قلبك، كل هذا على الدنيا؟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جابر، ولكنْ حزن هَمِّ الآخرة، يا جابر من دخل قلبه خالص حقيقة الإيمان شغل عمّا في الدنيا من زينتها، إنَّ زينة زهرة الدنيا إنَّما هو لعب ولهو وإنَّ الدار الآخرة لهي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إنَّ المؤمن لا ينبغي له أنْ يركن ويطمئن إلى زهرة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وأعلم أنَّ أبناء الدنيا هم أهل غفلة وغرور وجهالة وأنَّ </w:t>
      </w:r>
      <w:bookmarkStart w:id="934" w:name="pg9124_98826"/>
    </w:p>
    <w:p>
      <w:pPr>
        <w:pStyle w:val="BookText"/>
        <w:rPr/>
      </w:pPr>
      <w:bookmarkEnd w:id="934"/>
      <w:r>
        <w:rPr>
          <w:rFonts w:ascii="Amiri" w:hAnsi="Amiri" w:eastAsia="Amiri" w:cs="Amiri"/>
          <w:color w:val="111111"/>
          <w:sz w:val="28"/>
          <w:sz w:val="28"/>
          <w:szCs w:val="28"/>
          <w:rtl w:val="true"/>
          <w:lang w:bidi="ar-SA"/>
        </w:rPr>
        <w:t>أبناء الآخرة هم المؤمنون العاملون الزاهدون</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نقلها الكليني بإسناده في الكافي عن محمَّد بن يحيى، عن أحمد بن محمَّد ابن عيسى، عن علي بن الحكم، عن أبي عبد الله المؤمن، عن جابر</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تتضمن الغلوّ والتخليط، أو تكون مريبة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روايات مفردة قصيرة ممَّا يكون اسطراً عدة أو بمقدار 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يسهل تتبعه بملاحظة كتب 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الكتب القديمة للغلاة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ادعائهم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يؤْثَر لديهم عن المفضل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طبقة تلامذة جابر تقريباً وروى عنه حسب أسانيدهم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تضمن غير واحد من الآثار المنسوبة إليه ذكر جابر والرواية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مثالين منها</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2933800_2870459653"/>
      <w:bookmarkStart w:id="936" w:name="_Toc372"/>
      <w:bookmarkEnd w:id="935"/>
      <w:r>
        <w:rPr/>
        <w:t>1</w:t>
      </w:r>
      <w:r>
        <w:rPr>
          <w:rtl w:val="true"/>
        </w:rPr>
        <w:t xml:space="preserve">. </w:t>
      </w:r>
      <w:r>
        <w:rPr>
          <w:rtl w:val="true"/>
        </w:rPr>
        <w:t>كتاب الحجب والأنوار</w:t>
      </w:r>
      <w:bookmarkEnd w:id="93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الكتاب من الكتب المنسوبة إلى المفضل بن عمر، إلَّا أنَّ فيه روايات عن آخرين من معاصريه، أو تلامذته وغيرهم ممّن لم تعهد روايته عنهم، ومنها قطعة عن جابر بعضها سأل هو عنه، وبعضه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روي عن جابر لما سئل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وَالتِّينِ وَالزَّيْتُونِ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إلى الأرض، ثُمَّ رفع رأسه إلى السائل،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أنبئك أنَّ الله خاطب الناس بالتين المأكول والزيتون المعصور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ذلك اسم الحسن والحسين، وطور سنين هي فاطر المقدسة التي ما فيها كدر، وهذا البلد الأمين عنى به مكة ويعلمون أنَّه غير أمين بل يشرب فيه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الإيمان </w:t>
      </w:r>
      <w:bookmarkStart w:id="937" w:name="pg9124_98827"/>
    </w:p>
    <w:p>
      <w:pPr>
        <w:pStyle w:val="BookText"/>
        <w:rPr/>
      </w:pPr>
      <w:bookmarkEnd w:id="937"/>
      <w:r>
        <w:rPr>
          <w:rFonts w:ascii="Amiri" w:hAnsi="Amiri" w:eastAsia="Amiri" w:cs="Amiri"/>
          <w:color w:val="111111"/>
          <w:sz w:val="28"/>
          <w:sz w:val="28"/>
          <w:szCs w:val="28"/>
          <w:rtl w:val="true"/>
          <w:lang w:bidi="ar-SA"/>
        </w:rPr>
        <w:t xml:space="preserve">والأمن حبّ آل محمَّد </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8" w:name="__RefHeading___Toc2933802_2870459653"/>
      <w:bookmarkStart w:id="939" w:name="_Toc373"/>
      <w:bookmarkEnd w:id="938"/>
      <w:r>
        <w:rPr/>
        <w:t>2</w:t>
      </w:r>
      <w:r>
        <w:rPr>
          <w:rtl w:val="true"/>
        </w:rPr>
        <w:t xml:space="preserve">. </w:t>
      </w:r>
      <w:r>
        <w:rPr>
          <w:rtl w:val="true"/>
        </w:rPr>
        <w:t>كتاب الهفت الشريف، أو الأظلة والأشباح</w:t>
      </w:r>
      <w:bookmarkEnd w:id="939"/>
    </w:p>
    <w:p>
      <w:pPr>
        <w:pStyle w:val="BookText"/>
        <w:rPr/>
      </w:pPr>
      <w:r>
        <w:rPr>
          <w:rFonts w:ascii="IRNazanin" w:hAnsi="IRNazanin" w:eastAsia="IRNazanin"/>
          <w:color w:val="111111"/>
          <w:sz w:val="28"/>
          <w:sz w:val="28"/>
          <w:szCs w:val="28"/>
          <w:rtl w:val="true"/>
          <w:lang w:bidi="fa-IR"/>
        </w:rPr>
        <w:t xml:space="preserve">وقد ذكر في مقدمته أنَّ هذا الكتاب عن المفضل بن عمر الجعفي، وهو أصل كل رواية باطنة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لفظ أوَّل الحديث عنه وعن آخرين ذكروا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وجابر الجعفي وكان قد رزقه جعفر العلم رزقاً</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جاء في ضمن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يروى عن جابر عن الباقر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إسحاق هو الحسن، والحسين هو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بما قالوه فالحسين أعظم خطراً من الله أنْ يذبح</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ويتلو ذلك فقرة سأل فيها المفضل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الحسين كيف اشتبه على الناس قتله وذبحه، كما اشتبه على من كان قتلهم في قتل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مطولة هي أشبه بكتاب مستقل، أو رسالة مفردة، أو هي في قوة ذلك، وهذه التي نشير إليها جملة ممَّا عثرنا عليه في كتب 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إلى أنَّ الغلاة يروون عن جابر أشياء لا تصح نسبتها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موضوع</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ينحصر ما أضافته الغلاة إلى جابر على فرقة محددة منهم، بل كلهم اهتموا بأنْ يجعلوا جابراً من جملتهم في الباطن، وينسبوا من طريقه عقائدهم إلى الأئمة من آل </w:t>
      </w:r>
    </w:p>
    <w:p>
      <w:pPr>
        <w:pStyle w:val="BookText"/>
        <w:rPr/>
      </w:pPr>
      <w:r>
        <w:rPr>
          <w:rFonts w:ascii="IRNazanin" w:hAnsi="IRNazanin" w:eastAsia="IRNazanin"/>
          <w:color w:val="111111"/>
          <w:sz w:val="28"/>
          <w:sz w:val="28"/>
          <w:szCs w:val="28"/>
          <w:rtl w:val="true"/>
          <w:lang w:bidi="fa-IR"/>
        </w:rPr>
        <w:t xml:space="preserve">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فمن انقسامات الغلاة البارزة أنَّهم ينقسمون إلى مَن يرى تجلي الله سبحانه وتعالى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ويعتبر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أهل البيت تجليات ثانوية، أو ما يقرب من هذا المعنى، وهؤلاء يعرفون بالمحمَّديّة والميميّة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يرى أنَّ التجلي الأوَّل هو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حجاباً له، وهؤلاء هم الذين عرفوا بالعلويّة والعينيّة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أنَّهم يلتزمون بتجلي الإله أوَّلاً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منهم محمَّد بن نصير النميري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يرى أنَّ التجلي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سيان فهما ندان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هذه الفرق عموماً تسري ما تعتقده من الغلوّ الخاصّ إلى ثلاثة آخرين غير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فالمخمسة على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يضيفون الزهراء والحسن والحسين إلى النبي 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وقسم يُخْرِج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الخمسة باعتباره تجلياً محضاً للذات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اعتقاد العلويين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فيجعل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الثالث للإمام أمير المؤمنين الذي أسقطته الزهراء –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وعلى هذا تجري النصيرية في دستورها وسائر كتبها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هؤلاء مَن يعترف بإمامة آخرين من الأئمّة، أو يغلو فيهم، ولكنَّه لا يجعلهم في مصاف هؤلاء الخمسة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أغلب هذه الفرق تغلو في أئمة يعتقدون بهم بعد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كثير منهم لا يبلغ بهم درجة الخمسة، وهؤلاء منهم مسبعة واثنا عشرية</w:t>
      </w:r>
      <w:r>
        <w:rPr>
          <w:rFonts w:eastAsia="IRNazanin" w:cs="IRNazanin"/>
          <w:color w:val="111111"/>
          <w:sz w:val="28"/>
          <w:szCs w:val="28"/>
          <w:rtl w:val="true"/>
          <w:lang w:bidi="fa-IR"/>
        </w:rPr>
        <w:t xml:space="preserve">. </w:t>
      </w:r>
      <w:bookmarkStart w:id="940" w:name="pg9124_98829"/>
    </w:p>
    <w:p>
      <w:pPr>
        <w:pStyle w:val="BookText"/>
        <w:rPr/>
      </w:pPr>
      <w:bookmarkEnd w:id="940"/>
      <w:r>
        <w:rPr>
          <w:rFonts w:ascii="Amiri" w:hAnsi="Amiri" w:eastAsia="Amiri" w:cs="Amiri"/>
          <w:color w:val="111111"/>
          <w:sz w:val="28"/>
          <w:sz w:val="28"/>
          <w:szCs w:val="28"/>
          <w:rtl w:val="true"/>
          <w:lang w:bidi="ar-SA"/>
        </w:rPr>
        <w:t>فالمسبعة يضيفون الأئمة حتى الصادق وابنه إسماعيل إلى هؤلاء، ومنهم فريق من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هؤلاء من يلتزم بإمامة أئمة آخرين وهم باقي أئمة الاثني عشرية، أو غيرهم كأولاد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تعتقد فرقة من الإسماعيلية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لا يرفعون الباقي إلى مصاف الأئمة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والاثنا عشرية يجعلون باقي الأئمة الاثني عشر على حدّ أصحاب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ويجمع كثير من الغلاة بين اعتبار امتياز للخمسة وبين اعتبار امتياز لباقي الأئمة السبعة، واعتبار امتياز أدنى لسائر الأئمة الذين يعتقدون بهم، ومن ثَمَّ يهتمون في آن واحد بعدد الخمسة والسبعة والاثني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الفرق كلها اهتمت بالرواية عن جابر وإسناد اعتقاداتهم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طريقه، وهذا الاهتمام بطبيعة الحال كان تدريجياً يأخذ سيراً صعودياً إلى تدوين مجموعة كاملة تمثّل أفكار الغلاة، ثُمَّ يأخذ منحى نزولياً ويتوقف عند استقرار التراث الروائي للغلاة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ويجد الباحث بتتبع ما روي عن جابر ما يناسب هذه الاعتقادات كلّها</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2933804_2870459653"/>
      <w:bookmarkStart w:id="942" w:name="_Toc374"/>
      <w:bookmarkEnd w:id="941"/>
      <w:r>
        <w:rPr>
          <w:rtl w:val="true"/>
        </w:rPr>
        <w:t>ولنمرّ على آثار جابر التي عثرنا عليها عند الغلاة</w:t>
      </w:r>
      <w:bookmarkEnd w:id="942"/>
    </w:p>
    <w:p>
      <w:pPr>
        <w:pStyle w:val="Heading4"/>
        <w:numPr>
          <w:ilvl w:val="3"/>
          <w:numId w:val="1"/>
        </w:numPr>
        <w:rPr/>
      </w:pPr>
      <w:bookmarkStart w:id="943" w:name="__RefHeading___Toc2933806_2870459653"/>
      <w:bookmarkStart w:id="944" w:name="_Toc375"/>
      <w:bookmarkEnd w:id="943"/>
      <w:r>
        <w:rPr/>
        <w:t>1</w:t>
      </w:r>
      <w:r>
        <w:rPr>
          <w:rtl w:val="true"/>
        </w:rPr>
        <w:t xml:space="preserve">. </w:t>
      </w:r>
      <w:r>
        <w:rPr>
          <w:rtl w:val="true"/>
        </w:rPr>
        <w:t>أمُّ الكتاب</w:t>
      </w:r>
      <w:bookmarkEnd w:id="944"/>
    </w:p>
    <w:p>
      <w:pPr>
        <w:pStyle w:val="BookText"/>
        <w:rPr/>
      </w:pPr>
      <w:r>
        <w:rPr>
          <w:rFonts w:ascii="Amiri" w:hAnsi="Amiri" w:eastAsia="Amiri" w:cs="Amiri"/>
          <w:color w:val="111111"/>
          <w:sz w:val="28"/>
          <w:sz w:val="28"/>
          <w:szCs w:val="28"/>
          <w:rtl w:val="true"/>
          <w:lang w:bidi="ar-SA"/>
        </w:rPr>
        <w:t>من الآثار التي تضاف إلى جابر كتاب عثر عليه المستشرقون الروس لدى الإسماعيلية في بعض البلاد الإسلامية جنوب روسيا وشمال أفغانستان، وفي الهند مع اختلاف في نسخها</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ونشر إفانوف في عام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كاملاً في دورية الإسلام مع مقدمة مسهبة، وترجم النصّ في عام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الباحث في علم الأديان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 فیلیپاني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الايطالية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الكتاب تتوارثه الطوائف الإسماعيلية في منطقة پامير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هوندوكوش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كراكورام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شهد شمال شرق أفغانستان أرسالات إسماعيلية في القرن الحادي عشر الميلادي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المؤلف الإسماعيلي 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يقيم في تلك الفترة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بعيد عن تشيترال وواخان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كوكچه، إلَّا أنَّ فلادمير إفانوف قد أكدّ في ملاحظاته أنَّ الأمر لا يتعلق بكتاب إسماعيلي؛ وذلك لأنَّ ذكر اسم الزنديق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بالتبجيل مراراً وتكراراً يعكس المذهب الأصلي لفرقة الخطّابية، مع ملاحظة التشابه بين تعاليم النصيرية السورية 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إلهي أو أهل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 عبّر في مقدمة طبعته للنصّ بحذر أكثر؛ إذ إنَّه يفترض أنَّ النصّ يصنّف في عداد المرحلة المبكرة جداً من تطور الشيعة، ومع ذلك يفترض أنَّ الأصل بما أنَّه في مكانٍ ما بالقرب من الإسماعيلية فمن الممكن أنْ يعكس اعتقادات أحد فروع القرامطة بالقرب من خليج فارس، حيث إنَّه يجب أنْ يكون قد 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رأى إفانوف في الملاحظات أنَّ جنوب ما بين النهرين هو الوطن المحتمل للنصّ أيضاً، مستنداً قبل كل شيء على الأفق الجغرافي الذي يظهره الكتاب، واستدل إفانوف على زمن تصنيف النصّ من خلال ذكر إمبراطورية الخزر في جنوب روسيا وأرّخه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أبعد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قصير للإسماعيلية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النشوء إلى القرن الثاني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حجّته على ذلك أنَّه لم يتم ذكر مدينة بغداد المبنية عام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م بأيّ كلمة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فیلیپاني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رونكوني فهو يخمّن أنَّ أصل الكتاب يعود إلى ما قبل الإسلام، ويفترض وجود مذهب فارسي ذي أصل مانوي مجوسي لأصل الكتاب متوسط ما بين غنوصية يُرجّح أنْ يكون أصلها سورياً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تقنية سوتريولوجية تنتسب إلى شيفا الآلهة الهندية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ويرتب على هذا أنَّ هذه الفرقة أسلمت بتأثير من الغلوّ الكوفي إسلاماً سطحياً، ثم قادت هذه الأسلمة إلى تقارب ما بين المذهبين الأصليين من جهة وبين المذهب الخطّابي، وتكون التبعية الشكلية للإسماعيلية قد تمت في عهد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قيام الفرقة المانوية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البوذية في شرق إيران قبل الإسلام، ثم أسلمة عن طريق زنادقة كوفيين فارين، ومن بعد ذلك التأقلم مع المذهب الإسماعيلي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فیلیپاني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رونكوني يعتبر مجرد ذكر أبي الخطّاب المتكرر لا يكفي لوصف الكتاب كلّه بصفة الخطّابية، ولاسيّما أنَّ تعاليم أبي الخطّاب تمحورت في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يتصدر نصّنا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فهو يعقد صلة ما بين طبقة الشيعة الغلاة والمغيرة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فإن إِس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أعرب في مراجعته لترجمة فیلیپاني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رونكوني عن شكّه في تركيب الأفكار المعقّد هذا، وممّا يدل على أنَّ النصّ نقل عن العربية ليس فقط بقاء العديد من المصطلحات العربية في السياق الفارسي التي يستدل عليها في آداب الغلاة العرب، بل وقبل كل شيء من موقع النصّ أُسيء فَهْم الحرف الثّالث من الأبجدية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أنَّ ما فُهِم منه فَهْماً مغلوطاً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 نقله إلى الفارسية بصورة مغلوطة لا مدلول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ماديلونغ </w:t>
      </w:r>
      <w:r>
        <w:rPr>
          <w:rFonts w:eastAsia="Times New Roman" w:cs="Times New Roman" w:ascii="Times New Roman" w:hAnsi="Times New Roman"/>
          <w:color w:val="111111"/>
          <w:sz w:val="28"/>
          <w:szCs w:val="28"/>
          <w:lang w:val="en-US" w:bidi="en-US"/>
        </w:rPr>
        <w:t>W.Madelung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فهو أيّد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فإن إِس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مراجعته للترجمة أنَّ هذا الكتاب بجملة تعاليمه ومصطلحاته مرتبط ارتباطاً وثيقاً مع آراء الغلاة الشيعة، ولاسيّما آراء النصيريين وكتاب الأظلة الذي يتناقلونه، ولا حاجة إلى الرجوع إلى قرائن 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بوذية، إذ ينقص لذلك مصطلحات أصلية من ذلك الوسط نقصاناً تاماً، في حين يُظهِر قاموس الغلاة الكوفيين المعروف على كل وفرته أنَّ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أجزائه القديمة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نتاج للغلاة الكوفيين واضح الدلالة وضوحاً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يريد تحديد نشوء الكتاب قبل بداية 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 الميلادي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تقسيم الكتاب من حيث محتواه إلى أربعة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العنوان والمقدمة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الطرفة المدرسية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يعلن في ربيعه الخامس عن نفسه لمعلمه عبد الله بن سبأ في معجزة تجلي أنَّه هو الله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وينتج بذلك سؤال مع جواب مطابق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 جابر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رواية متسلسلة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يكشف الإمام الباقر عن سرّ المعرفة، خاموس الخالق، خشوع أمير الأرواح سلمان، تكبّر العدو عزرائيل، خلق قبب السموات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الأرض من خلال ملائكة الكواكب السبعة، هبوط الأرواح النورانية المرتابة على الأرض وانتقالها الفردوسي في أجساد نورانية، تضليلها بالجنس، وظلامها الذي عقب ذلك إلى أظلة وتكثيفها في أبدان من لحم 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وتنتهي الرواية برجاء الأرواح المحبوسة في الأبدان كي تخلص للنجاة وبوعد الله لها أنْ تعاد بشروط عيّنة إلى ملكوت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والارتباط بين الفصل الثاني والثالث غير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والفصل الرابع وهو الجزء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يتكون من عدد من الأسئلة لا علاقة لبعضها ببعض آخر موجهة للإمام حول كل المسائل الممكنة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هذا الفصل بوضوح أنَّه مضاف لاحقاً من مصنف ما؛ لأنَّ الأحاديث التي جمعت فيه تنقصها الصلة الداخلية المتينة مع الفصل الثالث نقصاناً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الغنوصية في الإسلام لهاينس هالم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منشورات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الباش</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وكان الكتاب باللغة الفارسية، إلَّا أنَّ الظاهر أنَّ أصله كان عربياً لقرائن عديدة فيه مثل استخدام المصطلحات العربية، ويمثّل الكتاب مذهب المخمسة المغالين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والأربعة من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جمعهم في الكساء، كما ذكر فيه تجليل أبي الخطّاب الغالي، ولا أثر فيه من ذكر سائر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الباقر، ولا للغلاة بعد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أبي الخطّاب الذي عاش في عصر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صلة واضحة له بالمذهب الإسماعيلي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هناك طائفة غالية من الإسماعيلية، ولا يبعد أنَّها كانت دخيلة في حفظ آثار الغلاة في الأئمة الذين يعترفون بهم وأصحابهم، بل مشاركتهم في توليد مثل هذه الآثار وإنْ كان اقتباساً من آثار الغلاة اللاحقين من سائر الفرق الذين طوّروا النظريات الغالية في الأزمنة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ينبّه على ذلك خلو آثار الغلاة اللاحقين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 بمقدار معتد به في تراث 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نقل أو إشارة إلى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مضامين متشابهة ومنهج متقارب بين هذا الكتاب وبين تلك الآثار، إلَّا أنَّ هذا المقدار لا يكفي في البناء على استمداد تلك الآثار من هذا الكتاب، بل الأقرب أنْ يكون هذا الكتاب نحو استمداد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حال فإنَّ هذا الكتاب ليس من تراث العلويين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النصيرية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يناسب عقائد المخمسة، لأنَّ العلويين وإنْ كانوا يحافظون على تميّز أصحاب الكساء بالنورانية الخاصة، إلَّا أنَّهم لا يجعلون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لرفعه إلى مصاف الإلوهية ويضيفون بدلاً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السقط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تضمن هذا الكتاب وفق تصنيف لمضامينه ثلاث عشرة فقرة نشير إلى ستة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البسملة، وجاء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جابر الجعفي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ما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المكتوبة في بداية سور القرآن والتي يقولها كل من يشرع بعمل ما والتي يعتبرها الكل عزيزة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تعني تلك السبع والاثني عشر اللواتي جعلهن الملك تعالى 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القرآن قصر، الباء والسين والميم والنقطة تحت الباء تعني أربعة ملائكة يسمون باللسان البشري سلمان والمقداد وأبا ذر وعمار</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جاء فيه صفة الباري واقترانه بالأنوار الخمسة القديمة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جابر الجعفي ومسح بيده على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هل الخالق في السماء أم على الأرض؟ كيف هو ومن أيّ نوع؟ كيف وصفه وصفته وكيف وُجِدَ؟ مَنْ ماذا طلع وماذا خرج منه؟ فقال باقر العلم علينا منه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فكتبه باقر العلم علينا منه السلام على لوح وسلّمه لجابر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وخالقنا جلَّ جلاله هو في السماء وعلى الأرض، وقبل أنْ يكون هناك سماء وأرض أو أي مخلوق موجوداً، كان هناك خمسة أنوار قديمة ذات خمسة ألوان كمثل قوس قزح يخرج من أشعتها شيء مثل شمس في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الأنوار الخمسة هي من يسميهم البشر محمَّداً وعلياً وفاطمة والحسن والحسين فهم خرجوا من اللاشيء</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ناكرو النعوت الإلهية</w:t>
      </w:r>
      <w:r>
        <w:rPr>
          <w:rStyle w:val="FootnoteAnchor"/>
          <w:rtl w:val="true"/>
        </w:rPr>
        <w:footnoteReference w:id="8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معنى أنَّ الخلائق المنكوسة تقول إنَّ الله لا يصف ذاته بصفة وليس له صفات؟ فأجاب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 هذه كلمة سخط الله، فالملك تعالى قريب ويسمى عن كثب؛ لأنَّه لم يقبل بعبادة إبليس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 تعالى هو تلك الروح التي في الإلوهية والنورانة الشمس التي أصلها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 من ديوان إلى ديوان نور بنور نزولاً إلى مقعد دماغ المؤمنين الإلهي مثل حبل أو 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السماوية السبع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جعفر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إذا لم يبدُ لك الأمر صعباً جداً فأوضح واشرح لعبدك هذا صفة وشرح وعظمة الديوانات الإلوهية والأنوار التي تتوالى من ديوان إلى ديوان</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الجواب ذكر ديوانات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بيضاء جوارحه الأسماء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تحته ديوان غاية الغايات فيه الحجاب الياقوتي الأحمر، فيه مائة وأربعة وعشرون ألف ضوء بألوان مختلفة كمثل قوس 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هذا الحجاب حجاب آخر لونه لون النار، ويظهر فيه الشخوص الخمسة جبرائيل وميكائيل وإسرافيل وعزرائيل وصورائيل، وظهرت الأنوار المائة وأربعة وعشرون ألف لمرة أخرى من الحجاب الياقوتي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عن سائر الدواوين السبعة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الخلق، وتكبُّر عزرائيل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جابر بن عبد الله الأنصاري ودعا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كيف عمل الملك تعالى الخلق وهذه الديوانات والقصور؟ وممَّا خلق الأرواح؟ وما هو سبب الخلق؟ فقال باقر العلم علينا منه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خلق هذه الديوانات</w:t>
      </w:r>
    </w:p>
    <w:p>
      <w:pPr>
        <w:pStyle w:val="BookText"/>
        <w:rPr/>
      </w:pPr>
      <w:r>
        <w:rPr>
          <w:rFonts w:ascii="Amiri" w:hAnsi="Amiri" w:eastAsia="Amiri" w:cs="Amiri"/>
          <w:color w:val="111111"/>
          <w:sz w:val="28"/>
          <w:sz w:val="28"/>
          <w:szCs w:val="28"/>
          <w:rtl w:val="true"/>
          <w:lang w:bidi="ar-SA"/>
        </w:rPr>
        <w:t>صعب، وليس كل طالب يستطيع لهذا العلم سبيلاً، الأمان الأمان كم مستور هذا السرّ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مخلوقاتي أكثر عدداً من مخلوقاتك، لقد خلقت أرواحاً بعشر أضعاف ما خلقت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يمكنك أنْ تدعي الإلوهية؟</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المنازل الخمس تقرّ بالله خالقاً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شيخ هذه المنازل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وأدركه مقداد الكبير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أنت الله وأنَّ هذا الذي حمد وسبح وسبق هو سلمان القدرة، وهو نبيك الذي سبق وجعل نداءك يصل إلى أذننا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 أبو ذر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 أبو ذر هذه الكلمة عدة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اثنا عشر روحاً يسمون 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فاتجهت ثمانية وعشرون روحاً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طاهرة نقية إلى الملك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المنازل صارت 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الأولى سلمان، والمنزلة الثانية مقداد، والمنزلة الثالثة أبو ذر، والمنزلة الرابعة النقباء، والمنزلة الخامسة النجباء وكانت المنزلة السادسة هي منزلة المعترضين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نماذج من الفقرات الست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يلي عناوين سائر الفقرات الباقية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عصيان عزرائيل وهبوطه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ظهور الملك من جديد، هبوط الكافرين والعصاة</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الأرض</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الإنس والجن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مع الله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إغواء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نشوء الأبدان</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شروط الخلاص من الأبدان</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الكتاب خلاص العالم الأصغر</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ومن المحتمل جداً أنْ يكون ما ورد في هذا الكتاب من ذكر الديوانات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القباب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عبد الله بن مهران لما مرّ من الاهتمام بالقباب النورية فيها، وبناء سائر المعاني في الرسالة عليها</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محمَّد بن عبد الله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الله بن مهران أبو جعفر، الكرخي من أبناء الأعاجم، غالٍ، كذّاب، فاسد المذهب، والحديث مشهور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الممدوحين والمذمومين، كتاب مقتل أبي الخطّاب، كتاب مناقب أبي الخطّاب، كتاب الملاحم، كتاب التبصرة، كتاب القباب، كتاب النوادر، وهو أقرب كتبه إلى الحق، والباقي تخليط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نوح، أخبرنا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البرقي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ascii="Amiri" w:hAnsi="Amiri" w:eastAsia="Amiri" w:cs="Amiri"/>
          <w:color w:val="111111"/>
          <w:sz w:val="28"/>
          <w:sz w:val="28"/>
          <w:szCs w:val="28"/>
          <w:rtl w:val="true"/>
          <w:lang w:bidi="ar-SA"/>
        </w:rPr>
        <w:t>، والشيخ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الوليد ومن تبعه كابن بابويه وابن نوح استثنوا من روايات نوادر الحكمة ما رواه عدة رجال، منها ما يرويه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مسعود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متهم، وهو 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 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الكرخي، يرمى بالغلوّ،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الغضائري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الكَرْخيُّ،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 ضَعِيْفٌ،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في المَمْدُوحين والمَذْمُومين يَدُلُّ على خُبْثِهِ وكِذْبِهِ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ابن مهران من الغلاة المخمسة كما يجري عليه هذا الكتاب، قال الشيخ في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أبو نصر هبة الله بن محمَّد بن أحمد الكاتب ابن بنت أم كلثوم بنت أبي جعفر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دلف محمَّد بن مظفر الكاتب كان في ابتداء أمره مخمساً مشهوراً بذلك؛ لأنَّه كان تربية الكرخيين وتلميذهم وصنيعتهم، وكان الكرخيون مخمسة لا يشك في ذلك أحد من الشيعة، وقد كان أبو دلف يقول ذلك ويعترف 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نقلني سيدنا الشيخ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ونوّر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مذهب أبي جعفر الكرخي إلى المذهب الصحيح، يعني أبا بكر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جعفر الكرخي هو محمَّد بن عبد الله بن مهران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تتبع أحاديث محمَّد بن عبد الله بن مهران المروية عنه دالة على وضعه للحديث حتى في غير المعارف، فطالما تُلُقيَ ما رواه غريباً وأوجب إشكالاً من قبيل حديثه الذي روى فيه عشرين خصلة للمؤمن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لاحظ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في حبّ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خصلة</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قبيل رواية غريبة موافقة لرواية أخرى واهية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ما رواه في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بن مهران، عن عامر بن السمط،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أنَّ من زنى بأخته يضرب بالسيف، فإنْ لم يمت يحبس أبداً حتى يموت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لاحظ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وهما مخالفتان لسائر الأخبار التي يستفاد منها أنَّ حدّه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رواها الكشّي في مدح رجال الغلاة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رجال يغالي فيهم الغلاة، أوإهانة رجال من أهل الفقه والحديث مثل يعقوب 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القباب في أحاديث الغلاة والضعفاء على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القباب النورانية، كما ورد في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القباب المسكونة من بشر ليسوا من نسل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والأحاديث الضعيفة التي وضعها الغلاة في هذا الباب كثيرة جُمع جملة منها في بابٍ في بصائر الدرجات، وقد جاء استعمال لفظ القبة تعبيراً عنها في غير واحد منها، وقد جاء في روضة الكافي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القباب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الوشاء، عن عبد الله بن سنان،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وأنا عنده ونظر إلى السماء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حمزة هذه قبة أبينا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عن أحمد بن محمَّد، عن أبي يحيى الواسطي، عن عجلان أبي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هذه قبة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ولله قباب كثيرة، إلَّا أنَّ خلف مغربكم هذا تسعة وثلاثون مغرباً أرضاً بيضاء مملوة خلقاً يستضيئون بنوره لم يعصوا الله عزَّ وجلَّ طرفة عين ما يدرون خلق آدم أم لم يخلق، يبرؤون من فلان وفلان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الحديث رواه في بصائر الدرجات طوراً بهذا الإسناد بعينه ولكن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درست عن عجلان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هارون عن أبي يحيى الواسطي عن سهل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والصواب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في الكافي، 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أبي يحيى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لا يدرون أخلق الله آدم أم لم يخلقه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باللعنة والبراءة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أمر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الحسن بن سليمان من بصائر سعد بن عبد الله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الأوَّل المتقدّم صحيح الإسناد، ولكن من المحتمل أنْ يكون من دسّ الغلاة في كتب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قباب نورية، هي مساكن للمؤمنين في الجنة، وهو قد يرد في أحاديث غير الغلاة أيضاً، ولكنها في رواياتهم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ابتداءً أنْ يكون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من المعاني الثلاثة، إلَّا أنَّه قد يرجح احتمال أنْ يكون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القباب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تمثل حقيقة الكون وباطنه العامّ في منظور الغلاة، وليس جزئية من جزئيات الكون الظاهر كما في المعنى الثّاني، أو الآخرة كما في المعنى الثّالث، بل لعلّ المعنى الثالث لا يناسب عقائد جمع من الغلاة القائلين بالأكوار والأدوار دون جنة أو 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كتاب التوحيد للمفضّل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الثاني</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مدبّر الأدوار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مصدر بمعنى الحركة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ومعيد الأكوار، طبقاً عن طبق، وعالماً بعد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المجلسي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الأكوار جمع كور بالفتح، وهو الجماعة الكثيرة من الإبل والقطيع من الغنم،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دور 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إمَّا استيناف قرن بعد قرن وزمان بعد زمان،</w:t>
      </w:r>
    </w:p>
    <w:p>
      <w:pPr>
        <w:pStyle w:val="BookText"/>
        <w:rPr/>
      </w:pPr>
      <w:r>
        <w:rPr>
          <w:rFonts w:ascii="Amiri" w:hAnsi="Amiri" w:eastAsia="Amiri" w:cs="Amiri"/>
          <w:color w:val="111111"/>
          <w:sz w:val="28"/>
          <w:sz w:val="28"/>
          <w:szCs w:val="28"/>
          <w:rtl w:val="true"/>
          <w:lang w:bidi="ar-SA"/>
        </w:rPr>
        <w:t>أو إعادة أهل الأكوار والأدوار جميعاً في القيامة، والأوَّل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وللغلاة اهتمام كبير بتصوير باطن العالم أنواراً عظيمة، ومن أصول مصنفاتهم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الحجب والأنوار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يوجد في التراث العلوي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سلسلة التراث العلوي</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ألّف غير واحد من الغلاة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كمحمَّد بن علي الشلمغاني، وكأنَّ بهذه المناسبة سُئِلَ الأئمة المتأخرون الذين أزداد الغلوّ في زمانهم عن آية النور، فأجابوا بأنَّ المراد به أنَّه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 لأهل السماء، وهادٍ لأهل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الكليني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 الطبرسي في الاحتجاج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سئل عنه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الملحوظ ذكر أبي الخطّاب في الكتاب على الرغم من أنَّ الكتاب رواية عن جابر، وجعفر الجعفي، حيث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باقر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بشّر أبو الخطّاب وحده علناً بهذا النور وهذا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العرب والعجم، كونوا شهدائي أنَّه لا إله في الثمانية عشر ألف عالم إلَّا علي بن أبي طالب، حتى أمر مولانا، جدي، بقتل أبي الخطّاب وحرقه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مستنيرون، لو لم يَقتل جدُنا أبا الخطّاب ولم يحرقه فكان سيقول ما يجب أنْ يقال بعد تسع مائة وأربعين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الغنصوية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فقرأ جابر اللوح وسقط على الأرض وخرّ ساجداً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به سبوح قدوس، قدوس سبوح محمَّد وعلي ربّ الملائكة والروح، محمَّد والمصطفى وواليه السلسل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اسم مستعار يعبّر به الغلاة عن سلمان، وأيضاً يعبرون عنه بالسلسبيل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يناسب اهتمام ابن مهران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الغلاة وتأليفه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المتوقع في شأن محمَّد بن عبد الله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الغلاة الوضّاعين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يروي عن جابر روايات يختصّ بها، ولعل من جملتها روايته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 إليها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رواها الصدوق في الخصال عن أبيه، عن سعد بن عبد الله، عن أحمد بن أبي عبد الله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 الله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الحسين بن عبيد الله اليشكري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المثنى الحضرمي، عن عثمان بن زيد، عن جابر بن يزيد،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للمؤمن على الله عزَّ وجلَّ عشرون خصلة يفي له بها، على الله تبارك وتعالى أنْ لا يفتنه ولا يضله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في حبّ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خصلة</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الرواية من المعضلات لمخالفتها لسائر الأخبار في ابتلاءات المؤمن في 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عقد المحدِّث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المعدود من جملة المحدِّثين الذين عرفوا بسعة مذاقهم في قبول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الفوائد الطوسية فائدة في حلّها، على أنَّه ذكر من جملة وجوه الحلّ كون ابن مهران غالياً كذاباً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 الفوائد الطوسية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أنَّ من المحتمل القريب لمن وقف على أفكار الغلاة وتلفيقاتهم أنْ تكون هذه الرواية من جملتها في مقام العناية بمزايا المؤمن الذي يُطلق عندهم على من كان على المعرفة التي يعتقدون بها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هذا، وقد ظن بعض المستشرقين</w:t>
      </w:r>
      <w:r>
        <w:rPr>
          <w:rStyle w:val="FootnoteAnchor"/>
          <w:rtl w:val="true"/>
        </w:rPr>
        <w:footnoteReference w:id="819"/>
      </w:r>
      <w:r>
        <w:rPr>
          <w:rFonts w:ascii="Amiri" w:hAnsi="Amiri" w:eastAsia="Amiri" w:cs="Amiri"/>
          <w:color w:val="111111"/>
          <w:sz w:val="28"/>
          <w:sz w:val="28"/>
          <w:szCs w:val="28"/>
          <w:rtl w:val="true"/>
          <w:lang w:bidi="ar-SA"/>
        </w:rPr>
        <w:t>أنَّ هذا الكتاب يمثّل في أصله حقيقة تاريخية تتصل بزمان جابر، وهي تتضمن سنخ الأفكار الواردة في الرسائل التي تنسب إلى المفضّل فيصلح أساساً لها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الواقع أنَّه لا دليل تاريخي على تعلّق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أصلها الخالي عن الزيادات الطارئة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يقرب من تلك الأزمنة، فضلاً عن أنْ يكون قد نشأ في ذلك الزمان، فإنَّ من المتعارف لدى الغلاة جعل قصص وأحاديث على لسان السابقين، </w:t>
      </w:r>
      <w:bookmarkStart w:id="945" w:name="pg9124_98842"/>
    </w:p>
    <w:p>
      <w:pPr>
        <w:pStyle w:val="BookText"/>
        <w:rPr/>
      </w:pPr>
      <w:bookmarkEnd w:id="945"/>
      <w:r>
        <w:rPr>
          <w:rFonts w:ascii="Amiri" w:hAnsi="Amiri" w:eastAsia="Amiri" w:cs="Amiri"/>
          <w:color w:val="111111"/>
          <w:sz w:val="28"/>
          <w:sz w:val="28"/>
          <w:szCs w:val="28"/>
          <w:rtl w:val="true"/>
          <w:lang w:bidi="ar-SA"/>
        </w:rPr>
        <w:t>وأسلوب إنشاء هذه الرسالة يتعلّق بالقرن الثالث الهجري أو ما بعده، إذ النُسخ التي عثر عليها منها مؤرخة بتواريخ متأخرة جداً، كما مرّ بيان ذلك في الهامش آنفاً</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2933808_2870459653"/>
      <w:bookmarkStart w:id="947" w:name="_Toc376"/>
      <w:bookmarkEnd w:id="946"/>
      <w:r>
        <w:rPr/>
        <w:t>2</w:t>
      </w:r>
      <w:r>
        <w:rPr>
          <w:rtl w:val="true"/>
        </w:rPr>
        <w:t xml:space="preserve">. </w:t>
      </w:r>
      <w:r>
        <w:rPr>
          <w:rtl w:val="true"/>
        </w:rPr>
        <w:t>كتاب شرح السبعين الذين لا ينجبون ونعت نعوتهم وصفاتهم وأجناسهم وصنائعهم، وما كشفه العالم منه السلام وآبائه وحذّر منه</w:t>
      </w:r>
      <w:bookmarkEnd w:id="947"/>
    </w:p>
    <w:p>
      <w:pPr>
        <w:pStyle w:val="BookText"/>
        <w:rPr/>
      </w:pPr>
      <w:r>
        <w:rPr>
          <w:rFonts w:ascii="IRNazanin" w:hAnsi="IRNazanin" w:eastAsia="IRNazanin"/>
          <w:color w:val="111111"/>
          <w:sz w:val="28"/>
          <w:sz w:val="28"/>
          <w:szCs w:val="28"/>
          <w:rtl w:val="true"/>
          <w:lang w:bidi="fa-IR"/>
        </w:rPr>
        <w:t xml:space="preserve">وهي رواية ينسب نقلها إلى أبي سعيد ميمون الطبراني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حوالي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حكاية عن جابر في زيارته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الأضحى وإسنادها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أبو علي البصري بشيراز في منزله بشارع البرامكة في ذي القعدة سنة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المسيب سنان بن المسيب البازلي،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جعفر محمَّد بن سليمان الطالقاني بطالقان سنة أربعين ومائتين،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ميثم بن الحارث القرشي بمكة في شعب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إسماعيل بن سليمان العلّاف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ماهان الإبلي، 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غدوت يوم الأضحى إلى سيدي ومولاي جعفر بن محمَّد لأهنئه، فلما أَذِنَ لي دخلت عليه فوجدت عنده جميع من كان بالكوفة ممّن يتولاه بحقيقة المعرفة</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وتتضمن هذه الرسالة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عيد الأضحى عيد ذبح الأعداء؛ لأنَّ الذبائح أشخاص خالفوا أوامر الله فاستحقوا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أنَّه يقول الذابح إشارة إلى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هذا شخص عَنَدَ عنك وخالف أمرك وجحد ذاتك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تقربت به إليك كما أمرت وقدمته ليكون لي عندك حين اذبحه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وأذيقه بذلك عذابك بيدي</w:t>
      </w:r>
      <w:r>
        <w:rPr>
          <w:rFonts w:eastAsia="Amiri" w:cs="Amiri" w:ascii="Amiri" w:hAnsi="Amiri"/>
          <w:color w:val="111111"/>
          <w:sz w:val="28"/>
          <w:szCs w:val="28"/>
          <w:rtl w:val="true"/>
          <w:lang w:bidi="ar-SA"/>
        </w:rPr>
        <w:t xml:space="preserve">...). </w:t>
      </w:r>
      <w:bookmarkStart w:id="948" w:name="pg9124_98843"/>
    </w:p>
    <w:p>
      <w:pPr>
        <w:pStyle w:val="BookText"/>
        <w:rPr/>
      </w:pPr>
      <w:bookmarkEnd w:id="948"/>
      <w:r>
        <w:rPr>
          <w:rFonts w:ascii="IRNazanin" w:hAnsi="IRNazanin" w:eastAsia="IRNazanin"/>
          <w:color w:val="111111"/>
          <w:sz w:val="28"/>
          <w:sz w:val="28"/>
          <w:szCs w:val="28"/>
          <w:rtl w:val="true"/>
          <w:lang w:bidi="fa-IR"/>
        </w:rPr>
        <w:t xml:space="preserve">ثُمَّ جاء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جابراً ومن معه شفرات وأمرهم أنْ يدخلوا المخدع كان فيه شياه، لكن كل واحد استخرج منه شاة فأمرهم بذبحها مع تكرار المضمون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أعلمهم أنَّ ما ذبحوه شهود الزور يوم الحوأب مع ذكر أسمائهم وأسماء قبائلهم</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أنَّه جرى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أصحابه مثل ذلك فذكر نعوت الممسوخين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المجذوم، والموضح بالبرص، والأرقط بسواد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أربعين نعتاً من الأجناس الترك والزنج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ستة عشر جنساً، ومن الصنائع البيطار والقصاب والشروطي إلى آخر أربعة عشر صنفاً، فاكتمل السبعون إلى آخر ما جاء في الرسالة</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9" w:name="__RefHeading___Toc2933810_2870459653"/>
      <w:bookmarkStart w:id="950" w:name="_Toc377"/>
      <w:bookmarkEnd w:id="949"/>
      <w:r>
        <w:rPr/>
        <w:t>3</w:t>
      </w:r>
      <w:r>
        <w:rPr>
          <w:rtl w:val="true"/>
        </w:rPr>
        <w:t xml:space="preserve">. </w:t>
      </w:r>
      <w:r>
        <w:rPr>
          <w:rtl w:val="true"/>
        </w:rPr>
        <w:t>كتاب الكرسي والقلب من رواية جابر</w:t>
      </w:r>
      <w:bookmarkEnd w:id="95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محمَّد بن علي الجلي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تلاميذ الخصيبي وخليفته حسبما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حاوي الأسرار فقرة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جابر بن يزيد الجعفي عن أبي جعفر وأبي عبد الله وقد سئل عن الكرسي والقلب ووصف الخلق، وهو كتاب مترجم بكتاب الكرسي والقلب اختصرت منه موضع الحاجة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أركانه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وقدرة، ومشيئة، وإرادة، وأسكن فيها الأرواح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وروح الأمين، وروح ذي المعارج، وروح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تفسير النفحة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طرائق وسبعة صفوف، فالطريق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النفحة، وكل صف قام </w:t>
      </w:r>
      <w:bookmarkStart w:id="951" w:name="pg9124_98844"/>
    </w:p>
    <w:p>
      <w:pPr>
        <w:pStyle w:val="BookText"/>
        <w:rPr/>
      </w:pPr>
      <w:bookmarkEnd w:id="951"/>
      <w:r>
        <w:rPr>
          <w:rFonts w:ascii="Amiri" w:hAnsi="Amiri" w:eastAsia="Amiri" w:cs="Amiri"/>
          <w:color w:val="111111"/>
          <w:sz w:val="28"/>
          <w:sz w:val="28"/>
          <w:szCs w:val="28"/>
          <w:rtl w:val="true"/>
          <w:lang w:bidi="ar-SA"/>
        </w:rPr>
        <w:t>في يوم حتى تمت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الأبالسة والطواغيت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2" w:name="__RefHeading___Toc2933812_2870459653"/>
      <w:bookmarkStart w:id="953" w:name="_Toc378"/>
      <w:bookmarkEnd w:id="952"/>
      <w:r>
        <w:rPr/>
        <w:t>4</w:t>
      </w:r>
      <w:r>
        <w:rPr>
          <w:rtl w:val="true"/>
        </w:rPr>
        <w:t xml:space="preserve">. </w:t>
      </w:r>
      <w:r>
        <w:rPr>
          <w:rtl w:val="true"/>
        </w:rPr>
        <w:t xml:space="preserve">خبر أصحاب العقبة والنقباء من أصحاب النبي </w:t>
      </w:r>
      <w:r>
        <w:rPr>
          <w:rtl w:val="true"/>
        </w:rPr>
        <w:t>(</w:t>
      </w:r>
      <w:r>
        <w:rPr>
          <w:rtl w:val="true"/>
        </w:rPr>
        <w:t>صلی الله علیه و آله و سلم</w:t>
      </w:r>
      <w:r>
        <w:rPr>
          <w:rtl w:val="true"/>
        </w:rPr>
        <w:t xml:space="preserve">) </w:t>
      </w:r>
      <w:r>
        <w:rPr>
          <w:rtl w:val="true"/>
        </w:rPr>
        <w:t xml:space="preserve">رواه الخصيبي في أحوال النبي </w:t>
      </w:r>
      <w:r>
        <w:rPr>
          <w:rtl w:val="true"/>
        </w:rPr>
        <w:t>(</w:t>
      </w:r>
      <w:r>
        <w:rPr>
          <w:rtl w:val="true"/>
        </w:rPr>
        <w:t>صلی الله علیه و آله و سلم</w:t>
      </w:r>
      <w:r>
        <w:rPr>
          <w:rtl w:val="true"/>
        </w:rPr>
        <w:t>)</w:t>
      </w:r>
      <w:bookmarkEnd w:id="95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أبو الحسين 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 الله بن زيد، عن الحسين بن موسى، عن أبيه موسى بن جعفر، عن أبيه جعفر بن محمَّد الصادق، عن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جعفر لجابر بن يزيد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إنَّ نفراً من شيعتنا</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مضمون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العقبة هم أشد لعنة وكفراً وجحداً ونفاقاً لله ولرسوله منذ الذر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جاء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 ناقته العضباء في ليلة شديدة الظلمة فتآمر الاثنا عشر على تنفير ناقته وقتله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ضليلهم وإبليسهم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أوان قتله، لأنَّ هذه العقبة صعبة ولا يرقى فيها الناس إلَّا واحداً بعد واحد لضيق المسلك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يدحرجون الدباب على وجه الناقة فتنفر ويسقط منها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وصلوا إلى العقبة استأذنوا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يتقدموه ليقوه فتقدم عمر وتلاه أبو بكر وطلحة والزبير وتلاهم سعد بن أبي وقاص وتلاه أبو عبيد بن الجراح وخالد بن الوليد والمغيرة بن شعبة وأبو موسى وصاروا في ذروة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bookmarkStart w:id="954" w:name="pg9124_98845"/>
    </w:p>
    <w:p>
      <w:pPr>
        <w:pStyle w:val="BookText"/>
        <w:rPr/>
      </w:pPr>
      <w:bookmarkEnd w:id="954"/>
      <w:r>
        <w:rPr>
          <w:rFonts w:ascii="IRNazanin" w:hAnsi="IRNazanin" w:eastAsia="IRNazanin"/>
          <w:color w:val="111111"/>
          <w:sz w:val="28"/>
          <w:sz w:val="28"/>
          <w:szCs w:val="28"/>
          <w:rtl w:val="true"/>
          <w:lang w:bidi="fa-IR"/>
        </w:rPr>
        <w:t>أحسوا بالناقة في ثلثي العقبة دحرجوا الدباب في وجهها فنزلت ولها دوي كدوي الرعد فنفرت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يتلوه من ورائه في الطريق وتلقته الدباب فأقبل يأخذها برجله فيطحنها واحدة بعد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 عن الناقة في وقت نفورها وأخذ جبرائيل زمام الناقة في العقبة في أغصان دوحة كانت بجانب المسلك في العقبة وسمع للناقة صريخ، والشجرة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عقد خطام ناقتك في أغصاني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الدوحة؟ فقال له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الشجرة قد ولد تحتها أبوك إبراهيم الخليل وهي شجرة الأثل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رجلاً من أصحابه، واختار من السبعين اثني عشر نقيباً بعدد أصحاب الدباب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والنقباء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الهيثم مالك بن التيهان الأشهلي الأنصاري، والبراء بن مغرور الأنصاري، والمنذر بن لوذان، ورافع بن مالك الأنصاري، وأسيد بن حضير، والعباس ابن عبادة بن نضلة الأنصاري، وعبادة بن الصامت النوفلي، وعبد الله بن عمر بن حزام الأنصاري، وسالم بن عمير الخزرجي، وأُبي بن كعب، ورافع بن ورقا، وبلال بن رياح الشنوي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وأعطى حذيفة بن اليمان علم المنايا والبلايا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أعطى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السبعين شيئاً من فضله</w:t>
      </w:r>
      <w:r>
        <w:rPr>
          <w:rFonts w:eastAsia="IRNazanin" w:cs="IRNazanin"/>
          <w:color w:val="111111"/>
          <w:sz w:val="28"/>
          <w:szCs w:val="28"/>
          <w:rtl w:val="true"/>
          <w:lang w:bidi="fa-IR"/>
        </w:rPr>
        <w:t>.</w:t>
      </w:r>
    </w:p>
    <w:p>
      <w:pPr>
        <w:pStyle w:val="Heading4"/>
        <w:numPr>
          <w:ilvl w:val="3"/>
          <w:numId w:val="1"/>
        </w:numPr>
        <w:rPr/>
      </w:pPr>
      <w:bookmarkStart w:id="955" w:name="__RefHeading___Toc2933814_2870459653"/>
      <w:bookmarkStart w:id="956" w:name="_Toc379"/>
      <w:bookmarkEnd w:id="955"/>
      <w:r>
        <w:rPr/>
        <w:t>5</w:t>
      </w:r>
      <w:r>
        <w:rPr>
          <w:rtl w:val="true"/>
        </w:rPr>
        <w:t xml:space="preserve">. </w:t>
      </w:r>
      <w:r>
        <w:rPr>
          <w:rtl w:val="true"/>
        </w:rPr>
        <w:t>خبر الخيط الذي رواه الخصيبي في الهداية، ومحمَّد بن جرير الطبري في نوادر المعجزات</w:t>
      </w:r>
      <w:bookmarkEnd w:id="956"/>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والعلّامة المجلسي في البحار في باب نادر وهو حديث مطوّل في حجم رسالة، وذكر أنَّه وجده في كتاب عتيق لبعض محدثي أصحابنا، وورد أيضاً مرفوعاً في عيون المعجزات للشيخ حسين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عاش في القرن الخامس، وقد رواه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لي الشيخ أبو محمَّد ابن الحسن بن محمَّد بن نصر يرفع الحديث برجاله إلى محمَّد بن جعفر البرسي مرفوعاً إلى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تقريباً نفس إسناد </w:t>
      </w:r>
    </w:p>
    <w:p>
      <w:pPr>
        <w:pStyle w:val="BookText"/>
        <w:rPr/>
      </w:pPr>
      <w:r>
        <w:rPr>
          <w:rFonts w:ascii="Amiri" w:hAnsi="Amiri" w:eastAsia="Amiri" w:cs="Amiri"/>
          <w:color w:val="111111"/>
          <w:sz w:val="28"/>
          <w:sz w:val="28"/>
          <w:szCs w:val="28"/>
          <w:rtl w:val="true"/>
          <w:lang w:bidi="ar-SA"/>
        </w:rPr>
        <w:t>الطبري</w:t>
      </w:r>
      <w:r>
        <w:rPr>
          <w:rStyle w:val="FootnoteAnchor"/>
          <w:rtl w:val="true"/>
        </w:rPr>
        <w:footnoteReference w:id="825"/>
      </w:r>
      <w:r>
        <w:rPr>
          <w:rFonts w:ascii="Amiri" w:hAnsi="Amiri" w:eastAsia="Amiri" w:cs="Amiri"/>
          <w:color w:val="111111"/>
          <w:sz w:val="28"/>
          <w:sz w:val="28"/>
          <w:szCs w:val="28"/>
          <w:rtl w:val="true"/>
          <w:lang w:bidi="ar-SA"/>
        </w:rPr>
        <w:t>، وقد ذكر العلّامة المجلسي أنَّ هذا الكتاب ينسب إلى السيد المرتضى</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حقّقنا هذا الخبر في الحلقة الأولى، وأنَّه من وضع الغلاة فلا نعيد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والواقع أنَّه لا وثوق بشيء ممَّا روي عن جابر من مذاهب الغلاة، فإنَّه ليس للغلاة إسناد حقيقي تاريخي، ولكنَّها انتحال للشخصيات المناسبة ليمثّل ذلك عمقاً تاريخياً للمذهب بما يدفع الشبهة عنه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وسبيلاً إلى إسناد الأفكار إلى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وقد وردت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 يمكن تصحيحه على بعض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بما ينفي عنه الغلوّ، مؤيداً بأخبار من طرق الغلاة والضعفاء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ورد عن جابر في التوحيد ما رواه الكليني عن العدة، عن أحمد بن أبي عبد الله، عن محمَّد بن عيسى، عن يونس بن عبد الرحمن، عن الحسن بن السري، عن جابر ابن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من التوحيد،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تَبَارَكَتْ أَسْمَاؤُه الَّتِي يُدْعَا بِهَا وتَعَالَى فِي عُلُوِّ كُنْهِه وَاحِدٌ تَوَحَّدَ بِالتَّوْحِيدِ فِي تَوَحُّدِه، ثُمَّ أَجْرَاه عَلَى خَلْقِه فَهُوَ وَاحِدٌ صَمَدٌ قُدُّوسٌ يَعْبُدُه كُلُّ شَيْءٍ ويَصْمُدُ إِلَيْه كُلُّ شَيْءٍ ووَسِعَ كُلَّ شَيْءٍ عِلْماً</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ورد عن جابر في نفي الغلوّ في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الحسن بن محبوب، عن أبي حمزة الثمالي، عن جابر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جابر والله لو كنّا نحدِّث الناس أو حدَّثناهم برأينا لكنَّا من الهالكين، ولكنَّا نحدِّثهم بآثار عندنا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يتوارثها كابر عن كابر نكنزها كما يكنز هؤلاء ذهبهم وفضتهم</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ورد عن جابر في المعاد ما رواه الكليني عن علي بن إبراهيم، عن أبيه، ومحمَّد ابن يحيى، عن أحمد بن محمَّد بن عيسى، و عدة من أصحابنا، عن أحمد بن محمَّد بن خالد جميعاً، عن الحسن بن محبوب، عن يعقوب السراج،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أَمَّا بَعْدُ فَإِنَّ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فَالإِيمَانُ مِنْهَاجُه والصَّالِحَاتُ مَنَارُه والْفِقْه مَصَابِيحُه والدُّنْيَا مِضْمَارُه والْمَوْتُ غَايَتُه والْقِيَامَةُ حَلْبَتُه والْجَنَّةُ سُبْقَتُه والنَّارُ نَقِمَتُه والتَّقْوَى عُدَّتُه والْمُحْسِنُونَ فُرْسَانُه، فَبِالإِيمَانِ يُسْتَدَلُّ عَلَى الصَّالِحَاتِ وبِالصَّالِحَاتِ يُعْمَرُ الْفِقْه وبِالْفِقْه يُرْهَبُ الْمَوْتُ وبِالْمَوْتِ تُخْتَمُ الدُّنْيَا وبِالدُّنْيَا تَجُوزُ الْقِيَامَةَ، وبِالْقِيَامَةِ تُزْلَفُ الْجَنَّةُ، والْجَنَّةُ حَسْرَةُ أَهْلِ النَّارِ والنَّارُ مَوْعِظَةُ الْمُتَّقِينَ، والتَّقْوَى سِنْخُ الإِيمَانِ</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ورد عنه بنفس الإسناد السابق في باب صفة الإيمان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جَعَلَ الإِيمَانَ عَلَى أَرْبَعِ دَعَائِمَ عَلَى الصَّبْرِ والْيَقِينِ والْعَدْلِ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فَالصَّبْرُ مِنْ ذَلِكَ عَلَى أَرْبَعِ شُعَبٍ عَلَى الشَّوْقِ والإِشْفَاقِ والزُّهْدِ والتَّرَقُّبِ، فَمَنِ اشْتَاقَ إِلَى الْجَنَّةِ سَلَا عَنِ الشَّهَوَاتِ، ومَنْ أَشْفَقَ مِنَ النَّارِ رَجَعَ عَنِ الْمُحَرَّمَاتِ، ومَنْ زَهِدَ فِي الدُّنْيَا هَانَتْ عَلَيْه الْمُصِيبَاتُ، ومَنْ </w:t>
      </w:r>
    </w:p>
    <w:p>
      <w:pPr>
        <w:pStyle w:val="BookText"/>
        <w:rPr/>
      </w:pPr>
      <w:r>
        <w:rPr>
          <w:rFonts w:ascii="Amiri" w:hAnsi="Amiri" w:eastAsia="Amiri" w:cs="Amiri"/>
          <w:color w:val="111111"/>
          <w:sz w:val="28"/>
          <w:sz w:val="28"/>
          <w:szCs w:val="28"/>
          <w:rtl w:val="true"/>
          <w:lang w:bidi="ar-SA"/>
        </w:rPr>
        <w:t>رَاقَبَ الْمَوْتَ سَارَعَ إِلَى الْخَيْرَاتِ</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ورد عن جابر في الورع ما رواه الكليني عن أبي علي الأشعري، عن محمَّد بن سالم، وأحمد بن أبي عبد الله، عن أبيه، جميعاً عن أحمد بن النضر،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أيَكْتَفِي مَنِ انْتَحَلَ التَّشَيُّعَ أَنْ يَقُولَ بِحُبِّنَا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شِيعَتُنَا إِلَّا مَنِ اتَّقَى اللَّه وأَطَاعَه، ومَا كَانُوا يُعْرَفُونَ يَا جَابِرُ إِلَّا بِالتَّوَاضُعِ والتَّخَشُّعِ والأَمَانَةِ وكَثْرَةِ ذِكْرِ اللَّه والصَّوْمِ والصَّلَاةِ والْبِرِّ بِالْوَالِدَيْنِ والتَّعَاهُدِ لِلْجِيرَانِ مِنَ الْفُقَرَاءِ وأَهْلِ الْمَسْكَنَةِ والْغَارِمِينَ والأَيْتَامِ وصِدْقِ الْحَدِيثِ وتِلَاوَةِ الْقُرْآنِ وكَفِّ الأَلْسُنِ عَنِ النَّاسِ إِلَّا مِنْ خَيْرٍ وكَانُوا أُمَنَاءَ عَشَائِرِهِمْ فِي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ابْنَ رَسُولِ اللَّه مَا نَعْرِفُ الْيَوْمَ أَحَداً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لَا تَذْهَبَنَّ بِكَ الْمَذَاهِبُ حَسْبُ الرَّجُلِ أَنْ يَقُولَ أُحِبُّ عَلِيّاً وأَتَوَلَّاه ثُمَّ لَا يَكُونَ مَعَ ذَلِكَ فَعَّالاً فَلَوْ قَالَ إِنِّي أُحِبُّ رَسُولَ اللَّه، 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يَتَّبِعُ سِيرَتَه ولَا يَعْمَلُ بِسُنَّتِه مَا نَفَعَه حُبُّه إِيَّاه شَيْئاً فَاتَّقُوا اللَّه واعْمَلُوا</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المقام الأوَّل الذي عقدناه حول شخصية التابعي المشهور جابر ابن يزيد الجعفي</w:t>
      </w:r>
      <w:r>
        <w:rPr>
          <w:rFonts w:eastAsia="Amiri" w:cs="Amiri" w:ascii="Amiri" w:hAnsi="Amiri"/>
          <w:color w:val="111111"/>
          <w:sz w:val="28"/>
          <w:szCs w:val="28"/>
          <w:rtl w:val="true"/>
          <w:lang w:bidi="ar-SA"/>
        </w:rPr>
        <w:t xml:space="preserve">. </w:t>
      </w:r>
      <w:bookmarkStart w:id="957" w:name="pg9124_98849"/>
    </w:p>
    <w:p>
      <w:pPr>
        <w:pStyle w:val="Heading3"/>
        <w:numPr>
          <w:ilvl w:val="2"/>
          <w:numId w:val="1"/>
        </w:numPr>
        <w:rPr/>
      </w:pPr>
      <w:bookmarkStart w:id="958" w:name="__RefHeading___Toc2933816_2870459653"/>
      <w:bookmarkStart w:id="959" w:name="_Toc380"/>
      <w:bookmarkEnd w:id="957"/>
      <w:bookmarkEnd w:id="958"/>
      <w:r>
        <w:rPr>
          <w:rtl w:val="true"/>
        </w:rPr>
        <w:t>المقام الثّاني</w:t>
      </w:r>
      <w:r>
        <w:rPr>
          <w:rtl w:val="true"/>
        </w:rPr>
        <w:t xml:space="preserve">: </w:t>
      </w:r>
      <w:r>
        <w:rPr>
          <w:rtl w:val="true"/>
        </w:rPr>
        <w:t>علوم جابر وكتبه</w:t>
      </w:r>
      <w:bookmarkEnd w:id="959"/>
    </w:p>
    <w:p>
      <w:pPr>
        <w:pStyle w:val="Heading4"/>
        <w:numPr>
          <w:ilvl w:val="3"/>
          <w:numId w:val="1"/>
        </w:numPr>
        <w:rPr/>
      </w:pPr>
      <w:bookmarkStart w:id="960" w:name="__RefHeading___Toc2933818_2870459653"/>
      <w:bookmarkStart w:id="961" w:name="_Toc381"/>
      <w:bookmarkEnd w:id="960"/>
      <w:r>
        <w:rPr>
          <w:rtl w:val="true"/>
        </w:rPr>
        <w:t>علوم جابر</w:t>
      </w:r>
      <w:bookmarkEnd w:id="961"/>
    </w:p>
    <w:p>
      <w:pPr>
        <w:pStyle w:val="Heading5"/>
        <w:numPr>
          <w:ilvl w:val="4"/>
          <w:numId w:val="1"/>
        </w:numPr>
        <w:rPr/>
      </w:pPr>
      <w:bookmarkStart w:id="962" w:name="__RefHeading___Toc2933820_2870459653"/>
      <w:bookmarkStart w:id="963" w:name="_Toc382"/>
      <w:bookmarkEnd w:id="962"/>
      <w:r>
        <w:rPr>
          <w:rtl w:val="true"/>
        </w:rPr>
        <w:t>اشارة</w:t>
      </w:r>
      <w:bookmarkEnd w:id="963"/>
    </w:p>
    <w:p>
      <w:pPr>
        <w:pStyle w:val="BookText"/>
        <w:rPr/>
      </w:pPr>
      <w:r>
        <w:rPr>
          <w:rFonts w:ascii="Amiri" w:hAnsi="Amiri" w:eastAsia="Amiri" w:cs="Amiri"/>
          <w:color w:val="111111"/>
          <w:sz w:val="28"/>
          <w:sz w:val="28"/>
          <w:szCs w:val="28"/>
          <w:rtl w:val="true"/>
          <w:lang w:bidi="ar-SA"/>
        </w:rPr>
        <w:t>يعدّ جابر بن يزيد الجعفي من مشاهير علماء الكوفة، قال الذهبي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 ابن يزيد الجعفي الكوفي أحد أوعية العلم</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 وعن عبد الرحمن بن شريك بن عبد الله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أبي عشرة آلاف مسألة عن جابر الجعفي</w:t>
      </w:r>
      <w:r>
        <w:rPr>
          <w:rStyle w:val="FootnoteAnchor"/>
          <w:rtl w:val="true"/>
        </w:rPr>
        <w:footnoteReference w:id="833"/>
      </w:r>
      <w:r>
        <w:rPr>
          <w:rFonts w:ascii="Amiri" w:hAnsi="Amiri" w:eastAsia="Amiri" w:cs="Amiri"/>
          <w:color w:val="111111"/>
          <w:sz w:val="28"/>
          <w:sz w:val="28"/>
          <w:szCs w:val="28"/>
          <w:rtl w:val="true"/>
          <w:lang w:bidi="ar-SA"/>
        </w:rPr>
        <w:t>، وعن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زكريا بن أبي زائدة يزاحمنا عند جابر فقال لي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شباب، هذا الشيخ ما يزاحمنا هاهنا</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يجعل جابر أحد أربعة انتهى علم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كما جاء ذلك فيما حكاه الكشي في ترجمة يونس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بخط محمَّد بن شاذان بن نُعَيم</w:t>
      </w:r>
      <w:r>
        <w:rPr>
          <w:rStyle w:val="FootnoteAnchor"/>
          <w:rtl w:val="true"/>
        </w:rPr>
        <w:footnoteReference w:id="835"/>
      </w:r>
      <w:r>
        <w:rPr>
          <w:rFonts w:ascii="Amiri" w:hAnsi="Amiri" w:eastAsia="Amiri" w:cs="Amiri"/>
          <w:color w:val="111111"/>
          <w:sz w:val="28"/>
          <w:sz w:val="28"/>
          <w:szCs w:val="28"/>
          <w:rtl w:val="true"/>
          <w:lang w:bidi="ar-SA"/>
        </w:rPr>
        <w:t>في كتابه، سمعت أبا محمَّد القماص الحسن بن علوية الثقة</w:t>
      </w:r>
      <w:r>
        <w:rPr>
          <w:rStyle w:val="FootnoteAnchor"/>
          <w:rtl w:val="true"/>
        </w:rPr>
        <w:footnoteReference w:id="836"/>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الفضل بن شاذان،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يونس بن عبد الرحمن أربعاً وخمسين حجّة، واعتمر أربعاً وخمسين عمرة، وألّفَ ألف جلد رداً على المخالفين،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علم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أربعة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سلمان </w:t>
      </w:r>
    </w:p>
    <w:p>
      <w:pPr>
        <w:pStyle w:val="BookText"/>
        <w:rPr/>
      </w:pPr>
      <w:r>
        <w:rPr>
          <w:rFonts w:ascii="Amiri" w:hAnsi="Amiri" w:eastAsia="Amiri" w:cs="Amiri"/>
          <w:color w:val="111111"/>
          <w:sz w:val="28"/>
          <w:sz w:val="28"/>
          <w:szCs w:val="28"/>
          <w:rtl w:val="true"/>
          <w:lang w:bidi="ar-SA"/>
        </w:rPr>
        <w:t>الفارسي، والثاني جابر، والثالث السيّد، والرابع يونس بن عبد الرحمن</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والمتراءى من هذا الكلام بدواً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الفضل، كما حكي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نشأ رجل من سائر الناس كان أفقه من سلمان الفارسي، ولا نشأ رجل بعده أفقه من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Style w:val="FootnoteAnchor"/>
          <w:rtl w:val="true"/>
        </w:rPr>
        <w:footnoteReference w:id="838"/>
      </w:r>
      <w:r>
        <w:rPr>
          <w:rFonts w:ascii="Amiri" w:hAnsi="Amiri" w:eastAsia="Amiri" w:cs="Amiri"/>
          <w:color w:val="111111"/>
          <w:sz w:val="28"/>
          <w:sz w:val="28"/>
          <w:szCs w:val="28"/>
          <w:rtl w:val="true"/>
          <w:lang w:bidi="ar-SA"/>
        </w:rPr>
        <w:t>، ولكن على تقدير ظهور الكلام في ذلك فالفضل إنَّما حكى هذا القول ولم ينفه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حكايته له ما يدل على أنَّه لم يره موهوناً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ثبوت هذا القول عن الفضل نظراً من جهة الإسناد، فإنَّه لا توثيق لابن شاذان، كما أنَّه لا مأخذ لاعتبار توثيقه لابن 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إلى ذلك بعض الوهن في مضمون هذا القول؛ إذ أنَّه جعل في ضمن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به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والمعروف عنه أنَّه شاعر، ولم يعرف بالعلم كالثلاثة الباقين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المحدِّث النوري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ذكر أنَّ المراد بالسيّد هو الحميري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أنَّه لم يكن له هذا المقام الشريف، بل كان في عصره جماعة لولاهم لاندرست آثار النبوة كزرارة وبُريد وأبي بصير ومحمَّد بن مسلم وغيرهم، ممَّن لا يرتضي أحد عدّ السيّد في عدادهم، فكيف يعدّ مع مَنْ انتهت علوم الأئمة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بمراد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 يعهد من أحد من أصحاب الأئمة أنَّه انتشر فضائل علي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انتشره السيّد بما قال فيهم من الشعر</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يجعل ذكر السيّد قرينة على أنَّ المراد بذكر الأربعة إنَّما هو بالنظر إلى مجالات مختلفة من العلم وليس إلى العلوم بقول مطلق، إذ لم يعرف عن يونس أيضاً إلَّا الكلام والحديث والفقه دون ما اشتهر به سلمان وجابر، فيراد الإشارة إلى علم الحميري بفضائل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ينحصر مجال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بحقل خاص كالحديث، بل الظاهر أنَّه كان عالماً في مجالات عديدة من الحديث والفقه والكلام والأخلاق والتاريخ والتفسير، ويعبّر عن ذلك ملاحظة كتب جابر وجملة ممَّا حكي عنه في بطون كتب الحديث والتاريخ والتفسير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ألّف جابر كتباً عديدة ذكرها أصحاب الفهارس من الإمامية كالشيخ الطوسي والنجاشي، وكانت تحتوي عليها أو على بعضها مكتبات علماء الإمامية في العصر الأوَّل، وقد ذكر أبو غالب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إلى حفيده في جملة ما عدّه من مكتبته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جابر الجعفي</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يتوقع أنْ يكون علماء الجمهور الأوَّلين قد اهتموا أيضاً بكتبه واعتمدوا عليها حيث نقلوا عنه روايات كثيرة، إلَّا أنَّ تنامي حركة تضعيف الرجل وظهور مذهبه الإمامي أدّى إلى تركهم لكتبه وآثاره تدريجاً عدا ما نقل عنه في مطاوي كتب الطبقات الأولى</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والذي يظهر أنَّ لجابر كتباً ألّفها في كلتا مرحلتي حياته، لكن كتبه الحديثية والتفسيرية التي تتعلق بالمرحلة الثانية من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اعتقد فيها بإمامة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يكن يبديها ويحدِّث بها في الوسط العامّي</w:t>
      </w:r>
      <w:r>
        <w:rPr>
          <w:rFonts w:eastAsia="IRNazanin" w:cs="IRNazanin"/>
          <w:color w:val="111111"/>
          <w:sz w:val="28"/>
          <w:szCs w:val="28"/>
          <w:rtl w:val="true"/>
          <w:lang w:bidi="fa-IR"/>
        </w:rPr>
        <w:t xml:space="preserve">. </w:t>
      </w:r>
      <w:bookmarkStart w:id="964" w:name="pg9124_98852"/>
    </w:p>
    <w:p>
      <w:pPr>
        <w:pStyle w:val="BookText"/>
        <w:rPr/>
      </w:pPr>
      <w:bookmarkEnd w:id="964"/>
      <w:r>
        <w:rPr>
          <w:rFonts w:ascii="Amiri" w:hAnsi="Amiri" w:eastAsia="Amiri" w:cs="Amiri"/>
          <w:color w:val="111111"/>
          <w:sz w:val="28"/>
          <w:sz w:val="28"/>
          <w:szCs w:val="28"/>
          <w:rtl w:val="true"/>
          <w:lang w:bidi="ar-SA"/>
        </w:rPr>
        <w:t>وأيّاً كان فقد اهتم أصحاب الفهارس من الإمامية بذكر كتبه، وقد اقتصر الشيخ على ذكر كتابين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والأصل، قال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كتاب التفسير</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وزاد النجاشي مؤلفات أخرى تاريخية،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كتاب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الجمل، وكتاب صفين، وكتاب النهروان، وكتاب مقتل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وتضاف إليه رسالة أبي جعفر إلى أهل البصرة، وغيرها من الأحاديث والكتب، وذلك موضوع، والله أعلم</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أنَّ تفسير جابر وأصله هما أشهر كتب جابر لدى المحدِّثين، إذ لم يكن لجلّ أهل الحديث عناية بالتاريخ، وكأنَّه لذلك اقتصر على ذكرهما بعض أصحاب الفهارس كالشيخ في الفهرست ومصادره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أنَّ شيئاً من كتب جابر لم يصل إلينا بعينه، إلَّا أنَّه يمكن عدّ ما نقل عنه في تضاعيف كتب الحديث والتفسير والتاريخ جزءا محتملاً ممَّا ورد في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تقسيم مجالات علوم جابر وكتبه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والتاريخ</w:t>
      </w:r>
      <w:r>
        <w:rPr>
          <w:rFonts w:eastAsia="Amiri" w:cs="Amiri" w:ascii="Amiri" w:hAnsi="Amiri"/>
          <w:color w:val="111111"/>
          <w:sz w:val="28"/>
          <w:szCs w:val="28"/>
          <w:rtl w:val="true"/>
          <w:lang w:bidi="ar-SA"/>
        </w:rPr>
        <w:t>.</w:t>
      </w:r>
    </w:p>
    <w:p>
      <w:pPr>
        <w:pStyle w:val="Heading5"/>
        <w:numPr>
          <w:ilvl w:val="4"/>
          <w:numId w:val="1"/>
        </w:numPr>
        <w:rPr/>
      </w:pPr>
      <w:bookmarkStart w:id="965" w:name="__RefHeading___Toc2933822_2870459653"/>
      <w:bookmarkStart w:id="966" w:name="_Toc383"/>
      <w:bookmarkEnd w:id="965"/>
      <w:r>
        <w:rPr/>
        <w:t>1</w:t>
      </w:r>
      <w:r>
        <w:rPr>
          <w:rtl w:val="true"/>
        </w:rPr>
        <w:t xml:space="preserve">. </w:t>
      </w:r>
      <w:r>
        <w:rPr>
          <w:rtl w:val="true"/>
        </w:rPr>
        <w:t>الحديث</w:t>
      </w:r>
      <w:bookmarkEnd w:id="966"/>
    </w:p>
    <w:p>
      <w:pPr>
        <w:pStyle w:val="Heading6"/>
        <w:numPr>
          <w:ilvl w:val="5"/>
          <w:numId w:val="1"/>
        </w:numPr>
        <w:rPr/>
      </w:pPr>
      <w:bookmarkStart w:id="967" w:name="__RefHeading___Toc2933824_2870459653"/>
      <w:bookmarkStart w:id="968" w:name="_Toc384"/>
      <w:bookmarkEnd w:id="967"/>
      <w:r>
        <w:rPr>
          <w:rtl w:val="true"/>
        </w:rPr>
        <w:t>اشارة</w:t>
      </w:r>
      <w:bookmarkEnd w:id="96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 جابر عند العامّة بأنَّه من كبار محدثي الكوفة، وعنده أحاديث كثيرة جداً، وقد ذكر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نقلت مصادر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حدَّثه بخمسين </w:t>
      </w:r>
    </w:p>
    <w:p>
      <w:pPr>
        <w:pStyle w:val="BookText"/>
        <w:rPr/>
      </w:pPr>
      <w:r>
        <w:rPr>
          <w:rFonts w:ascii="Amiri" w:hAnsi="Amiri" w:eastAsia="Amiri" w:cs="Amiri"/>
          <w:color w:val="111111"/>
          <w:sz w:val="28"/>
          <w:sz w:val="28"/>
          <w:szCs w:val="28"/>
          <w:rtl w:val="true"/>
          <w:lang w:bidi="ar-SA"/>
        </w:rPr>
        <w:t>ألف حديث، أو أنَّه عنده خمسون ألف باب من العلم، فمن كلمات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عبد الرحمن بن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تعجبون من سفيان بن عيينة، لقد تركت جابر الجعفي لقوله لمّا حكى عنه أكثر من ألف حديث، ثُمَّ هو يحدِّث عنه</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الجارود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جابر الجعفي لكان أهل الكوفة بغير حديث</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الرحمن بن شريك بن عبد الله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أبي عشرة آلاف مسألة عن جابر الجعفي</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سلام بن أبي مطيع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خمسون ألف باب من العلم ما حدَّثت به أحداً</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زهير سمعت جابر بن يزيد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خمسون ألف حديث ما حدَّثت فيها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يوماً بحديث فقال هذا من الخمسين ألف</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يحيى الحماني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حنيفة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أنَّ عنده كذا وكذا ألف 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يظهرها</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عثمان بن سعيد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زهير أبا خيثمة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جلوساً عند </w:t>
      </w:r>
      <w:bookmarkStart w:id="969" w:name="pg9124_98854"/>
    </w:p>
    <w:p>
      <w:pPr>
        <w:pStyle w:val="BookText"/>
        <w:rPr/>
      </w:pPr>
      <w:bookmarkEnd w:id="969"/>
      <w:r>
        <w:rPr>
          <w:rFonts w:ascii="Amiri" w:hAnsi="Amiri" w:eastAsia="Amiri" w:cs="Amiri"/>
          <w:color w:val="111111"/>
          <w:sz w:val="28"/>
          <w:sz w:val="28"/>
          <w:szCs w:val="28"/>
          <w:rtl w:val="true"/>
          <w:lang w:bidi="ar-SA"/>
        </w:rPr>
        <w:t>جابر الجعفي فأقبل سفيان الثوري فقال لنا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 سعيد بن مسروق هذا أنَّه سمع مني عشرة آلاف حديث</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حوادث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توفي جابر بن يزيد الجعفي من كبار المحدِّثين بالكوفة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طرقنا ورد أنَّ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 بسبعين ألف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روى الكشي عن جبريل بن أحمد، عن محمَّد بن عيسى، عن إسماعيل بن مهران عن أبي جميلة المفضل بن صالح، عن جابر بن يزيد الجعفي،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بسبعين ألف حديث لم أحدِّث بها أحداً قط، ولا أحدِّث بها أحداً أبداً</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0" w:name="__RefHeading___Toc2933826_2870459653"/>
      <w:bookmarkStart w:id="971" w:name="_Toc385"/>
      <w:bookmarkEnd w:id="970"/>
      <w:r>
        <w:rPr>
          <w:rtl w:val="true"/>
        </w:rPr>
        <w:t>كتب جابر في الحديث</w:t>
      </w:r>
      <w:bookmarkEnd w:id="971"/>
    </w:p>
    <w:p>
      <w:pPr>
        <w:pStyle w:val="Heading6"/>
        <w:numPr>
          <w:ilvl w:val="5"/>
          <w:numId w:val="1"/>
        </w:numPr>
        <w:rPr/>
      </w:pPr>
      <w:bookmarkStart w:id="972" w:name="__RefHeading___Toc2933828_2870459653"/>
      <w:bookmarkStart w:id="973" w:name="_Toc386"/>
      <w:bookmarkEnd w:id="972"/>
      <w:r>
        <w:rPr>
          <w:rtl w:val="true"/>
        </w:rPr>
        <w:t>اشارة</w:t>
      </w:r>
      <w:bookmarkEnd w:id="973"/>
    </w:p>
    <w:p>
      <w:pPr>
        <w:pStyle w:val="BookText"/>
        <w:rPr/>
      </w:pPr>
      <w:r>
        <w:rPr>
          <w:rFonts w:ascii="Amiri" w:hAnsi="Amiri" w:eastAsia="Amiri" w:cs="Amiri"/>
          <w:color w:val="111111"/>
          <w:sz w:val="28"/>
          <w:sz w:val="28"/>
          <w:szCs w:val="28"/>
          <w:rtl w:val="true"/>
          <w:lang w:bidi="ar-SA"/>
        </w:rPr>
        <w:t>لجابر في الحديث كتابان أو 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والنوادر والفضائل</w:t>
      </w:r>
      <w:r>
        <w:rPr>
          <w:rFonts w:eastAsia="Amiri" w:cs="Amiri" w:ascii="Amiri" w:hAnsi="Amiri"/>
          <w:color w:val="111111"/>
          <w:sz w:val="28"/>
          <w:szCs w:val="28"/>
          <w:rtl w:val="true"/>
          <w:lang w:bidi="ar-SA"/>
        </w:rPr>
        <w:t>.</w:t>
      </w:r>
    </w:p>
    <w:p>
      <w:pPr>
        <w:pStyle w:val="Heading6"/>
        <w:numPr>
          <w:ilvl w:val="5"/>
          <w:numId w:val="1"/>
        </w:numPr>
        <w:rPr/>
      </w:pPr>
      <w:bookmarkStart w:id="974" w:name="__RefHeading___Toc2933830_2870459653"/>
      <w:bookmarkStart w:id="975" w:name="_Toc387"/>
      <w:bookmarkEnd w:id="974"/>
      <w:r>
        <w:rPr/>
        <w:t>1</w:t>
      </w:r>
      <w:r>
        <w:rPr>
          <w:rtl w:val="true"/>
        </w:rPr>
        <w:t xml:space="preserve">. </w:t>
      </w:r>
      <w:r>
        <w:rPr>
          <w:rtl w:val="true"/>
        </w:rPr>
        <w:t>الأصل والنوادر</w:t>
      </w:r>
      <w:bookmarkEnd w:id="975"/>
    </w:p>
    <w:p>
      <w:pPr>
        <w:pStyle w:val="BookText"/>
        <w:rPr/>
      </w:pPr>
      <w:r>
        <w:rPr>
          <w:rFonts w:ascii="Amiri" w:hAnsi="Amiri" w:eastAsia="Amiri" w:cs="Amiri"/>
          <w:color w:val="111111"/>
          <w:sz w:val="28"/>
          <w:sz w:val="28"/>
          <w:szCs w:val="28"/>
          <w:rtl w:val="true"/>
          <w:lang w:bidi="ar-SA"/>
        </w:rPr>
        <w:t>الظاهر أنَّ أصل جابر ألّفه في المرحلة الثانية من حياته، وقد رواه الشيخ عن طريق المفضل بن صالح الجعفي،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به ابن أبي جيد، عن ابن الوليد، عن الصفار، عن أحمد بن محمَّد بن عيسى، عن عبد الرحمن بن أبي نجران، عن المفضل بن صالح، عنه</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ويتوقع أنْ تكون أحاديث جابر في الفقه والمذكورة في الكتب الأربعة وغيرها </w:t>
      </w:r>
    </w:p>
    <w:p>
      <w:pPr>
        <w:pStyle w:val="BookText"/>
        <w:rPr/>
      </w:pPr>
      <w:r>
        <w:rPr>
          <w:rFonts w:ascii="IRNazanin" w:hAnsi="IRNazanin" w:eastAsia="IRNazanin"/>
          <w:color w:val="111111"/>
          <w:sz w:val="28"/>
          <w:sz w:val="28"/>
          <w:szCs w:val="28"/>
          <w:rtl w:val="true"/>
          <w:lang w:bidi="fa-IR"/>
        </w:rPr>
        <w:t xml:space="preserve">مأخوذة من أصل جابر، وكذا بعض أحاديثه الأُخر ممَّا كان حول مكانة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التفسير، إذ لم يذكر اختصاص أصله بالفقه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نعتبر ما جاء في أصل جعفر بن محمَّد بن شريح الحضرمي</w:t>
      </w:r>
      <w:r>
        <w:rPr>
          <w:rStyle w:val="FootnoteAnchor"/>
          <w:rtl w:val="true"/>
        </w:rPr>
        <w:footnoteReference w:id="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أصل جابر فقد نقل فيه عن جابر بن يزيد الجعفي ثلاثاً وثمانين رواية متسلسلة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74</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روايتين وقعت في ضمنها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رواية لمحمَّد ابن شريح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والأخرى عن عبد الله بن السري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وأما النوادر فقد رواها النجاشي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أحمد بن محمَّد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الربيع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عمار بن مروان، عن المنخل بن جميل، عن جابر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الأصل والنوادر كتابان أو يمكن أنْ يراد بهما كتاب واحد؟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الثاني بعض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فقهه</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الأمر يتفق الابتلاء به كثيراً، فإنَّه كثير ما يذكر النجاشي للراوي كتاباً بعنوان الأصل والشيخ يذكره بعنوان النوادر، وقد يتفق العكس، وقد يلتقيان في التعبير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في النفس من اتحادهما شيء، إذ يشهد على التمييز بين النوادر والأصل اختلاف تعبير النجاشي والشيخ باختلاف الموارد، فمثلاً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بأنَّ لفلان كتاب نوادر كما في الحسن بن متيل، والحسين بن ثوير، والحسن بن موثق</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للمترجم له كتباً في الفقه ويضيف بأنَّ له كتاب نوادر، كما في جعفر ابن بشير البجلي، وجعفر بن محمَّد بن جعفر بن قولويه، وحميد بن زياد، وحريز بن عبد الله وغيرهم</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 النوادر بأنَّها في الفقه، كما في الحسين بن عبيد الله الغضائري</w:t>
      </w:r>
      <w:r>
        <w:rPr>
          <w:rStyle w:val="FootnoteAnchor"/>
          <w:rtl w:val="true"/>
        </w:rPr>
        <w:footnoteReference w:id="857"/>
      </w:r>
      <w:r>
        <w:rPr>
          <w:rFonts w:ascii="Amiri" w:hAnsi="Amiri" w:eastAsia="Amiri" w:cs="Amiri"/>
          <w:color w:val="111111"/>
          <w:sz w:val="28"/>
          <w:sz w:val="28"/>
          <w:szCs w:val="28"/>
          <w:rtl w:val="true"/>
          <w:lang w:bidi="ar-SA"/>
        </w:rPr>
        <w:t>، أو في باب منه كما في سلمة بن الخطاب حيث ذكر بأنَّ له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نوادر الصلاة</w:t>
      </w:r>
      <w:r>
        <w:rPr>
          <w:rStyle w:val="FootnoteAnchor"/>
          <w:rtl w:val="true"/>
        </w:rPr>
        <w:footnoteReference w:id="858"/>
      </w:r>
      <w:r>
        <w:rPr>
          <w:rFonts w:ascii="Amiri" w:hAnsi="Amiri" w:eastAsia="Amiri" w:cs="Amiri"/>
          <w:color w:val="111111"/>
          <w:sz w:val="28"/>
          <w:sz w:val="28"/>
          <w:szCs w:val="28"/>
          <w:rtl w:val="true"/>
          <w:lang w:bidi="ar-SA"/>
        </w:rPr>
        <w:t>، أو يقول كتاب الإملاء نوادر كما في علي بن الحسين بن بابويه</w:t>
      </w:r>
      <w:r>
        <w:rPr>
          <w:rStyle w:val="FootnoteAnchor"/>
          <w:rtl w:val="true"/>
        </w:rPr>
        <w:footnoteReference w:id="859"/>
      </w:r>
      <w:r>
        <w:rPr>
          <w:rFonts w:ascii="Amiri" w:hAnsi="Amiri" w:eastAsia="Amiri" w:cs="Amiri"/>
          <w:color w:val="111111"/>
          <w:sz w:val="28"/>
          <w:sz w:val="28"/>
          <w:szCs w:val="28"/>
          <w:rtl w:val="true"/>
          <w:lang w:bidi="ar-SA"/>
        </w:rPr>
        <w:t>، أو يقول كتاب نوادر علم القرآن كما في محمَّد بن أحمد الحارثي</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بأنَّ له أصلاً، كما في الحسن بن أيوب، وأيوب بن الحرّ الجعفي، وآدم ابن المتوكل، وأديم بن الحرّ الجعفي</w:t>
      </w:r>
      <w:r>
        <w:rPr>
          <w:rStyle w:val="FootnoteAnchor"/>
          <w:rtl w:val="true"/>
        </w:rPr>
        <w:footnoteReference w:id="861"/>
      </w:r>
      <w:r>
        <w:rPr>
          <w:rFonts w:ascii="Amiri" w:hAnsi="Amiri" w:eastAsia="Amiri" w:cs="Amiri"/>
          <w:color w:val="111111"/>
          <w:sz w:val="28"/>
          <w:sz w:val="28"/>
          <w:szCs w:val="28"/>
          <w:rtl w:val="true"/>
          <w:lang w:bidi="ar-SA"/>
        </w:rPr>
        <w:t xml:space="preserve">، وذكر في ترجمة جميل بن دراج بأنَّ له كتاباً اشترك </w:t>
      </w:r>
    </w:p>
    <w:p>
      <w:pPr>
        <w:pStyle w:val="BookText"/>
        <w:rPr/>
      </w:pPr>
      <w:r>
        <w:rPr>
          <w:rFonts w:ascii="Amiri" w:hAnsi="Amiri" w:eastAsia="Amiri" w:cs="Amiri"/>
          <w:color w:val="111111"/>
          <w:sz w:val="28"/>
          <w:sz w:val="28"/>
          <w:szCs w:val="28"/>
          <w:rtl w:val="true"/>
          <w:lang w:bidi="ar-SA"/>
        </w:rPr>
        <w:t>هو ومحمَّد بن حمران فيه ثُمَّ قال ورواه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يعقوب الجعفي من كتابه وأصله</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العلمان في بعض الموارد أنَّه يراد بالنوادر الأصل، فقد ذكر النجاشي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مروك بن عبيد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أصحابنا القميون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نوادره أصل</w:t>
      </w:r>
      <w:r>
        <w:rPr>
          <w:rFonts w:eastAsia="Amiri" w:cs="Amiri" w:ascii="Amiri" w:hAnsi="Amiri"/>
          <w:color w:val="111111"/>
          <w:sz w:val="28"/>
          <w:szCs w:val="28"/>
          <w:rtl w:val="true"/>
          <w:lang w:bidi="ar-SA"/>
        </w:rPr>
        <w:t>)</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الشيخ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سعيد بن عثمان القرشي،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النوادر، ومن أصحابنا من عدّه من جملة الأصول</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ومجرد اقتصار أحد العلمين على ذكر الأصل والآخر على ذكر النوادر لا يقتضي وحدة المراد بهما، فإنَّ من قارن بين ما ذكره النجاشي والشيخ يجد اختلاف النسبة فيما يذكرانه، فقد تكون النسبة التساوي، وقد تكون العموم والخصوص المطلق، أو من وجه، وقد تكون 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بتتبع فهرستي العلمين وجدنا أنَّ النسبة قد تكون التساوي بأنَّ لكل منهم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آدم بن إسحاق بن آدم الأشعري القمي، وإبراهيم بن قتيبة، وإبراهيم ابن نصر بن القعقاع الجعفي، وإبراهيم بن حمّاد، وإبراهيم بن محمَّد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بأنْ يكون لكل منهم كتاب نوادر وكتب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إبراهيم بن هاشم، وإبراهيم بن سليمان بن عبيد الله النهمي، وإبراهيم بن إسحاق الأحمري النهاوندي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بأنْ يكون له مجموعة كتب كثيرة كما في إبراهيم بن محمَّد بن سعيد الثقفي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يكون له عنوان واحد فقط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عبدوس الخلنجي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كلا </w:t>
      </w:r>
    </w:p>
    <w:p>
      <w:pPr>
        <w:pStyle w:val="BookText"/>
        <w:rPr/>
      </w:pPr>
      <w:r>
        <w:rPr>
          <w:rFonts w:ascii="Amiri" w:hAnsi="Amiri" w:eastAsia="Amiri" w:cs="Amiri"/>
          <w:color w:val="111111"/>
          <w:sz w:val="28"/>
          <w:sz w:val="28"/>
          <w:szCs w:val="28"/>
          <w:rtl w:val="true"/>
          <w:lang w:bidi="ar-SA"/>
        </w:rPr>
        <w:t>العلمين بأنَّ له كتاب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النسبة العموم والخصوص المطلق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النجاشي والشيخ بأنَّ له كتاباً يجمع المبتدأ والمغازي والوفاة والردة، وزاد الشيخ بأنَّ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النسبة بينهما هي العموم والخصوص من وجه، كما في مورد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كلا العلمين بأنَّ له كتاب التفسير وذكر النجاشي بأنَّ له كتاب النوادر بالإضافة إلى كتب أخرى، وذكر الشيخ بأنَّ له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تكون النسبة بينهما هي التباين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بكر محمَّد بن أبي السمّال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ذكر النجاشي بأنَّ له كتاب نوادر، وذكر الشيخ بأنَّ له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المفهوم من الكتاب يغاير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وطريقهما إليهما مختلف في جميع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فالبناء على الاتحاد بين النوادر والأصل لا يخلو من شيء،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هناك تداخل في جملة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والمتوقع أنْ يحتوي أصل جابر على أحاديث متنوعة قد يكون جلّها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بنى بعض الباحثين على تفاوت الأصل والنوادر، وفسّر النوادر بالروايات النادرة حسب المفهوم اللغوي، وذكر أمثلة لما ورد، منها</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بتتبع ما يحكى عن كتب النوادر أنَّها ليست بمعنى الأحاديث النادرة والطريفة، بل بعضها ربَّما كان من الجوامع أو شبهها كنوادر محمَّد بن أبي عمير، ونوادر </w:t>
      </w:r>
      <w:bookmarkStart w:id="976" w:name="pg9124_98859"/>
    </w:p>
    <w:p>
      <w:pPr>
        <w:pStyle w:val="BookText"/>
        <w:rPr/>
      </w:pPr>
      <w:bookmarkEnd w:id="976"/>
      <w:r>
        <w:rPr>
          <w:rFonts w:ascii="Amiri" w:hAnsi="Amiri" w:eastAsia="Amiri" w:cs="Amiri"/>
          <w:color w:val="111111"/>
          <w:sz w:val="28"/>
          <w:sz w:val="28"/>
          <w:szCs w:val="28"/>
          <w:rtl w:val="true"/>
          <w:lang w:bidi="ar-SA"/>
        </w:rPr>
        <w:t>أحمد بن محمَّد بن عيسى، ونوادر محمَّد بن علي بن محبوب، وغير ذلك على ما يظهر بالتتبع</w:t>
      </w:r>
      <w:r>
        <w:rPr>
          <w:rFonts w:eastAsia="Amiri" w:cs="Amiri" w:ascii="Amiri" w:hAnsi="Amiri"/>
          <w:color w:val="111111"/>
          <w:sz w:val="28"/>
          <w:szCs w:val="28"/>
          <w:rtl w:val="true"/>
          <w:lang w:bidi="ar-SA"/>
        </w:rPr>
        <w:t>.</w:t>
      </w:r>
    </w:p>
    <w:p>
      <w:pPr>
        <w:pStyle w:val="Heading6"/>
        <w:numPr>
          <w:ilvl w:val="5"/>
          <w:numId w:val="1"/>
        </w:numPr>
        <w:rPr/>
      </w:pPr>
      <w:bookmarkStart w:id="977" w:name="__RefHeading___Toc2933832_2870459653"/>
      <w:bookmarkStart w:id="978" w:name="_Toc388"/>
      <w:bookmarkEnd w:id="977"/>
      <w:r>
        <w:rPr/>
        <w:t>2</w:t>
      </w:r>
      <w:r>
        <w:rPr>
          <w:rtl w:val="true"/>
        </w:rPr>
        <w:t xml:space="preserve">. </w:t>
      </w:r>
      <w:r>
        <w:rPr>
          <w:rtl w:val="true"/>
        </w:rPr>
        <w:t>الفضائل</w:t>
      </w:r>
      <w:bookmarkEnd w:id="978"/>
    </w:p>
    <w:p>
      <w:pPr>
        <w:pStyle w:val="BookText"/>
        <w:rPr/>
      </w:pPr>
      <w:r>
        <w:rPr>
          <w:rFonts w:ascii="Amiri" w:hAnsi="Amiri" w:eastAsia="Amiri" w:cs="Amiri"/>
          <w:color w:val="111111"/>
          <w:sz w:val="28"/>
          <w:sz w:val="28"/>
          <w:szCs w:val="28"/>
          <w:rtl w:val="true"/>
          <w:lang w:bidi="ar-SA"/>
        </w:rPr>
        <w:t>قد ذكر النجاشي لجابر كتاب الفضائل، وهو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أحمد بن محمَّد ابن هارون، عن أحمد بن محمَّد بن سعيد، عن محمَّد بن أحمد بن الحسن القطواني، عن عبّاد بن ثابت، عن عمرو بن شمر، عن جابر به</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ومن القريب أنْ يكون هذا الكتاب حول فضائل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ومقاماتهم، وبذلك يكون أحد مصادر الكتب التي ألّفها أصحابنا حول الفضائل والمناقب والدلائل والإمامة ونحوها من العناوين المذكورة في الفهارس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يتوقع أنْ يكون ما جاء في مثل هذه المصادر قطعة من كتاب الفضائل لجابر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في فضائل الأئمة ومقاماتهم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واحد وستون رواية، وستظهر مضامينها ممَّا نذكره عمّا نقله الكليني في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الحجّة من الكافي وهي تبلغ ثلاثين رواية، وقد اقتفى في إيرادها أثر الصفار كما يُعلم بالمقارنة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أخرج الكليني في الروضة أيضاً أحاديث حول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عن العدة، عن سهل بن زياد، عن محمَّد بن سنان، عن عمرو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جابر إذا كان يوم القيامة جمع الله عزَّ وجلَّ </w:t>
      </w:r>
    </w:p>
    <w:p>
      <w:pPr>
        <w:pStyle w:val="BookText"/>
        <w:rPr/>
      </w:pPr>
      <w:r>
        <w:rPr>
          <w:rFonts w:ascii="IRNazanin" w:hAnsi="IRNazanin" w:eastAsia="IRNazanin"/>
          <w:color w:val="111111"/>
          <w:sz w:val="28"/>
          <w:sz w:val="28"/>
          <w:szCs w:val="28"/>
          <w:rtl w:val="true"/>
          <w:lang w:bidi="fa-IR"/>
        </w:rPr>
        <w:t xml:space="preserve">الأوَّلين والآخرين لفصل الخطاب دعي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فيكسا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حُلّة خضراء تضيء ما بين المشرق والمغرب، ويكسا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 ويكسا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حُلّة وردية يضيء لها ما بين المشرق والمغرب، ويكسا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 ثُمَّ يصعدان عندها، ثُمَّ يدعى بنا فيُدفع إلينا حساب الناس فنحن والله ندخل أهل الجنةِ الجنةَ وأهل النارِ النارَ، ثُمَّ يدعى بالنبيين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فيقامون صفين عند عرش الله عزَّ وجلَّ حتى نفرغ من حساب الناس، فإذا دخل أهل الجنةِ الجنةَ وأهل النارِ النارَ بعث ربّ العزة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فأنزلهم منازلهم من الجنة وزوّجهم، فعلي والله الذي يزوج أهل الجنة في الجنة وما ذاك إلى أحد غيره، كرامة من الله عزَّ ذكره وفضلاً فضّله الله به ومَنَّ به عليه، وهو والله يدخل أهل النارِ النارَ، وهو الذي يغلق على أهل الجنة إذا دخلوا فيها أبوابها، لأنَّ أبواب الجنة إليه وأبواب النار إليه</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مناقب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سليمان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من أعلام الزيدية وكان قاضي الهادي الزيدي</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عن جابر أربع عشرة رواية</w:t>
      </w:r>
      <w:r>
        <w:rPr>
          <w:rStyle w:val="FootnoteAnchor"/>
          <w:rtl w:val="true"/>
        </w:rPr>
        <w:footnoteReference w:id="869"/>
      </w:r>
      <w:r>
        <w:rPr>
          <w:rFonts w:ascii="Amiri" w:hAnsi="Amiri" w:eastAsia="Amiri" w:cs="Amiri"/>
          <w:color w:val="111111"/>
          <w:sz w:val="28"/>
          <w:sz w:val="28"/>
          <w:szCs w:val="28"/>
          <w:rtl w:val="true"/>
          <w:lang w:bidi="ar-SA"/>
        </w:rPr>
        <w:t>، ويحتمل أنْ يكون مصدرها كتابه في الفضائل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لمحمَّد بن أبي القاسم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روى عن جابر أحاديث يحتمل أنْ تكون مروية عن كتابه في الفضائل</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أحاديث حكيت عن جابر في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مصادر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القاضي نعمان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الأخبار عن سهل بن أحمد الدينوري معنعناً 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جابر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بن رسول الله حدَّثني بحديث في فضل جدتك فاطمة إذا أنا حدَّثت به الشيعة فرحوا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نقل نصّه فرات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تفسيره بنفس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أحمد الدينوري معنعناً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نصب للأنبياء والرسل منابر من نور فيكون منبري أعلى منابرهم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ينادي المنادي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فاطمة بنت محمَّد؟ أين خديجة بنت خويلد؟ أين مريم بنت عمران؟ أين آسية بنت مزاحم؟ أين أم كلثوم أم يحيى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السيد المرعشي في شرح إحقاق الحقّ من حديث الكساء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الشيخ عبد الله البحراني صاحب العوالم رأيت بخط الشيخ الجليل السيد هاشم البحراني عن شيخه الجليل السيد ماجد البحراني عن الشيخ الحسن بن زين الدين الشهيد الثاني عن شيخه المقدس الأردبيلي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يذكر السند متصلاً بجابر بن يزيد الجعفي عن جابر بن عبد الله الأنصاري،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قالت دخل عليّ 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الأيام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فاطمة،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أبتاه،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لأجد في بدني ضعفاً</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هذا، وحديث الكساء من الأحاديث المستفيضة، بل قد ادعي تواتره معنى عند الشيعة والسُنَّة ورواه الحفّاظ، ولكن ليس بهذا اللفظ الذي أورده السيد المرعشي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مصادرنا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في الكافي بسند صحيح عن أبي بصير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وهو في نزول آية التطهير في بيت أم سلمة، ورواه الصدوق في الخصال بلفظ آخر في حديث احتجاج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أبي بكر</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العامّة أخرجه أحمد في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6/292</w:t>
      </w:r>
      <w:r>
        <w:rPr>
          <w:rFonts w:ascii="IRNazanin" w:hAnsi="IRNazanin" w:eastAsia="IRNazanin"/>
          <w:color w:val="111111"/>
          <w:sz w:val="28"/>
          <w:sz w:val="28"/>
          <w:szCs w:val="28"/>
          <w:rtl w:val="true"/>
          <w:lang w:bidi="fa-IR"/>
        </w:rPr>
        <w:t xml:space="preserve">، في نزول آية التطهير في بيت أم سلمة،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أم سلمة قصة نزول آية التطهير عند مجيء نعي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الحديث عن رواية جابر الجعفي عن جابر الأنصاري بلا واسطة فلا نعيد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يحتمل أنْ يكون كتاب جابر في الفضائل محتوياً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فضائل أمور أخرى مثل فضائل بعض السور وفضائل بعض الأشهر والأيام وفضائل بعض الأوقات وفضائل زيارة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زيارة الإمام </w:t>
      </w:r>
      <w:bookmarkStart w:id="979" w:name="pg9124_98863"/>
    </w:p>
    <w:p>
      <w:pPr>
        <w:pStyle w:val="BookText"/>
        <w:rPr/>
      </w:pPr>
      <w:bookmarkEnd w:id="979"/>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ممّا هو مبثوث في الكتب ككتب الصدوق والمفيد والشيخ الطوسي وغيرها</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وهذه الموارد أخرجها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وتوحيد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والمعجم الكبير للطبراني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وفضائل الأشهر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والمقنعة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ومصباح المتهجد للشيخ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ومصادقة الإخوان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والمزار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ومصباح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ومكارم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ومستطرفات السرائر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0" w:name="__RefHeading___Toc2933834_2870459653"/>
      <w:bookmarkStart w:id="981" w:name="_Toc389"/>
      <w:bookmarkEnd w:id="980"/>
      <w:r>
        <w:rPr>
          <w:rtl w:val="true"/>
        </w:rPr>
        <w:t>مضامين أحاديث جابر عند الفريقين</w:t>
      </w:r>
      <w:bookmarkEnd w:id="981"/>
    </w:p>
    <w:p>
      <w:pPr>
        <w:pStyle w:val="Heading6"/>
        <w:numPr>
          <w:ilvl w:val="5"/>
          <w:numId w:val="1"/>
        </w:numPr>
        <w:rPr/>
      </w:pPr>
      <w:bookmarkStart w:id="982" w:name="__RefHeading___Toc2933836_2870459653"/>
      <w:bookmarkStart w:id="983" w:name="_Toc390"/>
      <w:bookmarkEnd w:id="982"/>
      <w:r>
        <w:rPr>
          <w:rtl w:val="true"/>
        </w:rPr>
        <w:t>أ</w:t>
      </w:r>
      <w:r>
        <w:rPr>
          <w:rtl w:val="true"/>
        </w:rPr>
        <w:t xml:space="preserve">. </w:t>
      </w:r>
      <w:r>
        <w:rPr>
          <w:rtl w:val="true"/>
        </w:rPr>
        <w:t>أصول الدين</w:t>
      </w:r>
      <w:bookmarkEnd w:id="983"/>
    </w:p>
    <w:p>
      <w:pPr>
        <w:pStyle w:val="Heading6"/>
        <w:numPr>
          <w:ilvl w:val="5"/>
          <w:numId w:val="1"/>
        </w:numPr>
        <w:rPr/>
      </w:pPr>
      <w:bookmarkStart w:id="984" w:name="__RefHeading___Toc2933838_2870459653"/>
      <w:bookmarkStart w:id="985" w:name="_Toc391"/>
      <w:bookmarkEnd w:id="984"/>
      <w:r>
        <w:rPr/>
        <w:t>1</w:t>
      </w:r>
      <w:r>
        <w:rPr>
          <w:rtl w:val="true"/>
        </w:rPr>
        <w:t xml:space="preserve">. </w:t>
      </w:r>
      <w:r>
        <w:rPr>
          <w:rtl w:val="true"/>
        </w:rPr>
        <w:t>توحيد الله تعالى وصفاته</w:t>
      </w:r>
      <w:bookmarkEnd w:id="985"/>
    </w:p>
    <w:p>
      <w:pPr>
        <w:pStyle w:val="BookText"/>
        <w:rPr/>
      </w:pPr>
      <w:r>
        <w:rPr>
          <w:rFonts w:ascii="Amiri" w:hAnsi="Amiri" w:eastAsia="Amiri" w:cs="Amiri"/>
          <w:color w:val="111111"/>
          <w:sz w:val="28"/>
          <w:sz w:val="28"/>
          <w:szCs w:val="28"/>
          <w:rtl w:val="true"/>
          <w:lang w:bidi="ar-SA"/>
        </w:rPr>
        <w:t>وتتمثل عناية جابر بهذا الموضوع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جهة من خلال رواياته التفسيرية للآيات المرتبطة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ألقى في الكوفة على المسلمين خطباً توحيدية كثيرة في وصف الله سبحانه وتعالى وعظمته، وكان جابر المعني بآثار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بطبيعة الحال له حظّ من روايتها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أبرز ما روي عنه خطبة الوسيلة التي خطبها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بسبعة أيام، وممَّا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منع الأوهام أنْ تنال إلَّا وجوده وحجب العقول أنْ تتخيل ذاته لامتناعها من الشبه والتشاكل، بل هو الذي لا يتفاوت في ذاته ولا يتبعّض بتجزئة العدد في كماله، فارق الأشياء لا على اختلاف الأماكن ويكون فيها لا على وجه الممازجة، وعلمها لا بأداة، لا يكون العلم إلَّا بها وليس بينه وبين معلومه علم غيره به كان عالماً بمعلومه، 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فعلى تأويل أزلية الوجود، وإنْ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فعلى تأويل نفي العدم، فسبحانه وتعالى عن قول من عبد سواه واتخذ إلهاً غيره علواً كبيراً</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جهة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تلقى جابر روايات في هذا الحقل من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عنه في كتاب التوحيد عن العدة، عن أحمد بن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يونس بن عبد الرحمن، عن الحسن ابن السري، 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شيء من التوحيد،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تباركت أسماؤه التي يدعا بها وتعالى في علو كنهه واحد توحد بالتوحيد في توحده، ثُمَّ أجراه على خلقه فهو واحد، صمد، قدوس يعبده كل شيء، ويصمد إليه كل شيء، ووسع كل شيء علماً</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أيضاً في الروضة خطبة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تحميد الله وتمجيده بسنده عن علي بن الحسين المؤدب وغيره، عن أحمد بن محمَّد بن خالد، عن إسماعيل بن </w:t>
      </w:r>
      <w:bookmarkStart w:id="986" w:name="pg9124_98865"/>
    </w:p>
    <w:p>
      <w:pPr>
        <w:pStyle w:val="BookText"/>
        <w:rPr/>
      </w:pPr>
      <w:bookmarkEnd w:id="986"/>
      <w:r>
        <w:rPr>
          <w:rFonts w:ascii="IRNazanin" w:hAnsi="IRNazanin" w:eastAsia="IRNazanin"/>
          <w:color w:val="111111"/>
          <w:sz w:val="28"/>
          <w:sz w:val="28"/>
          <w:szCs w:val="28"/>
          <w:rtl w:val="true"/>
          <w:lang w:bidi="fa-IR"/>
        </w:rPr>
        <w:t xml:space="preserve">مهران، عن عبد الله بن أبي الحارث الهمداني،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الخافض الرافع، الضار النافع، الجواد الواسع، الجليل ثناؤه، الصادقة أسماؤه، المحيط بالغيوب وما يخطر على القلوب، الذي جعل الموت بين خلقه عدلاً، وأنعم بالحياة عليهم فضلاً، فأحيا وأمات وقدّر الأقوات، أحكمها بعلمه تقديراً، وأتقنها بحكمته تدبيراً، إنَّه كان خبيراً بصيراً، هو الدائم بلا فناء والباقي إلى غير منتهى</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الصدوق في توحيده عن جابر بن يزيد الجعفي سبعة عشر حديثاً في توحيد الله سبحانه وتعالى وعلمه وباقي صفاته وتنزيهه</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7" w:name="__RefHeading___Toc2933840_2870459653"/>
      <w:bookmarkStart w:id="988" w:name="_Toc392"/>
      <w:bookmarkEnd w:id="987"/>
      <w:r>
        <w:rPr/>
        <w:t>2</w:t>
      </w:r>
      <w:r>
        <w:rPr>
          <w:rtl w:val="true"/>
        </w:rPr>
        <w:t xml:space="preserve">. </w:t>
      </w:r>
      <w:r>
        <w:rPr>
          <w:rtl w:val="true"/>
        </w:rPr>
        <w:t>النبوة</w:t>
      </w:r>
      <w:bookmarkEnd w:id="988"/>
    </w:p>
    <w:p>
      <w:pPr>
        <w:pStyle w:val="BookText"/>
        <w:rPr/>
      </w:pPr>
      <w:r>
        <w:rPr>
          <w:rFonts w:ascii="IRNazanin" w:hAnsi="IRNazanin" w:eastAsia="IRNazanin"/>
          <w:color w:val="111111"/>
          <w:sz w:val="28"/>
          <w:sz w:val="28"/>
          <w:szCs w:val="28"/>
          <w:rtl w:val="true"/>
          <w:lang w:bidi="fa-IR"/>
        </w:rPr>
        <w:t xml:space="preserve">وقد روى جابر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يتعلق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خُلُقه وخَلقه وكراماته وسائر أحواله الكثير، من ذلك</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عن العدة، عن أحمد بن محمَّد بن خالد، عن إسماعيل بن مهران، </w:t>
      </w:r>
      <w:bookmarkStart w:id="989" w:name="pg9124_98866"/>
    </w:p>
    <w:p>
      <w:pPr>
        <w:pStyle w:val="BookText"/>
        <w:rPr/>
      </w:pPr>
      <w:bookmarkEnd w:id="989"/>
      <w:r>
        <w:rPr>
          <w:rFonts w:ascii="IRNazanin" w:hAnsi="IRNazanin" w:eastAsia="IRNazanin"/>
          <w:color w:val="111111"/>
          <w:sz w:val="28"/>
          <w:sz w:val="28"/>
          <w:szCs w:val="28"/>
          <w:rtl w:val="true"/>
          <w:lang w:bidi="fa-IR"/>
        </w:rPr>
        <w:t xml:space="preserve">عن سيف بن عميرة، عن عمرو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الهدية، ولا يأكل الصدقة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تهادوا فإنَّ الهدية تسل السخائم وتجلي ضغائن العداوة والأحقاد</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أحمد بن محمَّد بن خالد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أحمد بن النضر، عن عمرو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أكل العبد ويجلس جلسة العبد، وكان يأكل على الحضيض، وينام على الحضيض</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الكليني عن العدة، عن أحمد بن محمَّد، عن علي بن سيف، عن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لي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أبيض مشرب حمرة، أدعج العينين، مقرون الحاجبين، شثن الأطراف، كأنَّ الذهب أفرغ على براثنه، عظيم مشاشة المنكبين، إذا التفت يلتفت جميعاً من شدة استرساله، سربته سائلة، من لبته إلى سرته كأنَّها وسط الفضة المصفاة، وكأنَّ عنقه إلى كاهله إبريق فضة، يكاد أنفه إذا شرب أنْ يرد الماء، وإذا مشى تكفأ كأنَّه ينزل في صبب، لم يرَ مثل نبي الله قبله ولا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0" w:name="__RefHeading___Toc2933842_2870459653"/>
      <w:bookmarkStart w:id="991" w:name="_Toc393"/>
      <w:bookmarkEnd w:id="990"/>
      <w:r>
        <w:rPr/>
        <w:t>3</w:t>
      </w:r>
      <w:r>
        <w:rPr>
          <w:rtl w:val="true"/>
        </w:rPr>
        <w:t xml:space="preserve">. </w:t>
      </w:r>
      <w:r>
        <w:rPr>
          <w:rtl w:val="true"/>
        </w:rPr>
        <w:t>الإمامة</w:t>
      </w:r>
      <w:bookmarkEnd w:id="991"/>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تحدث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الكوفة في خطبه كثيراً عن اصطفاء الأنبياء عامة </w:t>
      </w:r>
    </w:p>
    <w:p>
      <w:pPr>
        <w:pStyle w:val="BookText"/>
        <w:rPr/>
      </w:pPr>
      <w:r>
        <w:rPr>
          <w:rFonts w:ascii="IRNazanin" w:hAnsi="IRNazanin" w:eastAsia="IRNazanin"/>
          <w:color w:val="111111"/>
          <w:sz w:val="28"/>
          <w:sz w:val="28"/>
          <w:szCs w:val="28"/>
          <w:rtl w:val="true"/>
          <w:lang w:bidi="fa-IR"/>
        </w:rPr>
        <w:t xml:space="preserve">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كما ذكر فضيلة أهل البيت في هذه الأمة، وكون الوصاية والولاية والوراثة فيهم ما أدى إلى غلبة جو التشيع لآل البيت على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بدرجات متفاوتة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عُرِفَ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المرحلة الثانية من حياته عند الاتصال بالإمام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اهتمامه بهذا البُعد من أبعاد اصطفاء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كان ذلك منشأ لابتعاد الوسط الحديثي السُنّي عنه، إذ أخذوا عليه أنَّه كان يقول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وصي الأوصياء، وكان يقول برجعة الأمر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هو الصادق الأمين عندهم قبل هذه المرحلة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ذكر الفريقان عن جابر أنَّه روى أحاديث كثيرة لم يحدِّث بها أحداً، وورد أنَّ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أوصاه بعدم بثّها وإذاعتها، وقد يرجح تعلّق كثير منها بهذا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الطبيعي أنَّ الجمهور لم يكونوا يستسيغون روايات له من هذا القبيل، فلم يرووها عنه، ولكن ورد ذلك في تراثه عند الإمامية، مع حاجته إلى التمحيص والنقد، ومن ذلك</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عن محمَّد بن يحيى، عن أحمد بن محمَّد، عن الحسن بن محبوب، عن عبد الله بن غالب،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 كُلَّ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ألستَ إمام الناس كلهم أجمعين؟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إلى الناس أجمعين، ولكن سيكون من بعدي أئمة على الناس من الله من أهل بيتي، يقومون في الناس فيكذبون، ويظلمهم أئمة الكفر والضلال وأشياعهم، فمن والاهم، واتبعهم وصدقهم فهو مني ومعي وسيلقاني، ألا ومن ظلمهم وكذّبهم فليس مني ولا معي وأنا منه برئ</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bookmarkStart w:id="992" w:name="pg9124_98868"/>
    </w:p>
    <w:p>
      <w:pPr>
        <w:pStyle w:val="BookText"/>
        <w:rPr/>
      </w:pPr>
      <w:bookmarkEnd w:id="992"/>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الروضة عن علي بن محمَّد، عن علي بن العباس، عن علي بن حمّاد،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الأوصياء من آل محمَّد واتبع آثارهم فذلك يزيده ولاية من مضى من النبيين والمؤمنين الأوَّلين حتى تصل ولايتهم إلى آدم</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في كتاب الحجة باب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والنصّ على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باب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والنصّ على أبي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البصائر والكافي في كتاب الحجة ما أورداه بشأن الإمامة وسيأتي في البحث عن كتاب التفسير لجابر أيضاً ما يتعلق بشأن الإمامة</w:t>
      </w:r>
      <w:r>
        <w:rPr>
          <w:rFonts w:eastAsia="Amiri" w:cs="Amiri" w:ascii="Amiri" w:hAnsi="Amiri"/>
          <w:color w:val="111111"/>
          <w:sz w:val="28"/>
          <w:szCs w:val="28"/>
          <w:rtl w:val="true"/>
          <w:lang w:bidi="ar-SA"/>
        </w:rPr>
        <w:t>.</w:t>
      </w:r>
    </w:p>
    <w:p>
      <w:pPr>
        <w:pStyle w:val="Heading6"/>
        <w:numPr>
          <w:ilvl w:val="5"/>
          <w:numId w:val="1"/>
        </w:numPr>
        <w:rPr/>
      </w:pPr>
      <w:bookmarkStart w:id="993" w:name="__RefHeading___Toc2933844_2870459653"/>
      <w:bookmarkStart w:id="994" w:name="_Toc394"/>
      <w:bookmarkEnd w:id="993"/>
      <w:r>
        <w:rPr/>
        <w:t>4</w:t>
      </w:r>
      <w:r>
        <w:rPr>
          <w:rtl w:val="true"/>
        </w:rPr>
        <w:t xml:space="preserve">. </w:t>
      </w:r>
      <w:r>
        <w:rPr>
          <w:rtl w:val="true"/>
        </w:rPr>
        <w:t>البرزخ والمعاد</w:t>
      </w:r>
      <w:bookmarkEnd w:id="994"/>
    </w:p>
    <w:p>
      <w:pPr>
        <w:pStyle w:val="BookText"/>
        <w:rPr/>
      </w:pPr>
      <w:r>
        <w:rPr>
          <w:rFonts w:ascii="Amiri" w:hAnsi="Amiri" w:eastAsia="Amiri" w:cs="Amiri"/>
          <w:color w:val="111111"/>
          <w:sz w:val="28"/>
          <w:sz w:val="28"/>
          <w:szCs w:val="28"/>
          <w:rtl w:val="true"/>
          <w:lang w:bidi="ar-SA"/>
        </w:rPr>
        <w:t>وقد اعتنى جابر بنقل الروايات التي تتعلق بالموت وعوالم البرزخ والقيامة والجنّة والنّار، فمن ذلك</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بكيفية قبض الأرواح، فقد روى الكليني عن علي بن إبراهيم عن أبيه، عن عمرو بن عثمان، عن المفضل بن صالح،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مَنْ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 أَنَّهُ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ذلك ابن </w:t>
      </w:r>
    </w:p>
    <w:p>
      <w:pPr>
        <w:pStyle w:val="BookText"/>
        <w:rPr/>
      </w:pPr>
      <w:r>
        <w:rPr>
          <w:rFonts w:ascii="Amiri" w:hAnsi="Amiri" w:eastAsia="Amiri" w:cs="Amiri"/>
          <w:color w:val="111111"/>
          <w:sz w:val="28"/>
          <w:sz w:val="28"/>
          <w:szCs w:val="28"/>
          <w:rtl w:val="true"/>
          <w:lang w:bidi="ar-SA"/>
        </w:rPr>
        <w:t>آدم إذا حلَّ به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دافع؟</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إنَّه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 بمفارقة الأحبة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وَالْتَفَّتِ السَّاقُ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الدنيا بالآخرة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 يَوْمَئِذٍ الْمَسَاقُ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 إلى ربِّ العالمين</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أحمد بن محمَّد بن خالد البرقي في المحاسن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داود بن سليمان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زياد اليماني، عن إسرائيل،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لقنوا موتاكم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أُنس للمؤمن من حين يمزق قبره</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من قبيل كيفية قبض روح الكافر، وما يلاقيه في عالم البرزخ والقيامة، كما ورد في الاختصاص المنسوب إلى المفيد</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يتعلّق بعالم البرزخ، فقد روى الكليني بعدة أسانيد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أسانيده عن طريق جابر الجعفي،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عمرو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وعدة من أصحابنا، عن سهل بن زياد، عن أحمد بن محمَّد بن أبي نصر، والحسن ابن علي جميعاً، عن أبي جميلة مفضل بن صالح، عن جابر، عن عبد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سويد </w:t>
      </w:r>
      <w:bookmarkStart w:id="995" w:name="pg9124_98870"/>
    </w:p>
    <w:p>
      <w:pPr>
        <w:pStyle w:val="BookText"/>
        <w:rPr/>
      </w:pPr>
      <w:bookmarkEnd w:id="995"/>
      <w:r>
        <w:rPr>
          <w:rFonts w:ascii="IRNazanin" w:hAnsi="IRNazanin" w:eastAsia="IRNazanin"/>
          <w:color w:val="111111"/>
          <w:sz w:val="28"/>
          <w:sz w:val="28"/>
          <w:szCs w:val="28"/>
          <w:rtl w:val="true"/>
          <w:lang w:bidi="fa-IR"/>
        </w:rPr>
        <w:t>ابن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آدم إذا كان في آخر يوم من أيام الدنيا وأوَّل يوم من أيام الآخرة مَثُلَ له ماله وولده وعمله، فيلتفت إلى ماله فيقول</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6" w:name="__RefHeading___Toc2933846_2870459653"/>
      <w:bookmarkStart w:id="997" w:name="_Toc395"/>
      <w:bookmarkEnd w:id="996"/>
      <w:r>
        <w:rPr>
          <w:rtl w:val="true"/>
        </w:rPr>
        <w:t>ب</w:t>
      </w:r>
      <w:r>
        <w:rPr>
          <w:rtl w:val="true"/>
        </w:rPr>
        <w:t xml:space="preserve">. </w:t>
      </w:r>
      <w:r>
        <w:rPr>
          <w:rtl w:val="true"/>
        </w:rPr>
        <w:t>الأخلاق</w:t>
      </w:r>
      <w:bookmarkEnd w:id="997"/>
    </w:p>
    <w:p>
      <w:pPr>
        <w:pStyle w:val="BookText"/>
        <w:rPr/>
      </w:pPr>
      <w:r>
        <w:rPr>
          <w:rFonts w:ascii="Amiri" w:hAnsi="Amiri" w:eastAsia="Amiri" w:cs="Amiri"/>
          <w:color w:val="111111"/>
          <w:sz w:val="28"/>
          <w:sz w:val="28"/>
          <w:szCs w:val="28"/>
          <w:rtl w:val="true"/>
          <w:lang w:bidi="ar-SA"/>
        </w:rPr>
        <w:t xml:space="preserve">قد اعتنى جابر الجعفي بمكارم الأخلاق وتزكية النفس وتربيتها أيّما اعتناء وهذا يتمثّل بكثرة رواياته في هذه المضامين فقد نقل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في كتاب الإيمان والكفر تسعاً وثلاثين رواية توزعت على جلِّ الأبواب التي عقدها في هذا الكتاب، وكانت مضامين 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الإسلام والإيمان والكفر والنفاق، صفة الإيمان، فضل الإيمان على الإسلام، الطاعة والتقوى وما يجب أنْ يتصف به الشيعة، الصبر، والصبر الجميل، العفو، الحلم، الرفق، الحبّ في الله تعالى والبغض فيه، ذمّ الدنيا والزهد فيها، القناعة، صلة الرحم، برّ الوالدين، الاهتمام بأمور المسلمين، إخوة المؤمنين بعضهم لبعض، حقّ المؤمن على أخيه وأداء حقه، زيارة الإخوان، المصافحة، إدخال السرور على المؤمن، نصيحة المؤمن، علامات المؤمن وصفاته، الصبر على البلاء، شدة ابتلاء المؤمن، الإصرار على الذنب، الخرق، البذاء، السباب، من أطاع المخلوق في معصية الخالق، التوبة، الدعاء للإخوان بظهر الغيب، القول عند الإصباح والإمساء</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في التهذيب بإسناده عن الصفار، عن علي بن محمَّد، عن القاسم بن محمَّد، عن سليمان بن داود المنقري، عن يحيى بن آدم، عن شريك، عن جابر بن يزيد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سخاء المرء عمّا في أيدي الناس أكثر من سخاء النفس </w:t>
      </w:r>
    </w:p>
    <w:p>
      <w:pPr>
        <w:pStyle w:val="BookText"/>
        <w:rPr/>
      </w:pPr>
      <w:r>
        <w:rPr>
          <w:rFonts w:ascii="Amiri" w:hAnsi="Amiri" w:eastAsia="Amiri" w:cs="Amiri"/>
          <w:color w:val="111111"/>
          <w:sz w:val="28"/>
          <w:sz w:val="28"/>
          <w:szCs w:val="28"/>
          <w:rtl w:val="true"/>
          <w:lang w:bidi="ar-SA"/>
        </w:rPr>
        <w:t>والبذل، ومروة الصبر في حال الفاقة والحاجة والتعفف والغنى أكثر من مروة الإعطاء، وخير المال الثقة بالله واليأس عمّا في أيدي الناس</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وأيضاً روى الشيخ في الأمالي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القاسم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محمَّد بن عيسى، عن يونس بن عبد الرحمن، عن عمرو ابن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جماعة بعدما قضينا نسكنا، فودعناه وقلنا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أوصنا 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ليعن قويكم ضعيفكم، وليعطف غنيكم على فقيركم، ولينصح الرجل أخاه كنصيحته لنفسه، واكتموا أسرارنا ولا تحملوا الناس على أعناقنا</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بعض ما عند الخاصّة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عند العامّة فقد أخرج 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في كتبه في الأخلاق عدة روايات نشير إلى عناوينها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w:t>
      </w:r>
      <w:r>
        <w:rPr>
          <w:rStyle w:val="FootnoteAnchor"/>
          <w:rtl w:val="true"/>
        </w:rPr>
        <w:footnoteReference w:id="894"/>
      </w:r>
      <w:r>
        <w:rPr>
          <w:rFonts w:ascii="Amiri" w:hAnsi="Amiri" w:eastAsia="Amiri" w:cs="Amiri"/>
          <w:color w:val="111111"/>
          <w:sz w:val="28"/>
          <w:sz w:val="28"/>
          <w:szCs w:val="28"/>
          <w:rtl w:val="true"/>
          <w:lang w:bidi="ar-SA"/>
        </w:rPr>
        <w:t>، الكِبر</w:t>
      </w:r>
      <w:r>
        <w:rPr>
          <w:rStyle w:val="FootnoteAnchor"/>
          <w:rtl w:val="true"/>
        </w:rPr>
        <w:footnoteReference w:id="895"/>
      </w:r>
      <w:r>
        <w:rPr>
          <w:rFonts w:ascii="Amiri" w:hAnsi="Amiri" w:eastAsia="Amiri" w:cs="Amiri"/>
          <w:color w:val="111111"/>
          <w:sz w:val="28"/>
          <w:sz w:val="28"/>
          <w:szCs w:val="28"/>
          <w:rtl w:val="true"/>
          <w:lang w:bidi="ar-SA"/>
        </w:rPr>
        <w:t>، الشكر لله</w:t>
      </w:r>
      <w:r>
        <w:rPr>
          <w:rStyle w:val="FootnoteAnchor"/>
          <w:rtl w:val="true"/>
        </w:rPr>
        <w:footnoteReference w:id="896"/>
      </w:r>
      <w:r>
        <w:rPr>
          <w:rFonts w:ascii="IRNazanin" w:hAnsi="IRNazanin" w:eastAsia="IRNazanin"/>
          <w:color w:val="111111"/>
          <w:sz w:val="28"/>
          <w:sz w:val="28"/>
          <w:szCs w:val="28"/>
          <w:rtl w:val="true"/>
          <w:lang w:bidi="fa-IR"/>
        </w:rPr>
        <w:t xml:space="preserve">رواها جابر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فيما يقوله الإنسان عند شربه الماء، الهمّ والحزن</w:t>
      </w:r>
      <w:r>
        <w:rPr>
          <w:rStyle w:val="FootnoteAnchor"/>
          <w:rtl w:val="true"/>
        </w:rPr>
        <w:footnoteReference w:id="897"/>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الْفَرِحِينَ</w:t>
      </w:r>
      <w:r>
        <w:rPr>
          <w:rFonts w:eastAsia="Amiri" w:cs="Amiri" w:ascii="Amiri" w:hAnsi="Amiri"/>
          <w:color w:val="111111"/>
          <w:sz w:val="28"/>
          <w:szCs w:val="28"/>
          <w:rtl w:val="true"/>
          <w:lang w:bidi="ar-SA"/>
        </w:rPr>
        <w:t xml:space="preserve">]. </w:t>
      </w:r>
      <w:bookmarkStart w:id="998" w:name="pg9124_98872"/>
    </w:p>
    <w:p>
      <w:pPr>
        <w:pStyle w:val="Heading6"/>
        <w:numPr>
          <w:ilvl w:val="5"/>
          <w:numId w:val="1"/>
        </w:numPr>
        <w:rPr/>
      </w:pPr>
      <w:bookmarkStart w:id="999" w:name="__RefHeading___Toc2933848_2870459653"/>
      <w:bookmarkStart w:id="1000" w:name="_Toc396"/>
      <w:bookmarkEnd w:id="998"/>
      <w:bookmarkEnd w:id="999"/>
      <w:r>
        <w:rPr>
          <w:rtl w:val="true"/>
        </w:rPr>
        <w:t>ج</w:t>
      </w:r>
      <w:r>
        <w:rPr>
          <w:rtl w:val="true"/>
        </w:rPr>
        <w:t xml:space="preserve">. </w:t>
      </w:r>
      <w:r>
        <w:rPr>
          <w:rtl w:val="true"/>
        </w:rPr>
        <w:t>الفقه</w:t>
      </w:r>
      <w:bookmarkEnd w:id="1000"/>
    </w:p>
    <w:p>
      <w:pPr>
        <w:pStyle w:val="BookText"/>
        <w:rPr/>
      </w:pPr>
      <w:r>
        <w:rPr>
          <w:rFonts w:ascii="Amiri" w:hAnsi="Amiri" w:eastAsia="Amiri" w:cs="Amiri"/>
          <w:color w:val="111111"/>
          <w:sz w:val="28"/>
          <w:sz w:val="28"/>
          <w:szCs w:val="28"/>
          <w:rtl w:val="true"/>
          <w:lang w:bidi="ar-SA"/>
        </w:rPr>
        <w:t>قد وصف جابر في كلام غير واحد ممّن ترجمه من علماء الجمهور بأنَّه كان فقيهاً، ولكن على سبيل رواية الأثر دون الاجتهاد بالرأي، حتى نقل عن أبي حنيفة</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محمَّد الفاريابي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يروي في كل مسألة أثراً، روى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أبي يحيى الحماني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حنيفة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جابر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بشيء من رأيه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إلَّا جاءني فيه بحديث وزعم أنَّ عنده كذا وكذا ألف 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يظهرها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ذكره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 في تعداد الفقهاء في أيام مروان بن محمَّد ابن مروان</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كان جابر فقيهاً في المرحلة الأولى من حياته قبل استبصاره، وقد وصلت إلينا روايات من فقهه في تلك المرحلة في كتب الجمهور، لكن المذكور في أغلبها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أكثر ابن أبي شيبة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مصنفه النقل عنه، فقد أورد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جابر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أكثر من مائة رواية كلها في الأحكام الشرعية في جميع </w:t>
      </w:r>
    </w:p>
    <w:p>
      <w:pPr>
        <w:pStyle w:val="BookText"/>
        <w:rPr/>
      </w:pPr>
      <w:r>
        <w:rPr>
          <w:rFonts w:ascii="Amiri" w:hAnsi="Amiri" w:eastAsia="Amiri" w:cs="Amiri"/>
          <w:color w:val="111111"/>
          <w:sz w:val="28"/>
          <w:sz w:val="28"/>
          <w:szCs w:val="28"/>
          <w:rtl w:val="true"/>
          <w:lang w:bidi="ar-SA"/>
        </w:rPr>
        <w:t>الأبواب الفقهية، وأورد أيضاً ما رواه جابر عن بقية أساتذته كعامر الشعبي وعطاء وسالم والقاسم والحكم وطاووس وعكرمة، فكان في الجزء الأول أربع وسبعين رواية، وقد نُقل رأيه في هذا الجزء في موردين</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في رجل أراد أن يؤذن فأقام؟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لَكُمُ الْخَيْطُ الأَبْيَضُ مِنَ الْخَيْطِ الأَسْوَدِ مِنَ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حمرة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المورد يظهر أنَّ هذا رأيه، ولكن قوّاه بقول سعيد بن جبير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عنه في الجزء الثاني سبعاً وخمسين رواية، ووردت روايته في الجزء الثالث في كتاب الزكاة وأحكامها، وزكاة الفطرة، وأصناف المستحقين، وفي أحكام الاحتضار، وغسل الميت، وغسل المس، وصلاة الجنائز، وأحكام الدفن والقبور والنياحة، ووردت روايته في كتاب، النكاح، وفي كتاب الأيمان والنذور والكفارات في جميع فروعها، ووردت روايته في الجزء الرابع في كتاب الطلاق وأحكامه، وهكذا في بقية الأجزاء من المصنف في باقي الأبواب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المظنون قوياً أنَّه أخذها من أصله خصوصاً مع اتحاد السند في أغلب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يؤكد ما استظهرناه من أنَّ الرجل كان فقيهاً قبل استبصاره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عند الإمامية فقد لاحظ النجاشي حول روايات جابر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يورد عنه شيء في الحلال والحرام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وناقش في هذا القول غير واحد من المتأخرين منهم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وتصدى للجواب عنه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كثير من أبواب الأحكام منه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الصدوق في باب السبعين من الخصال عنه خبراً طويلاً فيه سبعون حكماً من أحكام النساء يصير بمنزلة سبعين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جعفر بن محمَّد بن شريح أكثر أخباره عنه، وأغلبها في الأحكام، </w:t>
      </w:r>
    </w:p>
    <w:p>
      <w:pPr>
        <w:pStyle w:val="BookText"/>
        <w:rPr/>
      </w:pPr>
      <w:r>
        <w:rPr>
          <w:rFonts w:ascii="Amiri" w:hAnsi="Amiri" w:eastAsia="Amiri" w:cs="Amiri"/>
          <w:color w:val="111111"/>
          <w:sz w:val="28"/>
          <w:sz w:val="28"/>
          <w:szCs w:val="28"/>
          <w:rtl w:val="true"/>
          <w:lang w:bidi="ar-SA"/>
        </w:rPr>
        <w:t>فلو جمع أحد أسانيد جابر في الأحكام لصار كتاباً، فكيف يستقل هذا النقّاد مروياته في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الغض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وهناً فيه، فإنَّ القائمين بجمع الأحكام في عصره كان أكثر من أنْ يحصى، فلعلّه رأى أنْ جمع غيرها ممَّا يتعلّق بالدين كالمعارف والفضائل والمعاجز والأخلاف والساعة الصغرى والكبرى أهم، ونشرها ألزم، فكلها من معالم الدين وشعب شريعة خاتم النبيين، كما أنَّ قلّة ما ورد من زرارة وأضرابه في هذه المقامات لا تورث وهناً فيهم، ولكل وجهة هو موليها</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ونحا منحى الجواب الأول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منه غريب، فإنَّ الروايات عنه في الكتب الأربعة كثيرة، رواها المشايخ</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والواقع أنَّ أحاديث جابر في الفروع ليست بتلك القلّة فقد روى الكليني في الكافي في الفروع خمساً وثمانين رواية</w:t>
      </w:r>
      <w:r>
        <w:rPr>
          <w:rStyle w:val="FootnoteAnchor"/>
          <w:rtl w:val="true"/>
        </w:rPr>
        <w:footnoteReference w:id="903"/>
      </w:r>
      <w:r>
        <w:rPr>
          <w:rFonts w:ascii="Amiri" w:hAnsi="Amiri" w:eastAsia="Amiri" w:cs="Amiri"/>
          <w:color w:val="111111"/>
          <w:sz w:val="28"/>
          <w:sz w:val="28"/>
          <w:szCs w:val="28"/>
          <w:rtl w:val="true"/>
          <w:lang w:bidi="ar-SA"/>
        </w:rPr>
        <w:t>، وأخرج له الشيخ الصدوق في الفقيه ستاً وثلاثين رواية</w:t>
      </w:r>
      <w:r>
        <w:rPr>
          <w:rStyle w:val="FootnoteAnchor"/>
          <w:rtl w:val="true"/>
        </w:rPr>
        <w:footnoteReference w:id="904"/>
      </w:r>
      <w:r>
        <w:rPr>
          <w:rFonts w:ascii="Amiri" w:hAnsi="Amiri" w:eastAsia="Amiri" w:cs="Amiri"/>
          <w:color w:val="111111"/>
          <w:sz w:val="28"/>
          <w:sz w:val="28"/>
          <w:szCs w:val="28"/>
          <w:rtl w:val="true"/>
          <w:lang w:bidi="ar-SA"/>
        </w:rPr>
        <w:t>، وأخرج له الشيخ الطوسي في التهذيب ستاً وخمسين رواية</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bookmarkStart w:id="1001" w:name="pg9124_98875"/>
    </w:p>
    <w:p>
      <w:pPr>
        <w:pStyle w:val="BookText"/>
        <w:rPr/>
      </w:pPr>
      <w:bookmarkEnd w:id="1001"/>
      <w:r>
        <w:rPr>
          <w:rFonts w:ascii="IRNazanin" w:hAnsi="IRNazanin" w:eastAsia="IRNazanin"/>
          <w:color w:val="111111"/>
          <w:sz w:val="28"/>
          <w:sz w:val="28"/>
          <w:szCs w:val="28"/>
          <w:rtl w:val="true"/>
          <w:lang w:bidi="fa-IR"/>
        </w:rPr>
        <w:t xml:space="preserve">نعم، هو أقلّ من الرواية عنه في العقائد والفضائل ونحوهما، كما هو أقلّ من روايات سائر مشاهير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زرارة ومحمَّد بن مسلم وبُريد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توجه قلّة رواياته في 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التسليم بها، إنْ لم يكن تراثه الفقهي ضاع فيما ضاع من تراثه التفسيري والفضائلي والتاريخي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يعدّون بعض أصحابهم إعداداً تخصصياً فمنهم من يختص بالفقه، ومنهم من يختص بالكلام، ومنهم من يختص بغير ذلك من العلوم، وجابر قد خصّه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بتعليمه فضائل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ما يمتازون به وما عندهم من العلوم بالإضافة إلى تأويل الآيات الشريفة وتفسير القرآن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وإمَّا أنَّ الأجواء لم تكن تسمح له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بالتوسع في الحديث كما انفتح للجيل الذي بعده مثل زرارة ومحمَّد بن مسلم وأبان بن تغلب وأضرابهم ممّن أكثروا الرواية في الفروع</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2933850_2870459653"/>
      <w:bookmarkStart w:id="1003" w:name="_Toc397"/>
      <w:bookmarkEnd w:id="1002"/>
      <w:r>
        <w:rPr/>
        <w:t>2</w:t>
      </w:r>
      <w:r>
        <w:rPr>
          <w:rtl w:val="true"/>
        </w:rPr>
        <w:t xml:space="preserve">. </w:t>
      </w:r>
      <w:r>
        <w:rPr>
          <w:rtl w:val="true"/>
        </w:rPr>
        <w:t>التفسير</w:t>
      </w:r>
      <w:bookmarkEnd w:id="1003"/>
    </w:p>
    <w:p>
      <w:pPr>
        <w:pStyle w:val="Heading6"/>
        <w:numPr>
          <w:ilvl w:val="5"/>
          <w:numId w:val="1"/>
        </w:numPr>
        <w:rPr/>
      </w:pPr>
      <w:bookmarkStart w:id="1004" w:name="__RefHeading___Toc2933852_2870459653"/>
      <w:bookmarkStart w:id="1005" w:name="_Toc398"/>
      <w:bookmarkEnd w:id="1004"/>
      <w:r>
        <w:rPr>
          <w:rtl w:val="true"/>
        </w:rPr>
        <w:t>اشارة</w:t>
      </w:r>
      <w:bookmarkEnd w:id="1005"/>
    </w:p>
    <w:p>
      <w:pPr>
        <w:pStyle w:val="BookText"/>
        <w:rPr/>
      </w:pPr>
      <w:r>
        <w:rPr>
          <w:rFonts w:ascii="IRNazanin" w:hAnsi="IRNazanin" w:eastAsia="IRNazanin"/>
          <w:color w:val="111111"/>
          <w:sz w:val="28"/>
          <w:sz w:val="28"/>
          <w:szCs w:val="28"/>
          <w:rtl w:val="true"/>
          <w:lang w:bidi="fa-IR"/>
        </w:rPr>
        <w:t>التفسیر</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اعتنى جابر بتفسير القرآن الكريم وبعلوم القرآن عامّة في كل من مرحلتي حياته، ففي المرحلة الأولى أخذ التفسير عن أساتذته من التابعين من أمثال مجاهد وعكرمة والشعبي وعبد الرحمن بن سابط، وطاووس بن كيسان اليماني، وعطاء بن رباح المكي وغيرهم، وفي المرحلة الثانية أخذ تفسير الآيات وتأويلها عن الإمامين الباقر </w:t>
      </w:r>
    </w:p>
    <w:p>
      <w:pPr>
        <w:pStyle w:val="BookText"/>
        <w:rPr/>
      </w:pPr>
      <w:r>
        <w:rPr>
          <w:rFonts w:ascii="IRNazanin" w:hAnsi="IRNazanin" w:eastAsia="IRNazanin"/>
          <w:color w:val="111111"/>
          <w:sz w:val="28"/>
          <w:sz w:val="28"/>
          <w:szCs w:val="28"/>
          <w:rtl w:val="true"/>
          <w:lang w:bidi="fa-IR"/>
        </w:rPr>
        <w:t xml:space="preserve">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كانت طريقة جابر في التفسير مبتنية على التفسير بالأثر، ولا نجد عنه تفسيراً للآيات موقوفاً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كل من الفريقين من تراث جابر في التفسير ما رواه في المرحلة التي انتمى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علماء الجمهور فقد رووا عن جابر من غير أنْ يرد لديهم ذكر كتاب له في التفسير، وجلّ ما رووه عنه عن التابعين، وربَّما رووا عنه روايات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وممّن روى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تلميذه المشهور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وردت روايته عن جابر في تفسيره في تسعة عشر موضعاً</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الرزاق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حيث وردت روايته عن جابر في ستة مواضع، وهي تنتهي إلى مجاهد، وأرسل عن أبي بكر، وعن مجاهد عن ابن عباس</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البيان عن تأويل آي القرآن، فقد نقل في تفسيره عن جابر في مائتين وتسعة مواضع</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وهي تنتهي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وتقف تارة على بعض الصحابة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 الله بن عباس، وعبد الله بن مسعود، وحذيفة بن اليمان، وسلمان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وأخرى على بعض التابعين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وعكرمة، ومجاهد، وعامر الشعبي، وعبد الرحمن بن الأسود، وسالم بن عبد الله بن عمر، والقاسم بن عبد الرحمن ابن عبد الله بن مسعود، وعطاء بن أبي رباح، وأبي قرة، وعبد الرحمن بن سابط، والحكم ابن عتيبة، والحسن بن مسلم، وسعيد بن جبير، ومسروق بن الأجدع بن مالك الهمداني الوادعي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المحتمل أنَّ هذه المواضع أخذها من كتاب جابر في التفسير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القرآن العظيم فقد أخرج عن جابر سبعة وسبعين حديثاً في تفسيره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القرآن فقد أخرج في كتابه عن جابر عشرين حديثاً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بعض ما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الخاصّة فقد ذكروا له في فهارسهم كتاباً في التفسير، حتى ورد ذكره في كتاب الاختصاص المنسوب إلى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 منه يتضمن روايات عن أحوال الرجال على حدِّ 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ذكره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 بن يزيد الجعفي صاحب التفسير</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كُلاً من النجاشي والشيخ الطوسي كتاب التفسير لجابر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النجاشي فقد رواه من طريق الحافظ الزيدي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أخبرناه أحمد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خاقان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علي أبو سمينة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الربيع بن زكريا الورّاق، عن عبد الله بن محمَّد عن جابر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عبد الله بن محمَّد يقال له الجعفي ضعيف، وروى هذه النسخة أحمد ابن محمَّد بن سعيد، عن جعفر بن عبد الله المحمَّدي، عن يحيى بن حبيب الذراع، عن عمرو بن شمر، عن جابر</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التفسير فقد قال في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به جماعة من أصحابنا، عن أبي محمَّد هارون بن موسى التلعكبري، عن أبي علي ابن همام، عن جعفر بن محمَّد بن مالك ومحمَّد بن جعفر الرزّاز، عن القاسم بن الربيع، عن محمَّد بن سنان، عن عمّار بن مروان، عن منخل بن جميل، عن جابر بن يزيد</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والملاحظ أنَّ الرواة الثلاثة لكتابه في طريقي النجاشي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الجعفي، وعمرو بن شمر الجعفي، ومنخل بن جميل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ضعفاء جميعاً، وكذا جمع من الرواة المتأخرين للتفسير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أبو سمينة، وجعفر بن محمَّد بن مالك، ومحمَّد بن سنان، والقاسم بن الربيع، وقد ذكر النجاشي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المنخل بن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 أيضاً، ويحتمل أنْ يكون هو كتاب جابر مع إضافات له كما يتعارف مثله لدى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سؤال مروي عن راويين،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 والآخر المفضل بن عمر الجعفي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فقد جاء في تأويل الآيات الظاهرة عن ابن الماهيار</w:t>
      </w:r>
      <w:r>
        <w:rPr>
          <w:rStyle w:val="FootnoteAnchor"/>
          <w:rtl w:val="true"/>
        </w:rPr>
        <w:footnoteReference w:id="913"/>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الحسين بن أحمد، عن محمَّد بن عيسى، عن يونس بن يعقوب،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أحدِّثهم بتفسير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تحدِّث به السفلة فيذيعوه، أما 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إِلَيْنَا إِيَابَهُمْ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عَلَيْنَا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وجمع الله الأوَّلين والآخرين ولّانا حساب شيعتنا فما كان بينهم وبين الله حكمنا على الله فيه فأجاز حكومتنا، وما كان بينهم وبين الناس استوهبناه فوهبوه لنا، وما كان بيننا وبينهم فنحن أحق من عفا وصفح</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الآخر فهو ما رواه المفضل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روى علي بن بابويه بإسناده عن عبد 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بن أبي الخطاب، عن موسى بن سعدان، عن عبد الله بن القاسم،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تفسير جابر؟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تحدِّث به السفل، فيذيعوه، أما تقرأ في كتاب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نُقِرَ فِي النَّاقُورِ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 إماماً مستتراً، فإذا أراد الله عزَّ وجلَّ إظهار أمره نكت في قلبه نكتة، فظهر وأمر بأمر الله عزَّ وجلَّ</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روى هذه الرواية ولده الصدوق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ابن أبي الخطاب، عن موسى بن سعدان، عن عبد الله بن القاسم،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به السفل فيذيعوه، أما تقرأ في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 إماماً مستتراً فإذا أراد الله عزَّ </w:t>
      </w:r>
    </w:p>
    <w:p>
      <w:pPr>
        <w:pStyle w:val="BookText"/>
        <w:rPr/>
      </w:pPr>
      <w:r>
        <w:rPr>
          <w:rFonts w:ascii="Amiri" w:hAnsi="Amiri" w:eastAsia="Amiri" w:cs="Amiri"/>
          <w:color w:val="111111"/>
          <w:sz w:val="28"/>
          <w:sz w:val="28"/>
          <w:szCs w:val="28"/>
          <w:rtl w:val="true"/>
          <w:lang w:bidi="ar-SA"/>
        </w:rPr>
        <w:t>وجلَّ إظهار أمره نكت في قلبه نكتة فظهر وأمر بأمر الله عزَّ وجلَّ</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الطوسي في الغيبة بإسناده عن جماعة، عن أبي المفضل، عن محمَّد بن عبد الله بن جعفر الحميري، عن أبيه، عن محمَّد بن الحسين بن أبي الخطاب، عن موسى ابن سعدان، عن عبد الله بن القاسم،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تفسير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تحدِّث به السفل فيذيعوه، أما تقرأ كتاب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نُقِرَ فِي النَّاقُورِ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 إماماً مستتراً فإذا أراد الله إظهار أمره نكت في قلبه نكتة فظهر فقام بأمر الله تعالى</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الكشي عن آدم بن محمَّد البلخي،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بن هارون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علي بن فضال، عن علي بن حسان، عن المفضل بن عمر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تفسير جابر؟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تحدِّث به السفلة فيذيعونه، أما تقرأ في كتاب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نُقِرَ فِي النَّاقُورِ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 إماماً مستتراً فإذا أراد الله إظهار أمره نكت في قلبه، فظهر فقام بأمر الله</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المفضل بن عمر ضعيف، والراويان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القاسم وعلي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ضعيفان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والملاحظ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جواب كلا الراويين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بن دراج والمفضل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عن التحدث بتفسير جابر إلى السفلة، ولم ينفه بأن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مكذوب علينا، أو لم نقله وما شاكل ذلك، كما ورد في نظائره من تكذيب المغيرة بن سعيد، أو أبي الخطّاب وأصحابه، وهذا يدل على إقراره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التفسير في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لكل من الراويين بآية وطبّقها كلٌّ بحسبه فذكر لجميل آيتي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وطبّقهما على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القيامة، مع أنَّ ظاهرهما يخصّ ربّ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للمفضل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طبّقها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وهو أيضاً خلاف الظاهر، فَذِكْرَه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الروايات وتطبيقها على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ليلتفت السائل إلى وجه النهي عن التحدث بتفسير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يتضمن مثل هذا التأويل للآيات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السفلة لأنَّ عقولهم لا تتحمل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وقد ذكر العلّامة المجلسي في وجه النهي عن التحدث بتفسير جابر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 المراد أنَّ تلك الأسرار إنَّما تظهر عند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يكون الاستشهاد بالآية لبيان عسر فَهم تلك العلوم التي يظهرها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وشدتها على الكافرين، كما يدل عليه تمام الآية وما بعدها</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عن تفسير جابر صريحاً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موضعين من مناقبه ممَّا يقتضي بقاء تفسير جابر إلى نهاية القرن السادس الهجري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مناقب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جابر بن يزيد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الله بهذه الآية ولاية علي بن أبي طالب، لأنَّ علياً كان أولى برسول الله من غيره</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مناقب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جابر بن يزيد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فكانت لعلي من رسول الله الولاية في الدين، والولاية في الرحم، فهو وارثه كما قال أنت أخي في الدنيا والآخرة وأنت وارثي</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يتوقع أنْ يكون كتاب التفسير لجابر ممَّا ألّفه في المرحلة الثانية من حياته ولم يتضمن إلَّا ما رواه عن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الروايات المتعلّقة بتفسير القرآن وتأويله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الروايات التي رواها علماء الجمهور عنه في التفسير فتكون غير مضمّنة بالكتاب، كما كان هو المعروف في عهد جابر قبل انتشار التأليف والتصنيف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يساعد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البعيد مراجعة علماء الجمهور إلى كتاب يتضمن ما اعتقده جابر ورواه في 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قد أورده في الكتاب بشهادة ما نقل عنه لدى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قد يحتمل أنْ يكون كتاب التفسير لجابر من ترتيب بعض تلامذته بأنْ كان لجابر حلقة يعلِّم فيها القرآن ويذكر فيها عَرَضاً تفسير بعض الآيات وتأويلها على ما كان متداولاً آنذاك، فدوّن هؤلاء ممَّا ألقاه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مرّ أنَّ أحد رواة التفسير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المنخل بن جميل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له بنفسه كتاب تفسير أيضاً</w:t>
      </w:r>
      <w:r>
        <w:rPr>
          <w:rFonts w:eastAsia="Amiri" w:cs="Amiri" w:ascii="Amiri" w:hAnsi="Amiri"/>
          <w:color w:val="111111"/>
          <w:sz w:val="28"/>
          <w:szCs w:val="28"/>
          <w:rtl w:val="true"/>
          <w:lang w:bidi="ar-SA"/>
        </w:rPr>
        <w:t xml:space="preserve">. </w:t>
      </w:r>
      <w:bookmarkStart w:id="1006" w:name="pg9124_98885"/>
    </w:p>
    <w:p>
      <w:pPr>
        <w:pStyle w:val="BookText"/>
        <w:rPr/>
      </w:pPr>
      <w:bookmarkEnd w:id="1006"/>
      <w:r>
        <w:rPr>
          <w:rFonts w:ascii="Amiri" w:hAnsi="Amiri" w:eastAsia="Amiri" w:cs="Amiri"/>
          <w:color w:val="111111"/>
          <w:sz w:val="28"/>
          <w:sz w:val="28"/>
          <w:szCs w:val="28"/>
          <w:rtl w:val="true"/>
          <w:lang w:bidi="ar-SA"/>
        </w:rPr>
        <w:t>ولكن هذا الاحتمال بعيد؛ بالنظر إلى تعدّد الرواة لتفسيره، وإنْ لم يثبت إسناد صحيح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نقل عن جابر في التفسير أصحاب التفسير بالأثر روايات كثيرة، لا يبعد أنْ يكون مأخذها أو مأخذ كثير منها تفسير جابر،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نقل عن هذا التفسير في محل آخر</w:t>
      </w:r>
      <w:r>
        <w:rPr>
          <w:rFonts w:eastAsia="Amiri" w:cs="Amiri" w:ascii="Amiri" w:hAnsi="Amiri"/>
          <w:color w:val="111111"/>
          <w:sz w:val="28"/>
          <w:szCs w:val="28"/>
          <w:rtl w:val="true"/>
          <w:lang w:bidi="ar-SA"/>
        </w:rPr>
        <w:t>.</w:t>
      </w:r>
    </w:p>
    <w:p>
      <w:pPr>
        <w:pStyle w:val="Heading6"/>
        <w:numPr>
          <w:ilvl w:val="5"/>
          <w:numId w:val="1"/>
        </w:numPr>
        <w:rPr/>
      </w:pPr>
      <w:bookmarkStart w:id="1007" w:name="__RefHeading___Toc2933854_2870459653"/>
      <w:bookmarkStart w:id="1008" w:name="_Toc399"/>
      <w:bookmarkEnd w:id="1007"/>
      <w:r>
        <w:rPr>
          <w:rtl w:val="true"/>
        </w:rPr>
        <w:t>مجالات روايات جابر في علوم القرآن</w:t>
      </w:r>
      <w:bookmarkEnd w:id="1008"/>
    </w:p>
    <w:p>
      <w:pPr>
        <w:pStyle w:val="BookText"/>
        <w:rPr/>
      </w:pPr>
      <w:r>
        <w:rPr>
          <w:rFonts w:ascii="Amiri" w:hAnsi="Amiri" w:eastAsia="Amiri" w:cs="Amiri"/>
          <w:color w:val="111111"/>
          <w:sz w:val="28"/>
          <w:sz w:val="28"/>
          <w:szCs w:val="28"/>
          <w:rtl w:val="true"/>
          <w:lang w:bidi="ar-SA"/>
        </w:rPr>
        <w:t xml:space="preserve">لم تقتصر روايات جابر حول القرآن على التفسير، بل احتوى على سائر علوم القرآن،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ذلك في محل آخر</w:t>
      </w:r>
      <w:r>
        <w:rPr>
          <w:rFonts w:eastAsia="Amiri" w:cs="Amiri" w:ascii="Amiri" w:hAnsi="Amiri"/>
          <w:color w:val="111111"/>
          <w:sz w:val="28"/>
          <w:szCs w:val="28"/>
          <w:rtl w:val="true"/>
          <w:lang w:bidi="ar-SA"/>
        </w:rPr>
        <w:t>.</w:t>
      </w:r>
    </w:p>
    <w:p>
      <w:pPr>
        <w:pStyle w:val="Heading6"/>
        <w:numPr>
          <w:ilvl w:val="5"/>
          <w:numId w:val="1"/>
        </w:numPr>
        <w:rPr/>
      </w:pPr>
      <w:bookmarkStart w:id="1009" w:name="__RefHeading___Toc2933856_2870459653"/>
      <w:bookmarkStart w:id="1010" w:name="_Toc400"/>
      <w:bookmarkEnd w:id="1009"/>
      <w:r>
        <w:rPr>
          <w:rtl w:val="true"/>
        </w:rPr>
        <w:t>الروايات التفسيرية والتأويلية لجابر عند الفريقين</w:t>
      </w:r>
      <w:bookmarkEnd w:id="1010"/>
    </w:p>
    <w:p>
      <w:pPr>
        <w:pStyle w:val="Heading6"/>
        <w:numPr>
          <w:ilvl w:val="5"/>
          <w:numId w:val="1"/>
        </w:numPr>
        <w:rPr/>
      </w:pPr>
      <w:bookmarkStart w:id="1011" w:name="__RefHeading___Toc2933858_2870459653"/>
      <w:bookmarkStart w:id="1012" w:name="_Toc401"/>
      <w:bookmarkEnd w:id="1011"/>
      <w:r>
        <w:rPr>
          <w:rtl w:val="true"/>
        </w:rPr>
        <w:t>اشارة</w:t>
      </w:r>
      <w:bookmarkEnd w:id="1012"/>
    </w:p>
    <w:p>
      <w:pPr>
        <w:pStyle w:val="BookText"/>
        <w:rPr/>
      </w:pPr>
      <w:r>
        <w:rPr>
          <w:rFonts w:ascii="Amiri" w:hAnsi="Amiri" w:eastAsia="Amiri" w:cs="Amiri"/>
          <w:color w:val="111111"/>
          <w:sz w:val="28"/>
          <w:sz w:val="28"/>
          <w:szCs w:val="28"/>
          <w:rtl w:val="true"/>
          <w:lang w:bidi="ar-SA"/>
        </w:rPr>
        <w:t>ينقسم ما رواه جابر حول آيات القرآن الكريم إلى تفسير وتأويل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فالتفسير بيان لظاهر الآية وحقيقة المراد بها سواء في المراد الاستعمالي أم التفهيمي أم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الاستعمالي هو بيان المعنى اللغوي للكلمة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التفهيمي بيان المعنى الظاهر من الكلام ولو أفيد بالقرينة وكان كنائياً أو مجازياً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الجدي ما لم يفهم من الكلام بنفسه، ولكن قامت عليه القرائن المنفصلة كالعامّ الذي أريد به الخاصّ، والمطلق الذي أريد به المقيَّد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التأويل فهو بيان لباطن الآية وما ينطبق عليه من مصاديق أو يجري عليه من أمثال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تكرر ذكر تأويل القرآن وباطنه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اشتهر جابر </w:t>
      </w:r>
      <w:bookmarkStart w:id="1013" w:name="pg9124_98886"/>
    </w:p>
    <w:p>
      <w:pPr>
        <w:pStyle w:val="BookText"/>
        <w:rPr/>
      </w:pPr>
      <w:bookmarkEnd w:id="1013"/>
      <w:r>
        <w:rPr>
          <w:rFonts w:ascii="Amiri" w:hAnsi="Amiri" w:eastAsia="Amiri" w:cs="Amiri"/>
          <w:color w:val="111111"/>
          <w:sz w:val="28"/>
          <w:sz w:val="28"/>
          <w:szCs w:val="28"/>
          <w:rtl w:val="true"/>
          <w:lang w:bidi="ar-SA"/>
        </w:rPr>
        <w:t>برواياته في تأويل القرآن وبيان باطنه إلَّا أنَّ جملة كبيرة من روايات جابر تتضمن تنزيل القرآن</w:t>
      </w:r>
      <w:r>
        <w:rPr>
          <w:rFonts w:eastAsia="Amiri" w:cs="Amiri" w:ascii="Amiri" w:hAnsi="Amiri"/>
          <w:color w:val="111111"/>
          <w:sz w:val="28"/>
          <w:szCs w:val="28"/>
          <w:rtl w:val="true"/>
          <w:lang w:bidi="ar-SA"/>
        </w:rPr>
        <w:t>.</w:t>
      </w:r>
    </w:p>
    <w:p>
      <w:pPr>
        <w:pStyle w:val="Heading6"/>
        <w:numPr>
          <w:ilvl w:val="5"/>
          <w:numId w:val="1"/>
        </w:numPr>
        <w:rPr/>
      </w:pPr>
      <w:bookmarkStart w:id="1014" w:name="__RefHeading___Toc2933860_2870459653"/>
      <w:bookmarkStart w:id="1015" w:name="_Toc402"/>
      <w:bookmarkEnd w:id="1014"/>
      <w:r>
        <w:rPr>
          <w:rtl w:val="true"/>
        </w:rPr>
        <w:t>أ</w:t>
      </w:r>
      <w:r>
        <w:rPr>
          <w:rtl w:val="true"/>
        </w:rPr>
        <w:t xml:space="preserve">. </w:t>
      </w:r>
      <w:r>
        <w:rPr>
          <w:rtl w:val="true"/>
        </w:rPr>
        <w:t>الروايات التفسيرية لدى جابر عند الخاصّة</w:t>
      </w:r>
      <w:bookmarkEnd w:id="1015"/>
    </w:p>
    <w:p>
      <w:pPr>
        <w:pStyle w:val="Heading6"/>
        <w:numPr>
          <w:ilvl w:val="5"/>
          <w:numId w:val="1"/>
        </w:numPr>
        <w:rPr/>
      </w:pPr>
      <w:bookmarkStart w:id="1016" w:name="__RefHeading___Toc2933862_2870459653"/>
      <w:bookmarkStart w:id="1017" w:name="_Toc403"/>
      <w:bookmarkEnd w:id="1016"/>
      <w:r>
        <w:rPr>
          <w:rtl w:val="true"/>
        </w:rPr>
        <w:t>أوَّلاً</w:t>
      </w:r>
      <w:r>
        <w:rPr>
          <w:rtl w:val="true"/>
        </w:rPr>
        <w:t xml:space="preserve">: </w:t>
      </w:r>
      <w:r>
        <w:rPr>
          <w:rtl w:val="true"/>
        </w:rPr>
        <w:t>آيات الأحكام</w:t>
      </w:r>
      <w:bookmarkEnd w:id="1017"/>
    </w:p>
    <w:p>
      <w:pPr>
        <w:pStyle w:val="BookText"/>
        <w:rPr/>
      </w:pPr>
      <w:r>
        <w:rPr>
          <w:rFonts w:ascii="Amiri" w:hAnsi="Amiri" w:eastAsia="Amiri" w:cs="Amiri"/>
          <w:color w:val="111111"/>
          <w:sz w:val="28"/>
          <w:sz w:val="28"/>
          <w:szCs w:val="28"/>
          <w:rtl w:val="true"/>
          <w:lang w:bidi="ar-SA"/>
        </w:rPr>
        <w:t>بالمرور على كتاب الوسائل وغيره سوف نذكر ما ورد عن جابر في آيات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رواه الشيخ الكليني بإسناده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إِلَى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وعجّلوا فإنَّه يوم مضيّق على المسلمين فيه، وثواب أعمال المسلمين فيه على قدر ما ضيّق عليهم، والحسنة والسيئة تضاعف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بلغني أنَّ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يتجهزون للجمعة يوم الخميس؛ لأنَّه يوم مضيّق على المسلمين</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العياشي في تفسيره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اليمن</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الكليني بإسناده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يُصِرُّوا عَلَى مَا فَعَلُوا وَهُمْ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الإصرار أنْ يذنب الذنب فلا يستغفر الله ولا يحدِّث نفسه بالتوبة فذلك الإصرار</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الكليني بإسناده عن جابر بن يزيد،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قول الله عزَّ </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أحسن ما تحبون أنْ يقال لكم</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المشايخ الثلاثة بإسنادهم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الميسر؟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تقومر به حتى الكعاب والجوز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الأنصاب؟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ذبحوا لآلهتهم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الأزلام؟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قداحهم التي يستقسمون بها</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والشيخ بإسنادهما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فَمَتِّعُوهُنَّ وَسَرِّحُوهُنَّ سَرَاحًا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جملوهن بما قدرتم عليه، فإنَّهن يرجعن بكآبة وحياء وهَمٍّ عظيم وشماتة من أعدائهن، فإنَّ الله كريم يستحيي ويحب أهل الحياء، إنَّ أكرمكم عند الله أشدكم إكراماً لحلائلهم</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العياشي عن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أنَّهم لم يتخذوهم آلهة إلَّا أنَّهم أحلوا لهم حلالاً فأخذوا به، وحرّموا حراماً فأخذوه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أربابهم من دون الله</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الصدوق في الخصال بإسناده عن جابر بن يزيد، عن سعيد بن المسيب، عن عبد الرحمن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الله المجادلين في دين الله على </w:t>
      </w:r>
      <w:bookmarkStart w:id="1018" w:name="pg9124_98888"/>
    </w:p>
    <w:p>
      <w:pPr>
        <w:pStyle w:val="BookText"/>
        <w:rPr/>
      </w:pPr>
      <w:bookmarkEnd w:id="1018"/>
      <w:r>
        <w:rPr>
          <w:rFonts w:ascii="Amiri" w:hAnsi="Amiri" w:eastAsia="Amiri" w:cs="Amiri"/>
          <w:color w:val="111111"/>
          <w:sz w:val="28"/>
          <w:sz w:val="28"/>
          <w:szCs w:val="28"/>
          <w:rtl w:val="true"/>
          <w:lang w:bidi="ar-SA"/>
        </w:rPr>
        <w:t>لسان سبعين نبياً، ومن جادل في آيات الله كفر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يُجَادِلُ فِي آَيَاتِ اللَّهِ إِلَّا الَّذِينَ كَفَرُوا</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المشايخ الثلاثة بإسنادهم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كتم شهادة أو شهد بها ليهدر بها دم امرئ مسلم أو ليزوي بها مال امرئ مسلم أتى يوم القيامة ولوجهه ظلمة مدّ البصر وفي وجهه كدوح تعرفه الخلائق باسمه ونسبه، ومن شهد شهادة حقّ ليحيي بها حقّ امرئ مسلم أتى يوم القيامة ولوجهه نور مدّ البصر تعرفه الخلائق باسمه ونسبه، ثُمَّ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أنَّ الله عزَّ 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وَأَقِيمُوا الشَّهَادَةَ لِلَّهِ</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العياشي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يَبْلُغَنَّ عِنْدَكَ الْكِبَرَ أَحَدُهُمَا أَوْ كِلَاهُمَا فَلَا تَقُلْ لَهُمَا أُفٍّ وَلَا تَنْهَرْهُمَا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أدنى الأدنى حرّمه الله فما فوقه</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9" w:name="__RefHeading___Toc2933864_2870459653"/>
      <w:bookmarkStart w:id="1020" w:name="_Toc404"/>
      <w:bookmarkEnd w:id="1019"/>
      <w:r>
        <w:rPr>
          <w:rtl w:val="true"/>
        </w:rPr>
        <w:t>ثانياً</w:t>
      </w:r>
      <w:r>
        <w:rPr>
          <w:rtl w:val="true"/>
        </w:rPr>
        <w:t xml:space="preserve">: </w:t>
      </w:r>
      <w:r>
        <w:rPr>
          <w:rtl w:val="true"/>
        </w:rPr>
        <w:t>شأن النزول</w:t>
      </w:r>
      <w:bookmarkEnd w:id="10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العياشي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مَرْضَاةِ اللَّهِ وَاللَّهُ رَءُوفٌ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أنزلت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بذل نفسه لله ولرسوله ليلة اضطجع على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طلبته كفار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1" w:name="pg9124_98889"/>
    </w:p>
    <w:p>
      <w:pPr>
        <w:pStyle w:val="BookText"/>
        <w:rPr/>
      </w:pPr>
      <w:bookmarkEnd w:id="102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الماهيار بإسناده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في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ولحق الحسين كان منصوراً</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بإسناده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فَأَبَى أَكْثَرُ النَّاسِ إِلَّا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2" w:name="__RefHeading___Toc2933866_2870459653"/>
      <w:bookmarkStart w:id="1023" w:name="_Toc405"/>
      <w:bookmarkEnd w:id="1022"/>
      <w:r>
        <w:rPr>
          <w:rtl w:val="true"/>
        </w:rPr>
        <w:t>ثالثاً</w:t>
      </w:r>
      <w:r>
        <w:rPr>
          <w:rtl w:val="true"/>
        </w:rPr>
        <w:t xml:space="preserve">: </w:t>
      </w:r>
      <w:r>
        <w:rPr>
          <w:rtl w:val="true"/>
        </w:rPr>
        <w:t>التفسير</w:t>
      </w:r>
      <w:bookmarkEnd w:id="10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العياشي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تركوا طاعة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فتركهم</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روى العياشي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بكة موضع البيت، وإنَّ مكة الحرم،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 كَانَ آَمِنًا</w:t>
      </w:r>
      <w:r>
        <w:rPr>
          <w:rFonts w:eastAsia="Amiri" w:cs="Amiri" w:ascii="Amiri" w:hAnsi="Amiri"/>
          <w:color w:val="111111"/>
          <w:sz w:val="28"/>
          <w:szCs w:val="28"/>
          <w:rtl w:val="true"/>
          <w:lang w:bidi="ar-SA"/>
        </w:rPr>
        <w:t>])</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من غرائب تفسيره</w:t>
      </w:r>
      <w:r>
        <w:rPr>
          <w:rFonts w:eastAsia="Amiri" w:cs="Amiri" w:ascii="Amiri" w:hAnsi="Amiri"/>
          <w:color w:val="111111"/>
          <w:sz w:val="28"/>
          <w:szCs w:val="28"/>
          <w:rtl w:val="true"/>
          <w:lang w:bidi="ar-SA"/>
        </w:rPr>
        <w:t>.</w:t>
      </w:r>
    </w:p>
    <w:p>
      <w:pPr>
        <w:pStyle w:val="Heading6"/>
        <w:numPr>
          <w:ilvl w:val="5"/>
          <w:numId w:val="1"/>
        </w:numPr>
        <w:rPr/>
      </w:pPr>
      <w:bookmarkStart w:id="1024" w:name="__RefHeading___Toc2933868_2870459653"/>
      <w:bookmarkStart w:id="1025" w:name="_Toc406"/>
      <w:bookmarkEnd w:id="1024"/>
      <w:r>
        <w:rPr>
          <w:rtl w:val="true"/>
        </w:rPr>
        <w:t>رابعاً</w:t>
      </w:r>
      <w:r>
        <w:rPr>
          <w:rtl w:val="true"/>
        </w:rPr>
        <w:t xml:space="preserve">: </w:t>
      </w:r>
      <w:r>
        <w:rPr>
          <w:rtl w:val="true"/>
        </w:rPr>
        <w:t>الجري</w:t>
      </w:r>
      <w:bookmarkEnd w:id="1025"/>
    </w:p>
    <w:p>
      <w:pPr>
        <w:pStyle w:val="BookText"/>
        <w:rPr/>
      </w:pPr>
      <w:r>
        <w:rPr>
          <w:rFonts w:ascii="Amiri" w:hAnsi="Amiri" w:eastAsia="Amiri" w:cs="Amiri"/>
          <w:color w:val="111111"/>
          <w:sz w:val="28"/>
          <w:sz w:val="28"/>
          <w:szCs w:val="28"/>
          <w:rtl w:val="true"/>
          <w:lang w:bidi="ar-SA"/>
        </w:rPr>
        <w:t>وفي هذا النوع تارة صُرّح بأنَّها من باب الجري، وأخرى لم يُصرح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العياشي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تفسير هذه الآية من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لِبَنِيهِ مَا تَعْبُدُونَ مِنْ بَعْدِي قَالُوا نَعْبُدُ إِلَهَكَ وَإِلَهَ آَبَائِكَ إِبْرَاهِيمَ</w:t>
      </w:r>
    </w:p>
    <w:p>
      <w:pPr>
        <w:pStyle w:val="BookText"/>
        <w:rPr/>
      </w:pPr>
      <w:r>
        <w:rPr>
          <w:rFonts w:ascii="Amiri" w:hAnsi="Amiri" w:eastAsia="Amiri" w:cs="Amiri"/>
          <w:color w:val="111111"/>
          <w:sz w:val="28"/>
          <w:sz w:val="28"/>
          <w:szCs w:val="28"/>
          <w:rtl w:val="true"/>
          <w:lang w:bidi="ar-SA"/>
        </w:rPr>
        <w:t>وَإِسْمَاعِيلَ وَإِسْحَاقَ إِلَهًا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جرت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العياشي عن جابر الجعفي عمّن حدَّثه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مسير له إذ رأى سواداً من بعيد،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سواد لا عهد له بأنيس، فلمّا دنا سلّم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أراد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يثرب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أردت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بعثك بالحق ما رأيت إنساناً مذ سبعة أيام ولا طعمت طعاماً إلَّا ما تناول منه دابتي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عليه الإسلام فأسلم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فعضته راحلته فمات وأمر به فغسل وكفّن، ثُمَّ صلى عليه النبي عليه وآله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 في اللحد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وَلَمْ يَلْبِسُوا إِيمَانَهُمْ بِظُلْمٍ</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روى العياشي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 بِأَنْ يَكُونُوا مَعَ الْخَوَالِفِ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النساء</w:t>
      </w:r>
      <w:r>
        <w:rPr>
          <w:rFonts w:eastAsia="Amiri" w:cs="Amiri" w:ascii="Amiri" w:hAnsi="Amiri"/>
          <w:color w:val="111111"/>
          <w:sz w:val="28"/>
          <w:szCs w:val="28"/>
          <w:rtl w:val="true"/>
          <w:lang w:bidi="ar-SA"/>
        </w:rPr>
        <w:t>)</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فالنساء بعض الخوالف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روى العياشي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أَوْقَدُوا نَارًا لِلْحَرْبِ أَطْفَأَهَا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أراد جبار من الجبابرة هلكة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قصمه الله</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الماهيار بإسناده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عند قيام القائم</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bookmarkStart w:id="1026" w:name="pg9124_98891"/>
    </w:p>
    <w:p>
      <w:pPr>
        <w:pStyle w:val="Heading6"/>
        <w:numPr>
          <w:ilvl w:val="5"/>
          <w:numId w:val="1"/>
        </w:numPr>
        <w:rPr/>
      </w:pPr>
      <w:bookmarkStart w:id="1027" w:name="__RefHeading___Toc2933870_2870459653"/>
      <w:bookmarkStart w:id="1028" w:name="_Toc407"/>
      <w:bookmarkEnd w:id="1026"/>
      <w:bookmarkEnd w:id="1027"/>
      <w:r>
        <w:rPr>
          <w:rtl w:val="true"/>
        </w:rPr>
        <w:t>ب</w:t>
      </w:r>
      <w:r>
        <w:rPr>
          <w:rtl w:val="true"/>
        </w:rPr>
        <w:t xml:space="preserve">. </w:t>
      </w:r>
      <w:r>
        <w:rPr>
          <w:rtl w:val="true"/>
        </w:rPr>
        <w:t>الروايات التأويلية عند الخاصّة</w:t>
      </w:r>
      <w:bookmarkEnd w:id="1028"/>
    </w:p>
    <w:p>
      <w:pPr>
        <w:pStyle w:val="BookText"/>
        <w:rPr/>
      </w:pPr>
      <w:r>
        <w:rPr>
          <w:rFonts w:ascii="Amiri" w:hAnsi="Amiri" w:eastAsia="Amiri" w:cs="Amiri"/>
          <w:color w:val="111111"/>
          <w:sz w:val="28"/>
          <w:sz w:val="28"/>
          <w:szCs w:val="28"/>
          <w:rtl w:val="true"/>
          <w:lang w:bidi="ar-SA"/>
        </w:rPr>
        <w:t xml:space="preserve">عُرف عن جابر اهتمامه بتأويل القرآن كتفسيره، وقد روى العامّة ذلك، ومنه ما ذكره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سأل جابر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أَبْرَحَ الأَرْضَ حَتَّى يَأْذَنَ لِي أَبِي أَوْ يَحْكُمَ اللَّهُ لِي وَهُوَ خَيْرُ الْحَاكِمِينَ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تأويل هذه الآية بعدُ</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أخرج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بإسناده عن جابر عن أبي جعفر محمَّد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الناس</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كثيرة عند الخاصّة، وهي على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البيت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الكليني بإسناده عن علي بن محمَّد، عن علي بن العباس، عن علي بن حمّاد، عن عمرو بن شمر،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عدة آيات في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جمعها في رواية 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العياشي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جَاءَهُمْ مَا عَرَفُوا كَفَرُوا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تفسيرها في الباطن لما جاءهم ما عرفوا في علي كفروا به فقال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فَلَعْنَةُ اللَّهِ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باطن القرآن،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يعني بنى أمية هم الكافرون في باطن القرآن</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العياشي أيضاً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هذه الآية في باطن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يَأْتِيَنَّكُمْ مِنِّي هُدًى فَمَنْ تَبِعَ هُدَايَ فَلَا خَوْفٌ عَلَيْهِمْ وَلَا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الهدى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 هُدَايَ فَلَا خَوْفٌ عَلَيْهِمْ وَلَا هُمْ يَحْزَنُونَ</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bookmarkStart w:id="1029" w:name="pg9124_98894"/>
    </w:p>
    <w:p>
      <w:pPr>
        <w:pStyle w:val="BookText"/>
        <w:rPr/>
      </w:pPr>
      <w:bookmarkEnd w:id="1029"/>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أخرى،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العياشي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قُتِلْتُمْ فِي سَبِيلِ اللَّهِ أَوْ 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أتدري ما سبيل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إلَّا أنْ أسمعه منك، فقال سبيل الله علي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في ولايتهم قتل في سبيل الله، ومن مات في ولايتهم مات في سبيل الله</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العياشي أيضاً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وَلَآَمُرَنَّهُمْ فَلَيُغَيِّرُنَّ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الله</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0" w:name="__RefHeading___Toc2933872_2870459653"/>
      <w:bookmarkStart w:id="1031" w:name="_Toc408"/>
      <w:bookmarkEnd w:id="1030"/>
      <w:r>
        <w:rPr>
          <w:rtl w:val="true"/>
        </w:rPr>
        <w:t>ج</w:t>
      </w:r>
      <w:r>
        <w:rPr>
          <w:rtl w:val="true"/>
        </w:rPr>
        <w:t xml:space="preserve">. </w:t>
      </w:r>
      <w:r>
        <w:rPr>
          <w:rtl w:val="true"/>
        </w:rPr>
        <w:t>ما ورد عن جابر من التفسير عند العامة</w:t>
      </w:r>
      <w:bookmarkEnd w:id="1031"/>
    </w:p>
    <w:p>
      <w:pPr>
        <w:pStyle w:val="BookText"/>
        <w:rPr/>
      </w:pPr>
      <w:r>
        <w:rPr>
          <w:rFonts w:ascii="Amiri" w:hAnsi="Amiri" w:eastAsia="Amiri" w:cs="Amiri"/>
          <w:color w:val="111111"/>
          <w:sz w:val="28"/>
          <w:sz w:val="28"/>
          <w:szCs w:val="28"/>
          <w:rtl w:val="true"/>
          <w:lang w:bidi="ar-SA"/>
        </w:rPr>
        <w:t>وقد ورد بعضها في آيات الأحكام وبعضها في أمور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جابر، عن عمرو بن حبشي،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ابن عباس فاسأله، فإنَّه أعلم مَنْ بقي بما أُنزل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عندهما أصنام، فلمّا حُرِّمْنَ أمسكوا عن الطواف بينهما حتى أُنزلت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روى الطبري بإسناده عن جابر عن مجاهد وعكرمة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باغٍ يبتغيه، ولا عادٍ يتعدّى على ما يمسك نفسه</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بإسناده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المجتاز من أرض إلى أرض</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روى بإسناده عن جابر، عن عبد الله بن يحيى،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مَوَاقِيتُ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مواقيت الشهر هكذا وهكذا وهكذا وقبض إبهامه فإذا رأيتموه فصوموا، وإذا رأيتموه فأفطروا، فإن غُمّ عليكم فأتمّوا ثلاثين</w:t>
      </w:r>
      <w:r>
        <w:rPr>
          <w:rFonts w:eastAsia="IRNazanin" w:cs="IRNazanin"/>
          <w:color w:val="111111"/>
          <w:sz w:val="28"/>
          <w:szCs w:val="28"/>
          <w:rtl w:val="true"/>
          <w:lang w:bidi="fa-IR"/>
        </w:rPr>
        <w:t>)</w:t>
      </w:r>
      <w:r>
        <w:rPr>
          <w:rStyle w:val="FootnoteAnchor"/>
          <w:rtl w:val="true"/>
        </w:rPr>
        <w:footnoteReference w:id="94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روى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على رأسك وقدميك</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جابر، عن عطاء ابن أبي رباح، عن عائشة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 وهو يرى أنَّه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كذلك</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الذي يراد به الخاصّ</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جملة أهم أبواب التفسير بيان المراد الجدّي بالعمومات، بمعنى ذكر القيود </w:t>
      </w:r>
      <w:bookmarkStart w:id="1032" w:name="pg9124_98896"/>
    </w:p>
    <w:p>
      <w:pPr>
        <w:pStyle w:val="BookText"/>
        <w:rPr/>
      </w:pPr>
      <w:bookmarkEnd w:id="1032"/>
      <w:r>
        <w:rPr>
          <w:rFonts w:ascii="Amiri" w:hAnsi="Amiri" w:eastAsia="Amiri" w:cs="Amiri"/>
          <w:color w:val="111111"/>
          <w:sz w:val="28"/>
          <w:sz w:val="28"/>
          <w:szCs w:val="28"/>
          <w:rtl w:val="true"/>
          <w:lang w:bidi="ar-SA"/>
        </w:rPr>
        <w:t>المنفصلة لها، وهو طبعاً يكون من خلال السُنَّة، وقد روى جابر جملة ممَّا يتعلق بذلك،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ابن أبي حاتم الرازي بإسناده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وَالْغَارِمِينَ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المستدينين في غير فساد</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عَلَّمْتُمْ مِنَ الْجَوَارِحِ 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الباز والصقر من الجوارح المكلّبين</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قبيل الجري، فقد روى الطبري بإسناده عن جابر، عن مجاهد وعكرمة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طَهِّرَا بَيْتِيَ لِلطَّائِفِينَ وَالْعَاكِفِينَ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المجاورون</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3" w:name="__RefHeading___Toc2933874_2870459653"/>
      <w:bookmarkStart w:id="1034" w:name="_Toc409"/>
      <w:bookmarkEnd w:id="1033"/>
      <w:r>
        <w:rPr>
          <w:rtl w:val="true"/>
        </w:rPr>
        <w:t>ج</w:t>
      </w:r>
      <w:r>
        <w:rPr>
          <w:rtl w:val="true"/>
        </w:rPr>
        <w:t xml:space="preserve">. </w:t>
      </w:r>
      <w:r>
        <w:rPr>
          <w:rtl w:val="true"/>
        </w:rPr>
        <w:t>التفسير العامّ</w:t>
      </w:r>
      <w:bookmarkEnd w:id="1034"/>
    </w:p>
    <w:p>
      <w:pPr>
        <w:pStyle w:val="BookText"/>
        <w:rPr/>
      </w:pPr>
      <w:r>
        <w:rPr>
          <w:rFonts w:ascii="Amiri" w:hAnsi="Amiri" w:eastAsia="Amiri" w:cs="Amiri"/>
          <w:color w:val="111111"/>
          <w:sz w:val="28"/>
          <w:sz w:val="28"/>
          <w:szCs w:val="28"/>
          <w:rtl w:val="true"/>
          <w:lang w:bidi="ar-SA"/>
        </w:rPr>
        <w:t>ومن نماذج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الطبري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وَاسْتَعِينُوا بِالصَّبْرِ وَالصَّلَاةِ وَإِنَّهَا لَكَبِيرَةٌ إِلَّا عَلَى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جابر، 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حقاً</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روى الطبري بإسناده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ذُو عُسْرَةٍ فَنَظِرَةٌ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bookmarkStart w:id="1035" w:name="pg9124_98897"/>
    </w:p>
    <w:p>
      <w:pPr>
        <w:pStyle w:val="BookText"/>
        <w:rPr/>
      </w:pPr>
      <w:bookmarkEnd w:id="103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أبي حاتم الرازي بإسناده عن جابر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وعلي</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روى ابن أبي حاتم الرازي بإسناده عن جابر، عن مجاهد وعكرمة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لَنَا مِنْ لَدُنْكَ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ثابتة</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6" w:name="__RefHeading___Toc2933876_2870459653"/>
      <w:bookmarkStart w:id="1037" w:name="_Toc410"/>
      <w:bookmarkEnd w:id="1036"/>
      <w:r>
        <w:rPr>
          <w:rtl w:val="true"/>
        </w:rPr>
        <w:t>د</w:t>
      </w:r>
      <w:r>
        <w:rPr>
          <w:rtl w:val="true"/>
        </w:rPr>
        <w:t xml:space="preserve">. </w:t>
      </w:r>
      <w:r>
        <w:rPr>
          <w:rtl w:val="true"/>
        </w:rPr>
        <w:t>ما ورد عن جابر في تأويل القرآن عند العامّة</w:t>
      </w:r>
      <w:bookmarkEnd w:id="10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أبي حاتم الرازي بإسناده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روى بإسناده عن جابر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الناس</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روى بإسناده عن جابر عن عبد الرحمن بن الأسود، عن أبيه، عن ابن مسعود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أُمَّةٌ قائِمَةٌ يَتْلُونَ آياتِ اللَّه آناءَ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صلاة الغفلة</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وأيضاً روى بإسناده عن جابر، عن رجل، عن أبي عبد الرحمن، عن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إحصانها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إسلامها</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روى بإسناده عن جابر،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وَالْجَارِ </w:t>
      </w:r>
      <w:bookmarkStart w:id="1038" w:name="pg9124_98898"/>
    </w:p>
    <w:p>
      <w:pPr>
        <w:pStyle w:val="BookText"/>
        <w:rPr/>
      </w:pPr>
      <w:bookmarkEnd w:id="1038"/>
      <w:r>
        <w:rPr>
          <w:rFonts w:ascii="Amiri" w:hAnsi="Amiri" w:eastAsia="Amiri" w:cs="Amiri"/>
          <w:color w:val="111111"/>
          <w:sz w:val="28"/>
          <w:sz w:val="28"/>
          <w:szCs w:val="28"/>
          <w:rtl w:val="true"/>
          <w:lang w:bidi="ar-SA"/>
        </w:rPr>
        <w:t>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روى بإسناده عن جابر، عن عامر، عن علي وعبد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وَالصَّاحِبِ بِالْجَنْبِ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هذه من باب الجري</w:t>
      </w:r>
      <w:r>
        <w:rPr>
          <w:rFonts w:eastAsia="Amiri" w:cs="Amiri" w:ascii="Amiri" w:hAnsi="Amiri"/>
          <w:color w:val="111111"/>
          <w:sz w:val="28"/>
          <w:szCs w:val="28"/>
          <w:rtl w:val="true"/>
          <w:lang w:bidi="ar-SA"/>
        </w:rPr>
        <w:t>.</w:t>
      </w:r>
    </w:p>
    <w:p>
      <w:pPr>
        <w:pStyle w:val="Heading6"/>
        <w:numPr>
          <w:ilvl w:val="5"/>
          <w:numId w:val="1"/>
        </w:numPr>
        <w:rPr/>
      </w:pPr>
      <w:bookmarkStart w:id="1039" w:name="__RefHeading___Toc2933878_2870459653"/>
      <w:bookmarkStart w:id="1040" w:name="_Toc411"/>
      <w:bookmarkEnd w:id="1039"/>
      <w:r>
        <w:rPr>
          <w:rtl w:val="true"/>
        </w:rPr>
        <w:t xml:space="preserve">جابر وقصص الأنبياء </w:t>
      </w:r>
      <w:r>
        <w:rPr>
          <w:rtl w:val="true"/>
        </w:rPr>
        <w:t>(</w:t>
      </w:r>
      <w:r>
        <w:rPr>
          <w:rtl w:val="true"/>
        </w:rPr>
        <w:t>علیهم السلام</w:t>
      </w:r>
      <w:r>
        <w:rPr>
          <w:rtl w:val="true"/>
        </w:rPr>
        <w:t>)</w:t>
      </w:r>
      <w:bookmarkEnd w:id="1040"/>
    </w:p>
    <w:p>
      <w:pPr>
        <w:pStyle w:val="BookText"/>
        <w:rPr/>
      </w:pPr>
      <w:r>
        <w:rPr>
          <w:rFonts w:ascii="Amiri" w:hAnsi="Amiri" w:eastAsia="Amiri" w:cs="Amiri"/>
          <w:color w:val="111111"/>
          <w:sz w:val="28"/>
          <w:sz w:val="28"/>
          <w:szCs w:val="28"/>
          <w:rtl w:val="true"/>
          <w:lang w:bidi="ar-SA"/>
        </w:rPr>
        <w:t>من المجالات التي تتعلّق بالقرآن والتفسير قصص الأنبياء، وقد توّزعت روايات جابر في هذا الموضوع في كتب التفسير والحديث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التفسير المنسوب إلى علي بن إبراهيم بإسناده 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سند فيه إرسال ما بين أبيه وعمرو بن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الكليني في الكافي عن جابر كيفية إحرام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رملة مصر</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الصدوق في أماليه عن جابر سؤال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الجليل تبارك وتعالى عن أنَّه كيف يبقي الصغار بلا معيل</w:t>
      </w:r>
      <w:r>
        <w:rPr>
          <w:rFonts w:eastAsia="IRNazanin" w:cs="IRNazanin"/>
          <w:color w:val="111111"/>
          <w:sz w:val="28"/>
          <w:szCs w:val="28"/>
          <w:rtl w:val="true"/>
          <w:lang w:bidi="fa-IR"/>
        </w:rPr>
        <w:t>!</w:t>
      </w: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أخرج وصية الجليل تبارك وتعالى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الشيخ الطوسي في أماليه عن جابر ما يتعلّق بسد يأجوج ومأجوج</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أخرج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قصص الأنبياء عن </w:t>
      </w:r>
      <w:bookmarkStart w:id="1041" w:name="pg9124_98899"/>
    </w:p>
    <w:p>
      <w:pPr>
        <w:pStyle w:val="BookText"/>
        <w:rPr/>
      </w:pPr>
      <w:bookmarkEnd w:id="1041"/>
      <w:r>
        <w:rPr>
          <w:rFonts w:ascii="IRNazanin" w:hAnsi="IRNazanin" w:eastAsia="IRNazanin"/>
          <w:color w:val="111111"/>
          <w:sz w:val="28"/>
          <w:sz w:val="28"/>
          <w:szCs w:val="28"/>
          <w:rtl w:val="true"/>
          <w:lang w:bidi="fa-IR"/>
        </w:rPr>
        <w:t>جابر أربع عشرة رواية، ومضامينها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خلق قبل آدم كانوا يقدسون الله ويسبحونه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الجليل تبارك وتعالى لآدم بعد هبوطه من الجنة بحراثة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قبض روح إدريس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الله تبارك وتعالى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بتحبيبه إلى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موعظة لقمان لابنه في الموت والبعث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يقتل الأنبياء وأولادهم إلَّا أولاد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عاقر ناقة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دانيال كان يعبّر الرؤيا وكان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إهلاك ستين ألفاً من خيار قوم شعيا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لمداهنتهم الأشرار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أصحاب الأخدود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إمكان بناء مسجد في كورة من الشام على قبر نبي كذّبه قومه وقتلوه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إرسال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والثلاثة إلى أصحاب الكهف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النفر الذين كانوا يسيحون في الأرض وإغلاق صخرة باب الكهف عليهم وكيف فتحه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لجابر الأنصاري بأسماء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2" w:name="__RefHeading___Toc2933880_2870459653"/>
      <w:bookmarkStart w:id="1043" w:name="_Toc412"/>
      <w:bookmarkEnd w:id="1042"/>
      <w:r>
        <w:rPr/>
        <w:t>3</w:t>
      </w:r>
      <w:r>
        <w:rPr>
          <w:rtl w:val="true"/>
        </w:rPr>
        <w:t xml:space="preserve">. </w:t>
      </w:r>
      <w:r>
        <w:rPr>
          <w:rtl w:val="true"/>
        </w:rPr>
        <w:t>التاريخ</w:t>
      </w:r>
      <w:bookmarkEnd w:id="1043"/>
    </w:p>
    <w:p>
      <w:pPr>
        <w:pStyle w:val="BookText"/>
        <w:rPr/>
      </w:pPr>
      <w:r>
        <w:rPr>
          <w:rFonts w:ascii="IRNazanin" w:hAnsi="IRNazanin" w:eastAsia="IRNazanin"/>
          <w:color w:val="111111"/>
          <w:sz w:val="28"/>
          <w:sz w:val="28"/>
          <w:szCs w:val="28"/>
          <w:rtl w:val="true"/>
          <w:lang w:bidi="fa-IR"/>
        </w:rPr>
        <w:t xml:space="preserve">مقدّمة حول عناية الشيعة بسيرة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والزهراء وأولادهما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اعتنى الشيعة بتوثيق كلّ ما يتعلّق بأئمّة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الولادات والوفيات، بل وحتى الكرامات، وما جرى لهم من أحداث وحروب ومحن منذ العصر الأوَّل إلى زماننا، وبمراجعة كتب الفهارس يتّضح هذا بوضوح، وبتصفّح عاجل </w:t>
      </w:r>
    </w:p>
    <w:p>
      <w:pPr>
        <w:pStyle w:val="BookText"/>
        <w:rPr/>
      </w:pPr>
      <w:r>
        <w:rPr>
          <w:rFonts w:ascii="IRNazanin" w:hAnsi="IRNazanin" w:eastAsia="IRNazanin"/>
          <w:color w:val="111111"/>
          <w:sz w:val="28"/>
          <w:sz w:val="28"/>
          <w:szCs w:val="28"/>
          <w:rtl w:val="true"/>
          <w:lang w:bidi="fa-IR"/>
        </w:rPr>
        <w:t xml:space="preserve">لفهرست النجاشي نذكر مَنْ ذكر له أصحاب الفهارس كتاب يتعلّق بتاريخ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الطبقات، وليس البناء على الاستيعاب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له كتاب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أبان بن عثمان الأحمر له كتاب يجمع بين المبتدأ والمغازي والوفاة والردّة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w:t>
      </w:r>
    </w:p>
    <w:p>
      <w:pPr>
        <w:pStyle w:val="BookText"/>
        <w:rPr/>
      </w:pPr>
      <w:r>
        <w:rPr>
          <w:rFonts w:ascii="IRNazanin" w:hAnsi="IRNazanin" w:eastAsia="IRNazanin"/>
          <w:color w:val="111111"/>
          <w:sz w:val="28"/>
          <w:sz w:val="28"/>
          <w:szCs w:val="28"/>
          <w:rtl w:val="true"/>
          <w:lang w:bidi="fa-IR"/>
        </w:rPr>
        <w:t xml:space="preserve">أنَّه مختصّ بدعوة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ميمون القدّاح له كتاب مبعث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لوط بن يحيى بن سعيد أبو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الشورى، الجمل، صفّين، النهر، مقتل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الحسن، قتل الحسين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بن محمَّد بن السائب الكلبي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 من المعمّرين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صفين، النهروان، مقتل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قيام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الطبقة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المنقري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صفين، النهروان،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الطبقة السابعة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محمَّد بن سعيد الثقفي له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السقيفة، الشورى، بيعة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الجمل، صفّين، الحكمين، النهر، مقتل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إبراهيم بن سليمان بن عبيد الله له كتاب مقتل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إبراهيم بن إسحاق النهاوندي له كتاب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إسماعيل بن علي بن إسحاق بن أبي سهل بن نوبخت له كتاب الأنوار في تواريخ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إسماعيل بن علي ابن أخي دعبل له كتاب تاريخ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سلمة بن الخطاب له كتاب مولد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الحسن بن علي بن فضّال له كتاب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الطبقة الثامنة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زكريا بن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الكبير، صفّين الكبير، مقتل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أخبار فاطمة – ومنشؤها ومولدها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وهبان له كتاب أخبار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المنصور، كتاب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أخبار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الطبقة التاسعة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سعيد ابن عقدة له كتاب صلح الحسن ومعاوية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بن مالك له كتاب أخبار الأئمّة ومواليدهم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العزيز بن يحيى الجلودي له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صفين، الحكمين، الخوارج، كتاب حروب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تزويج فاطمة –، كتاب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أخبار علي بن الحسين، كتاب أخبار أبي جعفر محمَّد بن علي، كتاب أخبار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الطبقة العاشرة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علي أبو محمَّد الأطروش له كتاب أنساب الأئمّة ومواليدهم إلى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إبراهيم بن أبي رافع له كتاب الصفاء في تاريخ الأئمّة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بن محمَّد الصرامي له كتاب تاريخ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 الله بن أبي زيد أحمد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أخبار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جعفر الصولي له كتاب أخبار فاطمة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بعض النماذج، ومن هذا العرض يتّضح عناية علماء مذهب أهل البيت ومحدِّثيهم بتوثيق كلّ ما يتعلّق بحياة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وجابر الجعفي هو أيضاً من العلماء الذين اعتنوا بالجانب التاريخي وتوثيق ما حصل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للأجيال اللاحقة، فإنّ لجابر عدّة كتب في التاريخ ذكرها النجاشي،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الجمل، وكتاب صفين، وكتاب النهروان، وكتاب مقتل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وطريقه إليها هو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هذه الكتب الحسين بن الحصين العمي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بن 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الغلابي وأخبرنا ابن نوح، عن عبد الجبار بن شيران الساكن نهر خطى، عن محمَّد بن زكريا الغلابي، عن جعفر بن محمَّد بن عمّار، عن أبيه، عن عمرو بن شمر، عن جابر بهذه الكتب</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يضاف إلى هذه الكتب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الشيخ أنَّه قد رواه بعض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عمرو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Style w:val="FootnoteAnchor"/>
          <w:rtl w:val="true"/>
        </w:rPr>
        <w:footnoteReference w:id="970"/>
      </w:r>
      <w:r>
        <w:rPr>
          <w:rFonts w:ascii="Amiri" w:hAnsi="Amiri" w:eastAsia="Amiri" w:cs="Amiri"/>
          <w:color w:val="111111"/>
          <w:sz w:val="28"/>
          <w:sz w:val="28"/>
          <w:szCs w:val="28"/>
          <w:rtl w:val="true"/>
          <w:lang w:bidi="ar-SA"/>
        </w:rPr>
        <w:t xml:space="preserve">،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ذلك في محلّ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تمام الكلام في هذا المقام ويقع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الثالث في وثاقة جابر الجعفي عند الفريقين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خير خلقه محمَّد وآله الطيبين الطاهرين</w:t>
      </w:r>
      <w:r>
        <w:rPr>
          <w:rFonts w:eastAsia="Amiri" w:cs="Amiri" w:ascii="Amiri" w:hAnsi="Amiri"/>
          <w:color w:val="111111"/>
          <w:sz w:val="28"/>
          <w:szCs w:val="28"/>
          <w:rtl w:val="true"/>
          <w:lang w:bidi="ar-SA"/>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4" w:name="pg9124_98905"/>
      <w:bookmarkStart w:id="1045" w:name="pg9124_98905"/>
      <w:bookmarkEnd w:id="1045"/>
    </w:p>
    <w:p>
      <w:pPr>
        <w:pStyle w:val="Heading2"/>
        <w:numPr>
          <w:ilvl w:val="1"/>
          <w:numId w:val="1"/>
        </w:numPr>
        <w:rPr/>
      </w:pPr>
      <w:bookmarkStart w:id="1046" w:name="pg9124_98905"/>
      <w:bookmarkStart w:id="1047" w:name="__RefHeading___Toc2933882_2870459653"/>
      <w:bookmarkStart w:id="1048" w:name="_Toc413"/>
      <w:bookmarkEnd w:id="1046"/>
      <w:bookmarkEnd w:id="1047"/>
      <w:r>
        <w:rPr>
          <w:rtl w:val="true"/>
        </w:rPr>
        <w:t xml:space="preserve">شرح المراسم العلوية في الأحكام النبوية </w:t>
      </w:r>
      <w:r>
        <w:rPr>
          <w:rtl w:val="true"/>
        </w:rPr>
        <w:t xml:space="preserve">- </w:t>
      </w:r>
      <w:r>
        <w:rPr>
          <w:rtl w:val="true"/>
        </w:rPr>
        <w:t xml:space="preserve">السيد جواد الموسوي الغريفي </w:t>
      </w:r>
      <w:r>
        <w:rPr>
          <w:rtl w:val="true"/>
        </w:rPr>
        <w:t>(</w:t>
      </w:r>
      <w:r>
        <w:rPr>
          <w:rtl w:val="true"/>
        </w:rPr>
        <w:t>دام عزه</w:t>
      </w:r>
      <w:r>
        <w:rPr>
          <w:rtl w:val="true"/>
        </w:rPr>
        <w:t>)</w:t>
      </w:r>
      <w:bookmarkEnd w:id="1048"/>
    </w:p>
    <w:p>
      <w:pPr>
        <w:pStyle w:val="Heading3"/>
        <w:numPr>
          <w:ilvl w:val="2"/>
          <w:numId w:val="1"/>
        </w:numPr>
        <w:rPr/>
      </w:pPr>
      <w:bookmarkStart w:id="1049" w:name="__RefHeading___Toc2933884_2870459653"/>
      <w:bookmarkStart w:id="1050" w:name="_Toc414"/>
      <w:bookmarkEnd w:id="1049"/>
      <w:r>
        <w:rPr>
          <w:rtl w:val="true"/>
        </w:rPr>
        <w:t>اشارة</w:t>
      </w:r>
      <w:bookmarkEnd w:id="1050"/>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المراسم العلویة</w:t>
      </w:r>
    </w:p>
    <w:p>
      <w:pPr>
        <w:pStyle w:val="BookText"/>
        <w:rPr/>
      </w:pPr>
      <w:r>
        <w:rPr>
          <w:rFonts w:ascii="IRNazanin" w:hAnsi="IRNazanin" w:eastAsia="IRNazanin"/>
          <w:color w:val="111111"/>
          <w:sz w:val="28"/>
          <w:sz w:val="28"/>
          <w:szCs w:val="28"/>
          <w:rtl w:val="true"/>
          <w:lang w:bidi="fa-IR"/>
        </w:rPr>
        <w:t>فی الاحکام النبویة</w:t>
      </w:r>
    </w:p>
    <w:p>
      <w:pPr>
        <w:pStyle w:val="BookText"/>
        <w:rPr/>
      </w:pPr>
      <w:r>
        <w:rPr>
          <w:rFonts w:ascii="Amiri" w:hAnsi="Amiri" w:eastAsia="Amiri" w:cs="Amiri"/>
          <w:color w:val="111111"/>
          <w:sz w:val="28"/>
          <w:sz w:val="28"/>
          <w:szCs w:val="28"/>
          <w:rtl w:val="true"/>
          <w:lang w:bidi="ar-SA"/>
        </w:rPr>
        <w:t>لأحد علماء القرن السادس الهجري</w:t>
      </w:r>
    </w:p>
    <w:p>
      <w:pPr>
        <w:pStyle w:val="BookText"/>
        <w:rPr/>
      </w:pPr>
      <w:r>
        <w:rPr>
          <w:rFonts w:ascii="IRNazanin" w:hAnsi="IRNazanin" w:eastAsia="IRNazanin"/>
          <w:color w:val="111111"/>
          <w:sz w:val="28"/>
          <w:sz w:val="28"/>
          <w:szCs w:val="28"/>
          <w:rtl w:val="true"/>
          <w:lang w:bidi="fa-IR"/>
        </w:rPr>
        <w:t>تحقیق</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جواد لموسوى الغریقی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1" w:name="pg9124_98907"/>
      <w:bookmarkStart w:id="1052" w:name="pg9124_98907"/>
      <w:bookmarkEnd w:id="1052"/>
    </w:p>
    <w:p>
      <w:pPr>
        <w:pStyle w:val="Heading3"/>
        <w:numPr>
          <w:ilvl w:val="2"/>
          <w:numId w:val="1"/>
        </w:numPr>
        <w:rPr/>
      </w:pPr>
      <w:bookmarkStart w:id="1053" w:name="pg9124_98907"/>
      <w:bookmarkStart w:id="1054" w:name="__RefHeading___Toc2933886_2870459653"/>
      <w:bookmarkStart w:id="1055" w:name="_Toc415"/>
      <w:bookmarkEnd w:id="1053"/>
      <w:bookmarkEnd w:id="1054"/>
      <w:r>
        <w:rPr>
          <w:rtl w:val="true"/>
        </w:rPr>
        <w:t>المقدمة</w:t>
      </w:r>
      <w:bookmarkEnd w:id="1055"/>
    </w:p>
    <w:p>
      <w:pPr>
        <w:pStyle w:val="Heading4"/>
        <w:numPr>
          <w:ilvl w:val="3"/>
          <w:numId w:val="1"/>
        </w:numPr>
        <w:rPr/>
      </w:pPr>
      <w:bookmarkStart w:id="1056" w:name="__RefHeading___Toc2933888_2870459653"/>
      <w:bookmarkStart w:id="1057" w:name="_Toc416"/>
      <w:bookmarkEnd w:id="1056"/>
      <w:r>
        <w:rPr>
          <w:rtl w:val="true"/>
        </w:rPr>
        <w:t>اشارة</w:t>
      </w:r>
      <w:bookmarkEnd w:id="10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خير خلقه محمَّد وآله الطَّيّبين الطَّاهرين الهداة المهديين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التّراث الخطِّيّ الّذي خلَّفه السَّلف عبر العصور رصيداً معرفيَّاً مهمَّاً ناهيك عن كونه الهويَّة الحضاريَّة للأمم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بذل الأقدمون جهوداً بالغة في حفظه والعناية به على الرّغم من فقدان الكثير منه نتيجةً لعوامل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أنَّ تلك الجهود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تخرج عن كونها 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انطلاق مؤسسات كبرى عديدة تعنى بهذا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وتهتمّ بنقل هذا التراث من الخاصّ إلى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وتعمل على إخراجه محقّقاً بأبهى صورة إلّا أنَّ ذلك لا يمنع من تدوين بعض الملاحظات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وجود ثبت شامل أو قريب منه لخزاناتٍ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بعضها إلى الآن لم يُدرَج أصلاً ضمن الفهارس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ذلك لأسباب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الظّروف الحافَّة بالبلد الراعي لتلك المخطوطات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خزانات النَّجف الأشرف مع ما تمتلكه من نوادر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الجهود الكبيرة المشكورة المبذولة من القائمين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نفتقد الكثير من المعلومات عمّا فيها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تجد أنَّ رسالة ابن بابويه لابنه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w:t>
      </w:r>
    </w:p>
    <w:p>
      <w:pPr>
        <w:pStyle w:val="BookText"/>
        <w:rPr/>
      </w:pPr>
      <w:r>
        <w:rPr>
          <w:rFonts w:ascii="Amiri" w:hAnsi="Amiri" w:eastAsia="Amiri" w:cs="Amiri"/>
          <w:color w:val="111111"/>
          <w:sz w:val="28"/>
          <w:sz w:val="28"/>
          <w:szCs w:val="28"/>
          <w:rtl w:val="true"/>
          <w:lang w:bidi="ar-SA"/>
        </w:rPr>
        <w:t xml:space="preserve">بنشرها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مرَّة قبل زهاء سنتين مع أنَّها نصٌّ يعود لفقيهٍ تُوفي قبل أكثر من ألف ومائة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محفوظات خزانة مكتبة الإمام الشّيخ محمّد الحسين آل كاشف الغطاء العامّة في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تجد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مؤخّراً قد اعتمد محقّقُها في تصحيحها على نسخة خطيَّة من مكتبة السّيّد المرعشي استُنسخت في سنة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 xml:space="preserve">ﻫ مع أنَّه توجد نسخة من المراسم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الخزانة المذكورة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تأريخ استنساخها إلى القرن السَّادس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ويغلب الظّنّ أنْ لو كانت هذه الخزانات معلومة المحتوى لما اكتفى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مؤخّراً باعتماد نُسَخٍ أقدمها بتأريخ سنة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نهيب بالجهات المعنيّة بالتراث المخطوط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حجم العمل وشدّة الجهد المبذول فيه ومقدار الطاقة المصروفة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التوجّه التّام للعمل بالتعريف بما تمتلكه من نفائس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ترشّح من نفائس تلك الخزانة هذه الرسالة الّتي بين يدي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المراسم العلويَّة في الأحكام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تمثّل أقدم شرح للمراسم العلويَّة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التّعريف بهذا الشّرح ومميّزاته والمخطوطة المعتمدة في تحقيقه يرجح في النّظر تسليط الضوء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مؤلِّفه ومخطوطاته ومطبوعاته ومختصراته وشروحه في ثلاث فقرات</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bookmarkStart w:id="1058" w:name="pg9124_98909"/>
    </w:p>
    <w:p>
      <w:pPr>
        <w:pStyle w:val="Heading4"/>
        <w:numPr>
          <w:ilvl w:val="3"/>
          <w:numId w:val="1"/>
        </w:numPr>
        <w:rPr/>
      </w:pPr>
      <w:bookmarkStart w:id="1059" w:name="__RefHeading___Toc2933890_2870459653"/>
      <w:bookmarkStart w:id="1060" w:name="_Toc417"/>
      <w:bookmarkEnd w:id="1058"/>
      <w:bookmarkEnd w:id="1059"/>
      <w:r>
        <w:rPr>
          <w:rtl w:val="true"/>
        </w:rPr>
        <w:t>الفقرة الأولى</w:t>
      </w:r>
      <w:r>
        <w:rPr>
          <w:rtl w:val="true"/>
        </w:rPr>
        <w:t xml:space="preserve">: </w:t>
      </w:r>
      <w:r>
        <w:rPr>
          <w:rtl w:val="true"/>
        </w:rPr>
        <w:t xml:space="preserve">مؤلِّف كتاب </w:t>
      </w:r>
      <w:r>
        <w:rPr>
          <w:rtl w:val="true"/>
        </w:rPr>
        <w:t>(</w:t>
      </w:r>
      <w:r>
        <w:rPr>
          <w:rtl w:val="true"/>
        </w:rPr>
        <w:t>المراسم العلويَّة في الأحكام النّبويَّة</w:t>
      </w:r>
      <w:r>
        <w:rPr>
          <w:rtl w:val="true"/>
        </w:rPr>
        <w:t>)</w:t>
      </w:r>
      <w:bookmarkEnd w:id="1060"/>
    </w:p>
    <w:p>
      <w:pPr>
        <w:pStyle w:val="Heading5"/>
        <w:numPr>
          <w:ilvl w:val="4"/>
          <w:numId w:val="1"/>
        </w:numPr>
        <w:rPr/>
      </w:pPr>
      <w:bookmarkStart w:id="1061" w:name="__RefHeading___Toc2933892_2870459653"/>
      <w:bookmarkStart w:id="1062" w:name="_Toc418"/>
      <w:bookmarkEnd w:id="1061"/>
      <w:r>
        <w:rPr>
          <w:rtl w:val="true"/>
        </w:rPr>
        <w:t>التّعريف به</w:t>
      </w:r>
      <w:bookmarkEnd w:id="1062"/>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الفقيه الأعظم، والشّيخ الأجلّ، الشّيخ أبو يعلى حمزة بن عبد العزيز الدّيلميّ</w:t>
      </w:r>
      <w:r>
        <w:rPr>
          <w:rStyle w:val="FootnoteAnchor"/>
          <w:rtl w:val="true"/>
        </w:rPr>
        <w:footnoteReference w:id="972"/>
      </w:r>
      <w:r>
        <w:rPr>
          <w:rFonts w:ascii="Amiri" w:hAnsi="Amiri" w:eastAsia="Amiri" w:cs="Amiri"/>
          <w:color w:val="111111"/>
          <w:sz w:val="28"/>
          <w:sz w:val="28"/>
          <w:szCs w:val="28"/>
          <w:rtl w:val="true"/>
          <w:lang w:bidi="ar-SA"/>
        </w:rPr>
        <w:t>الطّبرستانيّ</w:t>
      </w:r>
      <w:r>
        <w:rPr>
          <w:rStyle w:val="FootnoteAnchor"/>
          <w:rtl w:val="true"/>
        </w:rPr>
        <w:footnoteReference w:id="973"/>
      </w:r>
      <w:r>
        <w:rPr>
          <w:rFonts w:ascii="Amiri" w:hAnsi="Amiri" w:eastAsia="Amiri" w:cs="Amiri"/>
          <w:color w:val="111111"/>
          <w:sz w:val="28"/>
          <w:sz w:val="28"/>
          <w:szCs w:val="28"/>
          <w:rtl w:val="true"/>
          <w:lang w:bidi="ar-SA"/>
        </w:rPr>
        <w:t>،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اشتهر بلقبه هذا حتّى ذكره جملة من أصحاب الرّجال والتّراجم في باب السّين</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bookmarkStart w:id="1063" w:name="pg9124_98910"/>
    </w:p>
    <w:p>
      <w:pPr>
        <w:pStyle w:val="Heading5"/>
        <w:numPr>
          <w:ilvl w:val="4"/>
          <w:numId w:val="1"/>
        </w:numPr>
        <w:rPr/>
      </w:pPr>
      <w:bookmarkStart w:id="1064" w:name="__RefHeading___Toc2933894_2870459653"/>
      <w:bookmarkStart w:id="1065" w:name="_Toc419"/>
      <w:bookmarkEnd w:id="1063"/>
      <w:bookmarkEnd w:id="1064"/>
      <w:r>
        <w:rPr>
          <w:rtl w:val="true"/>
        </w:rPr>
        <w:t>الثَّناء عليه</w:t>
      </w:r>
      <w:bookmarkEnd w:id="10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مفتتح أجوبة المسائل السّلّاريّة الّتي سأله عنها الدّيلميّ،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وقفت على ما أنفذه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وسأل بيان جوابها، ووجدته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يده من مسائله إلّا على نكتة وموضع شبهة</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منتجب الدين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يعلى سالار ابن عبد العزيز الدّيلميّ، فقيهٌ، ثقةٌ، عين</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خلاصة الأقوال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سلّار بن عبد العزيز الدّيلميّ، أبو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المقدّم في الفقه والأدب وغيرهما، كان ثقة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على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داود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سلّار بن عبد العزيز الدّيلميّ، أبو يعلى، فقيهٌ جليل معظَّم، مصنِّف، من تلامذة المفيد والسّيّد المرتضى</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أمل الآمل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أبو يعلى سالار بن عبد العزيز الدّيلميّ، فقيهٌ، ثقةٌ،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جليل القدر، عظيم الشّأن، فقيه، يروي عنه الشّيخ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الشّيخ الطّوسيّ</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مهديّ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كلام الشّريف المرتضى المتقدِّم بشأن المسائل السلّاريَّة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وناهيك بهذا النّعت له من السّيّد، ولعمري لقد سأل هذا الفاضل في مسائله المذكورة عن أمور عويصة بتحرير متقن سديد يدلّ على كمال فضله واقتداره في صنعة الكلام وغيره، وقد تعمّق السّيّد الأجلّ المرتضى بما يعلم منه مقدار فضيلة السّائل وتمهّره وتسلّطه على العلم، وقد كان سؤاله عن ذلك حال تحصيله على السّيّد وقراءته عليه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ابتداء المسائل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نِعَمُ الله تعالى على الخلق بدوام بقاء سيّدنا الشّريف السّيّد الأجلّ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بقاءه وأدام علوّه وسموّه وبسطته، وكبت أعداءه وحَسَدَتَه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فالألسُنُ تقصر عن أداء شكرها، والمنن تضعف عن تعاطي نشرها، فلا أزال الله عنّا وعن الإسلام ظلّه، وحرس أيّامه من الغِيَر،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له سبيل إلى إلقاء ما يعرض له ويعتلج في صدره من الشُّبه إلى الخاطر الشّريف، واستمداد الهدى من جهته، فلا معنى لإقامته على ظلمتها، والغاية اقتباس نور الله سبحانه؛ ليقف على الطّريق النَّهْج والسّبيل الواضح والصّراط المستقيم، والخادم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متمكّنًا من إيراد ذلك في المجلس الأشرف وأخذ الجواب عنه على ما جرت به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سائل الإنعام بالوقوف على هذه المسائل، وإيضاح ما أشكل منها، ليعمّ النّفع بها، فيحصل بذلك المبتغى بمجموعه من الوقوف على الحقّ، وعموم النّفع للمؤمنين كافّة، والتّنويه باسم الخادم، ولرأي سيّدنا الشّريف السّيّد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قدرته في ذلك وعلوّه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في ذكر المسائل</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bookmarkStart w:id="1066" w:name="pg9124_98912"/>
    </w:p>
    <w:p>
      <w:pPr>
        <w:pStyle w:val="BookText"/>
        <w:rPr/>
      </w:pPr>
      <w:bookmarkEnd w:id="106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باقر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روضات الجنّات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المتفقّه الإمام أبو يعلى حمزة بن عبد العزيز، الملقّب بسلّار الدّيلميّ، أحد أعاظم المتقدّمين من فقهاء هذه الطّائفة، بل وأحدهم المشار إليه في كتب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كبار تلامذة المرتضى والمفيد</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أعيان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متكلّماً، أصوليّاً، فقيهاً، أديباً، نحويَّاً، ذا شهرة واسعة بين العلماء، فكانوا يقفون عند أقواله، وينقلونها في كتبهم، وحسبه شرفاً أنّه يُعدّ من أجلّة تلامذة المفيد والمرتضى</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7" w:name="__RefHeading___Toc2933896_2870459653"/>
      <w:bookmarkStart w:id="1068" w:name="_Toc420"/>
      <w:bookmarkEnd w:id="1067"/>
      <w:r>
        <w:rPr>
          <w:rtl w:val="true"/>
        </w:rPr>
        <w:t>تصانيفه</w:t>
      </w:r>
      <w:bookmarkEnd w:id="10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الأبواب والفصول، في الفقه</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الأسئلة السّلّاريّة، مسائلٌ في الفقه سأل عنها أستاذه السّيّد المرتضى، مخطوط</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في حقيقة الجوهرة، مفقود</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التّقريب في أصول الفقه، مفقود</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الرّدّ على أبي الحسن البصريّ في نقضه كتاب الشّافي في الإمامة، مفقود</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bookmarkStart w:id="1069" w:name="pg9124_98913"/>
    </w:p>
    <w:p>
      <w:pPr>
        <w:pStyle w:val="BookText"/>
        <w:rPr/>
      </w:pPr>
      <w:bookmarkEnd w:id="106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المراسم العلويّة،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 في المذهب، مفقود</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0" w:name="__RefHeading___Toc2933898_2870459653"/>
      <w:bookmarkStart w:id="1071" w:name="_Toc421"/>
      <w:bookmarkEnd w:id="1070"/>
      <w:r>
        <w:rPr>
          <w:rtl w:val="true"/>
        </w:rPr>
        <w:t>وفاته وموضع دفنه</w:t>
      </w:r>
      <w:bookmarkEnd w:id="1071"/>
    </w:p>
    <w:p>
      <w:pPr>
        <w:pStyle w:val="BookText"/>
        <w:rPr/>
      </w:pPr>
      <w:r>
        <w:rPr>
          <w:rFonts w:ascii="Amiri" w:hAnsi="Amiri" w:eastAsia="Amiri" w:cs="Amiri"/>
          <w:color w:val="111111"/>
          <w:sz w:val="28"/>
          <w:sz w:val="28"/>
          <w:szCs w:val="28"/>
          <w:rtl w:val="true"/>
          <w:lang w:bidi="ar-SA"/>
        </w:rPr>
        <w:t xml:space="preserve">قال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صفر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نظام الأقوال</w:t>
      </w:r>
      <w:r>
        <w:rPr>
          <w:rStyle w:val="FootnoteAnchor"/>
          <w:rtl w:val="true"/>
        </w:rPr>
        <w:footnoteReference w:id="990"/>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بعد الظّهر من يوم السّبت لستٍّ خلون من شهر رمضان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الميرزا عبد الله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 وحياض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تذكرة الأولياء</w:t>
      </w:r>
      <w:r>
        <w:rPr>
          <w:rStyle w:val="FootnoteAnchor"/>
          <w:rtl w:val="true"/>
        </w:rPr>
        <w:footnoteReference w:id="9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سلّار بن عبد العزيز الدّيلميّ مدفون في قرية خسرو شاه من قرى تبريز</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عليها أيضاً وسمعتُ من بعض أكابرها بل من جميع </w:t>
      </w:r>
    </w:p>
    <w:p>
      <w:pPr>
        <w:pStyle w:val="BookText"/>
        <w:rPr/>
      </w:pPr>
      <w:r>
        <w:rPr>
          <w:rFonts w:ascii="Amiri" w:hAnsi="Amiri" w:eastAsia="Amiri" w:cs="Amiri"/>
          <w:color w:val="111111"/>
          <w:sz w:val="28"/>
          <w:sz w:val="28"/>
          <w:szCs w:val="28"/>
          <w:rtl w:val="true"/>
          <w:lang w:bidi="ar-SA"/>
        </w:rPr>
        <w:t xml:space="preserve">أهلها أنَّ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وكان قبره هناك معروفاً، وقد زرته بها، وخسرو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الزمن القديم بلدة كبيرة معروفة من بلاد آذربيجان، والآن صارت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تبريز على مرحلة بقدر ستّة فراسخ</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محمّد حسين الجلاليّ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السّيّد محمّد عليّ القاضي التبريزيّ أنّ مزاره معروف، وتزوره الطائفة</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bookmarkStart w:id="1072" w:name="pg9124_98915"/>
    </w:p>
    <w:p>
      <w:pPr>
        <w:pStyle w:val="Heading4"/>
        <w:numPr>
          <w:ilvl w:val="3"/>
          <w:numId w:val="1"/>
        </w:numPr>
        <w:rPr/>
      </w:pPr>
      <w:bookmarkStart w:id="1073" w:name="__RefHeading___Toc2933900_2870459653"/>
      <w:bookmarkStart w:id="1074" w:name="_Toc422"/>
      <w:bookmarkEnd w:id="1072"/>
      <w:bookmarkEnd w:id="1073"/>
      <w:r>
        <w:rPr>
          <w:rtl w:val="true"/>
        </w:rPr>
        <w:t>الفقرة الثّانية</w:t>
      </w:r>
      <w:r>
        <w:rPr>
          <w:rtl w:val="true"/>
        </w:rPr>
        <w:t xml:space="preserve">: </w:t>
      </w:r>
      <w:r>
        <w:rPr>
          <w:rtl w:val="true"/>
        </w:rPr>
        <w:t xml:space="preserve">كتاب </w:t>
      </w:r>
      <w:r>
        <w:rPr>
          <w:rtl w:val="true"/>
        </w:rPr>
        <w:t>(</w:t>
      </w:r>
      <w:r>
        <w:rPr>
          <w:rtl w:val="true"/>
        </w:rPr>
        <w:t>المراسم العلويَّة في الأحكام النّبويّة</w:t>
      </w:r>
      <w:r>
        <w:rPr>
          <w:rtl w:val="true"/>
        </w:rPr>
        <w:t>)</w:t>
      </w:r>
      <w:bookmarkEnd w:id="1074"/>
    </w:p>
    <w:p>
      <w:pPr>
        <w:pStyle w:val="Heading5"/>
        <w:numPr>
          <w:ilvl w:val="4"/>
          <w:numId w:val="1"/>
        </w:numPr>
        <w:rPr/>
      </w:pPr>
      <w:bookmarkStart w:id="1075" w:name="__RefHeading___Toc2933902_2870459653"/>
      <w:bookmarkStart w:id="1076" w:name="_Toc423"/>
      <w:bookmarkEnd w:id="1075"/>
      <w:r>
        <w:rPr>
          <w:rtl w:val="true"/>
        </w:rPr>
        <w:t>التّعريف به</w:t>
      </w:r>
      <w:bookmarkEnd w:id="1076"/>
    </w:p>
    <w:p>
      <w:pPr>
        <w:pStyle w:val="BookText"/>
        <w:rPr/>
      </w:pPr>
      <w:r>
        <w:rPr>
          <w:rFonts w:ascii="Amiri" w:hAnsi="Amiri" w:eastAsia="Amiri" w:cs="Amiri"/>
          <w:color w:val="111111"/>
          <w:sz w:val="28"/>
          <w:sz w:val="28"/>
          <w:szCs w:val="28"/>
          <w:rtl w:val="true"/>
          <w:lang w:bidi="ar-SA"/>
        </w:rPr>
        <w:t>مختصرٌ فتوائيّ معروف من أحكام الطّهارة إلى الدّيات، في قسمين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العبادات والمعاملات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بعض مسائله إشارة إلى بعض الأدلّة، ألَّفه باسم أحد السّلاطين لم يذكر اسمه صريحاً في مقدّمة المؤلَّف، وسُمّي في بعض الفهارس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النّبويّة والمراسم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اختصاراً</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7" w:name="__RefHeading___Toc2933904_2870459653"/>
      <w:bookmarkStart w:id="1078" w:name="_Toc424"/>
      <w:bookmarkEnd w:id="1077"/>
      <w:r>
        <w:rPr>
          <w:rtl w:val="true"/>
        </w:rPr>
        <w:t>شروحه</w:t>
      </w:r>
      <w:bookmarkEnd w:id="10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لبعض المقاربين لعصر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هذا الذي بين يدي القارئ</w:t>
      </w:r>
    </w:p>
    <w:p>
      <w:pPr>
        <w:pStyle w:val="BookText"/>
        <w:rPr/>
      </w:pP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الحديث عنه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الفقرة الثالثة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في زمن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قبله بيسير، نقل عنه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الفوائد في باب التّسليم، ولعلّه متّحد مع الشّرح الأوّل</w:t>
      </w:r>
      <w:r>
        <w:rPr>
          <w:rStyle w:val="FootnoteAnchor"/>
          <w:rtl w:val="true"/>
        </w:rPr>
        <w:footnoteReference w:id="996"/>
      </w:r>
      <w:r>
        <w:rPr>
          <w:rFonts w:ascii="IRNazanin" w:hAnsi="IRNazanin" w:eastAsia="IRNazanin"/>
          <w:color w:val="111111"/>
          <w:sz w:val="28"/>
          <w:sz w:val="28"/>
          <w:szCs w:val="28"/>
          <w:rtl w:val="true"/>
          <w:lang w:bidi="fa-IR"/>
        </w:rPr>
        <w:t>، أو مع الشّرح اللاحق</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في زمن فخر المحقّقين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قبله بيسير، فإنّه نقل عنه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الطلاق، وهو غير الشّرح الأوّل</w:t>
      </w:r>
      <w:r>
        <w:rPr>
          <w:rStyle w:val="FootnoteAnchor"/>
          <w:rtl w:val="true"/>
        </w:rPr>
        <w:footnoteReference w:id="998"/>
      </w:r>
      <w:r>
        <w:rPr>
          <w:rFonts w:ascii="Amiri" w:hAnsi="Amiri" w:eastAsia="Amiri" w:cs="Amiri"/>
          <w:color w:val="111111"/>
          <w:sz w:val="28"/>
          <w:sz w:val="28"/>
          <w:szCs w:val="28"/>
          <w:rtl w:val="true"/>
          <w:lang w:bidi="ar-SA"/>
        </w:rPr>
        <w:t>، ولعلّه متّحد مع السابق، والأمر يحتاج إلى تحقيق</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السّيّد 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عنه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الحديث عن تحديد موضع مسجد الحصبة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السّيّد ضياء الدّين بن الفاخر شارح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شاهدت أحداً يعلمني به </w:t>
      </w:r>
      <w:r>
        <w:rPr>
          <w:rFonts w:eastAsia="Amiri" w:cs="Amiri" w:ascii="Amiri" w:hAnsi="Amiri"/>
          <w:color w:val="111111"/>
          <w:sz w:val="28"/>
          <w:szCs w:val="28"/>
          <w:rtl w:val="true"/>
          <w:lang w:bidi="ar-SA"/>
        </w:rPr>
        <w:t>..)</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ونقل عنه الشهيد الأوّل في مورد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الصلاة الفائتة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رجع عن القول بالمضايقة إلى المواسعة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ينسبه إلى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المراد في شرح نكت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ذلك عن الشّهيد الأوّل جملة من المتأخرين عنه،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أحمد العلوي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والفاضل الهندي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شرح الفاخر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موسى العامليّ البابلي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الأرواح فيما يتعلّق بأحكام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الفاخر شارح رسالة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عنه قولاً فقهيّاً نادراً ذكرناه بالهامش</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الأرواح فيما يتعلّق بأحكام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خطيّة مصوّرة محفوظة في مركز الفقيه العاملي لإحياء التراث تحت 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هذا القول عن السيد الفاخر في شرح الرسالة دون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محمّد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 xml:space="preserve">، وآقا جمال الدين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الميرزا عبد الله الأفندي أنَّ السّيّد الفاخر شارح رسالة سلّار هو السّيّد ضياء الدين ابن الفاخر مستشهداً بما ذكره الشّهيد الأوّل في الدّروس وغاية المراد</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الأرجح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الشّارح له صلة بالسيّد الفاخر ابن فضائل العلويّ شيخ سديد الدّين يوسف بن علي بن المطهَّر</w:t>
      </w:r>
      <w:r>
        <w:rPr>
          <w:rStyle w:val="FootnoteAnchor"/>
          <w:rtl w:val="true"/>
        </w:rPr>
        <w:footnoteReference w:id="1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الشّارح بطبقة سديد الدّين يوسف ابن المطهَّر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تفرّد الشّيخ حسين آل عصفور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اللوامع في شرح مفاتيح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على أنَّ السّيّد الفاخر شارح المراسم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أبو الصلاح الحلبي والسّيّد الفاخر السّيّد أحمد ابن طاووس لا يحتسب من العدّة ما لا يحصل فيه الحداد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يُظنّ سقوط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عبارتي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راجعنا المخطوط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اللّوامع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فوجدناه موافقاً للمطبوع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فمخطوطه خلا من الواو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الشّرح الأول</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متّحد مع السّابِقَين والأمر يحتاج إلى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العلائم في شرح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عليّ المعروف بآقا مجتهد ابن السّيّد صدر الدين الموسويّ العامليّ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تامّ</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bookmarkStart w:id="1079" w:name="pg9124_98919"/>
    </w:p>
    <w:p>
      <w:pPr>
        <w:pStyle w:val="Heading5"/>
        <w:numPr>
          <w:ilvl w:val="4"/>
          <w:numId w:val="1"/>
        </w:numPr>
        <w:rPr/>
      </w:pPr>
      <w:bookmarkStart w:id="1080" w:name="__RefHeading___Toc2933906_2870459653"/>
      <w:bookmarkStart w:id="1081" w:name="_Toc425"/>
      <w:bookmarkEnd w:id="1079"/>
      <w:bookmarkEnd w:id="1080"/>
      <w:r>
        <w:rPr>
          <w:rtl w:val="true"/>
        </w:rPr>
        <w:t>مختصراته</w:t>
      </w:r>
      <w:bookmarkEnd w:id="1081"/>
    </w:p>
    <w:p>
      <w:pPr>
        <w:pStyle w:val="BookText"/>
        <w:rPr/>
      </w:pPr>
      <w:r>
        <w:rPr>
          <w:rFonts w:ascii="Amiri" w:hAnsi="Amiri" w:eastAsia="Amiri" w:cs="Amiri"/>
          <w:color w:val="111111"/>
          <w:sz w:val="28"/>
          <w:sz w:val="28"/>
          <w:szCs w:val="28"/>
          <w:rtl w:val="true"/>
          <w:lang w:bidi="ar-SA"/>
        </w:rPr>
        <w:t xml:space="preserve">اختصره نجم الدّين جعفر بن الحسن المعروف بالمحقّق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2" w:name="__RefHeading___Toc2933908_2870459653"/>
      <w:bookmarkStart w:id="1083" w:name="_Toc426"/>
      <w:bookmarkEnd w:id="1082"/>
      <w:r>
        <w:rPr>
          <w:rtl w:val="true"/>
        </w:rPr>
        <w:t xml:space="preserve">مخطوطاته </w:t>
      </w:r>
      <w:r>
        <w:rPr>
          <w:rtl w:val="true"/>
        </w:rPr>
        <w:t>(</w:t>
      </w:r>
      <w:r>
        <w:rPr>
          <w:rtl w:val="true"/>
        </w:rPr>
        <w:t>أقدم نُسَخه</w:t>
      </w:r>
      <w:r>
        <w:rPr>
          <w:rtl w:val="true"/>
        </w:rPr>
        <w:t>)</w:t>
      </w:r>
      <w:bookmarkEnd w:id="1083"/>
    </w:p>
    <w:p>
      <w:pPr>
        <w:pStyle w:val="BookText"/>
        <w:rPr/>
      </w:pPr>
      <w:r>
        <w:rPr>
          <w:rFonts w:ascii="Amiri" w:hAnsi="Amiri" w:eastAsia="Amiri" w:cs="Amiri"/>
          <w:color w:val="111111"/>
          <w:sz w:val="28"/>
          <w:sz w:val="28"/>
          <w:szCs w:val="28"/>
          <w:rtl w:val="true"/>
          <w:lang w:bidi="ar-SA"/>
        </w:rPr>
        <w:t xml:space="preserve">لعلَّ من الغالب أن يكون لكلِّ مؤلَّفٍ قديم عدّة نسخ خطّيّة منتشرة في ربوع الأرض، وحينئذٍ فليس من الغريب أن يكون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نسخة، ففي 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وفي النّجف الأشرف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w:t>
      </w:r>
      <w:r>
        <w:rPr>
          <w:rStyle w:val="FootnoteAnchor"/>
          <w:rtl w:val="true"/>
        </w:rPr>
        <w:footnoteReference w:id="1018"/>
      </w:r>
      <w:r>
        <w:rPr>
          <w:rFonts w:ascii="Amiri" w:hAnsi="Amiri" w:eastAsia="Amiri" w:cs="Amiri"/>
          <w:color w:val="111111"/>
          <w:sz w:val="28"/>
          <w:sz w:val="28"/>
          <w:szCs w:val="28"/>
          <w:rtl w:val="true"/>
          <w:lang w:bidi="ar-SA"/>
        </w:rPr>
        <w:t>، وهنا اقتصرت على ذكر ثلاث نسخ قديمة ونفيسة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ضمن مجموعة عليها إجازة بخطّ القطب الراونديّ، سعيد بن هبة</w:t>
      </w:r>
    </w:p>
    <w:p>
      <w:pPr>
        <w:pStyle w:val="BookText"/>
        <w:rPr/>
      </w:pPr>
      <w:r>
        <w:rPr>
          <w:rFonts w:ascii="Amiri" w:hAnsi="Amiri" w:eastAsia="Amiri" w:cs="Amiri"/>
          <w:color w:val="111111"/>
          <w:sz w:val="28"/>
          <w:sz w:val="28"/>
          <w:szCs w:val="28"/>
          <w:rtl w:val="true"/>
          <w:lang w:bidi="ar-SA"/>
        </w:rPr>
        <w:t xml:space="preserve">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 لولده نصير الدين حسين الشّهيد، رآها الشّيخ آقا بزرك الطهرانيّ عند الشّيخ محمّد السماويّ</w:t>
      </w:r>
      <w:r>
        <w:rPr>
          <w:rStyle w:val="FootnoteAnchor"/>
          <w:rtl w:val="true"/>
        </w:rPr>
        <w:footnoteReference w:id="1019"/>
      </w:r>
      <w:r>
        <w:rPr>
          <w:rFonts w:ascii="Amiri" w:hAnsi="Amiri" w:eastAsia="Amiri" w:cs="Amiri"/>
          <w:color w:val="111111"/>
          <w:sz w:val="28"/>
          <w:sz w:val="28"/>
          <w:szCs w:val="28"/>
          <w:rtl w:val="true"/>
          <w:lang w:bidi="ar-SA"/>
        </w:rPr>
        <w:t xml:space="preserve">، وانتقلت هذه النّسخة إلى مكتبة الإمام الشّيخ محمّد الحسين كاشف الغطاء وتسلسلها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رأيتها ضمن مجموعة 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البرّاج،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المراسم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الحديث عنها في الفقرة الثالثة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كتبها عليّ بن الحسين بن فادشاه بن أبي القاسم بن أميرة بن أبي الفضل ابن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بن أبي جعفر الجواد، يوم الخميس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الأوّل سنة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ﻫ، وهي الآن في مكتبة جامعة طهران بالرقم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xml:space="preserve">. </w:t>
      </w:r>
      <w:bookmarkStart w:id="1084" w:name="pg9124_98920"/>
    </w:p>
    <w:p>
      <w:pPr>
        <w:pStyle w:val="BookText"/>
        <w:rPr/>
      </w:pPr>
      <w:bookmarkEnd w:id="108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كتبها محمّد بن إسماعيل بن الحسن الهرقليّ الحلّيّ</w:t>
      </w:r>
      <w:r>
        <w:rPr>
          <w:rStyle w:val="FootnoteAnchor"/>
          <w:rtl w:val="true"/>
        </w:rPr>
        <w:footnoteReference w:id="1021"/>
      </w:r>
      <w:r>
        <w:rPr>
          <w:rFonts w:ascii="Amiri" w:hAnsi="Amiri" w:eastAsia="Amiri" w:cs="Amiri"/>
          <w:color w:val="111111"/>
          <w:sz w:val="28"/>
          <w:sz w:val="28"/>
          <w:szCs w:val="28"/>
          <w:rtl w:val="true"/>
          <w:lang w:bidi="ar-SA"/>
        </w:rPr>
        <w:t xml:space="preserve">، يوم الأربعاء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ﻫ، وهي الآن في مكتبة جستربيتي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دبلن بإيرلندا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ومصوّرتها في مكتبة السّيّد المرعشي</w:t>
      </w:r>
      <w:r>
        <w:rPr>
          <w:rStyle w:val="FootnoteAnchor"/>
          <w:rtl w:val="true"/>
        </w:rPr>
        <w:footnoteReference w:id="1022"/>
      </w:r>
      <w:r>
        <w:rPr>
          <w:rFonts w:ascii="IRNazanin" w:hAnsi="IRNazanin" w:eastAsia="IRNazanin"/>
          <w:color w:val="111111"/>
          <w:sz w:val="28"/>
          <w:sz w:val="28"/>
          <w:szCs w:val="28"/>
          <w:rtl w:val="true"/>
          <w:lang w:bidi="fa-IR"/>
        </w:rPr>
        <w:t xml:space="preserve">بالرقم </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هذه النّسخة في مكتبة الشّيخ عبد الحسين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وقد رآها 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وذكرها عند ترجمة النّاسخ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ورأيت أيضًا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لسالار الدّيلميّ في مكتبة الطهرانيّ بكربلاء، كتبه في بغداد وفرغ منه ليلة الأربعاء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وهنالك نسخ أخرى قديمة ومتأخّرة ليس هنا محلٌّ لذكرها، فمن أرادها فليرجع إلى مظانّها</w:t>
      </w:r>
      <w:r>
        <w:rPr>
          <w:rFonts w:eastAsia="Amiri" w:cs="Amiri" w:ascii="Amiri" w:hAnsi="Amiri"/>
          <w:color w:val="111111"/>
          <w:sz w:val="28"/>
          <w:szCs w:val="28"/>
          <w:rtl w:val="true"/>
          <w:lang w:bidi="ar-SA"/>
        </w:rPr>
        <w:t>.</w:t>
      </w:r>
    </w:p>
    <w:p>
      <w:pPr>
        <w:pStyle w:val="Heading5"/>
        <w:numPr>
          <w:ilvl w:val="4"/>
          <w:numId w:val="1"/>
        </w:numPr>
        <w:rPr/>
      </w:pPr>
      <w:bookmarkStart w:id="1085" w:name="__RefHeading___Toc2933910_2870459653"/>
      <w:bookmarkStart w:id="1086" w:name="_Toc427"/>
      <w:bookmarkEnd w:id="1085"/>
      <w:r>
        <w:rPr>
          <w:rtl w:val="true"/>
        </w:rPr>
        <w:t>طبعاته</w:t>
      </w:r>
      <w:bookmarkEnd w:id="1086"/>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الحجر سنة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 xml:space="preserve">ﻫ، وترتيبه في الجوامع السّابع بين اثني عشر كتاباً، ونسخته كتبها محمّد رضا ابن الميرزا عبد الله الطّبيب بتاريخ سنة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رحليّ</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 في الفقه الإماميّ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بتقديم وتحقيق الدكتور محمود البستاني في النّجف الأشرف ضمن منشورات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منتدى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وزيريّ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أوفسيت على الطبعة السابقة، منشورات الحرمين، قمّ المقدّسة،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السّيّد محسن الحسينيّ الأمينيّ ومراجعة السّيّد محمّد جواد الجلاليّ في المجمع العالميّ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المقدّسة، 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أعيد طبع السابقة بالأوفسيت في دار الحقّ، بيروت،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وطبع أيضاً مبثوثاً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الينابيع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أصغر مرواريد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فقه الشّيعة،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الإسلاميّة،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bookmarkStart w:id="1087" w:name="pg9124_98922"/>
    </w:p>
    <w:p>
      <w:pPr>
        <w:pStyle w:val="Heading4"/>
        <w:numPr>
          <w:ilvl w:val="3"/>
          <w:numId w:val="1"/>
        </w:numPr>
        <w:rPr/>
      </w:pPr>
      <w:bookmarkStart w:id="1088" w:name="__RefHeading___Toc2933912_2870459653"/>
      <w:bookmarkStart w:id="1089" w:name="_Toc428"/>
      <w:bookmarkEnd w:id="1087"/>
      <w:bookmarkEnd w:id="1088"/>
      <w:r>
        <w:rPr>
          <w:rtl w:val="true"/>
        </w:rPr>
        <w:t>الفقرة الثّالثة</w:t>
      </w:r>
      <w:r>
        <w:rPr>
          <w:rtl w:val="true"/>
        </w:rPr>
        <w:t xml:space="preserve">: </w:t>
      </w:r>
      <w:r>
        <w:rPr>
          <w:rtl w:val="true"/>
        </w:rPr>
        <w:t xml:space="preserve">شرح </w:t>
      </w:r>
      <w:r>
        <w:rPr>
          <w:rtl w:val="true"/>
        </w:rPr>
        <w:t>(</w:t>
      </w:r>
      <w:r>
        <w:rPr>
          <w:rtl w:val="true"/>
        </w:rPr>
        <w:t>المراسم العلويَّة في الأحكام النّبويّة</w:t>
      </w:r>
      <w:r>
        <w:rPr>
          <w:rtl w:val="true"/>
        </w:rPr>
        <w:t>)</w:t>
      </w:r>
      <w:bookmarkEnd w:id="1089"/>
    </w:p>
    <w:p>
      <w:pPr>
        <w:pStyle w:val="Heading5"/>
        <w:numPr>
          <w:ilvl w:val="4"/>
          <w:numId w:val="1"/>
        </w:numPr>
        <w:rPr/>
      </w:pPr>
      <w:bookmarkStart w:id="1090" w:name="__RefHeading___Toc2933914_2870459653"/>
      <w:bookmarkStart w:id="1091" w:name="_Toc429"/>
      <w:bookmarkEnd w:id="1090"/>
      <w:r>
        <w:rPr>
          <w:rtl w:val="true"/>
        </w:rPr>
        <w:t>التّعريف به وبالنّسخة المخطوطة المعتمدة في التّحقيق</w:t>
      </w:r>
      <w:bookmarkEnd w:id="1091"/>
    </w:p>
    <w:p>
      <w:pPr>
        <w:pStyle w:val="BookText"/>
        <w:rPr/>
      </w:pPr>
      <w:r>
        <w:rPr>
          <w:rFonts w:ascii="Amiri" w:hAnsi="Amiri" w:eastAsia="Amiri" w:cs="Amiri"/>
          <w:color w:val="111111"/>
          <w:sz w:val="28"/>
          <w:sz w:val="28"/>
          <w:szCs w:val="28"/>
          <w:rtl w:val="true"/>
          <w:lang w:bidi="ar-SA"/>
        </w:rPr>
        <w:t xml:space="preserve">هو شرحٌ مختصرٌ على نحو التعليق،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رآه وذكره الشّيخ آقا بزرك الطهرانيّ عند الشّيخ محمّد السماويّ ضمن مجموعة عليها إجازة بخطّ قطب الدين الراونديّ، سعيد بن هبة 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كتبها لولده نصير الدّين حسين الشّهيد، وهو ناقص الأوّل، يبدأ من ذِكر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مكة محرماً بالعمرة الرجبيّة وأقام بها عازماً على الحج</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إلى آخر الحدود والأمر بالمعروف والنّهي عن المنكر الذي ينتهي به كتاب المراسم</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أشار الشّيخ عزّالدين الحسن بن أبي طالب اليوسفيّ المعروف بالفاضل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الشّرح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انتقلت هذه النسخة إلى مكتبة الإمام كاشف الغطاء العامّة وتسلسلها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رأيتها وهي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ضمن مجموعة ضمّت ثلاثة كتب بخطٍ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مضبوطة التّشكيل غالباً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سعد الدين أبي القاسم عبد العزيز بن نحرير بن </w:t>
      </w:r>
    </w:p>
    <w:p>
      <w:pPr>
        <w:pStyle w:val="BookText"/>
        <w:rPr/>
      </w:pPr>
      <w:r>
        <w:rPr>
          <w:rFonts w:ascii="Amiri" w:hAnsi="Amiri" w:eastAsia="Amiri" w:cs="Amiri"/>
          <w:color w:val="111111"/>
          <w:sz w:val="28"/>
          <w:sz w:val="28"/>
          <w:szCs w:val="28"/>
          <w:rtl w:val="true"/>
          <w:lang w:bidi="ar-SA"/>
        </w:rPr>
        <w:t xml:space="preserve">عبد العزيز بن البرّاج، قاضي 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بالمسألة ذات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في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ورقتان منها 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إجازة السّيّد سعيد بن هبة الله الراونديّ المذكورة، ونصّها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الجواهر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القاضي أبي القاسم عبد العزيز بن نحرير ابن البرّاج</w:t>
      </w:r>
      <w:r>
        <w:rPr>
          <w:rStyle w:val="FootnoteAnchor"/>
          <w:rtl w:val="true"/>
        </w:rPr>
        <w:footnoteReference w:id="1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 عليّ ولدي نصير الدين أبو عبد الله الحسين</w:t>
      </w:r>
      <w:r>
        <w:rPr>
          <w:rStyle w:val="FootnoteAnchor"/>
          <w:rtl w:val="true"/>
        </w:rPr>
        <w:footnoteReference w:id="10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أبقاه الله</w:t>
      </w:r>
      <w:r>
        <w:rPr>
          <w:rStyle w:val="FootnoteAnchor"/>
          <w:rtl w:val="true"/>
        </w:rPr>
        <w:footnoteReference w:id="1029"/>
      </w:r>
      <w:r>
        <w:rPr>
          <w:rFonts w:ascii="Amiri" w:hAnsi="Amiri" w:eastAsia="Amiri" w:cs="Amiri"/>
          <w:color w:val="111111"/>
          <w:sz w:val="28"/>
          <w:sz w:val="28"/>
          <w:szCs w:val="28"/>
          <w:rtl w:val="true"/>
          <w:lang w:bidi="ar-SA"/>
        </w:rPr>
        <w:t>ومتّعني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إتقان، وأجزت له أن يرويه عنّي، عن الشّيخ أبي جعفر محمّد بن المحسن الحلبيّ، عنه،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هبة الله</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المراسم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لسلّار بن عبد العزيز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ناقص الأوّل والآخر، يبدأ بباب ذكر ما يتطهَّر به من الأحداث وينتهي بذكر أحكام الجنايات في القضاء، ويقع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بعض أوراقه مخرومة</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المراسم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 الأوّل، ويبدأ من ذكر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مكة محرماً بالعمرة الرجبيّة وأقام بها عازماً على الحج</w:t>
      </w:r>
      <w:r>
        <w:rPr>
          <w:rFonts w:eastAsia="Amiri" w:cs="Amiri" w:ascii="Amiri" w:hAnsi="Amiri"/>
          <w:color w:val="111111"/>
          <w:sz w:val="28"/>
          <w:szCs w:val="28"/>
          <w:rtl w:val="true"/>
          <w:lang w:bidi="ar-SA"/>
        </w:rPr>
        <w:t>)</w:t>
      </w:r>
      <w:r>
        <w:rPr>
          <w:rStyle w:val="FootnoteAnchor"/>
          <w:rtl w:val="true"/>
        </w:rPr>
        <w:footnoteReference w:id="1032"/>
      </w:r>
      <w:r>
        <w:rPr>
          <w:rFonts w:ascii="Amiri" w:hAnsi="Amiri" w:eastAsia="Amiri" w:cs="Amiri"/>
          <w:color w:val="111111"/>
          <w:sz w:val="28"/>
          <w:sz w:val="28"/>
          <w:szCs w:val="28"/>
          <w:rtl w:val="true"/>
          <w:lang w:bidi="ar-SA"/>
        </w:rPr>
        <w:t>، ثمَّ 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كتاب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واستنسخ عن هذه النسخة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محمّد ابن عليّ الفراهانيّ المحمّد آباديّ في شعبان سنة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ثمّ استنسخ عنها في شهر </w:t>
      </w:r>
    </w:p>
    <w:p>
      <w:pPr>
        <w:pStyle w:val="BookText"/>
        <w:rPr/>
      </w:pPr>
      <w:r>
        <w:rPr>
          <w:rFonts w:ascii="Amiri" w:hAnsi="Amiri" w:eastAsia="Amiri" w:cs="Amiri"/>
          <w:color w:val="111111"/>
          <w:sz w:val="28"/>
          <w:sz w:val="28"/>
          <w:szCs w:val="28"/>
          <w:rtl w:val="true"/>
          <w:lang w:bidi="ar-SA"/>
        </w:rPr>
        <w:t>رمضان من تلك السّنة أيضاً الشّيخ أبو جعفر عليّ بن الحسن</w:t>
      </w:r>
      <w:r>
        <w:rPr>
          <w:rStyle w:val="FootnoteAnchor"/>
          <w:rtl w:val="true"/>
        </w:rPr>
        <w:footnoteReference w:id="1033"/>
      </w:r>
      <w:r>
        <w:rPr>
          <w:rFonts w:ascii="Amiri" w:hAnsi="Amiri" w:eastAsia="Amiri" w:cs="Amiri"/>
          <w:color w:val="111111"/>
          <w:sz w:val="28"/>
          <w:sz w:val="28"/>
          <w:szCs w:val="28"/>
          <w:rtl w:val="true"/>
          <w:lang w:bidi="ar-SA"/>
        </w:rPr>
        <w:t>بن أبي العبّاس</w:t>
      </w:r>
      <w:r>
        <w:rPr>
          <w:rStyle w:val="FootnoteAnchor"/>
          <w:rtl w:val="true"/>
        </w:rPr>
        <w:footnoteReference w:id="1034"/>
      </w:r>
      <w:r>
        <w:rPr>
          <w:rFonts w:ascii="Amiri" w:hAnsi="Amiri" w:eastAsia="Amiri" w:cs="Amiri"/>
          <w:color w:val="111111"/>
          <w:sz w:val="28"/>
          <w:sz w:val="28"/>
          <w:szCs w:val="28"/>
          <w:rtl w:val="true"/>
          <w:lang w:bidi="ar-SA"/>
        </w:rPr>
        <w:t>الجاستي</w:t>
      </w:r>
      <w:r>
        <w:rPr>
          <w:rStyle w:val="FootnoteAnchor"/>
          <w:rtl w:val="true"/>
        </w:rPr>
        <w:footnoteReference w:id="1035"/>
      </w:r>
      <w:r>
        <w:rPr>
          <w:rFonts w:ascii="Amiri" w:hAnsi="Amiri" w:eastAsia="Amiri" w:cs="Amiri"/>
          <w:color w:val="111111"/>
          <w:sz w:val="28"/>
          <w:sz w:val="28"/>
          <w:szCs w:val="28"/>
          <w:rtl w:val="true"/>
          <w:lang w:bidi="ar-SA"/>
        </w:rPr>
        <w:t>الوارانيّ وكتبا ذلك بخطّهما في إنهاء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ما كتبه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انتسخ منه أضعف عباد الله وأحوجهم إلى رحمته محمّد بن محمّد بن عليّ الفراهانيّ المحمّد آباديّ في عشر الأواخر من شهر الله المبارك شعبان سنة ثمان عشر وستّمائة داعيًا لصاحبه ومستغفرًا لمصنِّفه</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 ما كتبه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انتسخ من هذا الكتاب العبد الضعيف الفقير المحتاج إلى رحمة الله تعالى أبو جعفر عليّ بن الحسن بن أبي العباس الجاستي الوارانيّ في شهر الله المبارك رمضان عظَّم الله بركته سنة ثمان عشر وستّمائة داعيًا لصاحبه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عليها ختم مكتبة مجد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مجد الدّين محمّد النّصيريّ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وختم مكتبة الشّيخ السماويّ،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مختلفة السطور،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أسود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اختيار ذوي الاختصاص لنسخةٍ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لاقتنائها أو اعتمادها في التدريس وكتابة الإجازة عليها يضفي عليها مزيّة دون أدنى شكّ كما هو الحال في هذه المجموعة</w:t>
      </w:r>
      <w:r>
        <w:rPr>
          <w:rFonts w:eastAsia="Amiri" w:cs="Amiri" w:ascii="Amiri" w:hAnsi="Amiri"/>
          <w:color w:val="111111"/>
          <w:sz w:val="28"/>
          <w:szCs w:val="28"/>
          <w:rtl w:val="true"/>
          <w:lang w:bidi="ar-SA"/>
        </w:rPr>
        <w:t xml:space="preserve">. </w:t>
      </w:r>
      <w:bookmarkStart w:id="1092" w:name="pg9124_98925"/>
    </w:p>
    <w:p>
      <w:pPr>
        <w:pStyle w:val="Heading5"/>
        <w:numPr>
          <w:ilvl w:val="4"/>
          <w:numId w:val="1"/>
        </w:numPr>
        <w:rPr/>
      </w:pPr>
      <w:bookmarkStart w:id="1093" w:name="__RefHeading___Toc2933916_2870459653"/>
      <w:bookmarkStart w:id="1094" w:name="_Toc430"/>
      <w:bookmarkEnd w:id="1092"/>
      <w:bookmarkEnd w:id="1093"/>
      <w:r>
        <w:rPr>
          <w:rtl w:val="true"/>
        </w:rPr>
        <w:t>الشارح</w:t>
      </w:r>
      <w:bookmarkEnd w:id="1094"/>
    </w:p>
    <w:p>
      <w:pPr>
        <w:pStyle w:val="BookText"/>
        <w:rPr/>
      </w:pPr>
      <w:r>
        <w:rPr>
          <w:rFonts w:ascii="Amiri" w:hAnsi="Amiri" w:eastAsia="Amiri" w:cs="Amiri"/>
          <w:color w:val="111111"/>
          <w:sz w:val="28"/>
          <w:sz w:val="28"/>
          <w:szCs w:val="28"/>
          <w:rtl w:val="true"/>
          <w:lang w:bidi="ar-SA"/>
        </w:rPr>
        <w:t>لم نتمكن من تشخيص الشّارح على وجه التحديد بسبب فقدان الأوراق الأولى من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المؤشرات كلّها تفيد بأنّه من المقاربين لعصر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بذلك الشّيخ آقا بزرك الطّهرانيّ</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هذه النّسخة انتسخ منها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 هذا الشّرح يقع ضمن مجموعة بخطٍ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وجهها إجازة بخطّ القطب الرّاونديّ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القول بأنّ الشّارح من تلامذة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وَوجَدتُ بعضَ مشايخي</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وبعدها نقل قولاً لابن إدريس</w:t>
      </w:r>
      <w:r>
        <w:rPr>
          <w:rFonts w:eastAsia="Amiri" w:cs="Amiri" w:ascii="Amiri" w:hAnsi="Amiri"/>
          <w:color w:val="111111"/>
          <w:sz w:val="28"/>
          <w:szCs w:val="28"/>
          <w:rtl w:val="true"/>
          <w:lang w:bidi="ar-SA"/>
        </w:rPr>
        <w:t>.</w:t>
      </w:r>
    </w:p>
    <w:p>
      <w:pPr>
        <w:pStyle w:val="Heading5"/>
        <w:numPr>
          <w:ilvl w:val="4"/>
          <w:numId w:val="1"/>
        </w:numPr>
        <w:rPr/>
      </w:pPr>
      <w:bookmarkStart w:id="1095" w:name="__RefHeading___Toc2933918_2870459653"/>
      <w:bookmarkStart w:id="1096" w:name="_Toc431"/>
      <w:bookmarkEnd w:id="1095"/>
      <w:r>
        <w:rPr>
          <w:rtl w:val="true"/>
        </w:rPr>
        <w:t>مميزات هذا الشّرح</w:t>
      </w:r>
      <w:bookmarkEnd w:id="1096"/>
    </w:p>
    <w:p>
      <w:pPr>
        <w:pStyle w:val="BookText"/>
        <w:rPr/>
      </w:pPr>
      <w:r>
        <w:rPr>
          <w:rFonts w:ascii="Amiri" w:hAnsi="Amiri" w:eastAsia="Amiri" w:cs="Amiri"/>
          <w:color w:val="111111"/>
          <w:sz w:val="28"/>
          <w:sz w:val="28"/>
          <w:szCs w:val="28"/>
          <w:rtl w:val="true"/>
          <w:lang w:bidi="ar-SA"/>
        </w:rPr>
        <w:t xml:space="preserve">ومما يتميّز به هذا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يمثّل أقدم شرح للمراسم العلويَّة فيما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نقل وإشارة لروايات لم تصل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وأقوال لم نعثر على القائل بها</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أُشير إلى بعض تلك الروايات في الموسوعات الفقهيّة</w:t>
      </w:r>
      <w:r>
        <w:rPr>
          <w:rStyle w:val="FootnoteAnchor"/>
          <w:rtl w:val="true"/>
        </w:rPr>
        <w:footnoteReference w:id="10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ولعلّهم أخذوها </w:t>
      </w:r>
      <w:bookmarkStart w:id="1097" w:name="pg9124_98926"/>
    </w:p>
    <w:p>
      <w:pPr>
        <w:pStyle w:val="BookText"/>
        <w:rPr/>
      </w:pPr>
      <w:bookmarkEnd w:id="1097"/>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محلّ نظر الأعلام كما مرّ وسيأتي ما عن الفاضل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أنَّه مكتوب في القرن السّادس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إمكان الاستعانة به في تصحيح بعض العبائر الواردة في المطبوع والمتداول من المراسم العلويَّة والّتي لا شكّ في غلط بعضها </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أنَّه يمثّل نسخة قديمة نفيسة من المراسم العلويَّة لابدّ من مراعاتها عند نقل آراء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وأنَّ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أكثر من نسخة للمراسم العلويَّة لتمييز الصّحيح والمتقن من بينها</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8" w:name="__RefHeading___Toc2933920_2870459653"/>
      <w:bookmarkStart w:id="1099" w:name="_Toc432"/>
      <w:bookmarkEnd w:id="1098"/>
      <w:r>
        <w:rPr>
          <w:rtl w:val="true"/>
        </w:rPr>
        <w:t>منهجنا في التّحقيق</w:t>
      </w:r>
      <w:bookmarkEnd w:id="1099"/>
    </w:p>
    <w:p>
      <w:pPr>
        <w:pStyle w:val="BookText"/>
        <w:rPr/>
      </w:pPr>
      <w:r>
        <w:rPr>
          <w:rFonts w:ascii="Amiri" w:hAnsi="Amiri" w:eastAsia="Amiri" w:cs="Amiri"/>
          <w:color w:val="111111"/>
          <w:sz w:val="28"/>
          <w:sz w:val="28"/>
          <w:szCs w:val="28"/>
          <w:rtl w:val="true"/>
          <w:lang w:bidi="ar-SA"/>
        </w:rPr>
        <w:t xml:space="preserve">حيث لم يتيسّر لنا الحصول على غير النّسخة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البحث والفحص في عدد من المكتبات في العراق وإيران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اعتمدنا عليها وحدها في التّحقيق، وقد تلخّص عملنا في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 حروف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التأكّد من مطابقته مع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تقطيعه وتقويمه بمّا يشتمل على ضبطه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مراعياً في ذلك ضبط المخطوطة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علامات الترقيم ونحوها ورعاية قواعد الإملاء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الآيات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الأقوال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مصادرها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المنقول عن المراسم العلويَّة على وفق المطبوع بتحقيق السّيّد الأميني باعتباره الطّبعة الأخيرة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 وجود تصرّف من الشّارح أو اختلاف فإنّا نشير إلى ذلك من خلال ذكر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ننبّه على وجود اختصار إنْ وجد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مطابقة المنقول عن المراسم العلويَّة في هذا الشّرح مع النّسخ التّالية من المراسم العلويَّة مع الإشارة لموارد الاختلاف في الهامش إلّا إذا كان الاختلاف طفيفاً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المخطوطة النّفيسة الّتي اشرنا إليها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إنّها في ضمن 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لها في الهامش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المطبوعة بتحقيق الدكتور محمود البستانيّ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لها في الهامش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المطبوعة بتحقيق السيد محسن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لها في الهامش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حرصنا على عدم تجاوز المقدار الضّروري من الإضافة على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ووضعنا ما أضفناه بين معقوفين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فبعضها زيادة منّا اقتضاها السياق، وأُخرى من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من المراسم العلويَّة، وأشرنا إلى كلّ ذلك في الهامش</w:t>
      </w:r>
      <w:r>
        <w:rPr>
          <w:rFonts w:eastAsia="Amiri" w:cs="Amiri" w:ascii="Amiri" w:hAnsi="Amiri"/>
          <w:color w:val="111111"/>
          <w:sz w:val="28"/>
          <w:szCs w:val="28"/>
          <w:rtl w:val="true"/>
          <w:lang w:bidi="ar-SA"/>
        </w:rPr>
        <w:t>.</w:t>
      </w:r>
      <w:bookmarkStart w:id="1100" w:name="pg9124_98928"/>
    </w:p>
    <w:p>
      <w:pPr>
        <w:pStyle w:val="Heading5"/>
        <w:numPr>
          <w:ilvl w:val="4"/>
          <w:numId w:val="1"/>
        </w:numPr>
        <w:rPr/>
      </w:pPr>
      <w:bookmarkStart w:id="1101" w:name="__RefHeading___Toc2933922_2870459653"/>
      <w:bookmarkStart w:id="1102" w:name="_Toc433"/>
      <w:bookmarkEnd w:id="1100"/>
      <w:bookmarkEnd w:id="1101"/>
      <w:r>
        <w:rPr>
          <w:rtl w:val="true"/>
        </w:rPr>
        <w:t>شكر وثناء</w:t>
      </w:r>
      <w:bookmarkEnd w:id="1102"/>
    </w:p>
    <w:p>
      <w:pPr>
        <w:pStyle w:val="BookText"/>
        <w:rPr/>
      </w:pP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شكر الله سبحانه وتعالى أوَّلاً على ما أنعم من توفيقي لمثل هذا العمل الّذي أرجو أنْ يسهم ولو بجزء يسير في خدمة العلم 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أتقدَّم بخالص شكري وعظيم امتناني إلى إدارة مكتبة الإمام الشّيخ محمّد الحسين آل كاشف الغطاء العامَّة حيث وفّرَت لنا هذه النسخة الفريدة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وأخصّ بالذكر منهم فضيلة الشّيخ شريف كاشف الغطاء ونجله العزيز الشّيخ أمير حفظهما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موصولٌ لمن هيَّأ لنا ذلك وسهَّل لنا مقدّمات العمل الأخ العزيز الباحث المتتبّع أحمد علي مجيد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أخصّ بالشّكر الإخوة الأفاضل في إدارة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أسهم في إنجاز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سائلاً المولى القدير أنْ يجعل ذلك في ميزان حسناتهم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الموسويّ الغريفيّ</w:t>
      </w:r>
    </w:p>
    <w:p>
      <w:pPr>
        <w:pStyle w:val="BookText"/>
        <w:rPr/>
      </w:pPr>
      <w:r>
        <w:rPr>
          <w:rFonts w:ascii="Amiri" w:hAnsi="Amiri" w:eastAsia="Amiri" w:cs="Amiri"/>
          <w:color w:val="111111"/>
          <w:sz w:val="28"/>
          <w:sz w:val="28"/>
          <w:szCs w:val="28"/>
          <w:rtl w:val="true"/>
          <w:lang w:bidi="ar-SA"/>
        </w:rPr>
        <w:t>النَّجف الأشرف</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غرّة شعبان المعظَّم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p>
    <w:p>
      <w:pPr>
        <w:pStyle w:val="BookText"/>
        <w:rPr/>
      </w:pPr>
      <w:r>
        <w:rPr>
          <w:rFonts w:ascii="Amiri" w:hAnsi="Amiri" w:eastAsia="Amiri" w:cs="Amiri"/>
          <w:color w:val="111111"/>
          <w:sz w:val="28"/>
          <w:sz w:val="28"/>
          <w:szCs w:val="28"/>
          <w:rtl w:val="true"/>
          <w:lang w:bidi="ar-SA"/>
        </w:rPr>
        <w:t>صورة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المخطوطة </w:t>
      </w:r>
    </w:p>
    <w:p>
      <w:pPr>
        <w:pStyle w:val="BookText"/>
        <w:rPr/>
      </w:pPr>
      <w:r>
        <w:rPr>
          <w:rFonts w:ascii="Amiri" w:hAnsi="Amiri" w:eastAsia="Amiri" w:cs="Amiri"/>
          <w:color w:val="111111"/>
          <w:sz w:val="28"/>
          <w:sz w:val="28"/>
          <w:szCs w:val="28"/>
          <w:rtl w:val="true"/>
          <w:lang w:bidi="ar-SA"/>
        </w:rPr>
        <w:t>صورة</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المخطوطة </w:t>
      </w:r>
      <w:bookmarkStart w:id="1103" w:name="pg9124_98931"/>
    </w:p>
    <w:p>
      <w:pPr>
        <w:pStyle w:val="Heading3"/>
        <w:numPr>
          <w:ilvl w:val="2"/>
          <w:numId w:val="1"/>
        </w:numPr>
        <w:rPr/>
      </w:pPr>
      <w:bookmarkStart w:id="1104" w:name="__RefHeading___Toc2933924_2870459653"/>
      <w:bookmarkStart w:id="1105" w:name="_Toc434"/>
      <w:bookmarkEnd w:id="1103"/>
      <w:bookmarkEnd w:id="1104"/>
      <w:r>
        <w:rPr>
          <w:rtl w:val="true"/>
        </w:rPr>
        <w:t>متن الرسالة</w:t>
      </w:r>
      <w:bookmarkEnd w:id="1105"/>
    </w:p>
    <w:p>
      <w:pPr>
        <w:pStyle w:val="Heading4"/>
        <w:numPr>
          <w:ilvl w:val="3"/>
          <w:numId w:val="1"/>
        </w:numPr>
        <w:rPr/>
      </w:pPr>
      <w:bookmarkStart w:id="1106" w:name="__RefHeading___Toc2933926_2870459653"/>
      <w:bookmarkStart w:id="1107" w:name="_Toc435"/>
      <w:bookmarkEnd w:id="1106"/>
      <w:r>
        <w:rPr>
          <w:rtl w:val="true"/>
        </w:rPr>
        <w:t>اشارة</w:t>
      </w:r>
      <w:bookmarkEnd w:id="1107"/>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المراسم العلویة</w:t>
      </w:r>
    </w:p>
    <w:p>
      <w:pPr>
        <w:pStyle w:val="BookText"/>
        <w:rPr/>
      </w:pPr>
      <w:r>
        <w:rPr>
          <w:rFonts w:ascii="IRNazanin" w:hAnsi="IRNazanin" w:eastAsia="IRNazanin"/>
          <w:color w:val="111111"/>
          <w:sz w:val="28"/>
          <w:sz w:val="28"/>
          <w:szCs w:val="28"/>
          <w:rtl w:val="true"/>
          <w:lang w:bidi="fa-IR"/>
        </w:rPr>
        <w:t>فی الاحکام النبویة</w:t>
      </w:r>
    </w:p>
    <w:p>
      <w:pPr>
        <w:pStyle w:val="BookText"/>
        <w:rPr/>
      </w:pPr>
      <w:r>
        <w:rPr>
          <w:rFonts w:ascii="Amiri" w:hAnsi="Amiri" w:eastAsia="Amiri" w:cs="Amiri"/>
          <w:color w:val="111111"/>
          <w:sz w:val="28"/>
          <w:sz w:val="28"/>
          <w:szCs w:val="28"/>
          <w:rtl w:val="true"/>
          <w:lang w:bidi="ar-SA"/>
        </w:rPr>
        <w:t>لأحد علماء القرن السادس الهجري</w:t>
      </w:r>
    </w:p>
    <w:p>
      <w:pPr>
        <w:pStyle w:val="BookText"/>
        <w:rPr/>
      </w:pPr>
      <w:r>
        <w:rPr>
          <w:rFonts w:ascii="IRNazanin" w:hAnsi="IRNazanin" w:eastAsia="IRNazanin"/>
          <w:color w:val="111111"/>
          <w:sz w:val="28"/>
          <w:sz w:val="28"/>
          <w:szCs w:val="28"/>
          <w:rtl w:val="true"/>
          <w:lang w:bidi="fa-IR"/>
        </w:rPr>
        <w:t>تحقیق</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جواد لموسوى الغریقی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4"/>
      </w:r>
      <w:r>
        <w:rPr>
          <w:rFonts w:ascii="Amiri" w:hAnsi="Amiri" w:eastAsia="Amiri" w:cs="Amiri"/>
          <w:color w:val="111111"/>
          <w:sz w:val="28"/>
          <w:sz w:val="28"/>
          <w:szCs w:val="28"/>
          <w:rtl w:val="true"/>
          <w:lang w:bidi="ar-SA"/>
        </w:rPr>
        <w:t>عمّن أحرم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عليه دم إذا عزم على الحج؟ فقال</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أقام بمكّة حتّى يحرم منها فعليه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خرج منها فأحرم من غيرها فليس عليه شيء</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وورد في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قال في رجل اعتمر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أقام بمكّة حتى يخرج منها حاجّاً فقد وجب عليه هديٌ فإنْ خرج من مكة حتّى يُحرم من غيرها فليس عليه 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اعلم أنَّ من دخل مكّة محرماً بالعمرة الرَّجبيَّة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تلي الحجّ في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بها عازماً على أنْ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حكمه حكم 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حكمه حكم غير حاضريه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حكمه حكم أهل مكّة وأقام بمكّة إلى أنْ يحرم معهم للحج المفرد فعليه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انصرف إلى منزله وأحرم منه فلا 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منزله دون الميقات إلى 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كان الميق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فليحرم من الميقات ولا دم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حكمُه غيرَ حكم أهل الحرم وأقام هذا المعتمر بمكّة إلى دخول أشهر الحج فلا بُدَّ له من عمرة أخرى يتمتّع بها إلى الحج الّذي هو فرضه وهو المتمتّع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طافَ غير متوضئ ناسياً ثُمَّ ذكر فإنْ كان طواف النَّفل فلا إعادة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يتوضأ ويصلّي ركعتيه</w:t>
      </w:r>
      <w:r>
        <w:rPr>
          <w:rStyle w:val="FootnoteAnchor"/>
          <w:rtl w:val="true"/>
        </w:rPr>
        <w:footnoteReference w:id="1049"/>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حكم جميع ذلك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جميعه إلَّا رواية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وجد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ظنّه بقضاء</w:t>
      </w:r>
      <w:r>
        <w:rPr>
          <w:rStyle w:val="FootnoteAnchor"/>
          <w:rtl w:val="true"/>
        </w:rPr>
        <w:footnoteReference w:id="1052"/>
      </w:r>
      <w:r>
        <w:rPr>
          <w:rFonts w:ascii="Amiri" w:hAnsi="Amiri" w:eastAsia="Amiri" w:cs="Amiri"/>
          <w:color w:val="111111"/>
          <w:sz w:val="28"/>
          <w:sz w:val="28"/>
          <w:szCs w:val="28"/>
          <w:rtl w:val="true"/>
          <w:lang w:bidi="ar-SA"/>
        </w:rPr>
        <w:t xml:space="preserve">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وتيقَّن أنَّه بدأ بالصّفا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سعياً آخر وتمّم</w:t>
      </w:r>
      <w:r>
        <w:rPr>
          <w:rStyle w:val="FootnoteAnchor"/>
          <w:rtl w:val="true"/>
        </w:rPr>
        <w:footnoteReference w:id="1053"/>
      </w:r>
      <w:r>
        <w:rPr>
          <w:rFonts w:ascii="Amiri" w:hAnsi="Amiri" w:eastAsia="Amiri" w:cs="Amiri"/>
          <w:color w:val="111111"/>
          <w:sz w:val="28"/>
          <w:sz w:val="28"/>
          <w:szCs w:val="28"/>
          <w:rtl w:val="true"/>
          <w:lang w:bidi="ar-SA"/>
        </w:rPr>
        <w:t>أسبوعاً على مرَّة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نفسه في الشّوط الثّامن على المروة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الشّوط التّاسع لم يُعِد</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ظنَّ أنَّه قضى سعيه وتمَّمه في حال كونه على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أنَّه بدأ للسعي بالصّفا كما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زاد شوطاً على سبع مرّات الّتي هي سعي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يتمّم سعياً آخر بناءً منه على ذلك الشّوط الواحد الزّائد وهو مرَّة الغلط</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يعلم يقيناً بالّذي بدأ به في سعيه وهو على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الشّوط الثّامن أو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إعادة السّعي؛ لأنَّه بدأ بالمروة على خلاف ما أمر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وفسد 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إعادة عليه؛ لأنَّه كان بدأ بالصّفا وقد زاد شوطين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فليتمّمها سعياً آخر إلى تمام سبعة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أسبوعاً</w:t>
      </w:r>
      <w:r>
        <w:rPr>
          <w:rFonts w:eastAsia="Amiri" w:cs="Amiri" w:ascii="Amiri" w:hAnsi="Amiri"/>
          <w:color w:val="111111"/>
          <w:sz w:val="28"/>
          <w:szCs w:val="28"/>
          <w:rtl w:val="true"/>
          <w:lang w:bidi="ar-SA"/>
        </w:rPr>
        <w:t xml:space="preserve">). </w:t>
      </w:r>
      <w:bookmarkStart w:id="1108" w:name="pg9124_98936"/>
    </w:p>
    <w:p>
      <w:pPr>
        <w:pStyle w:val="Heading4"/>
        <w:numPr>
          <w:ilvl w:val="3"/>
          <w:numId w:val="1"/>
        </w:numPr>
        <w:rPr/>
      </w:pPr>
      <w:bookmarkStart w:id="1109" w:name="__RefHeading___Toc2933928_2870459653"/>
      <w:bookmarkStart w:id="1110" w:name="_Toc436"/>
      <w:bookmarkEnd w:id="1108"/>
      <w:bookmarkEnd w:id="1109"/>
      <w:r>
        <w:rPr>
          <w:rtl w:val="true"/>
        </w:rPr>
        <w:t>كتاب الزّكاة</w:t>
      </w:r>
      <w:bookmarkEnd w:id="111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نصاباً،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في البقر نصابان، وفي الغنم أربعة أنصاب</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نقص نصاباً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البقر نصابين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الغنم نصاباً في اللّفظ وإنْ وافق في المعنى المشايخَ</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عَدّ الأشناق</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ثلاثة عشر في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 أنَّ النُّصُب في الإبل 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الشّيخ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مائة وإحدى وعشرين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زاد على ذلك أربعون أو خمسون</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بعينه هو الّذي ذكره في الأحكام النّبويّة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ينتقل بزيادة </w:t>
      </w:r>
    </w:p>
    <w:p>
      <w:pPr>
        <w:pStyle w:val="BookText"/>
        <w:rPr/>
      </w:pPr>
      <w:r>
        <w:rPr>
          <w:rFonts w:ascii="Amiri" w:hAnsi="Amiri" w:eastAsia="Amiri" w:cs="Amiri"/>
          <w:color w:val="111111"/>
          <w:sz w:val="28"/>
          <w:sz w:val="28"/>
          <w:szCs w:val="28"/>
          <w:rtl w:val="true"/>
          <w:lang w:bidi="ar-SA"/>
        </w:rPr>
        <w:t xml:space="preserve">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Style w:val="FootnoteAnchor"/>
          <w:rtl w:val="true"/>
        </w:rPr>
        <w:footnoteReference w:id="1061"/>
      </w:r>
      <w:r>
        <w:rPr>
          <w:rFonts w:ascii="Amiri" w:hAnsi="Amiri" w:eastAsia="Amiri" w:cs="Amiri"/>
          <w:color w:val="111111"/>
          <w:sz w:val="28"/>
          <w:sz w:val="28"/>
          <w:szCs w:val="28"/>
          <w:rtl w:val="true"/>
          <w:lang w:bidi="ar-SA"/>
        </w:rPr>
        <w:t>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يخرج من كلِّ خمسين 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أربعين بنت لبون</w:t>
      </w:r>
      <w:r>
        <w:rPr>
          <w:rFonts w:eastAsia="Amiri" w:cs="Amiri" w:ascii="Amiri" w:hAnsi="Amiri"/>
          <w:color w:val="111111"/>
          <w:sz w:val="28"/>
          <w:szCs w:val="28"/>
          <w:rtl w:val="true"/>
          <w:lang w:bidi="ar-SA"/>
        </w:rPr>
        <w:t>)</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 في المعنى وإنْ خالف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الجمل والعقود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النُّصُب في البقر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في كلِّ أربعين 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ثلاثين تبيعة</w:t>
      </w:r>
      <w:r>
        <w:rPr>
          <w:rFonts w:eastAsia="Amiri" w:cs="Amiri" w:ascii="Amiri" w:hAnsi="Amiri"/>
          <w:color w:val="111111"/>
          <w:sz w:val="28"/>
          <w:szCs w:val="28"/>
          <w:rtl w:val="true"/>
          <w:lang w:bidi="ar-SA"/>
        </w:rPr>
        <w:t>)</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ذهب من الأحكام النّبويّة نصابان؛ لأنَّه لم يذكر فيه الأوقاص</w:t>
      </w:r>
      <w:r>
        <w:rPr>
          <w:rStyle w:val="FootnoteAnchor"/>
          <w:rtl w:val="true"/>
        </w:rPr>
        <w:footnoteReference w:id="1064"/>
      </w:r>
      <w:r>
        <w:rPr>
          <w:rFonts w:ascii="Amiri" w:hAnsi="Amiri" w:eastAsia="Amiri" w:cs="Amiri"/>
          <w:color w:val="111111"/>
          <w:sz w:val="28"/>
          <w:sz w:val="28"/>
          <w:szCs w:val="28"/>
          <w:rtl w:val="true"/>
          <w:lang w:bidi="ar-SA"/>
        </w:rPr>
        <w:t>الأربعة الّتي في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 ما بلغ</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ذهب في الأحكام النّبويّة من الغنم 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الشّيخ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النُّصُب في الغنم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وإحدى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مائتان وواحدة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 كلِّ مائةٍ شاةٌ بالغاً ما بلغ</w:t>
      </w:r>
      <w:r>
        <w:rPr>
          <w:rFonts w:eastAsia="Amiri" w:cs="Amiri" w:ascii="Amiri" w:hAnsi="Amiri"/>
          <w:color w:val="111111"/>
          <w:sz w:val="28"/>
          <w:szCs w:val="28"/>
          <w:rtl w:val="true"/>
          <w:lang w:bidi="ar-SA"/>
        </w:rPr>
        <w:t>)</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تغافل في اللَّفظ عن ذلك؛ لأنَّه لم يَعدّ أنواع العفو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أشار إليه من حيث المعنى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الثّلاثمائة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ينتقل بزيادة مائة إلى أنْ يخرج من كلِّ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اة</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وسرُّ المسألة أنَّ في ثلاثمائة وواحدة أربع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زادت عليها مائة غير اثنتين فهي 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عفو في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أربع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في ذكر الصّفة الّتي إذا حصلت وجبت الزّكاة في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يُعتبر في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في المعلوفة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 ما بلغت</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فزاد التّأنيث في شرائط وجوب زكاتها على ما ذكره جميع مشايخنا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الحقيقة مثل ما يقولونه،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تُتَّخَذ الأنعام للنتاج، ولا خلاف أنَّه إذا كان في السَّائِمة فحلان فصاعداً فإنَّه يُعدُّ في جملة المواشي عند عَدِّها للزكاة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الوقت الّذي تجب فيه زكاتها رأس الحول إذا أتى على نصابٍ ثابتٍ في الملك</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إذا استهلَّ الشَّهر الثّاني عشر فقد وجبت الزّكاة فيها، وهذا مثل ما في الجمل والعقود إنَّ الزّكاة لا تجب في الأنعام كلِّها إلَّا بشرائط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والنِّصاب، والسَّوم، والحول</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المحتاجون الّذين لا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المحتاجون السّائلون</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شيء له</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ومن الجدير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في كتبه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كالاقتصاد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والمبسوط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على عكس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ولابأس بهذا الخلاف لأنَّ الفقير إذا أُطلق مفرداً دخل فيه المسكين، وكذا لفظ المسكين إذا ذُكِرَ وحده دخل تحته الفقير؛ لأنَّهما متقاربان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والغارمون وهم مَنْ عليه دين ولا وجه له يقضيه به</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الإطلاق غير صحيح، والعمل على ما ذكره الشّيخ أبو جعفر من أنَّ الغارمين هم الّذين ركبتهم الدّيون في غير معصية ولا إسراف تقضى عنهم ديونهم من الزّكاة </w:t>
      </w:r>
      <w:r>
        <w:rPr>
          <w:rStyle w:val="FootnoteAnchor"/>
          <w:rtl w:val="true"/>
        </w:rPr>
        <w:footnoteReference w:id="1076"/>
      </w:r>
      <w:r>
        <w:rPr>
          <w:rFonts w:ascii="Amiri" w:hAnsi="Amiri" w:eastAsia="Amiri" w:cs="Amiri"/>
          <w:color w:val="111111"/>
          <w:sz w:val="28"/>
          <w:sz w:val="28"/>
          <w:szCs w:val="28"/>
          <w:rtl w:val="true"/>
          <w:lang w:bidi="ar-SA"/>
        </w:rPr>
        <w:t>، وربّما يقضي الإمام ديونهم من سهم الغارمين من جملة الزّكاة إذا كانوا استدانوا وأنفقوا في طاعة الله وإنْ كان لا يعلم فيما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أنَّهم أنفقوه في معصية الله لم يجب عليه القضاء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وسَّع الله عليهم قضوا عن أنفسهم، ولعلَّه ظنَّ أنَّ الإمام إذا رأى مديوناً من المؤمنين ولم يعلم أنَّه أنفق ذلك في طاعةٍ أو معصيةٍ كان عليه أنْ يقضيه عنه من الزَّكاة</w:t>
      </w:r>
      <w:r>
        <w:rPr>
          <w:rFonts w:eastAsia="Amiri" w:cs="Amiri" w:ascii="Amiri" w:hAnsi="Amiri"/>
          <w:color w:val="111111"/>
          <w:sz w:val="28"/>
          <w:szCs w:val="28"/>
          <w:rtl w:val="true"/>
          <w:lang w:bidi="ar-SA"/>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لم يعلم حقيقة ذلك، والظّاهر أنَّه لا ينفق في معصية الله، جاز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استقام</w:t>
      </w:r>
      <w:r>
        <w:rPr>
          <w:rStyle w:val="FootnoteAnchor"/>
          <w:rtl w:val="true"/>
        </w:rPr>
        <w:footnoteReference w:id="1077"/>
      </w:r>
      <w:r>
        <w:rPr>
          <w:rFonts w:ascii="Amiri" w:hAnsi="Amiri" w:eastAsia="Amiri" w:cs="Amiri"/>
          <w:color w:val="111111"/>
          <w:sz w:val="28"/>
          <w:sz w:val="28"/>
          <w:szCs w:val="28"/>
          <w:rtl w:val="true"/>
          <w:lang w:bidi="ar-SA"/>
        </w:rPr>
        <w:t>مقول هذا الشّيخ مع إطلاقه</w:t>
      </w:r>
      <w:r>
        <w:rPr>
          <w:rFonts w:eastAsia="Amiri" w:cs="Amiri" w:ascii="Amiri" w:hAnsi="Amiri"/>
          <w:color w:val="111111"/>
          <w:sz w:val="28"/>
          <w:szCs w:val="28"/>
          <w:rtl w:val="true"/>
          <w:lang w:bidi="ar-SA"/>
        </w:rPr>
        <w:t xml:space="preserve">. </w:t>
      </w:r>
      <w:bookmarkStart w:id="1111" w:name="pg9124_98941"/>
    </w:p>
    <w:p>
      <w:pPr>
        <w:pStyle w:val="Heading4"/>
        <w:numPr>
          <w:ilvl w:val="3"/>
          <w:numId w:val="1"/>
        </w:numPr>
        <w:rPr/>
      </w:pPr>
      <w:bookmarkStart w:id="1112" w:name="__RefHeading___Toc2933930_2870459653"/>
      <w:bookmarkStart w:id="1113" w:name="_Toc437"/>
      <w:bookmarkEnd w:id="1111"/>
      <w:bookmarkEnd w:id="1112"/>
      <w:r>
        <w:rPr>
          <w:rtl w:val="true"/>
        </w:rPr>
        <w:t>كتاب الخمس</w:t>
      </w:r>
      <w:bookmarkEnd w:id="1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هذا الزّمان قد أحلّونا ممّا نتصرَّف فيه من ذلك كرماً وفضلاً لنا خاصّة</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ذلك بعد ذكر تفصيل الأنفال الّتي فيها ميراث الحَشْريّ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لا وارث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ولاء عليه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عتقٍ وضمان جريرة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والقطائع</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قطائع الملوك من الخيل والأنعام السّائمة وغيرها لهم غير المغصوبة، والمعادن، والآجام، والمفاوز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أطلق الكلام في إحلال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w:t>
      </w:r>
      <w:r>
        <w:rPr>
          <w:rStyle w:val="FootnoteAnchor"/>
          <w:rtl w:val="true"/>
        </w:rPr>
        <w:footnoteReference w:id="1082"/>
      </w:r>
      <w:r>
        <w:rPr>
          <w:rFonts w:ascii="Amiri" w:hAnsi="Amiri" w:eastAsia="Amiri" w:cs="Amiri"/>
          <w:color w:val="111111"/>
          <w:sz w:val="28"/>
          <w:sz w:val="28"/>
          <w:szCs w:val="28"/>
          <w:rtl w:val="true"/>
          <w:lang w:bidi="ar-SA"/>
        </w:rPr>
        <w:t>أنَّهم عليهم السَّلام رخّصوا في الغيبة للإماميَّة التّصرّف في حقوقهم ممّا يتعلَّق بالأخماس وغيرها فيما لابدَّ لهم مِنْ المناكح والمتاجر والمساكن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لنا التّصرّف فيما عداها</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ويُحتمل أنَّ يكون مضمونه ملفّق من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هذا المضمون بمجموعه ابن أبي جمهور الإحسائي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سنة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في كتابه عوالي اللّئالي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شيعتكم فيما خصّكم الله به إذا غاب غائبكم واستتر قائمكم؟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أنصفناهم إن وأخذناهم ولا أحببناهم إن عاقبناهم، بل نبيح لهم المساكن لتصحّ عباداتهم، ونبيح لهم المناكح لتطيب ولادتهم، ونبيح لهم المتاجر لتزكو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عوالي اللّئالي العزيزية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يستحقونه من خمس الكنوز وغيرها فيه خلاف بين أصحابنا</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حال غيبة الإمام التَّصرُّف في أَرَضِيه إنَّما يجوز على وجه لا يتأذّى به الغير، فإذا كانت أرض منها في يد مؤمن ينتفع بها فليس لغيره من المؤمنين انتزاعها من يده لأجل نفسه، ولا يحلّ أيضاً لمؤمنٍ أنْ يأخذ جميع أَرَضِي الإمام لنفسه وهناك من جملة المؤمنين من يحتاج إلى بعض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يعطيها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يمكّنه منها</w:t>
      </w:r>
      <w:r>
        <w:rPr>
          <w:rFonts w:eastAsia="Amiri" w:cs="Amiri" w:ascii="Amiri" w:hAnsi="Amiri"/>
          <w:color w:val="111111"/>
          <w:sz w:val="28"/>
          <w:szCs w:val="28"/>
          <w:rtl w:val="true"/>
          <w:lang w:bidi="ar-SA"/>
        </w:rPr>
        <w:t xml:space="preserve">. </w:t>
      </w:r>
      <w:bookmarkStart w:id="1114" w:name="pg9124_98943"/>
    </w:p>
    <w:p>
      <w:pPr>
        <w:pStyle w:val="Heading4"/>
        <w:numPr>
          <w:ilvl w:val="3"/>
          <w:numId w:val="1"/>
        </w:numPr>
        <w:rPr/>
      </w:pPr>
      <w:bookmarkStart w:id="1115" w:name="__RefHeading___Toc2933932_2870459653"/>
      <w:bookmarkStart w:id="1116" w:name="_Toc438"/>
      <w:bookmarkEnd w:id="1114"/>
      <w:bookmarkEnd w:id="1115"/>
      <w:r>
        <w:rPr>
          <w:rtl w:val="true"/>
        </w:rPr>
        <w:t>كتاب النّكاح</w:t>
      </w:r>
      <w:bookmarkEnd w:id="1116"/>
    </w:p>
    <w:p>
      <w:pPr>
        <w:pStyle w:val="BookText"/>
        <w:rPr/>
      </w:pPr>
      <w:r>
        <w:rPr>
          <w:rFonts w:ascii="Amiri" w:hAnsi="Amiri" w:eastAsia="Amiri" w:cs="Amiri"/>
          <w:color w:val="111111"/>
          <w:sz w:val="28"/>
          <w:sz w:val="28"/>
          <w:szCs w:val="28"/>
          <w:rtl w:val="true"/>
          <w:lang w:bidi="ar-SA"/>
        </w:rPr>
        <w:t>قوله في شرائط الأنكحة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منها 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والمهر أو</w:t>
      </w:r>
      <w:r>
        <w:rPr>
          <w:rStyle w:val="FootnoteAnchor"/>
          <w:rtl w:val="true"/>
        </w:rPr>
        <w:footnoteReference w:id="1085"/>
      </w:r>
      <w:r>
        <w:rPr>
          <w:rFonts w:ascii="IRNazanin" w:hAnsi="IRNazanin" w:eastAsia="IRNazanin"/>
          <w:color w:val="111111"/>
          <w:sz w:val="28"/>
          <w:sz w:val="28"/>
          <w:szCs w:val="28"/>
          <w:rtl w:val="true"/>
          <w:lang w:bidi="fa-IR"/>
        </w:rPr>
        <w:t>الأجر أو</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المتعاقدَين متكافئين في الدِّين</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لا ينافي ما بعده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المهر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مسمَّى وغير مسمَّى</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وجوب المهر من شرائط صحَّة النِّكاح من حيث إنَّ نكاح الشّغار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المهر إذا لم يُسمَّ ففيه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 المتعاقدين متكافئين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صحَّة العقد بين مؤمنة ومؤمن وإنْ لم يكن للرجل مال ينفقه عليها، ولا كفاية، ولا حرفة، إذا رضيت المرأةُ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خطب مؤمن لا شيء له يجعله مهرَ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ذلك له ولا يقدر على ما ينفق عليها فمنع أبوها أنْ يزوّجها منه لم يكن عاصياً لله تعالى بذلك؛ لأنَّ الكفاية أيضاً شرط في الكفاءة فضلاً على الدِّيانة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والإيجاب من جانب المرأة ومن حكمه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والقبول من جانب الرَّجل أو وكيله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عكس ذلك أيضاً</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والمهر هو الصَّداق في نكاح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فيما ينعقد به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والثّمن ما يشترى به الجواري والإماء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والثَّمن أو ما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بهبة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أو وطئاً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مالكهنَّ أو بميراثهنَّ أو سبيهنَّ يُستباح وطؤهنَّ كما يكون بالاشتراء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نكاح أُمِّ الأَمَة الموطوءة ولا أُختها</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 أنَّه يحرم على مَنْ وطئ جاريةً أنْ يطأ أُمّها على كلِّ حال، ولا يحلُّ له ذلك أبداً، وهذا لا يصحُّ في أُخت الأَمَة الموطوءة على الإطلاق، وإنَّما يكون ذلك محرّماً بالجمع بينهما في حالة واحدةٍ في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تَجْمَعُوا بَيْنَ الْأُخْتَيْنِ</w:t>
      </w:r>
      <w:r>
        <w:rPr>
          <w:rStyle w:val="FootnoteAnchor"/>
          <w:rtl w:val="true"/>
        </w:rPr>
        <w:footnoteReference w:id="1091"/>
      </w:r>
      <w:r>
        <w:rPr>
          <w:rFonts w:ascii="Amiri" w:hAnsi="Amiri" w:eastAsia="Amiri" w:cs="Amiri"/>
          <w:color w:val="111111"/>
          <w:sz w:val="28"/>
          <w:sz w:val="28"/>
          <w:szCs w:val="28"/>
          <w:rtl w:val="true"/>
          <w:lang w:bidi="ar-SA"/>
        </w:rPr>
        <w:t>وذلك عامّ يتناول وطء الحرائر والإماء</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خيار للصغار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 لهنّ آباؤهُنَّ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عقد عليهنّ</w:t>
      </w:r>
      <w:r>
        <w:rPr>
          <w:rStyle w:val="FootnoteAnchor"/>
          <w:rtl w:val="true"/>
        </w:rPr>
        <w:footnoteReference w:id="1092"/>
      </w:r>
      <w:r>
        <w:rPr>
          <w:rFonts w:ascii="Amiri" w:hAnsi="Amiri" w:eastAsia="Amiri" w:cs="Amiri"/>
          <w:color w:val="111111"/>
          <w:sz w:val="28"/>
          <w:sz w:val="28"/>
          <w:szCs w:val="28"/>
          <w:rtl w:val="true"/>
          <w:lang w:bidi="ar-SA"/>
        </w:rPr>
        <w:t>أجدادهنَّ</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أيضاً على الإطلاق غير صحيحٍ في حق الجدّ؛ لأنَّ الجدَّ إنَّما يكون له حكم في نكاح الصّغيرة مع وجود أبيها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أبوها ميتاً فلا حكم للجدّ في ذلك ويكون الجدُّ حينئذٍ بمنزلة الأَخ</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جملة واجبات شروط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المرأةُ مؤمنة أو مستضعفة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معاندة لم يصحّ نكاحها غِبطةً؛ لأنَّ الكفاءة في الدِّين مراعاة عندنا في هذا</w:t>
      </w:r>
      <w:r>
        <w:rPr>
          <w:rStyle w:val="FootnoteAnchor"/>
          <w:rtl w:val="true"/>
        </w:rPr>
        <w:footnoteReference w:id="1095"/>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بأنْ تحمل على الأَولى أحقُّ وأَولى؛ لأنَّ المؤمن إذا تزوَّج بامرأة مخالفة له في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تُعانِد في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النّكاح ينعقد بينهما وإنْ لم يجز العقد عليها حظراً أو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لزين العابدين عليه السَّلام زوجة فظهر له أنّها خارجيّة فطلّقها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عَقَدَ على مَنْ هي في عدَّةٍ لبعلٍ له عليها فيها رجعة فعلى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بها عالماً بتحريم ذلك لم تحلّ له أبداً، وإنْ كان جاهلاً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يدخل بها استؤنف العقد، والأوَّل باطل</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التّقييد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المطلَّقة لا يصحّ، لأنَّ المرأة إذا تزوَّجها إنسان في عدَّةٍ ودخل بها فإنَّها تحرم عليه أبداً سواء كانت التَّطليقة بائنة أو رجعية أو في عدَّةٍ تُوفّي عنها زوجها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جاهلاً ولم يدخل بها استؤنف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هذا الوجه صحيح؛ لأنَّه إذا كان جاهلاً بذلك فارقها حتى تخرج من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منها عقد عليها إنْ شاء ما لم يكن قد 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رُوي بلفظة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جاهلاً بالتَّحريم أو لم يدخل بها استؤنف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لأنَّ العمل في ذلك على ما هو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بامرأة في عدّتها وهو عالم بذلك لم تحلّ له أبداً سواء دخل بها أو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عالماً بذلك ولم يدخل بها فإنَّه يعقد عليها بعد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المرأة عالمة بذلك لم يجز لها أنْ ترجع إليه</w:t>
      </w:r>
      <w:r>
        <w:rPr>
          <w:rFonts w:eastAsia="Amiri" w:cs="Amiri" w:ascii="Amiri" w:hAnsi="Amiri"/>
          <w:color w:val="111111"/>
          <w:sz w:val="28"/>
          <w:szCs w:val="28"/>
          <w:rtl w:val="true"/>
          <w:lang w:bidi="ar-SA"/>
        </w:rPr>
        <w:t>)</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عالمٌ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عالم بكونها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عالم بتحريم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والعموم يتناولهما ولا يليق بنفي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عالمة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عالمة بتحريم نكاح الغير لها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هاهنا لم يصحّ كلام الشَّيخ أبي جعفر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عقد عليها في إحرام فإنَّه لا يصحّ وتحرم عليه أبداً</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هذا التّحريم على سبيل الإطلاق، وله تفصيل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إذا عقد على امرأة وهو عالمٌ بأنَّ ذلك محرَّم فُرِّق بينهما ولم تحلّ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عالماً بذلك فرِّق بينهما فإذا أحلّا استأنفا العقد إنْ أرادا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عنى بذلك إنْ عقد عليها في إحرام ودخل بها حرمت عليه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قذف امرأة له صمَّاء أو خرساء في عقدٍ أوَّل لا تحلُّ له أبداً</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إنْ قذف رجلٌ زوجَته الصّمَّاء أو الخرساء تحرُم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قذف امرأة صمَّاء أو خرساء ولم تكن زوجة له فإنَّه يجوز له أنْ يعقد عليها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عقد عليها وقذفها في حال سبقها العقد وكان العقد قبل القذف فإنَّها لاتحلُّ له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زنا بأجنبيّة لم تحْرم عليه أُمّها ولا بنتها</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العمل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العقد على أُمِّها وبنتها يحرم أبداً، والّذي حمله على ذلك أنَّه رأى الخبر المروي عنهم عليهم السَّلام وقد سُئِلُوا عمّن فجر بعمَّته وخالته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عليه أبداً أنْ يتزوَّج بنتيهما</w:t>
      </w:r>
      <w:r>
        <w:rPr>
          <w:rFonts w:eastAsia="Amiri" w:cs="Amiri" w:ascii="Amiri" w:hAnsi="Amiri"/>
          <w:color w:val="111111"/>
          <w:sz w:val="28"/>
          <w:szCs w:val="28"/>
          <w:rtl w:val="true"/>
          <w:lang w:bidi="ar-SA"/>
        </w:rPr>
        <w:t>)</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ولم نعثر على نصّ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الوارد في المجاميع الحديثيَّة في خصوص الخالة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نال من خالتهِ فِي شبابهِ، ثُمَّ ارْتدع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أيتزوَّج ابنتها؟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یلاحظ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 أنَّه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الأجنبيّة إذا زنا بها كان حكم بنتها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نظر في النَّصِّ الوارد في بنتي العمَّة والخالة لعَلِمَ أنَّ تحريم العقد عليهما لكون أُمَّيهما منكوحتين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والنِّكاح لفظ مشترك بين العقد والوطء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زنا بالأجنبيّة فبنتها أيضاً بنت منكوحته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ذلك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بقياس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قد ورد النَّصُّ عامَّاً بلفظٍ آخر في تحريم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العقد على بنت المنكوحة ولا على أُمِّها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النّكاح حقيقة في الوطء والعقد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زنى بأجنبيةٍ لم تحرم عليه أُمّها ولا 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له زوجة قد عقد عليها ثُمَّ زنا بأجنبيّة وكانت أُمَّ زوجتِه تلك أو بنتَها</w:t>
      </w:r>
      <w:r>
        <w:rPr>
          <w:rStyle w:val="FootnoteAnchor"/>
          <w:rtl w:val="true"/>
        </w:rPr>
        <w:footnoteReference w:id="1103"/>
      </w:r>
      <w:r>
        <w:rPr>
          <w:rFonts w:ascii="Amiri" w:hAnsi="Amiri" w:eastAsia="Amiri" w:cs="Amiri"/>
          <w:color w:val="111111"/>
          <w:sz w:val="28"/>
          <w:sz w:val="28"/>
          <w:szCs w:val="28"/>
          <w:rtl w:val="true"/>
          <w:lang w:bidi="ar-SA"/>
        </w:rPr>
        <w:t>فإنَّها لا تحرم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والمُحرَّم من الرّضاع عشر رضعات متواليات</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مأخوذٌ من خبر وارد في كراهيَّة التَّناكح بين صبيٍّ وجارية ارتضعا من لبن فحل في الحولين عشر رضعات</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ومن الجدير بالذكر أنَّ القيود الّتي ذكرها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فحل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ملفّقة من مجموعة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فالمُستحبّ أنْ لا يعقد بينهما عقد 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ارتضعا خمس عشرة رضعة على الوجه المحرِّم فإنَّه يجب أنْ لا يعقد بينهما 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التَّناكح محرَّماً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الشّيخ أبو جعفر</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المعمول عليه لكثرة الأخبار في ذلك</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وما أشار اليه الشَّارح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نظر بالنّظر إلى المجاميع الحديثيّة الواصلة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الجمع بين الخبرين أولى من أنْ يُسقِط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ما لا يصحّ العقد مع عدمه من الشُّروط</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 هذه الشُّروط لا يصحّ العقد مع عدمها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عَقَدَ على ما لا قيمةَ له في شرعنا لا يفسُد </w:t>
      </w:r>
    </w:p>
    <w:p>
      <w:pPr>
        <w:pStyle w:val="BookText"/>
        <w:rPr/>
      </w:pPr>
      <w:r>
        <w:rPr>
          <w:rFonts w:ascii="Amiri" w:hAnsi="Amiri" w:eastAsia="Amiri" w:cs="Amiri"/>
          <w:color w:val="111111"/>
          <w:sz w:val="28"/>
          <w:sz w:val="28"/>
          <w:szCs w:val="28"/>
          <w:rtl w:val="true"/>
          <w:lang w:bidi="ar-SA"/>
        </w:rPr>
        <w:t>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عليه مهر المثل</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يفسد</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ومن الجدير بالذّكر أنَّ ما نسبه العلّامة لابن البرّاج من القول بفساد العقد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عبارته أقرب إلى بطلان المهر منها إلى بطلان العقد بقرينة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 في أحكام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البرّاج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الثّاني هو الّذي يَعمل عليه على الإطلاق شيخنا أبو جعفر</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 في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إذا تعاقدا وقدَّما لفظ الإيجاب والقبول ثُمَّ ذكرا أنَّ الخمر ونحوها من المحرَّمات هو الصَّداق لكان هذا النّكاح صحيحاً؛ لأنَّ الإيجاب والقبول إذا جرى بين المتعاقدين ولم يذكر مائية</w:t>
      </w:r>
      <w:r>
        <w:rPr>
          <w:rStyle w:val="FootnoteAnchor"/>
          <w:rtl w:val="true"/>
        </w:rPr>
        <w:footnoteReference w:id="1112"/>
      </w:r>
      <w:r>
        <w:rPr>
          <w:rFonts w:ascii="Amiri" w:hAnsi="Amiri" w:eastAsia="Amiri" w:cs="Amiri"/>
          <w:color w:val="111111"/>
          <w:sz w:val="28"/>
          <w:sz w:val="28"/>
          <w:szCs w:val="28"/>
          <w:rtl w:val="true"/>
          <w:lang w:bidi="ar-SA"/>
        </w:rPr>
        <w:t>الصَّداق ولا كمّيّته ولا كيفيّته كان النّكاح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ذكر الصَّداق بالخمر ونحوها مقدَّماً على الإيجاب والقبول كان النّكاح باطلاً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يحمل ذلك على الذّميّ الّذي تزوّج ذميّة على لحم الخنزير ونحوه ثُمَّ أسلما فإنَّ عقدهما ثابت وإنْ عقدها على ما لا قيمة له في شرع </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والإماء إنْ كُنَّ زوجات فحكمهنّ حكم الحرائر</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كان للمملوك أربع زوجات كلّهنَّ إماء يقسم بينهنَّ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الحرّ إذا كانت عنده أَمَتان كما إذا كانت له أربع زوجات حرائر فإنَّه يقسّم بينهنَّ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له أربع زوجات بعضهنَّ من الحرائر وبعضهنَّ من الإماء فإنَّه يبيت عند كلِّ حرَّة ليلتين وعند كلِّ أَمَةٍ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ويثقب يوم السّابع أُذن المولود</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كانت جارية، وروي أنَّ ذلك عامٌّ؛ لأنَّ اليهود لا يثقبون آذان الصّبيان فأُمر بمخالفتهم</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الحمل تسعة أشهر</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 سنة واحدة</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الأحكام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أشار ابن حمزة والعلّامة والصّيمري إلى هذه الرّواية كما في الوسيلة إلى نيل الفضيلة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وتذكرة الفقهاء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في شرح شرائع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نعثر علیها في المجاميع الحديثيَّة الواصلة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بعضُ الأعلام بعدم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2/359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عشرة 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الأوَّل على كلِّ حالٍ 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الرّواية الثّانية في المرأة الحامل باثنين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حبلت بأحدهما قبل الآخر بأُسبوع فصاعداً فيتأخّر الوضع لذلك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إذا تُوفّي في بطن أُمّه ربَّما يبقى فيه زائداً على تسعة أشهر</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هذه الرّواية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ويتلفظ في عقد المتعة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متّعيني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أمتعيني</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على سبيل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زوّجيني نفسَكِ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الإيجاب والقبول بعد كلِّ واحدٍ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نكاح المتعة يفتقر إلى تعيين الأجر والأجل</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 أنَّه بخلاف نكاح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 يجب أنْ يتعيَّن فيه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المرتضى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w:t>
      </w:r>
      <w:r>
        <w:rPr>
          <w:rStyle w:val="FootnoteAnchor"/>
          <w:rtl w:val="true"/>
        </w:rPr>
        <w:footnoteReference w:id="1125"/>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نكحتموه منهنَّ نكاحَ المتعة فآتوهنَّ أُجورهنَّ فريضةً</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إعطاء ذلك الأجر واجب في المال</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بذلك في النّهاية</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xml:space="preserve">. </w:t>
      </w:r>
      <w:bookmarkStart w:id="1117" w:name="pg9124_98953"/>
    </w:p>
    <w:p>
      <w:pPr>
        <w:pStyle w:val="Heading4"/>
        <w:numPr>
          <w:ilvl w:val="3"/>
          <w:numId w:val="1"/>
        </w:numPr>
        <w:rPr/>
      </w:pPr>
      <w:bookmarkStart w:id="1118" w:name="__RefHeading___Toc2933934_2870459653"/>
      <w:bookmarkStart w:id="1119" w:name="_Toc439"/>
      <w:bookmarkEnd w:id="1117"/>
      <w:bookmarkEnd w:id="1118"/>
      <w:r>
        <w:rPr>
          <w:rtl w:val="true"/>
        </w:rPr>
        <w:t>كتاب الفراق</w:t>
      </w:r>
      <w:bookmarkEnd w:id="111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الفراق بالطّلاق على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تَعصي المرأةُ الرَّجلَ</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وَاللَّاتِي تَخَافُونَ نُشُوزَهُنَّ فَعِظُوهُنَّ الآية</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عصيانَ زوجتِهِ ومخالفتها إيّاه بظهور أسبابه وإماراته فعظوهن أوَّلاً بالقول والنَّصيحة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يؤثّرا فاهجروهنّ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ظهره في الفراش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رجعت وإلَّا ضَربها بالسِّواك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استقام لكم ظاهرُهن فلا تعلّلوا بما في باطنهنّ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خاطب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خفتم شقاق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التبس الأمرُ في المخالفة وخفتم عداوةً بين الزَّوجين وجّهوا حَكَمَاً من قومِ الزَّوج وحَكَمَاً من قوم المرأة لينظرا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بما أُسند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والنُّشوز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استيلاء المرأة على زوجها أو مخالفة الزَّوج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الشّرع أيضاً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ربَّما يؤدّي إلى الشِّقاق</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يكره الرَّجلُ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وتُريدُ المرأةُ المقامَ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الرَّجلُ طلاقه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يُشمَت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منك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وأعطيك من مالي شيئاً ودعني على حالتي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عليهما أنْ يصالحا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النّهاية</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ظِهار بأَمَةٍ</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على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فالظِّهار يقع بالحرَّة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كانت الأَمَة زوجة أو موطوءة بمِلك اليمين في أنَّه نهي ظاهر على الإطلاق لم يجز وطؤها إلَّا بعد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يُحمَل كلامه على الأَمَة إذا كانت متمتَّعاً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يُبْطِل الظِّهارَ كالطَّلاق</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وهْمٌ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ظِهار إلَّا في طُهرٍ لم يقرب فيه بجماع بشهادة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يقع على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حلف بالظِّهار لم يلزمه حكمه كما يكون في الطَّلاق</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إنَّ الظِّهار والطَّلاق يستويان في جميع الشَّرائط؟ ولا خلاف أنَّهما سواءٌ فيما صرَّحوا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لم يذكروه من شرائط الطَّلاق في جملة شرائط 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جملةً ولا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مختلفان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الظِّهار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فالمشروط أنْ يعلِّقه بأمرٍ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واقعتُكِ فأنتِ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فالظِّهارُ ها هنا لا يقع إلَّا بعد المواقعة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شرطٌ في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خرجتِ من الدَّار فأنتِ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حكم الظِّهار إلَّا بعد خروجها من الدَّار</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والضّرب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يتلفّظ بالظِّهار على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يتلفَّظ بشرطٍ يُعلِّقه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في طهر لم يقربها بمحضر عدلين مؤمنين ويقصد به التَّحريم في الحالين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في طلاق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طلَّقها ثُمَّ راجعها</w:t>
      </w:r>
      <w:r>
        <w:rPr>
          <w:rStyle w:val="FootnoteAnchor"/>
          <w:rtl w:val="true"/>
        </w:rPr>
        <w:footnoteReference w:id="1136"/>
      </w:r>
      <w:r>
        <w:rPr>
          <w:rFonts w:ascii="Amiri" w:hAnsi="Amiri" w:eastAsia="Amiri" w:cs="Amiri"/>
          <w:color w:val="111111"/>
          <w:sz w:val="28"/>
          <w:sz w:val="28"/>
          <w:szCs w:val="28"/>
          <w:rtl w:val="true"/>
          <w:lang w:bidi="ar-SA"/>
        </w:rPr>
        <w:t>قبل خروجها من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يطلِّقها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يراجعها قبل خروجها من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يطلِّقها ثالثة</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على الإطلاق غير صحيح؛ لأنَّه ينبغي في طلاق العدَّة أنْ يواقعها بعد المراجعة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يستبرئها بحيضة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طهرت طلَّقها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يقربها في هذا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راجعها قبل خروجها من العدَّة فإذا أراد طلاقها 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العدَّة واقعها ثُمَّ 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يقربها إذا أراد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فطلَّقها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وطلاق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يطلِّقها على الشُّروط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أملك بها ما دامت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w:t>
      </w:r>
      <w:r>
        <w:rPr>
          <w:rStyle w:val="FootnoteAnchor"/>
          <w:rtl w:val="true"/>
        </w:rPr>
        <w:footnoteReference w:id="1139"/>
      </w:r>
      <w:r>
        <w:rPr>
          <w:rFonts w:ascii="Amiri" w:hAnsi="Amiri" w:eastAsia="Amiri" w:cs="Amiri"/>
          <w:color w:val="111111"/>
          <w:sz w:val="28"/>
          <w:sz w:val="28"/>
          <w:szCs w:val="28"/>
          <w:rtl w:val="true"/>
          <w:lang w:bidi="ar-SA"/>
        </w:rPr>
        <w:t>فهو كأحد الخُطّاب</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حسنٌ يدلُّ على أنَّه يسمّى طلاق السُّنَّة وإنْ كان ذلك دفعةً واحدةً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في النّهاية من التّكرار ثلاث مرّات</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 طلاق العدَّة وإنْ لم يكن هناك إلَّا عدَّة واحدة والعقد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طلاق السُّنَّة إذا كرّر ثلاثاً تكون ثلاث </w:t>
      </w:r>
    </w:p>
    <w:p>
      <w:pPr>
        <w:pStyle w:val="BookText"/>
        <w:rPr/>
      </w:pPr>
      <w:r>
        <w:rPr>
          <w:rFonts w:ascii="Amiri" w:hAnsi="Amiri" w:eastAsia="Amiri" w:cs="Amiri"/>
          <w:color w:val="111111"/>
          <w:sz w:val="28"/>
          <w:sz w:val="28"/>
          <w:szCs w:val="28"/>
          <w:rtl w:val="true"/>
          <w:lang w:bidi="ar-SA"/>
        </w:rPr>
        <w:t>عِدَد ويتزوجها</w:t>
      </w:r>
      <w:r>
        <w:rPr>
          <w:rStyle w:val="FootnoteAnchor"/>
          <w:rtl w:val="true"/>
        </w:rPr>
        <w:footnoteReference w:id="1143"/>
      </w:r>
      <w:r>
        <w:rPr>
          <w:rFonts w:ascii="Amiri" w:hAnsi="Amiri" w:eastAsia="Amiri" w:cs="Amiri"/>
          <w:color w:val="111111"/>
          <w:sz w:val="28"/>
          <w:sz w:val="28"/>
          <w:szCs w:val="28"/>
          <w:rtl w:val="true"/>
          <w:lang w:bidi="ar-SA"/>
        </w:rPr>
        <w:t>بعد العدَّة الأولى بعقدٍ جديد ومهرٍ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بعد العدَّة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تفصيل لكيفيَّة الحكم بعد طلاق السُّنَّة الّذي يَحصُل بمرَّة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وقوع التَّطليقات الثَّلاث على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في شروط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يتلفَّظ بالطَّلاق مُوحّداً</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 أنَّ من شرائط الطَّلاق العامَّة أنْ يطلِّقها تطليقةً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ثنتين أو ثلاثة أو ما زاد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تطليقةً واحدة إذا اجتمعت الشُّروط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تقع أكثر من واحدة إذا كان الرَّجل مُعتَقداً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المطلِّق مخالفاً يعتقد وقوع التَّطليقات الثَّلاث بمرَّة يلزمه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العمل على أنَّ مَنْ تلفَّظ بالتَّطليقات الثَّلاث في دُفعَةٍ واحدة مع اجتماع جميع الشَّرائط لا يقع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محمول على كونها غير جامعة لشرائط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في قسمة شروطه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الإشهاد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والطُّهر خاصّ فيمن تحيض إذا كان زوجها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والغائب يطلِّقها على كلِّ حال</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ذلك إخلالٌ؛ لأنَّه يحتاج إلى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يقول</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الشَّرائط العامَّة فيه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الرَّجل غيرَ زائل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مُريداً للطلاقِ غير مُكرَه عليه ولا مُجبَر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طلاقه بمحضر من شاهدَين مسلمَين سواء أشهدهما أو لم يشهدهما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ويتلفّظ بلفظٍ مخصوص أو ما يقوم مقامه إذا لم يمكنه كالأَخرس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والشَّرط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المرأةُ حائضاً؛ لأنَّ هذا القسم مراعىً في المدخول بها غيرَ غائبٍ عنها زوجها مدَّة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الغائب عنها إذا أراد أن يطلّقها فإنْ خرج إلى السَّفر وقد كانت طاهراً طهراً لم يقربها بجماع جاز له أنْ يطلِّقَها أيّ وقت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كان في طهر وطأها فيه فلا يطلِّقها حتّى يمضي ما بين شهر إلى ثلاثة أشهر ثُمَّ يطلِّقها بعد ذلك أيّ وقت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الطَّلاق حينئذٍ وإنْ كانت حائضاً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وينقسم طلاق السُّنَّة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مَنْ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تَبلغ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والآيسة</w:t>
      </w:r>
      <w:r>
        <w:rPr>
          <w:rStyle w:val="FootnoteAnchor"/>
          <w:rtl w:val="true"/>
        </w:rPr>
        <w:footnoteReference w:id="1147"/>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والحامل المستبين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دخل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طلَّقها ملكت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يُراجعها إلَّا بعقدٍ جديد</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الفصل خللٌ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في القسمة أنْ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وينقسم الطَّلاق قسمين؛ لأنَّ طلاق العدَّة لا يخرج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بائناً بعد تطليقتين مع الشَّرائط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والتَّطليقة الأولى والثَّانية منه كلتاهما 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يذكر المختلعة والمبارأة في جملة أقسام</w:t>
      </w:r>
      <w:r>
        <w:rPr>
          <w:rStyle w:val="FootnoteAnchor"/>
          <w:rtl w:val="true"/>
        </w:rPr>
        <w:footnoteReference w:id="1149"/>
      </w:r>
      <w:r>
        <w:rPr>
          <w:rFonts w:ascii="Amiri" w:hAnsi="Amiri" w:eastAsia="Amiri" w:cs="Amiri"/>
          <w:color w:val="111111"/>
          <w:sz w:val="28"/>
          <w:sz w:val="28"/>
          <w:szCs w:val="28"/>
          <w:rtl w:val="true"/>
          <w:lang w:bidi="ar-SA"/>
        </w:rPr>
        <w:t>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وطلاقهما أيضاً بائن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أطلق الكلام فيمن لم تبلغ المحيضَ والآيسة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كلتيهما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المرأة الّتي لم تبلغ المحيضَ وفي سنِّها من تحيض طلاقهما الأوَّل والثَّاني رجعيّان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خلعاً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الأُولى تسع سنين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الثَّانية دون خمسين </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الّتي لم تبلغ المحيضَ ولا تكون في سنّها من تحيض فطلاقُها بائنٌ وإنْ كانت مدخولاً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دون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الآيسة من المحيض ولا تكون في سِنّها مَنْ تَحيض طَلاقها بائن وإنْ 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خمسون سَنة في الأجنبيَّات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وستُّون سنة في القرشيَّات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عدَّ الحوامل منهنَّ ولسْنَ</w:t>
      </w:r>
      <w:r>
        <w:rPr>
          <w:rStyle w:val="FootnoteAnchor"/>
          <w:rtl w:val="true"/>
        </w:rPr>
        <w:footnoteReference w:id="1150"/>
      </w:r>
      <w:r>
        <w:rPr>
          <w:rFonts w:ascii="Amiri" w:hAnsi="Amiri" w:eastAsia="Amiri" w:cs="Amiri"/>
          <w:color w:val="111111"/>
          <w:sz w:val="28"/>
          <w:sz w:val="28"/>
          <w:szCs w:val="28"/>
          <w:rtl w:val="true"/>
          <w:lang w:bidi="ar-SA"/>
        </w:rPr>
        <w:t>منهنَّ على الإطلاق؛ لأنَّ مَنْ طلَّق الحامل المستبين حملها وهو أملك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يرجعها ما لم تضع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راجعها وطلَّقها بعد المواقعة كانت التَّطليقة الثَّانية أيضاً 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طلَّقها ثالثةً بعد أنْ يراجعها في الثَّانية وبعد أنْ يَطأَها كانت 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حكم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وشروط الخلع والمباراة شروط الطَّلاق إلَّا أنَّهما يقعان بكلِّ زوجة</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ذلك أنَّه يقع الخلع والمباراة بالمرأة المتمتّع بها أيضاً وإنْ لم يقع الطَّلاق بها؛ لأنَّ مَنْ 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بامرأة سَنَةً بعشرة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مضى شهرٌ أو شهران وكرﻫ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المقام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للرجل وهو يريدها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العشرة وهبني الأيام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الخلعُ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المباراة إذا ردَّت عليه أقل مِنْ العشرة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ظَنَّ بعضُ أصحابنا</w:t>
      </w:r>
      <w:r>
        <w:rPr>
          <w:rStyle w:val="FootnoteAnchor"/>
          <w:rtl w:val="true"/>
        </w:rPr>
        <w:footnoteReference w:id="1153"/>
      </w:r>
      <w:r>
        <w:rPr>
          <w:rFonts w:ascii="Amiri" w:hAnsi="Amiri" w:eastAsia="Amiri" w:cs="Amiri"/>
          <w:color w:val="111111"/>
          <w:sz w:val="28"/>
          <w:sz w:val="28"/>
          <w:szCs w:val="28"/>
          <w:rtl w:val="true"/>
          <w:lang w:bidi="ar-SA"/>
        </w:rPr>
        <w:t>أنَّ الخلع والمباراة فراقان غير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هذا الشَّيخ منهم؛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الخُلع هو إذا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خلعتك على كذا وكذا</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والصّحيحُ أنَّ الخلع والمباراة ممَّا يؤثّران في كيفيَّة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كلَّ واحدٍ منهما متى حصل مع الطَّلاق كانت التَّطليقة 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يَدَّعي الرَّجلُ أنَّه رأى رجلاً يَطَأ امرأتَه المُسلمة الحُرَّة الصَّحيحة من الخرس والصَّمم في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يكون له شهداء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يَنفي ولدها</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لهذا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اللّعان لا يكون بين الرَّجل وزوجته إلَّا بعد الدُّخول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كانت الزَّوجيَّة متعة فلا لعانَ بينهما وإنْ كانتا حُرَّتين مُسلمتين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كان الزَّوج مملوكاً والمرأة حُرَّة أو كان الرَّجل حُراً والمرأةُ أَمَةً أو يهوديَّةً أو نصرانيَّةً ثبت بينهما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أَمَةٌ يطؤها بملك اليمين لم يكن بينهما لعانٌ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لعان بين المسلم والذِّميَّة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الحُرِّ والأَمَة</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صحيح في نكاح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أحقُّ بكفالتها حتّى تبلغ تسع سنين ما لم تتزوَّج</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الواجب المعمول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 أحقُّ بالبنت من الأب إلى سبع سنين على سبيل الإيجاب إلَّا إنْ تزوَّجت بغيره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وعِدَّة الأَمَة المتوفّى عنها زوجُها نصف عِدَّة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شهران وخمسة 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حكم المُتمتَّع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إنَّما يصحُّ إذا كانت المُتمتَّع بها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موضعين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فعِدَّة المتوفّى عنها زوجُها أربعة أشهر وعشرة أيام إذا كانت حُرَّة سواء كانت زوجة على طريق الدَّوام أو متمتَّعاً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تَجبُ عليها العِدَّة على ضربين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بالأقراء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بالشُّهور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يصحُّ مجمله ولا مفصّله؛ لأنَّ القسمة الصَّحيحة في ذلك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المعتدّاتُ على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تعتدّ بالأقراء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الشُّهور أو تراعي الشّهور والحيض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كالمسترابة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يَعُدّ في جُملة مَنْ تعتدُّ بالشُّهور الغائبة عن زوجها إذا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وعدَّتُها ثلاثة أشهر على كلِّ حالٍ إذا كانت حُرَّة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نحو ما قاله الشَّيخ المفيد في الرِّسالة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وهو غائب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 عليها الخبر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حاضت من يوم طلَّقها إلى ذلك الوقت ثلاث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خرجت من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عِدَّة عليها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حاضت أقلّ مِنْ ثلاث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احتسبت به من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وبَنت عليها تمامها</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إنَّما يصحّ إذا كانت مدَّة الثَّلاث حِيَض</w:t>
      </w:r>
      <w:r>
        <w:rPr>
          <w:rStyle w:val="FootnoteAnchor"/>
          <w:rtl w:val="true"/>
        </w:rPr>
        <w:footnoteReference w:id="1163"/>
      </w:r>
      <w:r>
        <w:rPr>
          <w:rFonts w:ascii="Amiri" w:hAnsi="Amiri" w:eastAsia="Amiri" w:cs="Amiri"/>
          <w:color w:val="111111"/>
          <w:sz w:val="28"/>
          <w:sz w:val="28"/>
          <w:szCs w:val="28"/>
          <w:rtl w:val="true"/>
          <w:lang w:bidi="ar-SA"/>
        </w:rPr>
        <w:t>ثلاثة أشهر؛ لأنَّ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وهو غائب</w:t>
      </w:r>
      <w:r>
        <w:rPr>
          <w:rStyle w:val="FootnoteAnchor"/>
          <w:rtl w:val="true"/>
        </w:rPr>
        <w:footnoteReference w:id="1164"/>
      </w:r>
      <w:r>
        <w:rPr>
          <w:rFonts w:ascii="Amiri" w:hAnsi="Amiri" w:eastAsia="Amiri" w:cs="Amiri"/>
          <w:color w:val="111111"/>
          <w:sz w:val="28"/>
          <w:sz w:val="28"/>
          <w:szCs w:val="28"/>
          <w:rtl w:val="true"/>
          <w:lang w:bidi="ar-SA"/>
        </w:rPr>
        <w:t>فليُشهِد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مضى ثلاثة أشهر فقد انقضَتْ عدَّتُها</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 xml:space="preserve">. </w:t>
      </w:r>
      <w:bookmarkStart w:id="1120" w:name="pg9124_98962"/>
    </w:p>
    <w:p>
      <w:pPr>
        <w:pStyle w:val="Heading4"/>
        <w:numPr>
          <w:ilvl w:val="3"/>
          <w:numId w:val="1"/>
        </w:numPr>
        <w:rPr/>
      </w:pPr>
      <w:bookmarkStart w:id="1121" w:name="__RefHeading___Toc2933936_2870459653"/>
      <w:bookmarkStart w:id="1122" w:name="_Toc440"/>
      <w:bookmarkEnd w:id="1120"/>
      <w:bookmarkEnd w:id="1121"/>
      <w:r>
        <w:rPr>
          <w:rtl w:val="true"/>
        </w:rPr>
        <w:t>كتاب المكاسب</w:t>
      </w:r>
      <w:bookmarkEnd w:id="112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السِّلاح لأعداء الله وعمله لهم حرام</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مثل السَّيف والنَّصل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يُكِنّ من آلة السِّلاح كالدِّرع والتِّجفاف</w:t>
      </w:r>
      <w:r>
        <w:rPr>
          <w:rStyle w:val="FootnoteAnchor"/>
          <w:rtl w:val="true"/>
        </w:rPr>
        <w:footnoteReference w:id="1167"/>
      </w:r>
      <w:r>
        <w:rPr>
          <w:rFonts w:ascii="Amiri" w:hAnsi="Amiri" w:eastAsia="Amiri" w:cs="Amiri"/>
          <w:color w:val="111111"/>
          <w:sz w:val="28"/>
          <w:sz w:val="28"/>
          <w:szCs w:val="28"/>
          <w:rtl w:val="true"/>
          <w:lang w:bidi="ar-SA"/>
        </w:rPr>
        <w:t>فإنَّ بيع مثلهما لأهل الكفر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الحنطة الصَّريبَة</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نُقِيت للبذر</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استفادوا ذلك ممّا ذكره ابن سِيده من تفسيرها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الملوسة والصفاء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ممّا ذكره ابن منظور 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يُتخيّر من العشب والشّجر بعد 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ضُبطت في بعض المصادر والنُسخ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في جملة المحرَّم من المعائش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وبيع الكلاب إلَّا السّلوقي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والرَّقاق</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السَّلاحف</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والسَّلُوقي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الصّيد يُنسب إلى قرية باليمن</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شروط البيع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 وهو أيضاً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في المبيع كالنَّظر إلى ما يباع فإنَّه شرطٌ في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وكالبيع بالوصف وهو شرط في الغائب وما يجري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في البيع والمبيع كشروط بيع الحيوان والثّمار والخضراوات</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تقسيم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في قسمته الشَّرط الخاصّ إلى خاصّ في المبيع وخاصّ في البيع والمبيع</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واضح؛ لأنَّ النَّظر إلى المتاع الحاضر شرط يخصّ المبيع دون البيع؛ لأنَّ المشتري إذا كره البيع وقد نظر إلى المبيع فلا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ينظر إليه فلا يحصل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الثّلاثة أيام</w:t>
      </w:r>
      <w:r>
        <w:rPr>
          <w:rStyle w:val="FootnoteAnchor"/>
          <w:rtl w:val="true"/>
        </w:rPr>
        <w:footnoteReference w:id="1175"/>
      </w:r>
      <w:r>
        <w:rPr>
          <w:rFonts w:ascii="Amiri" w:hAnsi="Amiri" w:eastAsia="Amiri" w:cs="Amiri"/>
          <w:color w:val="111111"/>
          <w:sz w:val="28"/>
          <w:sz w:val="28"/>
          <w:szCs w:val="28"/>
          <w:rtl w:val="true"/>
          <w:lang w:bidi="ar-SA"/>
        </w:rPr>
        <w:t>الّتي هي شرطٌ في الجارية المشتراة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للمشتري </w:t>
      </w:r>
    </w:p>
    <w:p>
      <w:pPr>
        <w:pStyle w:val="BookText"/>
        <w:rPr/>
      </w:pPr>
      <w:r>
        <w:rPr>
          <w:rFonts w:ascii="Amiri" w:hAnsi="Amiri" w:eastAsia="Amiri" w:cs="Amiri"/>
          <w:color w:val="111111"/>
          <w:sz w:val="28"/>
          <w:sz w:val="28"/>
          <w:szCs w:val="28"/>
          <w:rtl w:val="true"/>
          <w:lang w:bidi="ar-SA"/>
        </w:rPr>
        <w:t>الخيار في هذه المدَّة سواء كره البيع بأنَّه أراد استرداد الثَّمن الّذي وَزنه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كره المبيع لعَيبٍ به أو لا 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يمضى بيع إلَّا في مِلك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لمن البائع</w:t>
      </w:r>
      <w:r>
        <w:rPr>
          <w:rStyle w:val="FootnoteAnchor"/>
          <w:rtl w:val="true"/>
        </w:rPr>
        <w:footnoteReference w:id="1176"/>
      </w:r>
      <w:r>
        <w:rPr>
          <w:rFonts w:ascii="Amiri" w:hAnsi="Amiri" w:eastAsia="Amiri" w:cs="Amiri"/>
          <w:color w:val="111111"/>
          <w:sz w:val="28"/>
          <w:sz w:val="28"/>
          <w:szCs w:val="28"/>
          <w:rtl w:val="true"/>
          <w:lang w:bidi="ar-SA"/>
        </w:rPr>
        <w:t>أنْ يبيع عنه</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مُوكَّل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 المالك إذا كان صغيراً وكان البيع مصلحةً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ابتاع شيئا كالثّوب ونحوه وتركه عند البائع ليأتي بثمنه يُنتظر ثلاثة أيام ثُمَّ الخيار للبائع فإنْ هلك في الثّلاثة أيام</w:t>
      </w:r>
      <w:r>
        <w:rPr>
          <w:rStyle w:val="FootnoteAnchor"/>
          <w:rtl w:val="true"/>
        </w:rPr>
        <w:footnoteReference w:id="1178"/>
      </w:r>
      <w:r>
        <w:rPr>
          <w:rFonts w:ascii="IRNazanin" w:hAnsi="IRNazanin" w:eastAsia="IRNazanin"/>
          <w:color w:val="111111"/>
          <w:sz w:val="28"/>
          <w:sz w:val="28"/>
          <w:szCs w:val="28"/>
          <w:rtl w:val="true"/>
          <w:lang w:bidi="fa-IR"/>
        </w:rPr>
        <w:t>فهو من مال المبتاع</w:t>
      </w:r>
      <w:r>
        <w:rPr>
          <w:rStyle w:val="FootnoteAnchor"/>
          <w:rtl w:val="true"/>
        </w:rPr>
        <w:footnoteReference w:id="1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هلك بعدها فهو من مال البائع</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صحيح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لهذه المسألة ستَّ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وتفصيلها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الإنسان إذا باع شيئاً ولم يقبض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يقبضه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مال البائع سواء كان في الثّلاثة أيام</w:t>
      </w:r>
      <w:r>
        <w:rPr>
          <w:rStyle w:val="FootnoteAnchor"/>
          <w:rtl w:val="true"/>
        </w:rPr>
        <w:footnoteReference w:id="1182"/>
      </w:r>
      <w:r>
        <w:rPr>
          <w:rFonts w:ascii="Amiri" w:hAnsi="Amiri" w:eastAsia="Amiri" w:cs="Amiri"/>
          <w:color w:val="111111"/>
          <w:sz w:val="28"/>
          <w:sz w:val="28"/>
          <w:szCs w:val="28"/>
          <w:rtl w:val="true"/>
          <w:lang w:bidi="ar-SA"/>
        </w:rPr>
        <w:t>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قبّضه ثُمَّ يمضي ليأتي بالثّمن وهلك ذلك الشَّيء في الثّلاثة أيام</w:t>
      </w:r>
      <w:r>
        <w:rPr>
          <w:rStyle w:val="FootnoteAnchor"/>
          <w:rtl w:val="true"/>
        </w:rPr>
        <w:footnoteReference w:id="1183"/>
      </w:r>
      <w:r>
        <w:rPr>
          <w:rFonts w:ascii="Amiri" w:hAnsi="Amiri" w:eastAsia="Amiri" w:cs="Amiri"/>
          <w:color w:val="111111"/>
          <w:sz w:val="28"/>
          <w:sz w:val="28"/>
          <w:szCs w:val="28"/>
          <w:rtl w:val="true"/>
          <w:lang w:bidi="ar-SA"/>
        </w:rPr>
        <w:t xml:space="preserve">كان مِنْ مال المشتري سواء أخذه إلى بيته أو تركه عند </w:t>
      </w:r>
    </w:p>
    <w:p>
      <w:pPr>
        <w:pStyle w:val="BookText"/>
        <w:rPr/>
      </w:pP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هلك بعد الثَّلاثة أيام</w:t>
      </w:r>
      <w:r>
        <w:rPr>
          <w:rStyle w:val="FootnoteAnchor"/>
          <w:rtl w:val="true"/>
        </w:rPr>
        <w:footnoteReference w:id="1184"/>
      </w:r>
      <w:r>
        <w:rPr>
          <w:rFonts w:ascii="Amiri" w:hAnsi="Amiri" w:eastAsia="Amiri" w:cs="Amiri"/>
          <w:color w:val="111111"/>
          <w:sz w:val="28"/>
          <w:sz w:val="28"/>
          <w:szCs w:val="28"/>
          <w:rtl w:val="true"/>
          <w:lang w:bidi="ar-SA"/>
        </w:rPr>
        <w:t>وكان عند المشتري ولم يفسخ البائع بيعه كان من مال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فسخه ثُمَّ هلك كان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عُلّق بأجلين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هذه السِّلعة إلى عشرة أيام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شهرين بدرهمين</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المعمول عليه هو أنَّه مكروه؛ لأنَّه قد رُوي أيضاً أنَّه إذا ذكر المتاع بأجلين ونقدين مختلفين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هذا المتاع كذا عاجلاً وكذا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أمضى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أقلُّ الثَّمنين وأبعدُ الأجلين</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وتحقيق المسألتين في تنافيهما ما ذكره الشَّيخ المفيد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البيع بأجلين على التَّخيير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المتاع بدرهم نقداً وبدرهمين إلى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كلاهما نسيئة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بدرهم إلى شهر وبدرهمين إلى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ابتاع إنسانٌ شيئاً على هذا الشَّرط كان عليه أقلّ الثَّمنين في آخر الأجلين</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جمع بهذا بين الرِّوايتين المتقدِّمتين</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ويلزم الشَّرط الّذي يشرطه المتبايعان حتّى لا يكون ضمان المال مدَّة الأجل على المبتاع</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0"/>
      </w:r>
      <w:r>
        <w:rPr>
          <w:rFonts w:ascii="Amiri" w:hAnsi="Amiri" w:eastAsia="Amiri" w:cs="Amiri"/>
          <w:color w:val="111111"/>
          <w:sz w:val="28"/>
          <w:sz w:val="28"/>
          <w:szCs w:val="28"/>
          <w:rtl w:val="true"/>
          <w:lang w:bidi="ar-SA"/>
        </w:rPr>
        <w:t>يكون ضمان المال مدَّة الأجل على المبتاع معنى الرِّواية الأولى أنَّهما إنْ شرطا بعد المبايعة أنَّ البائع إنْ أحضر المبيع في وقت حلول أجله من غير مطالبة المشتري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به البائع إليه </w:t>
      </w:r>
      <w:r>
        <w:rPr>
          <w:rFonts w:eastAsia="Amiri" w:cs="Amiri" w:ascii="Amiri" w:hAnsi="Amiri"/>
          <w:color w:val="111111"/>
          <w:sz w:val="28"/>
          <w:szCs w:val="28"/>
          <w:rtl w:val="true"/>
          <w:lang w:bidi="ar-SA"/>
        </w:rPr>
        <w:t>...</w:t>
      </w:r>
      <w:r>
        <w:rPr>
          <w:rStyle w:val="FootnoteAnchor"/>
          <w:rtl w:val="true"/>
        </w:rPr>
        <w:footnoteReference w:id="1191"/>
      </w:r>
      <w:r>
        <w:rPr>
          <w:rFonts w:ascii="Amiri" w:hAnsi="Amiri" w:eastAsia="Amiri" w:cs="Amiri"/>
          <w:color w:val="111111"/>
          <w:sz w:val="28"/>
          <w:sz w:val="28"/>
          <w:szCs w:val="28"/>
          <w:rtl w:val="true"/>
          <w:lang w:bidi="ar-SA"/>
        </w:rPr>
        <w:t>وهلك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ذلك من ضمان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والمعلوم المعروف في الشَّرع أنَّه إذا لم يكن هذا الشَّرط بينهما كان من ضمان المشتري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الثَّانية أنَّهما إنْ اشترطا أنَّ الضّمان على المشتري إنْ أحضره البائع</w:t>
      </w:r>
      <w:r>
        <w:rPr>
          <w:rFonts w:eastAsia="Amiri" w:cs="Amiri" w:ascii="Amiri" w:hAnsi="Amiri"/>
          <w:color w:val="111111"/>
          <w:sz w:val="28"/>
          <w:szCs w:val="28"/>
          <w:rtl w:val="true"/>
          <w:lang w:bidi="ar-SA"/>
        </w:rPr>
        <w:t>...</w:t>
      </w:r>
      <w:r>
        <w:rPr>
          <w:rStyle w:val="FootnoteAnchor"/>
          <w:rtl w:val="true"/>
        </w:rPr>
        <w:footnoteReference w:id="1192"/>
      </w:r>
      <w:r>
        <w:rPr>
          <w:rFonts w:ascii="Amiri" w:hAnsi="Amiri" w:eastAsia="Amiri" w:cs="Amiri"/>
          <w:color w:val="111111"/>
          <w:sz w:val="28"/>
          <w:sz w:val="28"/>
          <w:szCs w:val="28"/>
          <w:rtl w:val="true"/>
          <w:lang w:bidi="ar-SA"/>
        </w:rPr>
        <w:t xml:space="preserve">مدَّة أجل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وهلك فضمانه يكون على المشتري على خلاف ما هو في أصل الشَّرع كان ذلك الشَّرط لازماً وإنْ كان على عكس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ابتاع أَمَةً فوجد بها عيباً بعد أنْ وطأها فله الأرش دون الرَّدّ إلَّا أنْ تكون حبلى فيردّها ويردّ معها نصف عشر قيمتها</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أحداث السَّنة من الجنون والجذام والبرص حكمها حكم الحَبَلْ إذ لم يكن وطؤُه لها بعد العلم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بها ثُمَّ وَطَأها فله الأرش دون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أنَّ له الأرش في الحالين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اشترى جارية وكانت أُمَّه أو أُختَه أو خالتَه أو عمَّته عتقت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الباقون من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ماثل الأوَّلين من الرّضاع والأجانب فيثبت في ملكه رقّاً</w:t>
      </w:r>
      <w:r>
        <w:rPr>
          <w:rFonts w:eastAsia="Amiri" w:cs="Amiri" w:ascii="Amiri" w:hAnsi="Amiri"/>
          <w:color w:val="111111"/>
          <w:sz w:val="28"/>
          <w:szCs w:val="28"/>
          <w:rtl w:val="true"/>
          <w:lang w:bidi="ar-SA"/>
        </w:rPr>
        <w:t>)</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يصحُّ؛ لأنَّ العمل على أنَّ الإنسان إذا ملك 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ولده ذكراً كان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واحدة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ينعتقون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يملك أخاه أو عمّه أو خاله أو واحداً من ذوي أرحامه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له أنْ يعتقه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ذكرناه ممَّن لا يصحّ ملكه من جهة النَّسب فكذلك لا يصحُّ ملكه من جهة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والمحاقلة</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في فقه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الثَّمرة في رؤوس النَّخل بالتمر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الزّرع بالحنطة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جزافاً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على الإطلاق لا يُفتَى به؛ لأنَّ الصَّحيح أنَّه لا يجوز بيع الثَّمرة في رؤوس النَّخل بالتَّمر من تلك النَّخلة كيلاً ولا جزافاً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المُزابَنَة الّتي نَهى عنها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يجوز بيع الزَّرع بالحنطة من تلك الأرض لا كيلاً ولا جزافاً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المُحاقلة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باعه بحنطة من غير تلك الأرض لم يكن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باع التَّمرة بالتَّمر من غير ذلك النَّخل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Style w:val="FootnoteAnchor"/>
          <w:rtl w:val="true"/>
        </w:rPr>
        <w:footnoteReference w:id="1196"/>
      </w:r>
      <w:r>
        <w:rPr>
          <w:rFonts w:ascii="Amiri" w:hAnsi="Amiri" w:eastAsia="Amiri" w:cs="Amiri"/>
          <w:color w:val="111111"/>
          <w:sz w:val="28"/>
          <w:sz w:val="28"/>
          <w:szCs w:val="28"/>
          <w:rtl w:val="true"/>
          <w:lang w:bidi="ar-SA"/>
        </w:rPr>
        <w:t>رخَّص عليه السَّلام أنْ تُشترى العَرَايَا بِخِرْصِها تَمراً</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النَّخلة تكون في دار إنسان لرجلٍ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له أنْ يبيعها بِخِرْصِها تمراً؛ لئلّا يتأذّى أهل الدَّار بمجيء صاحب النَّخلة وذهابه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ذلك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ومتى خاست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نقصت الثَّمرة</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المبتاعة قبل بدوّ صلاحها فللبائع ما أغلّت</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بيعها لم يكن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المكروه بيع ما لم يبدُ صلاحه سنة واحدة</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المكروه بيعها سنتين ولم يبدُ 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المكروه بيع ما بدا 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المسألة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حسناً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عند عدّ أقسام المبيعات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والرَّطْبَة</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الإسْفَسْت</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تقابضا بالمال والسِّلعة</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لحق الثِّمار جائحة كان في المستثنى بحساب ما أصابه</w:t>
      </w:r>
      <w:r>
        <w:rPr>
          <w:rFonts w:eastAsia="Amiri" w:cs="Amiri" w:ascii="Amiri" w:hAnsi="Amiri"/>
          <w:color w:val="111111"/>
          <w:sz w:val="28"/>
          <w:szCs w:val="28"/>
          <w:rtl w:val="true"/>
          <w:lang w:bidi="ar-SA"/>
        </w:rPr>
        <w:t>)</w:t>
      </w:r>
      <w:r>
        <w:rPr>
          <w:rStyle w:val="FootnoteAnchor"/>
          <w:rtl w:val="true"/>
        </w:rPr>
        <w:footnoteReference w:id="12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الآفة المهلكة</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ثمرةَ نخلات من غيره واستثنى لنفسه ثلثها أو ربعها كان ما يفسد بالآفة بينهما على 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بيع قفيز حنطة بقفيزين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حكم الشَّعير لأنَّه نوعه</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هذا على العموم وإنَّما يكون الشَّعير والحنطة جنساً واحداً في الرِّبا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في الزَّكاة فهما نوعان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الوزّان إنْ وَزَن المال فأُجرته وأُجرة النَّاقد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والكيّال أو الدَّلال إنْ وَزَن المال</w:t>
      </w:r>
      <w:r>
        <w:rPr>
          <w:rStyle w:val="FootnoteAnchor"/>
          <w:rtl w:val="true"/>
        </w:rPr>
        <w:footnoteReference w:id="1208"/>
      </w:r>
      <w:r>
        <w:rPr>
          <w:rFonts w:ascii="Amiri" w:hAnsi="Amiri" w:eastAsia="Amiri" w:cs="Amiri"/>
          <w:color w:val="111111"/>
          <w:sz w:val="28"/>
          <w:sz w:val="28"/>
          <w:szCs w:val="28"/>
          <w:rtl w:val="true"/>
          <w:lang w:bidi="ar-SA"/>
        </w:rPr>
        <w:t>فأُجرته وأُجرة ما يكال</w:t>
      </w:r>
      <w:r>
        <w:rPr>
          <w:rStyle w:val="FootnoteAnchor"/>
          <w:rtl w:val="true"/>
        </w:rPr>
        <w:footnoteReference w:id="1209"/>
      </w:r>
      <w:r>
        <w:rPr>
          <w:rFonts w:ascii="IRNazanin" w:hAnsi="IRNazanin" w:eastAsia="IRNazanin"/>
          <w:color w:val="111111"/>
          <w:sz w:val="28"/>
          <w:sz w:val="28"/>
          <w:szCs w:val="28"/>
          <w:rtl w:val="true"/>
          <w:lang w:bidi="fa-IR"/>
        </w:rPr>
        <w:t>على البائع</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الوزّان إنْ وَزَن المال فأُجرته وأُجرة النَّاقد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وَزَن المال فأُجرته وأُجرة كلّ ما يُكال منه على البائع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مراده بالمال الأوَّل الذَّهب أو الفضَّة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بالمال الثَّاني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كذلك لأنَّ الكيَّال ووزّان المال ينصران المال؛ لأنَّ عليه توفية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ووزّان الذَّهب ونحوه والنَّاقدُ ينصران المشتري؛ لأنَّ عليه توفيةَ الثَّمن على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ومتى اختلف صاحب المتاع والواسطة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أمره أن يبيع به المتاع أو في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وعُدما</w:t>
      </w:r>
      <w:r>
        <w:rPr>
          <w:rStyle w:val="FootnoteAnchor"/>
          <w:rtl w:val="true"/>
        </w:rPr>
        <w:footnoteReference w:id="1211"/>
      </w:r>
      <w:r>
        <w:rPr>
          <w:rFonts w:ascii="Amiri" w:hAnsi="Amiri" w:eastAsia="Amiri" w:cs="Amiri"/>
          <w:color w:val="111111"/>
          <w:sz w:val="28"/>
          <w:sz w:val="28"/>
          <w:szCs w:val="28"/>
          <w:rtl w:val="true"/>
          <w:lang w:bidi="ar-SA"/>
        </w:rPr>
        <w:t>البيِّنة، فالقول قول صاحب المتاع مع يمينه بالله</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معناه أنَّهما إذا اختلفا فقال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بعشرة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صاحب المتاع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بعشرين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لأحدهما بيِّنة على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صاحب المتاع متاعه على الهيئة الّتي كان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أنْ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أحدَث فيه ما ينقصه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الواسطةُ من الثَّمن ما حَلَف عليه صاحبُ المتاع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استهلك ولم يبقَ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القول أيضاً قول صاحب المتاع مع يمينه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الحكم </w:t>
      </w:r>
    </w:p>
    <w:p>
      <w:pPr>
        <w:pStyle w:val="BookText"/>
        <w:rPr/>
      </w:pPr>
      <w:r>
        <w:rPr>
          <w:rFonts w:ascii="Amiri" w:hAnsi="Amiri" w:eastAsia="Amiri" w:cs="Amiri"/>
          <w:color w:val="111111"/>
          <w:sz w:val="28"/>
          <w:sz w:val="28"/>
          <w:szCs w:val="28"/>
          <w:rtl w:val="true"/>
          <w:lang w:bidi="ar-SA"/>
        </w:rPr>
        <w:t>إذا اختلفا في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هذه المسألة مثل مسألة البيّعين إذا اختلفا في ثمن المبيع؛ لأنَّ ذلك حكمه إنْ كان الشَّيء قائماً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القولُ قولَ البائع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قائماً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القولُ قولَ المبتاع مع يمينه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المداخلة لصاحب المال بالبدن</w:t>
      </w:r>
      <w:r>
        <w:rPr>
          <w:rStyle w:val="FootnoteAnchor"/>
          <w:rtl w:val="true"/>
        </w:rPr>
        <w:footnoteReference w:id="1214"/>
      </w:r>
      <w:r>
        <w:rPr>
          <w:rFonts w:ascii="Amiri" w:hAnsi="Amiri" w:eastAsia="Amiri" w:cs="Amiri"/>
          <w:color w:val="111111"/>
          <w:sz w:val="28"/>
          <w:sz w:val="28"/>
          <w:szCs w:val="28"/>
          <w:rtl w:val="true"/>
          <w:lang w:bidi="ar-SA"/>
        </w:rPr>
        <w:t>والعمل معه توجب أَجْرَ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الشِّركة</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 أنَّ المال إذا كان لرجلٍ وأدخل غيره في ذلك المال فيعملان كلاهما بذلك ويبيعان ويشتريان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الغير لم يصر شريكا على صاحب المال في ربح ذلك </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 xml:space="preserve">تلك المداخلة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 تجب له 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والمضاربةُ أنْ يسافر رجلٌ بمالِ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أُجرة مثله</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الّذي يعمل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الوجوب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إذا أعطى غيره ذهباً أو فضَّة ليضارب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ليسافر بذلك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للمضارب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الرِّبح لصاحب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والخسران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وقع بينهما شرط بأنْ يكون للمضارب نصف ربح ذلك المال أو ربعه أو أقل أو أكثر دون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يستحب لصاحب المال إنْ كان الرِّبح كثيراً أنْ يعطيه مقدار ما وقع عليه الشَّرط</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الرِّبح قليلاً فالمستحب للمضارب أنْ يرضى بالمقدار </w:t>
      </w:r>
    </w:p>
    <w:p>
      <w:pPr>
        <w:pStyle w:val="BookText"/>
        <w:rPr/>
      </w:pPr>
      <w:r>
        <w:rPr>
          <w:rFonts w:ascii="Amiri" w:hAnsi="Amiri" w:eastAsia="Amiri" w:cs="Amiri"/>
          <w:color w:val="111111"/>
          <w:sz w:val="28"/>
          <w:sz w:val="28"/>
          <w:szCs w:val="28"/>
          <w:rtl w:val="true"/>
          <w:lang w:bidi="ar-SA"/>
        </w:rPr>
        <w:t>المشروط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رجعا إلى أُجرة المثل في الحالين فهو الواجب في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كان خسراناً فعلى صاحب المال وعليه أيضاً أنْ يعطي المضارب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احتباس</w:t>
      </w:r>
      <w:r>
        <w:rPr>
          <w:rStyle w:val="FootnoteAnchor"/>
          <w:rtl w:val="true"/>
        </w:rPr>
        <w:footnoteReference w:id="1219"/>
      </w:r>
      <w:r>
        <w:rPr>
          <w:rFonts w:ascii="Amiri" w:hAnsi="Amiri" w:eastAsia="Amiri" w:cs="Amiri"/>
          <w:color w:val="111111"/>
          <w:sz w:val="28"/>
          <w:sz w:val="28"/>
          <w:szCs w:val="28"/>
          <w:rtl w:val="true"/>
          <w:lang w:bidi="ar-SA"/>
        </w:rPr>
        <w:t>الأطعمة مع ضيق الأمر فيها وهي 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مع وجود الكفاية للناس فليس ذلك بمكروه</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بُدَّ لذلك من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سادسٌ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الملح</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ومنه يظهر التأمّل فيما ذكره بعض الأعلام من عدم وقوفهم على حديث 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المطلب في تحقيق المذهب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الرموز في شرح المختصر النافع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 الرائع لمختصر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يكون الاحتكار في شيء سوى هذه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والاحتكار في الغلاء ثلاثة أيام وفي حال السِّعة أربعون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السُّلطانُ المحتَكِرَ مِنْ حَبْسِه أكثرَ من ذلك إذا لم يوجد ذلك إلَّا عنده</w:t>
      </w:r>
      <w:r>
        <w:rPr>
          <w:rFonts w:eastAsia="Amiri" w:cs="Amiri" w:ascii="Amiri" w:hAnsi="Amiri"/>
          <w:color w:val="111111"/>
          <w:sz w:val="28"/>
          <w:szCs w:val="28"/>
          <w:rtl w:val="true"/>
          <w:lang w:bidi="ar-SA"/>
        </w:rPr>
        <w:t xml:space="preserve">. </w:t>
      </w:r>
      <w:bookmarkStart w:id="1123" w:name="pg9124_98973"/>
    </w:p>
    <w:p>
      <w:pPr>
        <w:pStyle w:val="Heading4"/>
        <w:numPr>
          <w:ilvl w:val="3"/>
          <w:numId w:val="1"/>
        </w:numPr>
        <w:rPr/>
      </w:pPr>
      <w:bookmarkStart w:id="1124" w:name="__RefHeading___Toc2933938_2870459653"/>
      <w:bookmarkStart w:id="1125" w:name="_Toc441"/>
      <w:bookmarkEnd w:id="1123"/>
      <w:bookmarkEnd w:id="1124"/>
      <w:r>
        <w:rPr>
          <w:rtl w:val="true"/>
        </w:rPr>
        <w:t>كتاب الأيمان والنّذور والعهود والكفارات</w:t>
      </w:r>
      <w:bookmarkEnd w:id="1125"/>
    </w:p>
    <w:p>
      <w:pPr>
        <w:pStyle w:val="BookText"/>
        <w:rPr/>
      </w:pPr>
      <w:r>
        <w:rPr>
          <w:rFonts w:ascii="Amiri" w:hAnsi="Amiri" w:eastAsia="Amiri" w:cs="Amiri"/>
          <w:color w:val="111111"/>
          <w:sz w:val="28"/>
          <w:sz w:val="28"/>
          <w:szCs w:val="28"/>
          <w:rtl w:val="true"/>
          <w:lang w:bidi="ar-SA"/>
        </w:rPr>
        <w:t>كتاب الأيمان والنّذور والعهود والكفارات</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الأيمان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بالله وأسمائه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ذلك</w:t>
      </w:r>
      <w:r>
        <w:rPr>
          <w:rFonts w:eastAsia="Amiri" w:cs="Amiri" w:ascii="Amiri" w:hAnsi="Amiri"/>
          <w:color w:val="111111"/>
          <w:sz w:val="28"/>
          <w:szCs w:val="28"/>
          <w:rtl w:val="true"/>
          <w:lang w:bidi="ar-SA"/>
        </w:rPr>
        <w:t>)</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حلف بالله وبأسمائه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اسم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يميناً شرعيَّة لها حكم بالحنْثِ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يأثَم ولا يُؤجَر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يمين بغير الله أو بغير اسم له فلا 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حَلَفَ بالكعبة أو بالنَّبيّ أو بأحد من الأئمَّة كان مخطئاً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يلزم به الكفارة هو أنْ يقسم أنْ لا يفعل مباحاً</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يفعل طاعة أو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فيحنث</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على الإطلاق إنّما يصحّ في فعل الطَّاعات واجباتها ومندوباتها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في المباح فإنْ حلف أنْ يفعل فعلاً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فعلُه وتركُه على حدٍّ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لأحدهما على الآخر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لم يفعله كان 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حَلف أنْ لا يفعل فعلاً كان فعله مثل تركه فمتى فعله وجب 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حلف في مباحٍ يفعله أو يتركه ثُمَّ صار الأولى خلاف ما 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فليفعل أو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كفارة عليه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في جملة ما يأثم به من الحلف بلا كفارة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يحلف على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تحلف امرأة </w:t>
      </w:r>
    </w:p>
    <w:p>
      <w:pPr>
        <w:pStyle w:val="BookText"/>
        <w:rPr/>
      </w:pPr>
      <w:r>
        <w:rPr>
          <w:rFonts w:ascii="IRNazanin" w:hAnsi="IRNazanin" w:eastAsia="IRNazanin"/>
          <w:color w:val="111111"/>
          <w:sz w:val="28"/>
          <w:sz w:val="28"/>
          <w:szCs w:val="28"/>
          <w:rtl w:val="true"/>
          <w:lang w:bidi="fa-IR"/>
        </w:rPr>
        <w:t>على زوجها</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عبد مع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حلف</w:t>
      </w:r>
      <w:r>
        <w:rPr>
          <w:rStyle w:val="FootnoteAnchor"/>
          <w:rtl w:val="true"/>
        </w:rPr>
        <w:footnoteReference w:id="1227"/>
      </w:r>
      <w:r>
        <w:rPr>
          <w:rFonts w:ascii="Amiri" w:hAnsi="Amiri" w:eastAsia="Amiri" w:cs="Amiri"/>
          <w:color w:val="111111"/>
          <w:sz w:val="28"/>
          <w:sz w:val="28"/>
          <w:szCs w:val="28"/>
          <w:rtl w:val="true"/>
          <w:lang w:bidi="ar-SA"/>
        </w:rPr>
        <w:t>أنْ يعاون السّلطان الجائر</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منهم أنْ يحلف على مخالفة الثَّلاثة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معاونة السُّلطان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حلفوا على ذلك اختياراً أثموا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حلف واحدٌ منهم على شيءٍ ممَّا ليس بواجب ولا قبيح جاز للأب حمل الولد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وساغ للزوج حمل زَوجته على خلاف ما حلفت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تلزمهما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استحلف الظَّالم أعوانه على ظلم المؤمنين فحلفوا له لم يجز لهم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ووجب عليهم ترك الظّلم بلا 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النّذر</w:t>
      </w:r>
      <w:r>
        <w:rPr>
          <w:rStyle w:val="FootnoteAnchor"/>
          <w:rtl w:val="true"/>
        </w:rPr>
        <w:footnoteReference w:id="1229"/>
      </w:r>
      <w:r>
        <w:rPr>
          <w:rFonts w:ascii="Amiri" w:hAnsi="Amiri" w:eastAsia="Amiri" w:cs="Amiri"/>
          <w:color w:val="111111"/>
          <w:sz w:val="28"/>
          <w:sz w:val="28"/>
          <w:szCs w:val="28"/>
          <w:rtl w:val="true"/>
          <w:lang w:bidi="ar-SA"/>
        </w:rPr>
        <w:t>على ضربين</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المعلَّق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كذا إنْ كان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مُخيَّراً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وفى به وإنْ شاء لم 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والوفاء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 فيه بشرط</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إلى هذا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النَّذر لا ينعقد حتّى يكون معقوداً بشرط 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إنْ قَدِمَ فلانٌ أو كان كذا أن أصوم أو أتصدَّق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شرطٍ يتعلَّق به لم ينعقد نذرُه؛ لأنَّ معنى النَّذر أن يكون متعلِّقاً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لم يتعلَّق بشرطٍ لم يستحقّ 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ناذراً إذا لم يشترط لم </w:t>
      </w:r>
    </w:p>
    <w:p>
      <w:pPr>
        <w:pStyle w:val="BookText"/>
        <w:rPr/>
      </w:pPr>
      <w:r>
        <w:rPr>
          <w:rFonts w:ascii="Amiri" w:hAnsi="Amiri" w:eastAsia="Amiri" w:cs="Amiri"/>
          <w:color w:val="111111"/>
          <w:sz w:val="28"/>
          <w:sz w:val="28"/>
          <w:szCs w:val="28"/>
          <w:rtl w:val="true"/>
          <w:lang w:bidi="ar-SA"/>
        </w:rPr>
        <w:t>يلزمه الوفاء به؛ لأنَّ الوفاء إنَّما يلزم متى ثبت الاسم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1231"/>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وَأَوْفُوا بِعَهْدِ اللهِ</w:t>
      </w:r>
      <w:r>
        <w:rPr>
          <w:rStyle w:val="FootnoteAnchor"/>
          <w:rtl w:val="true"/>
        </w:rPr>
        <w:footnoteReference w:id="1232"/>
      </w:r>
      <w:r>
        <w:rPr>
          <w:rFonts w:ascii="IRNazanin" w:hAnsi="IRNazanin" w:eastAsia="IRNazanin"/>
          <w:color w:val="111111"/>
          <w:sz w:val="28"/>
          <w:sz w:val="28"/>
          <w:szCs w:val="28"/>
          <w:rtl w:val="true"/>
          <w:lang w:bidi="fa-IR"/>
        </w:rPr>
        <w:t>على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مع التعرِّي من الشَّرط يكون عَهداً وعقداً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والآيتان تناولتا ما يستحقُ اسم العقد والعهد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فعليهم أنْ يدلّوا على ذلك أوَّلاً</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أبو جعفر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إنْ 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كذا فعليَّ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نذراً واجباً بل يكون مخيَّراً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له الوفاء به</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كالمشروط لأنَّه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أصوم كلّ 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صار ذلك واجباً عليه لأنَّه بمنزلة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بقيتُ صحيح البدن فعليَّ لله أنْ أصوم هذا اليوم في كلِّ 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لم يكن مشروطاً في اللَّفظ فهو كالمشروط ويجري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نذر ولا عهد في معصية</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النَّذر في معصية لا يصحّ ولا لمعصية ولا تكون المعصية فيه سبباً ولا مُسبَّباً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فمثال كون المعصية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ينذر أنَّه إنْ شرب خمراً أعتق عبده شكراً </w:t>
      </w:r>
    </w:p>
    <w:p>
      <w:pPr>
        <w:pStyle w:val="BookText"/>
        <w:rPr/>
      </w:pPr>
      <w:r>
        <w:rPr>
          <w:rFonts w:ascii="Amiri" w:hAnsi="Amiri" w:eastAsia="Amiri" w:cs="Amiri"/>
          <w:color w:val="111111"/>
          <w:sz w:val="28"/>
          <w:sz w:val="28"/>
          <w:szCs w:val="28"/>
          <w:rtl w:val="true"/>
          <w:lang w:bidi="ar-SA"/>
        </w:rPr>
        <w:t>لله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لانْزجَاره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كون المعصية مسبَّباً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يعلِّق فعلَه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 زيدٌ من سفره أنْ يَشرب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 ذلك لأنَّ معنى قولنا في انعقاد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النَّاذر فعل ما أوجبه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علمنا بالإجماع أنَّ المعصية لا تجب في حالٍ علمنا أنَّ النَّذر لا ينعقد في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والعهد هو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عاهدتُ الله أنَّه متى كان كذا مِن مباحٍ أو طاعةٍ فعليَّ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 ما شرط وجب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بعد ذكر كفارة من أفطر يوماً من شهر رمضان متعمداً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ومثلها في المبلغ والتخيير قتل الخطأ</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لا يُعمَل عليه؛ لأنَّ كفّارة قتل الخطأ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وكفّارة مَن أفطر يوماً مِن شهرِ رمضان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روي</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ولم أعثر على نصّ الرّواية في مجاميعنا الحديثية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بعض الأعلام وجود هكذا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في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لأصحابنا فيه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التَّرتيب مثل كفارة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المبسوط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أنَّها مرتَّبة مثل كفارة الظّهار</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التَّرتيب فيه فهو جائزٌ أو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وكفارة 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بين ما هو مُخيَّر في</w:t>
      </w:r>
      <w:r>
        <w:rPr>
          <w:rStyle w:val="FootnoteAnchor"/>
          <w:rtl w:val="true"/>
        </w:rPr>
        <w:footnoteReference w:id="1240"/>
      </w:r>
      <w:r>
        <w:rPr>
          <w:rFonts w:ascii="Amiri" w:hAnsi="Amiri" w:eastAsia="Amiri" w:cs="Amiri"/>
          <w:color w:val="111111"/>
          <w:sz w:val="28"/>
          <w:sz w:val="28"/>
          <w:szCs w:val="28"/>
          <w:rtl w:val="true"/>
          <w:lang w:bidi="ar-SA"/>
        </w:rPr>
        <w:t>كفارة قتل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w:t>
      </w:r>
      <w:r>
        <w:rPr>
          <w:rStyle w:val="FootnoteAnchor"/>
          <w:rtl w:val="true"/>
        </w:rPr>
        <w:footnoteReference w:id="1241"/>
      </w:r>
      <w:r>
        <w:rPr>
          <w:rFonts w:ascii="Amiri" w:hAnsi="Amiri" w:eastAsia="Amiri" w:cs="Amiri"/>
          <w:color w:val="111111"/>
          <w:sz w:val="28"/>
          <w:sz w:val="28"/>
          <w:szCs w:val="28"/>
          <w:rtl w:val="true"/>
          <w:lang w:bidi="ar-SA"/>
        </w:rPr>
        <w:t>كفَّر بواحدة منها</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وإطعام ستّين مسكيناً وصوم شهرين متتابعين بعد رضا أولياء المقتول بالدّية أو العفو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أنَّ الصَّحيح في كفارات قتل الخطأ أنَّها مرتَّبة</w:t>
      </w:r>
      <w:r>
        <w:rPr>
          <w:rFonts w:eastAsia="Amiri" w:cs="Amiri" w:ascii="Amiri" w:hAnsi="Amiri"/>
          <w:color w:val="111111"/>
          <w:sz w:val="28"/>
          <w:szCs w:val="28"/>
          <w:rtl w:val="true"/>
          <w:lang w:bidi="ar-SA"/>
        </w:rPr>
        <w:t xml:space="preserve">. </w:t>
      </w:r>
      <w:bookmarkStart w:id="1126" w:name="pg9124_98978"/>
    </w:p>
    <w:p>
      <w:pPr>
        <w:pStyle w:val="Heading4"/>
        <w:numPr>
          <w:ilvl w:val="3"/>
          <w:numId w:val="1"/>
        </w:numPr>
        <w:rPr/>
      </w:pPr>
      <w:bookmarkStart w:id="1127" w:name="__RefHeading___Toc2933940_2870459653"/>
      <w:bookmarkStart w:id="1128" w:name="_Toc442"/>
      <w:bookmarkEnd w:id="1126"/>
      <w:bookmarkEnd w:id="1127"/>
      <w:r>
        <w:rPr>
          <w:rtl w:val="true"/>
        </w:rPr>
        <w:t>كتاب العتق والتدبير والمكاتبة</w:t>
      </w:r>
      <w:bookmarkEnd w:id="112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يجعل عتق الأَمَة صداقها في التزويج بها</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الرَّجل متى أراد ذلك ينبغي أنْ يقدّم لفظ العقد على لفظ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تزوّجتُكِ وجعلتُ مهرَكِ عِتقك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قدَّم العِتقَ على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أعتقتُكِ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وتزوجتك</w:t>
      </w:r>
      <w:r>
        <w:rPr>
          <w:rFonts w:eastAsia="Amiri" w:cs="Amiri" w:ascii="Amiri" w:hAnsi="Amiri"/>
          <w:color w:val="111111"/>
          <w:sz w:val="28"/>
          <w:szCs w:val="28"/>
          <w:rtl w:val="true"/>
          <w:lang w:bidi="ar-SA"/>
        </w:rPr>
        <w:t>]</w:t>
      </w:r>
      <w:r>
        <w:rPr>
          <w:rStyle w:val="FootnoteAnchor"/>
          <w:rtl w:val="true"/>
        </w:rPr>
        <w:footnoteReference w:id="1245"/>
      </w:r>
      <w:r>
        <w:rPr>
          <w:rFonts w:ascii="Amiri" w:hAnsi="Amiri" w:eastAsia="Amiri" w:cs="Amiri"/>
          <w:color w:val="111111"/>
          <w:sz w:val="28"/>
          <w:sz w:val="28"/>
          <w:szCs w:val="28"/>
          <w:rtl w:val="true"/>
          <w:lang w:bidi="ar-SA"/>
        </w:rPr>
        <w:t>وجعلتُ مهرَكِ عتقكِ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مخيَّرة بين الرِّضا بالعقد والامتناع من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وَوجَدتُ بعضَ مشايخي يُنكر الوجه الأوَّل الّذي هو الأصوب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يمكن</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أعتق بعضَ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ملكه</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العتق فيه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فيه شريك عتق 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وأُجبر</w:t>
      </w:r>
      <w:r>
        <w:rPr>
          <w:rStyle w:val="FootnoteAnchor"/>
          <w:rtl w:val="true"/>
        </w:rPr>
        <w:footnoteReference w:id="1248"/>
      </w:r>
      <w:r>
        <w:rPr>
          <w:rFonts w:ascii="Amiri" w:hAnsi="Amiri" w:eastAsia="Amiri" w:cs="Amiri"/>
          <w:color w:val="111111"/>
          <w:sz w:val="28"/>
          <w:sz w:val="28"/>
          <w:szCs w:val="28"/>
          <w:rtl w:val="true"/>
          <w:lang w:bidi="ar-SA"/>
        </w:rPr>
        <w:t>على ابتياع الباقي فيعتق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مال استسعى العبد في ثمنه</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تفسير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كان له مملوك وأعتق نصفَه أو أكثر منه أو أقل انعتق الكلّ ولم يكن له عليه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بينه وبين غيره مملوك وأعتق هو نصيبَه مُضارّة لشريكه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أنْ يشتري ما بقي ويعتقه إذا كان موسراً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موسراً ولا يملك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العِتقُ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يقصد بذلك مضارّته بل قصدَ به وجهَ الله لم يلزم شراء الباقي وعتقه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يستحبّ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يفعل ذلك استسعى العبد فيما بقي من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التدبير هو أنْ يقول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بعد وفاتي</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 في ذلك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رقٌّ في حياتي وحرٌّ بعد موتي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مات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رجع عن تدبيره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هذا على الإطلاق بل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من ثلث ماله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ويورّث المكاتَب غير المشروط إنْ مات له</w:t>
      </w:r>
      <w:r>
        <w:rPr>
          <w:rStyle w:val="FootnoteAnchor"/>
          <w:rtl w:val="true"/>
        </w:rPr>
        <w:footnoteReference w:id="1253"/>
      </w:r>
      <w:r>
        <w:rPr>
          <w:rFonts w:ascii="Amiri" w:hAnsi="Amiri" w:eastAsia="Amiri" w:cs="Amiri"/>
          <w:color w:val="111111"/>
          <w:sz w:val="28"/>
          <w:sz w:val="28"/>
          <w:szCs w:val="28"/>
          <w:rtl w:val="true"/>
          <w:lang w:bidi="ar-SA"/>
        </w:rPr>
        <w:t>ولد بحسب ما تحرَّر منه</w:t>
      </w:r>
      <w:r>
        <w:rPr>
          <w:rFonts w:eastAsia="Amiri" w:cs="Amiri" w:ascii="Amiri" w:hAnsi="Amiri"/>
          <w:color w:val="111111"/>
          <w:sz w:val="28"/>
          <w:szCs w:val="28"/>
          <w:rtl w:val="true"/>
          <w:lang w:bidi="ar-SA"/>
        </w:rPr>
        <w:t>)</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إنْ مات له ولدٌ حُرٌّ؛ لأنَّه إنْ كان مملوكاً فلا يرثه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مكاتباً مثله فإنَّ أباه 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 بمقدار ما تحرَّر الولد أيضاً</w:t>
      </w:r>
      <w:r>
        <w:rPr>
          <w:rFonts w:eastAsia="Amiri" w:cs="Amiri" w:ascii="Amiri" w:hAnsi="Amiri"/>
          <w:color w:val="111111"/>
          <w:sz w:val="28"/>
          <w:szCs w:val="28"/>
          <w:rtl w:val="true"/>
          <w:lang w:bidi="ar-SA"/>
        </w:rPr>
        <w:t xml:space="preserve">. </w:t>
      </w:r>
      <w:bookmarkStart w:id="1129" w:name="pg9124_98980"/>
    </w:p>
    <w:p>
      <w:pPr>
        <w:pStyle w:val="Heading4"/>
        <w:numPr>
          <w:ilvl w:val="3"/>
          <w:numId w:val="1"/>
        </w:numPr>
        <w:rPr/>
      </w:pPr>
      <w:bookmarkStart w:id="1130" w:name="__RefHeading___Toc2933942_2870459653"/>
      <w:bookmarkStart w:id="1131" w:name="_Toc443"/>
      <w:bookmarkEnd w:id="1129"/>
      <w:bookmarkEnd w:id="1130"/>
      <w:r>
        <w:rPr>
          <w:rtl w:val="true"/>
        </w:rPr>
        <w:t>كتاب الرّهن والإجارة والوصية والصّيد ونحوها</w:t>
      </w:r>
      <w:bookmarkEnd w:id="113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الرَّاهن والمرتهن ممنوعان من التَّصرف في الرَّهن</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لا يجوز للراهن أنْ يبيع الرَّهن إلَّا بإذن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للمرتهن أنْ يسكن الدَّار إلَّا بإذن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هلك الرَّهن واختلفا في قيمته وعُدما البيِّنة فالقول قول صاحب الرَّهن مع يمينه</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في هذا الاختلاف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اختلافهما في ذلك من وجهين آخرين يخالفه 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إذا اختلفا في تضييع الرَّهن كان القول قول المرتهن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أقام الرَّاهن البيّنة أنَّ المرتهن ضيَّعه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ضمانه ولم يقنع منه باليمين</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اختلفا في مقدار المبلغ الّذي لأجله يكون هذا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الرَّاهن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المرتهن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 قيمة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عشرين ونحوها فالقول قول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المرتهن البيّنة بما زاد على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قيمة الرَّهن أربعين ونحوها فالقول قول المرتهن مع يمينه؛ لأنَّه أمينه وقد نقص الدَّين عن قيمة الرَّهن فكان على الرَّاهن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قيمة الرَّهن ثلاثين أيضاً فالقول قول الرَّاهن أيضاً مثل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يستغرق الرَّهن ثمنه</w:t>
      </w: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لم يستغرق الرَّهن ثمن نفسه في أداء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مجموع روايتين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ماتَ الرَّاهنُ وعليه دينٌ 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مَنْ يَستوفي المرتهن</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لهذا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المرتهن إذا كان دَينُه قبل دُيون هؤلاء أو مُتَساوياً لها ولم يبقَ للرَّاهن غيرُ ذلك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فالمرتَهِن به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دُيونُهم متقدِّمة على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يترك الرَّاهن غير هذا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فالمرتَهِن والغُرماء الآخرون يشتركون في ذلك على قدر 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يجمع به الرّوايتين الواردتين</w:t>
      </w:r>
      <w:r>
        <w:rPr>
          <w:rStyle w:val="FootnoteAnchor"/>
          <w:rtl w:val="true"/>
        </w:rPr>
        <w:footnoteReference w:id="1259"/>
      </w:r>
      <w:r>
        <w:rPr>
          <w:rFonts w:ascii="Amiri" w:hAnsi="Amiri" w:eastAsia="Amiri" w:cs="Amiri"/>
          <w:color w:val="111111"/>
          <w:sz w:val="28"/>
          <w:sz w:val="28"/>
          <w:szCs w:val="28"/>
          <w:rtl w:val="true"/>
          <w:lang w:bidi="ar-SA"/>
        </w:rPr>
        <w:t>في ذلك</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 xml:space="preserve">والرّواية الثّانية هي الّتي حكم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المرتهن أحق باستيفاء دينه من الرَّهن، دون غرماء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سليمان بن حفص المروزيّ قال كتبتُ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مات وله ورثة، فجاء رجل فادّعى عليه مالاً وأنَّ عنده رهناً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له على الميت مالٌ ولا بيِّنة له فليأخذ ماله ممَّا في يده، وليردَّ الباقي على ورثته، ومتى أقرَّ بما عنده أُخذ به، وطولب بالبيِّنة على دعواه وأوفى حقَّه بعد اليمين، ومتى لم يُقم البيِّنة والورثة يُنكرون، فله عليهم يمين علم، يحلفون بالله ما يعلمون له على ميِّتهم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7/178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حديث</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اتّجر المودَع بمال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ما يخسر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وللمودِع الرِّبح</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إذا تصرَّف المُودَع في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وأنفق على نفسه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متعدّياً وضمن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اتّجر به كان الرِّبح لصاحب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خَسِرَ كان على المُودَع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الوَديعة أمانة للبرّ والفاجر إلَّا أنْ يَعرف أنَّ الوديعة 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ردّها إلى المالك إلَّا أنْ يخاف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يعرف أربابَها جَعل خُمسَها لفقراء أهل البيت والباقي لفقراء المؤمنين</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يعرفها</w:t>
      </w:r>
      <w:r>
        <w:rPr>
          <w:rStyle w:val="FootnoteAnchor"/>
          <w:rtl w:val="true"/>
        </w:rPr>
        <w:footnoteReference w:id="1263"/>
      </w:r>
      <w:r>
        <w:rPr>
          <w:rFonts w:ascii="Amiri" w:hAnsi="Amiri" w:eastAsia="Amiri" w:cs="Amiri"/>
          <w:color w:val="111111"/>
          <w:sz w:val="28"/>
          <w:sz w:val="28"/>
          <w:szCs w:val="28"/>
          <w:rtl w:val="true"/>
          <w:lang w:bidi="ar-SA"/>
        </w:rPr>
        <w:t>عرَّفها حَولاً كما تُعرَّف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صاحبُها وإلَّا تصدَّق بها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في العارية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والورِق مضمونان</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 أنَّ من استعار الذَّهب والفضَّة سواء كانا دراهم أو دنانير أو سبائك منهما أو حُلِيّاً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ضمانه شَرَطَ ذلك المعير أو لم يَشرط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عداهما إنْ ضُمِّن يلزم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يُضمَّن لا يلزم فيه ذلك إلَّا بالتفريط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اختلفا في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المُعير مع يمينه إذا عُدما البيِّنة</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 وما سوى الذَّهب والفضة لا يكون المستعير فيه ضامناً إلَّا إذا شَرَطهُ المُعير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اختلفا في التَّفريط فالبيِّنة على المُعير بأنَّ المستعير فرَّط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فعلى المستعير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اختلفا في قيمة العارية كان القول قول صاحبها مع يمينه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المزارعة والمساقاة تجوزان</w:t>
      </w:r>
      <w:r>
        <w:rPr>
          <w:rStyle w:val="FootnoteAnchor"/>
          <w:rtl w:val="true"/>
        </w:rPr>
        <w:footnoteReference w:id="1266"/>
      </w:r>
      <w:r>
        <w:rPr>
          <w:rFonts w:ascii="Amiri" w:hAnsi="Amiri" w:eastAsia="Amiri" w:cs="Amiri"/>
          <w:color w:val="111111"/>
          <w:sz w:val="28"/>
          <w:sz w:val="28"/>
          <w:szCs w:val="28"/>
          <w:rtl w:val="true"/>
          <w:lang w:bidi="ar-SA"/>
        </w:rPr>
        <w:t>بالرُّبع والثُّلث والنِّصف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 المزارعة من أجلٍ معيَّن</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بُدَّ لذلك من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بالمزارعة بالثُّلث والرُّبع أو أقل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وبالدَّراهم والدَّنانير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بالحنطة والشَّعير إلَّا أنْ يُجعل في الذمَّة من غير ما يخرج من تلك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إلَّا بأجلٍ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لم يُذْكَر الأجل كان ما يَخرُج منها لصاحبها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للمُزارع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والمساقاة تكون في النَّخل والشَّجر والكروم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جائزةٌ بالرُّبع والثُّلث والنِّصف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ساقا غيرَه في شجرٍ أو نخلٍ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من الثَّمرة شيئاً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وإلَّا فلا مساقاة</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المؤونة على المساقي</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مؤونة عمارة النَّهر وإصلاح أصول النَّخل ونحو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صاحبها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الإجارةُ تنعقدُ بأجلٍ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معيَّن</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على الإطلاق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الأجل المعلوم في كلِّ موضع من الإجارات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ذلك شرطاً في صحَّة إجارة الأرضين والدُّور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من استأجر خيّاطاً فهو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يجب أنْ يكون الأجلُ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يستأجره من الغداة إلى العَشيِّ بدانق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العملُ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والأجلُ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يستأجره ليخيط له قميصاً بدانق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الأجل هاهنا معلوماً لم تصحّ تلك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والأُجرة في الموضعين لا بُدَّ من أنْ تكون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عاقلاً يملك أمرَه</w:t>
      </w: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فإقراره في مرضه كإقراره في صحته</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يحتاج إلى أنْ 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موثوقاً بعدالته كان ما أقرَّ به من أصل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مَوثوقاً به طُولب المُقَر له بالبيِّنة فإن كانت فكمثل</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 بيِّنة أُعطي من الثُّلث</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الرُّجوع</w:t>
      </w:r>
      <w:r>
        <w:rPr>
          <w:rStyle w:val="FootnoteAnchor"/>
          <w:rtl w:val="true"/>
        </w:rPr>
        <w:footnoteReference w:id="1274"/>
      </w:r>
      <w:r>
        <w:rPr>
          <w:rFonts w:ascii="Amiri" w:hAnsi="Amiri" w:eastAsia="Amiri" w:cs="Amiri"/>
          <w:color w:val="111111"/>
          <w:sz w:val="28"/>
          <w:sz w:val="28"/>
          <w:szCs w:val="28"/>
          <w:rtl w:val="true"/>
          <w:lang w:bidi="ar-SA"/>
        </w:rPr>
        <w:t>مع إطلاق الوقف وبقاء الموقوف عليهم فيه</w:t>
      </w:r>
      <w:r>
        <w:rPr>
          <w:rStyle w:val="FootnoteAnchor"/>
          <w:rtl w:val="true"/>
        </w:rPr>
        <w:footnoteReference w:id="1275"/>
      </w:r>
      <w:r>
        <w:rPr>
          <w:rFonts w:ascii="IRNazanin" w:hAnsi="IRNazanin" w:eastAsia="IRNazanin"/>
          <w:color w:val="111111"/>
          <w:sz w:val="28"/>
          <w:sz w:val="28"/>
          <w:szCs w:val="28"/>
          <w:rtl w:val="true"/>
          <w:lang w:bidi="fa-IR"/>
        </w:rPr>
        <w:t>على</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ما لا يمنع الشَّرع مِنْ مَعُونتهم</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الواقفُ الموقوفَ عليه أو مَنْ يتولّى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ولم يجز له الرّجوع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إلَّا ما يتقرّب به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وقف المسلم على مَواضِع قُرَب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اشترط رجوعه فيه عند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ذلك إذا افتقر</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شَرَطَ الواقفُ إنْ احتاج إلى شيءٍ منه كان له بيعه والتصرُّف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الشَّرطُ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أنْ يَفعل ما شَرَط إلَّا أنَّه إذا مات والحال هذه رجع ميراثاً ولم يمضِ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ووقف المؤمن على الكافر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الكافر أحد أبوي الواقف جاز</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بذلك أنَّه لا يجوز الوقف على كافرٍ لا رحم بينه وبين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على والدته وولده أو مَن بينه وبينهم رحم وإنْ كانوا كُفّاراً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معنى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أنْ يقف المؤمن على الكافر سواء كان من أقربائه أو بعيداً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الكراهة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أجنبيّاً فالوقف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p>
    <w:p>
      <w:pPr>
        <w:pStyle w:val="BookText"/>
        <w:rPr/>
      </w:pPr>
      <w:r>
        <w:rPr>
          <w:rFonts w:ascii="Amiri" w:hAnsi="Amiri" w:eastAsia="Amiri" w:cs="Amiri"/>
          <w:color w:val="111111"/>
          <w:sz w:val="28"/>
          <w:sz w:val="28"/>
          <w:szCs w:val="28"/>
          <w:rtl w:val="true"/>
          <w:lang w:bidi="ar-SA"/>
        </w:rPr>
        <w:t>من ذوي رَحِمه كان ذلك ماضياً وإنْ كان مكروهاً</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ولم أعثر على هذا القول في مظانّه من المصادر المتوفّرة لدي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والواقف لا يخلو أنْ يعيّن ما</w:t>
      </w:r>
      <w:r>
        <w:rPr>
          <w:rStyle w:val="FootnoteAnchor"/>
          <w:rtl w:val="true"/>
        </w:rPr>
        <w:footnoteReference w:id="1283"/>
      </w:r>
      <w:r>
        <w:rPr>
          <w:rFonts w:ascii="Amiri" w:hAnsi="Amiri" w:eastAsia="Amiri" w:cs="Amiri"/>
          <w:color w:val="111111"/>
          <w:sz w:val="28"/>
          <w:sz w:val="28"/>
          <w:szCs w:val="28"/>
          <w:rtl w:val="true"/>
          <w:lang w:bidi="ar-SA"/>
        </w:rPr>
        <w:t>يَقف</w:t>
      </w:r>
      <w:r>
        <w:rPr>
          <w:rStyle w:val="FootnoteAnchor"/>
          <w:rtl w:val="true"/>
        </w:rPr>
        <w:footnoteReference w:id="1284"/>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يعيّن</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ذكره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الوقف كما يكون على بني آدم صحيحاً فقد يصحُّ على المساجد والمشاهد والكعبة والقَناطر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والزَّيديَّة على فرقتين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يقولون بإمامة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لا يقولون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وَقَفَهُ على المسلمين كان لجميع من صلَّى إلى الكعبة</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إذا وَقَفَ المسلمُ على المسلمين كان لجميع مَنْ أقرَّ بالشّهادتين وأركان الشَّريعة </w:t>
      </w:r>
    </w:p>
    <w:p>
      <w:pPr>
        <w:pStyle w:val="BookText"/>
        <w:rPr/>
      </w:pPr>
      <w:r>
        <w:rPr>
          <w:rFonts w:ascii="Amiri" w:hAnsi="Amiri" w:eastAsia="Amiri" w:cs="Amiri"/>
          <w:color w:val="111111"/>
          <w:sz w:val="28"/>
          <w:sz w:val="28"/>
          <w:szCs w:val="28"/>
          <w:rtl w:val="true"/>
          <w:lang w:bidi="ar-SA"/>
        </w:rPr>
        <w:t>وإنْ اختلفوا في الآراء والدِّيانات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وَقَفَ الإنسانُ على أجناس وهم كثيرون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مقصوراً على من حضر البلد الّذي فيه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يتوكَّل للذمّي على المسلم</w:t>
      </w:r>
      <w:r>
        <w:rPr>
          <w:rFonts w:eastAsia="Amiri" w:cs="Amiri" w:ascii="Amiri" w:hAnsi="Amiri"/>
          <w:color w:val="111111"/>
          <w:sz w:val="28"/>
          <w:szCs w:val="28"/>
          <w:rtl w:val="true"/>
          <w:lang w:bidi="ar-SA"/>
        </w:rPr>
        <w:t>)</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ويؤكد ما نسبه الشّارح للمصنّف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الفاضل المقداد والفاضل الآبي ذلك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السّيّد العامليّ في معرض ردّ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العلّامة كلام سلّار الموافق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بأنّه مشعر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العاملي بأنّ الموجود في نسختين من المراسم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الرّموز في شرح المختصر النّافع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 الرّائع لمختصر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 في أحكام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 في شرح قواعد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جاءت للتقيَّة</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وقد ذكر الفاضل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كتب الأصحاب خالية عن حديث وارد في هذا المعنى، واعتبرت كتب الأحاديث فما ظفرت بشي‌ء، وكذا ذكر شيخنا وصاحب البشرى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بعض الشّارحين لرسالة سلّار وجود حديث مرويّ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الوارد بذلك للتقيّة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وتجدر الإشارة إلى وجود اضطراب في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 کلام الفاضل الآبي في حديث المنع مع أنّ كلام شارح رسالة سلّار في حديث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الرّموز في شرح المختصر النّافع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العمل عليها؛ لأنَّ النَّصَّ وَرَدَ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 xml:space="preserve">الشّياع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يتوكَّل المسلم للذمّي على المسلم في أحاديث كثيرة</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 xml:space="preserve">وقد صرّح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باستناد المانعين إلى آية نفي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واستناد المجيزين إلى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لا مانع في 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إلى عدم وجود أحاديث مانعة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وجود هكذا نصّ أو 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يَصير وكيلاً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الأوَّلُ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أخذ المُحال بعضَ الحوالة لم يجز له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يأخذ فله الرُّجوع</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قَبِلَ الحوالة والمُحال عليه مليء فأبرأه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لم يبرئه إلَّا بعد أخذ جميع ذلك كان له الرُّجوع أيّ وقت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أمضى الورثة في حياة المُوصِي ما زادَ على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لهم الرّجوع فيه</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بخلاف ما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وصّى بأكثر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 به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لهم بعد ذلك امتناع من إنفاذها لا في حالة حياته ولا بعد وفاته</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أنْ يُقال في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الورثة إذا كانوا مُوسرين ورضُوا بأكثر من ثلثِ مالهِ الّذي وصّى به المُوصي مِنْ طوعٍ ورغبةٍ لهم من غير استدعاء المُوصِي إيّاهم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لهُم رجوعٌ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استدعاهم الموصِي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وحَملهم الحياءُ إلى إظهار الرّضا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الرّجوعُ بعد وفاته في ذلك إنْ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في اللّقطة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تبلغ قيمته أكثر من درهم</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ينتفع به من غير تعريف إلَّا الإداوَة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المِطْهَرَة</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العَصا</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في ذلك أكثر مِنْ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الكثيرة هو ما لا تبلغ قيمته درهماً</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ولعلَّ في وصف الرّوايات بالكثيرة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المجاميع الحديثية الواصلة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أخرج من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كاللّؤلؤ</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ملكه</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والعمل على أنَّه إذا لم تبلغ قيمته ديناراً فلا خُمس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المعادن والكنوز ما لا يبلغ عشرين ديناراً فلا خمس فيه على سبيل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أخرج ممَّا هو أقل قيمةً من دينارٍ فهو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 يوصي إلى غيره وليس له ذلك إلَّا أنْ يكون المُوصي شَرَطَ ذلك له</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على ثلاثة أوجه في حال غيبة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المُوصِي إذا شَرَطَ على الوصي أنْ لا يوصي إلى الغير فليس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أطلق أو شرط إيصاءه فإنَّه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النَّصّ ورد على الإطلاق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إذا حضر الوصيَّ الوَفاةُ وأراد أنْ يوصي إلى غيره جاز أنْ يوصي إليه بما كان يتصرَّف فيه من الوصيَّة</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الاستدلال بمكاتبة الصّفّار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كان وصيّ رجل، فمات وأوصى إلى رجل، هل يلزم الوصي وصيّة الرّجل الّذي كان هذا وصيّه؟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يلزمه بحقّه إنْ كان له قبله حقّ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9/215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على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الإيمان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يلزمه إنْ كان مؤمناً وفاء لحقّه عليه بسبب الإيمان، فإنّه يقتضي معونة المؤمن وقضاء حوائجه ومن أهمّها إنفاذ وصيّته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 الأخيار في فهم تهذيب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حال ظهور الإمام إذا مات الوصيّ تولّى النَّاظر في أمر المسلمين تنفيذَ الوصيَّة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المكاتب يجوز ما أُوصِيَ</w:t>
      </w:r>
      <w:r>
        <w:rPr>
          <w:rStyle w:val="FootnoteAnchor"/>
          <w:rtl w:val="true"/>
        </w:rPr>
        <w:footnoteReference w:id="1304"/>
      </w:r>
      <w:r>
        <w:rPr>
          <w:rFonts w:ascii="IRNazanin" w:hAnsi="IRNazanin" w:eastAsia="IRNazanin"/>
          <w:color w:val="111111"/>
          <w:sz w:val="28"/>
          <w:sz w:val="28"/>
          <w:szCs w:val="28"/>
          <w:rtl w:val="true"/>
          <w:lang w:bidi="fa-IR"/>
        </w:rPr>
        <w:t>له بحساب ما أعتق منه</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إذا كان غير 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يوصِ إلى العبيد إلَّا مَن كان</w:t>
      </w:r>
      <w:r>
        <w:rPr>
          <w:rStyle w:val="FootnoteAnchor"/>
          <w:rtl w:val="true"/>
        </w:rPr>
        <w:footnoteReference w:id="1307"/>
      </w:r>
      <w:r>
        <w:rPr>
          <w:rFonts w:ascii="Amiri" w:hAnsi="Amiri" w:eastAsia="Amiri" w:cs="Amiri"/>
          <w:color w:val="111111"/>
          <w:sz w:val="28"/>
          <w:sz w:val="28"/>
          <w:szCs w:val="28"/>
          <w:rtl w:val="true"/>
          <w:lang w:bidi="ar-SA"/>
        </w:rPr>
        <w:t>مكاتباً أو مدبّراً</w:t>
      </w:r>
      <w:r>
        <w:rPr>
          <w:rFonts w:eastAsia="Amiri" w:cs="Amiri" w:ascii="Amiri" w:hAnsi="Amiri"/>
          <w:color w:val="111111"/>
          <w:sz w:val="28"/>
          <w:szCs w:val="28"/>
          <w:rtl w:val="true"/>
          <w:lang w:bidi="ar-SA"/>
        </w:rPr>
        <w:t>)</w:t>
      </w:r>
      <w:r>
        <w:rPr>
          <w:rStyle w:val="FootnoteAnchor"/>
          <w:rtl w:val="true"/>
        </w:rPr>
        <w:footnoteReference w:id="1308"/>
      </w:r>
      <w:r>
        <w:rPr>
          <w:rFonts w:ascii="Amiri" w:hAnsi="Amiri" w:eastAsia="Amiri" w:cs="Amiri"/>
          <w:color w:val="111111"/>
          <w:sz w:val="28"/>
          <w:sz w:val="28"/>
          <w:szCs w:val="28"/>
          <w:rtl w:val="true"/>
          <w:lang w:bidi="ar-SA"/>
        </w:rPr>
        <w:t>لا يصحّ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يجوز في المكاتب غير المشروط وفي المدبَّر الذي دبَّره مولاه بالنّذر أو فيمن وُلِدَ مِنْ مُدَبَّرين إذْ لا رُجوعَ في هذا المكاتَب ولا في هذا المدبَّر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يوجد من السَّمك على شاطئ الماء</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يعتبر بأنْ يُلقى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طفا على ظهرِه لم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طفا على وجهه أُكل</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المعروف في ذلك أنَّ الحلال أكله من السَّمك ما له فَلْس</w:t>
      </w:r>
      <w:r>
        <w:rPr>
          <w:rStyle w:val="FootnoteAnchor"/>
          <w:rtl w:val="true"/>
        </w:rPr>
        <w:footnoteReference w:id="1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 منه على ساحل البحر وأُلقي في الماء فَرُسب أصله ولم يَطفُ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أنْ لا يؤكل إلَّا ما يصيده المؤمنون</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أخرجه مُسلم من الماء حيّاً أو أخرجه كافر وشاهَدَ عدلان إخراجه له كذلك حَلَّ أكله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شاهده مُسلم حلَّ له خاصَّة دون 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سمكٍ أخذه كافر ولم يشاهد مسلمٌ إخراجَه من الماء حيَّاً فإنَّه يحرم أكلُه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وصيد السَّمك على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فلسَ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والمكروه ما وجد ميِّتاً في الشَّبكة في الماء ولا يتميَّز ما لم يمت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والحلال قد ذكرناه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واليَحْمُورُ</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الوحش</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بلا ريش</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له مِخلاب من الوحش حرام</w:t>
      </w:r>
      <w:r>
        <w:rPr>
          <w:rFonts w:eastAsia="IRNazanin" w:cs="IRNazanin"/>
          <w:color w:val="111111"/>
          <w:sz w:val="28"/>
          <w:szCs w:val="28"/>
          <w:rtl w:val="true"/>
          <w:lang w:bidi="fa-IR"/>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سواء فرس أو لم يفرس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فرس كالأسد والذئب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يفرس كالأرنب والثَّعلب واليربوع وكلّ ما عدا الحُمر الوحشيَّة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شاكل ذلك محرَّم</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معطوف على المحرَّمات المفصَّلة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النَعام والغزلان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في الذبيحة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فيها من التَّسمية والتّوجّه إلى القبلة</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الذَّابح المؤمن ومَنْ بحكمه إذا سمّى اللهَ متوجِّهاً إلى القبلة موجِّهاً الذَّبيحة أيضاً </w:t>
      </w:r>
    </w:p>
    <w:p>
      <w:pPr>
        <w:pStyle w:val="BookText"/>
        <w:rPr/>
      </w:pPr>
      <w:r>
        <w:rPr>
          <w:rFonts w:ascii="Amiri" w:hAnsi="Amiri" w:eastAsia="Amiri" w:cs="Amiri"/>
          <w:color w:val="111111"/>
          <w:sz w:val="28"/>
          <w:sz w:val="28"/>
          <w:szCs w:val="28"/>
          <w:rtl w:val="true"/>
          <w:lang w:bidi="ar-SA"/>
        </w:rPr>
        <w:t>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ذلك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والمؤمن إذا نَسِيَ التَّسمية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تركها متعمِّداً فلا يحلّ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تحرَّك المذبوح حتّى إذا ذُبح وخرج منه الدَّم وإلَّا لم يؤكَل</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على ما في النّهاية أنَّه تَحلّ الذَّبيحة إذا تحرَّكت بعد الذَّبح أو خرج منها الدَّم</w:t>
      </w:r>
      <w:r>
        <w:rPr>
          <w:rStyle w:val="FootnoteAnchor"/>
          <w:rtl w:val="true"/>
        </w:rPr>
        <w:footnoteReference w:id="1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جمع الأمرين في مذبوحٍ واحد وإنْ كانَ على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المرق إذا وقع فيه دم فأُغلي يحلُّ أكله</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كان الدَّم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وجنينُ ما يُؤكَل لحمُه إنْ أشعر أو أوبر وأُمُّه مذكّاة فذكاته ذكاة أُمّه</w:t>
      </w:r>
      <w:r>
        <w:rPr>
          <w:rFonts w:eastAsia="Amiri" w:cs="Amiri" w:ascii="Amiri" w:hAnsi="Amiri"/>
          <w:color w:val="111111"/>
          <w:sz w:val="28"/>
          <w:szCs w:val="28"/>
          <w:rtl w:val="true"/>
          <w:lang w:bidi="ar-SA"/>
        </w:rPr>
        <w:t>)</w:t>
      </w:r>
      <w:r>
        <w:rPr>
          <w:rStyle w:val="FootnoteAnchor"/>
          <w:rtl w:val="true"/>
        </w:rPr>
        <w:footnoteReference w:id="1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والنَّصب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يدلّان على معنيين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ذكاة أُمِّه كافية عن ذكاته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أكله وإنْ لم يكن مذبوحاً إذا وُجِد غير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نُصِبَ يدلُّ على أنَّه إذا وُجِدَ الجنينُ حيَّاً لا بُدَّ أنْ يذبح ويذَكَّى مثل ذكاة أُمِّه وذبحها</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أنَّه إذا لم تلجه الرُّوح بعد الإشعار</w:t>
      </w:r>
      <w:r>
        <w:rPr>
          <w:rStyle w:val="FootnoteAnchor"/>
          <w:rtl w:val="true"/>
        </w:rPr>
        <w:footnoteReference w:id="1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أنَّه إذا ولجتهُ الرُّوح فلا بُدَّ من تذكيته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عُجن دقيق بماء نجس فلا يؤكل</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يجمع أصحابُنا بين الخبر الّذي هذا مأخوذ منه</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 xml:space="preserve">وعن ابن أبي عمير،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يُدفن ولا يُباع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وبين الخبر الّذي يروى أنَّه يجوز أكله لأنَّ النَّار قد طهّرته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أبي عمير عمّن رواه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عجين عجن و خبز ثمَّ علم أنّ الماء كانت فيه ميتة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أكلت النّارُ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العجين بالماء النَّجس يجب أنْ يُدفَن ولا يُخبَز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خُبِزَ وعُلِمَ بعده نجاسة مائه فلا بأس بأكله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تؤكل ألبان الميتة الّتي توجد في ضرعها</w:t>
      </w:r>
      <w:r>
        <w:rPr>
          <w:rStyle w:val="FootnoteAnchor"/>
          <w:rtl w:val="true"/>
        </w:rPr>
        <w:footnoteReference w:id="1326"/>
      </w:r>
      <w:r>
        <w:rPr>
          <w:rFonts w:ascii="IRNazanin" w:hAnsi="IRNazanin" w:eastAsia="IRNazanin"/>
          <w:color w:val="111111"/>
          <w:sz w:val="28"/>
          <w:sz w:val="28"/>
          <w:szCs w:val="28"/>
          <w:rtl w:val="true"/>
          <w:lang w:bidi="fa-IR"/>
        </w:rPr>
        <w:t>بعد الموت</w:t>
      </w:r>
      <w:r>
        <w:rPr>
          <w:rFonts w:eastAsia="IRNazanin" w:cs="IRNazanin"/>
          <w:color w:val="111111"/>
          <w:sz w:val="28"/>
          <w:szCs w:val="28"/>
          <w:rtl w:val="true"/>
          <w:lang w:bidi="fa-IR"/>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أنَّه تَحلُّ من الميتة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وتحرُم من </w:t>
      </w:r>
    </w:p>
    <w:p>
      <w:pPr>
        <w:pStyle w:val="BookText"/>
        <w:rPr/>
      </w:pPr>
      <w:r>
        <w:rPr>
          <w:rFonts w:ascii="Amiri" w:hAnsi="Amiri" w:eastAsia="Amiri" w:cs="Amiri"/>
          <w:color w:val="111111"/>
          <w:sz w:val="28"/>
          <w:sz w:val="28"/>
          <w:szCs w:val="28"/>
          <w:rtl w:val="true"/>
          <w:lang w:bidi="ar-SA"/>
        </w:rPr>
        <w:t xml:space="preserve">المذكّاةِ عشرة أشياء أيضاً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في الجمع بين الخبرين</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حُلب اللّبن فإنَّه يخرج ويمرُّ في الضَّرع الّذي بحكم الميتة فينجس اللَّبن بذلك فيَحرُم ولا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قُطع مَوضع الضَّرع فيُؤخَذ اللَّبن مجموعاً من موضعه فإنَّه حلالٌ يجوز أكلُه</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ولم نعثر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المصادر المتاحة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القائل المُشار إليه تحديداً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أنّنا نحتمل أنَّه ابن الجنيد؛ لما حكاه العلّامة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خير فيما يُعصر من حلمة الدّيس من اللّبن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 في أحكام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اللَّبن من الميتة إنَّما يحلُّ بشرط أنْ يكون مذبوحاً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إذا مات حتف أنفه</w:t>
      </w:r>
      <w:r>
        <w:rPr>
          <w:rStyle w:val="FootnoteAnchor"/>
          <w:rtl w:val="true"/>
        </w:rPr>
        <w:footnoteReference w:id="1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والعموم يتناول الموضعين</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xml:space="preserve">. </w:t>
      </w:r>
      <w:bookmarkStart w:id="1132" w:name="pg9124_98996"/>
    </w:p>
    <w:p>
      <w:pPr>
        <w:pStyle w:val="Heading4"/>
        <w:numPr>
          <w:ilvl w:val="3"/>
          <w:numId w:val="1"/>
        </w:numPr>
        <w:rPr/>
      </w:pPr>
      <w:bookmarkStart w:id="1133" w:name="__RefHeading___Toc2933944_2870459653"/>
      <w:bookmarkStart w:id="1134" w:name="_Toc444"/>
      <w:bookmarkEnd w:id="1132"/>
      <w:bookmarkEnd w:id="1133"/>
      <w:r>
        <w:rPr>
          <w:rtl w:val="true"/>
        </w:rPr>
        <w:t>كتاب المواريث</w:t>
      </w:r>
      <w:bookmarkEnd w:id="113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والموانع من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الوارث مَنْ</w:t>
      </w:r>
      <w:r>
        <w:rPr>
          <w:rStyle w:val="FootnoteAnchor"/>
          <w:rtl w:val="true"/>
        </w:rPr>
        <w:footnoteReference w:id="1333"/>
      </w:r>
      <w:r>
        <w:rPr>
          <w:rFonts w:ascii="Amiri" w:hAnsi="Amiri" w:eastAsia="Amiri" w:cs="Amiri"/>
          <w:color w:val="111111"/>
          <w:sz w:val="28"/>
          <w:sz w:val="28"/>
          <w:szCs w:val="28"/>
          <w:rtl w:val="true"/>
          <w:lang w:bidi="ar-SA"/>
        </w:rPr>
        <w:t>يرثه لولا القتل</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يحتاج إلى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الكفر في الوارث يمنع من الإرث دون الكفر في الموروث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الرِّقّ على بعض الوجوه لا يمنع من الميراث فإنَّ الحُرَّ إذا مات عن مالٍ وله ابنٌ مملوك تنقص قيمته عن تركة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اشتراؤه وإعطاؤهُ الباقي من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كلّ قتلٍ يمنع من الإرث؛ لأنَّ مَنْ قَتَلَ أباه أو ابنَه بإذن الإمام وهو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قَوَد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قَتَلَه خطأً فإنَّه يرثُه من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وولد الولد يقوم مقام الولد الأدنى في الإرث والمنع ويترتَّبون</w:t>
      </w:r>
      <w:r>
        <w:rPr>
          <w:rStyle w:val="FootnoteAnchor"/>
          <w:rtl w:val="true"/>
        </w:rPr>
        <w:footnoteReference w:id="1335"/>
      </w:r>
      <w:r>
        <w:rPr>
          <w:rFonts w:ascii="Amiri" w:hAnsi="Amiri" w:eastAsia="Amiri" w:cs="Amiri"/>
          <w:color w:val="111111"/>
          <w:sz w:val="28"/>
          <w:sz w:val="28"/>
          <w:szCs w:val="28"/>
          <w:rtl w:val="true"/>
          <w:lang w:bidi="ar-SA"/>
        </w:rPr>
        <w:t>الأقرب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سبيل ولد الإخوة والأخوات إذا لم يكن إخوة وأخوات مع الأجداد</w:t>
      </w:r>
      <w:r>
        <w:rPr>
          <w:rStyle w:val="FootnoteAnchor"/>
          <w:rtl w:val="true"/>
        </w:rPr>
        <w:footnoteReference w:id="1336"/>
      </w:r>
      <w:r>
        <w:rPr>
          <w:rFonts w:ascii="Amiri" w:hAnsi="Amiri" w:eastAsia="Amiri" w:cs="Amiri"/>
          <w:color w:val="111111"/>
          <w:sz w:val="28"/>
          <w:sz w:val="28"/>
          <w:szCs w:val="28"/>
          <w:rtl w:val="true"/>
          <w:lang w:bidi="ar-SA"/>
        </w:rPr>
        <w:t>والجدّات</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 ولد الإخوة يقومون مقام آبائهم في مقاسمة الجدّ والجدّة ويرثون معهما ويمنعون العمّ من الميراث ونحوه كما يمنعهم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أولاد الأخوات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p>
    <w:p>
      <w:pPr>
        <w:pStyle w:val="BookText"/>
        <w:rPr/>
      </w:pPr>
      <w:r>
        <w:rPr>
          <w:rFonts w:ascii="Amiri" w:hAnsi="Amiri" w:eastAsia="Amiri" w:cs="Amiri"/>
          <w:color w:val="111111"/>
          <w:sz w:val="28"/>
          <w:sz w:val="28"/>
          <w:szCs w:val="28"/>
          <w:rtl w:val="true"/>
          <w:lang w:bidi="ar-SA"/>
        </w:rPr>
        <w:t>ذلك على العموم في جميع ما تقدَّم مِنْ أوَّل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الكفّار يرث بعضُهم بعضاً إذا لم يكونوا حربيين</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 أنَّ الذِّميَّ إذا كان له ولد حربيّ ومات فميراثه للإمام ولا يُعطى ولدُه في دار الحرب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يمنع الإرثَ إلَّا العمدُ من القتل</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هذا على الإطلاق؛ لأنَّ قتل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والخطأ شبيه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يمنع عن إرث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من ميراث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والقتلُ والعمدُ إنَّما يمنع من الإرث إذا كان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رقُّ باقي الأقارب لا يجب أنْ يشترى من التّركة وإنْ كانت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تبرَّع بالعِتق مالكُه وإلَّا كان الميراث لبيت المال</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لهذا تفصيل لا بُدَّ من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النَّص المفصَّل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يُخلِّف الحُرُّ إلَّا وارثاً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كان أو والداً أو أخاً أو أُختاً أو أحداً من ذوي أرحامه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يُشترى من تركته ويُعتق ويُعطى بقيَّة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لمالكه الامتناع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التّركة أقلّ من قيمته لم يجب شراؤه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الميراثُ لبيت المال</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المكاتَب يَرِثُ ويُورَث منه بحساب ما عُتق</w:t>
      </w:r>
      <w:r>
        <w:rPr>
          <w:rFonts w:eastAsia="Amiri" w:cs="Amiri" w:ascii="Amiri" w:hAnsi="Amiri"/>
          <w:color w:val="111111"/>
          <w:sz w:val="28"/>
          <w:szCs w:val="28"/>
          <w:rtl w:val="true"/>
          <w:lang w:bidi="ar-SA"/>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إذا لم يكن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فيمن يحجب الأُمَّ من الثُّلث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أنْ لا يكونوا كُفّاراً ولا عبيداً</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صحيح إلَّا أنَّه أخلَّ بشرطٍ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يكونوا قاتلين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غير الولد والإخوة فعلى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يرث مع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أو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حظَّ لغيرهما معهما في الميراث</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لا حظَّ لغير الزّوجين مع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الولد والإخوة</w:t>
      </w:r>
      <w:r>
        <w:rPr>
          <w:rStyle w:val="FootnoteAnchor"/>
          <w:rtl w:val="true"/>
        </w:rPr>
        <w:footnoteReference w:id="1345"/>
      </w:r>
      <w:r>
        <w:rPr>
          <w:rFonts w:ascii="Amiri" w:hAnsi="Amiri" w:eastAsia="Amiri" w:cs="Amiri"/>
          <w:color w:val="111111"/>
          <w:sz w:val="28"/>
          <w:sz w:val="28"/>
          <w:szCs w:val="28"/>
          <w:rtl w:val="true"/>
          <w:lang w:bidi="ar-SA"/>
        </w:rPr>
        <w:t>على ضربين</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فائدة في ذكر الإخوة هاهنا إلَّا في منع الأُم من الثُّلث إلى السُّدس مع الأب ليتوفّر المال على الأب ولا شيء لهم معهما من الميراث بحال</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بعد ذكر الأجداد والجدّات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ويرث معهم الإخوة والأخوات</w:t>
      </w:r>
      <w:r>
        <w:rPr>
          <w:rStyle w:val="FootnoteAnchor"/>
          <w:rtl w:val="true"/>
        </w:rPr>
        <w:footnoteReference w:id="1347"/>
      </w:r>
      <w:r>
        <w:rPr>
          <w:rFonts w:ascii="IRNazanin" w:hAnsi="IRNazanin" w:eastAsia="IRNazanin"/>
          <w:color w:val="111111"/>
          <w:sz w:val="28"/>
          <w:sz w:val="28"/>
          <w:szCs w:val="28"/>
          <w:rtl w:val="true"/>
          <w:lang w:bidi="fa-IR"/>
        </w:rPr>
        <w:t>والولد</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 أولاد 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مولى ولا وارث له من مولى ولا نسيب</w:t>
      </w:r>
      <w:r>
        <w:rPr>
          <w:rStyle w:val="FootnoteAnchor"/>
          <w:rtl w:val="true"/>
        </w:rPr>
        <w:footnoteReference w:id="1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فميراثه لبيت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وميراث من لا وارث له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ويضعه حيث يرى</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تناقض فيه؛ لأنَّه قال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المُعتَق إذا لم يكن له وارثٌ فميراثه لبيت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لبيت مال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معناه إذا لم يكن الإمام الّذي هو وارثه حاضراً بل يكون غائباً فميراثه لبيت مال المسلمين يُنفَق على ضُعفائهم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وميراث من لا وارث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يُحمل على كلِّ من كان حُرَّاً في الأصل أو يكون مُعتَقاً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عند التَّحقيق للإمام إنْ شاء وضعه في بيت المال وإنْ شاء فعل به ما كان عليٌّ عليه السَّلام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يعطي ميراث من لا وارث له فقراءَ أهل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له رأسان أو بدنان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نام 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انتبه منهما وُرِّث سهم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انتبه من أحدهما فهو واحد</w:t>
      </w:r>
      <w:r>
        <w:rPr>
          <w:rFonts w:eastAsia="Amiri" w:cs="Amiri" w:ascii="Amiri" w:hAnsi="Amiri"/>
          <w:color w:val="111111"/>
          <w:sz w:val="28"/>
          <w:szCs w:val="28"/>
          <w:rtl w:val="true"/>
          <w:lang w:bidi="ar-SA"/>
        </w:rPr>
        <w:t>)</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وتجدر الإشارة إلى أنّ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له رأسان أو بدنان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نام ينبّه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انتبه واحد منهما ورث سهم اثنين، و إنْ انتبها جميعاً فهو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 نُبِّه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يُحرَّك هو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انتبه واحد منهما فهما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انتبه الآخر أيضاً من تنبيه أحدهما فهو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المفصَّلة على هذا</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وكذا كلام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البرّاج</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هلك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أيّهم مات قبل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يُقدَّم أضعفُهم 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يهلك أب وابن فيورث الأب سُدساً مع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يفرض أنَّ الأب مات وورثه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فيرثه</w:t>
      </w:r>
      <w:r>
        <w:rPr>
          <w:rStyle w:val="FootnoteAnchor"/>
          <w:rtl w:val="true"/>
        </w:rPr>
        <w:footnoteReference w:id="1355"/>
      </w:r>
      <w:r>
        <w:rPr>
          <w:rFonts w:ascii="Amiri" w:hAnsi="Amiri" w:eastAsia="Amiri" w:cs="Amiri"/>
          <w:color w:val="111111"/>
          <w:sz w:val="28"/>
          <w:sz w:val="28"/>
          <w:szCs w:val="28"/>
          <w:rtl w:val="true"/>
          <w:lang w:bidi="ar-SA"/>
        </w:rPr>
        <w:t>كلَّ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ورثه عنه</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بخلاف ما في بعض كتب الشَّيخ أبي جعفر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يفرض موت الابن أوَّلاً ويورَّث الأب منه سُدساً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يفرض أنَّ الأب مات فيورّث الابن منه دون ما ورثه عنه</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يجمع بينهما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إنمَّا صحَّ لعدم وارث آخر غير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لوجود وارث سوى الأب من أُمّ وولد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إبطال العَول</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 أنَّ العَول الّذي هو زيادة السِّهام على المال أو نقصان المال عن السِّهام باطل على ما يراه العامَّة من تنقيص</w:t>
      </w:r>
      <w:r>
        <w:rPr>
          <w:rStyle w:val="FootnoteAnchor"/>
          <w:rtl w:val="true"/>
        </w:rPr>
        <w:footnoteReference w:id="1359"/>
      </w:r>
      <w:r>
        <w:rPr>
          <w:rFonts w:ascii="Amiri" w:hAnsi="Amiri" w:eastAsia="Amiri" w:cs="Amiri"/>
          <w:color w:val="111111"/>
          <w:sz w:val="28"/>
          <w:sz w:val="28"/>
          <w:szCs w:val="28"/>
          <w:rtl w:val="true"/>
          <w:lang w:bidi="ar-SA"/>
        </w:rPr>
        <w:t>سهام الورثة كلِّهم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اجتمع في فريضة من له سهام مُعيَّنة</w:t>
      </w:r>
      <w:r>
        <w:rPr>
          <w:rStyle w:val="FootnoteAnchor"/>
          <w:rtl w:val="true"/>
        </w:rPr>
        <w:footnoteReference w:id="1360"/>
      </w:r>
      <w:r>
        <w:rPr>
          <w:rFonts w:ascii="Amiri" w:hAnsi="Amiri" w:eastAsia="Amiri" w:cs="Amiri"/>
          <w:color w:val="111111"/>
          <w:sz w:val="28"/>
          <w:sz w:val="28"/>
          <w:szCs w:val="28"/>
          <w:rtl w:val="true"/>
          <w:lang w:bidi="ar-SA"/>
        </w:rPr>
        <w:t>ولم يفِ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السِّهام إنَّما اجتمعت بالذِّكر دون الحكم</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ذكر في تفصيل ذلك ما هو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يعمل فيها بأنْ يبدأ بمن له سهم مذكور وقد حُطَّ من فرض إلى فرض فيُعطى حقُّه والباقي لمن بقي كالأبوين وأحد الزَّوجين والبنتين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الزَّوج والأبوين حُطُّوا هاهنا من الأعلى إلى الأدون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والبنت والبنات ليس لهنَّ فرضان أعلى وأدون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لهنَّ الفرض مع عدم البنت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لهنَّ فرض مع وجود ابن بل يرثن بالقرابة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يكون لهنَّ الباقي أولى من العَول في نصيب كلِّ واحد منهم</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واستدلال المرتضى على صحَّة ذلك أقوى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إذا ضاق عن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كامرأة خلَّفت بنتين والزّوجَ والأبوين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 يضيق عن الثُّلثين والرُّبع والسُّدسين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بين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يُدخَل النَّقص على كلِّ واحدٍ من هذه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يُدخَل النُّقصان على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أجمعت الأُمَّة أنَّ البنتين منقوصتان هُنا بلا خلاف فيجب أن يُعطى الأبوان السُّدسين والزَّوج الرُّبع ويُجعل الباقي للبنتين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ويخصّهما بالنَّقص لأنَّهما منقوصتان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عداهما ما وقع إجماع على نقصان من سهام ولا قام 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الكتاب يقتضي سهماً معلوماً فيجب أنْ نوفيه إيَّاه ونجعل النَّقص داخلاً فيمن أجمعو على نقصه</w:t>
      </w:r>
      <w:r>
        <w:rPr>
          <w:rFonts w:eastAsia="Amiri" w:cs="Amiri" w:ascii="Amiri" w:hAnsi="Amiri"/>
          <w:color w:val="111111"/>
          <w:sz w:val="28"/>
          <w:szCs w:val="28"/>
          <w:rtl w:val="true"/>
          <w:lang w:bidi="ar-SA"/>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ويقوم 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مقامهم مع الجدّين والجدّتين</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يقوم أولاد الإخوة والأخوات مع عدمهم مقامهم مع الجدِّ والجدَّةِ من الأب ومع الجدِّ والجدَّةِ من الأم في المقاسمة</w:t>
      </w:r>
      <w:r>
        <w:rPr>
          <w:rFonts w:eastAsia="Amiri" w:cs="Amiri" w:ascii="Amiri" w:hAnsi="Amiri"/>
          <w:color w:val="111111"/>
          <w:sz w:val="28"/>
          <w:szCs w:val="28"/>
          <w:rtl w:val="true"/>
          <w:lang w:bidi="ar-SA"/>
        </w:rPr>
        <w:t xml:space="preserve">. </w:t>
      </w:r>
      <w:bookmarkStart w:id="1135" w:name="pg9124_99003"/>
    </w:p>
    <w:p>
      <w:pPr>
        <w:pStyle w:val="Heading4"/>
        <w:numPr>
          <w:ilvl w:val="3"/>
          <w:numId w:val="1"/>
        </w:numPr>
        <w:rPr/>
      </w:pPr>
      <w:bookmarkStart w:id="1136" w:name="__RefHeading___Toc2933946_2870459653"/>
      <w:bookmarkStart w:id="1137" w:name="_Toc445"/>
      <w:bookmarkEnd w:id="1135"/>
      <w:bookmarkEnd w:id="1136"/>
      <w:r>
        <w:rPr>
          <w:rtl w:val="true"/>
        </w:rPr>
        <w:t>كتاب أحكام القضاء</w:t>
      </w:r>
      <w:bookmarkEnd w:id="113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يُقبل فيه شهادة واحد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الهلال لشهر رمضان</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إنَّما يصحُّ إذا كان ذلك الواحد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عليه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لا تقبل فيه إلَّا شهادة الرِّجال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ورؤية الأهلَّة</w:t>
      </w:r>
      <w:r>
        <w:rPr>
          <w:rFonts w:eastAsia="Amiri" w:cs="Amiri" w:ascii="Amiri" w:hAnsi="Amiri"/>
          <w:color w:val="111111"/>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أشياءٌ لا بُدَّ من ذكرها وهو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الشَّيخ أبو جعفر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أحسن؛ لأنَّ النِّكاح منعقد بغير شاهدين إلَّا أنَّه إذا أنكر أحد الزَّوجين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له من شاهدي عدل على صحَّة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تُقبل فيه شهادة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الحدود فإنَّه تُقبل فيها شهادة النِّساء مع الرّجال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شهد ثلاثةُ رجال وامرأتان على مُحصَنٍ بالزِّنا يجب عليه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شهد عليه رجلان وأربع نِسوة يُحدُّ حدَّ الزَّاني مائة جلدة ولا يُرجم وإن كان مُحصَناً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شهد رجلٌ واحدٌ وستُّ نِسوة لا تقبل شهادتهم</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وتُقبل شهادة النِّساء في الرِّضاع</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غيرُ معمولٍ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يمكن أنْ يُعمل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شهدت جماعة من النِّساء أنَّ هذا الصَّبيّ وتلك الصَّبيّة ارتضعا من امرأة واحدة مقدار ما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أكثر مِنْ أنْ يقع التّواطؤ بينهنَّ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ينبغي لنا أنْ نُجنِّب من التّناكح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الرّؤية فكمثل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الطَّلاق فلا تُقبل شهادتهن فيه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تعارضت البيِّنتان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إحداهما 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قُسِّم الشّيء</w:t>
      </w:r>
      <w:r>
        <w:rPr>
          <w:rStyle w:val="FootnoteAnchor"/>
          <w:rtl w:val="true"/>
        </w:rPr>
        <w:footnoteReference w:id="1367"/>
      </w:r>
      <w:r>
        <w:rPr>
          <w:rFonts w:ascii="Amiri" w:hAnsi="Amiri" w:eastAsia="Amiri" w:cs="Amiri"/>
          <w:color w:val="111111"/>
          <w:sz w:val="28"/>
          <w:sz w:val="28"/>
          <w:szCs w:val="28"/>
          <w:rtl w:val="true"/>
          <w:lang w:bidi="ar-SA"/>
        </w:rPr>
        <w:t>بين مَنْ قامت لهما البيِّنتان</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كانت أيديهما خارجات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الحاكم يحكم لأعدلهما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تساووا في العدالة كان الحكمُ لأكثرهما شهوداً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تساووا في العدد والعدالة أُقرع بينهما فمَنْ خَرَجَ اسمه عليه حُلِّف وكان الحكم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امتنع حُلِّف الآخر والحكم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امتنعا كان الحقُّ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تَلَعْثَم أو تَتَعْتَع</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تَلَعْثَم الرَّجل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تمكّث فيه وتأنّى</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والتَّعْتَعَةُ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فيه من حَصرٍ أو عيٍّ</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المدَّعى في يد أحد المدّعيين مع تعارض البيِّنتين حُكم</w:t>
      </w:r>
      <w:r>
        <w:rPr>
          <w:rStyle w:val="FootnoteAnchor"/>
          <w:rtl w:val="true"/>
        </w:rPr>
        <w:footnoteReference w:id="1373"/>
      </w:r>
      <w:r>
        <w:rPr>
          <w:rFonts w:ascii="Amiri" w:hAnsi="Amiri" w:eastAsia="Amiri" w:cs="Amiri"/>
          <w:color w:val="111111"/>
          <w:sz w:val="28"/>
          <w:sz w:val="28"/>
          <w:szCs w:val="28"/>
          <w:rtl w:val="true"/>
          <w:lang w:bidi="ar-SA"/>
        </w:rPr>
        <w:t>لمن يدُه خارجة منها دون المتشبِّث</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هذا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البيِّنة تشهد لمن يده متصرِّفة بأنَّ الحقَّ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للآخر البيِّنةُ أيضاً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 الحقّ مِن اليد المتصرِّفة وأُعطي اليَد الخارجة؛ لأنَّ من رأى في يد غيره شيئاً ورآه يتصرَّف فيه تصرُّف الملّاك جاز له أنْ يَشهد بأنَّه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مَنْ يَشهد لليد المتصرِّفة إنَّما شهد للتصرّف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سبيل الغصب تصرُّفُه وإنْ لم يعلمه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شهدت البيِّنة لليد المتصرِّفة بسبب الملك من بيعٍ أو هبةٍ أو معاوضةٍ كانت أولى من اليد الخارجة</w:t>
      </w:r>
      <w:r>
        <w:rPr>
          <w:rFonts w:eastAsia="Amiri" w:cs="Amiri" w:ascii="Amiri" w:hAnsi="Amiri"/>
          <w:color w:val="111111"/>
          <w:sz w:val="28"/>
          <w:szCs w:val="28"/>
          <w:rtl w:val="true"/>
          <w:lang w:bidi="ar-SA"/>
        </w:rPr>
        <w:t xml:space="preserve">. </w:t>
      </w:r>
      <w:bookmarkStart w:id="1138" w:name="pg9124_99006"/>
    </w:p>
    <w:p>
      <w:pPr>
        <w:pStyle w:val="Heading4"/>
        <w:numPr>
          <w:ilvl w:val="3"/>
          <w:numId w:val="1"/>
        </w:numPr>
        <w:rPr/>
      </w:pPr>
      <w:bookmarkStart w:id="1139" w:name="__RefHeading___Toc2933948_2870459653"/>
      <w:bookmarkStart w:id="1140" w:name="_Toc446"/>
      <w:bookmarkEnd w:id="1138"/>
      <w:bookmarkEnd w:id="1139"/>
      <w:r>
        <w:rPr>
          <w:rtl w:val="true"/>
        </w:rPr>
        <w:t>باب الجنايات</w:t>
      </w:r>
      <w:bookmarkEnd w:id="114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 لا يُقتَل بابنه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تؤخَذ منه ديته ويعاقب ويؤدَّب</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غير قتل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الأب إذا قتل ابنه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شبه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الدّية عليه في ماله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يُقتَل به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الدّية لورثة الابن المقتول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وارث غير الأب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الدّية لبيت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مثلهما</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حكمهما</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القود منه أُقيد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الدّية أُخذت</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تفصيل لإحدى قسمتين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يخلو أنْ يكون قاتل العبد والذِّمي حُرَّاً مسلماً أو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حُرَّاً مسلماً لم يُقتَل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تؤخَذ منه دية الذِّمي وثمن العبد ما لم يتجاوز دية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وإنْ كان قاتل العبد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الذِّميّ ذمّيَّاً فالقود أو الدِّية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 العبدُ</w:t>
      </w:r>
      <w:r>
        <w:rPr>
          <w:rStyle w:val="FootnoteAnchor"/>
          <w:rtl w:val="true"/>
        </w:rPr>
        <w:footnoteReference w:id="1380"/>
      </w:r>
      <w:r>
        <w:rPr>
          <w:rFonts w:ascii="Amiri" w:hAnsi="Amiri" w:eastAsia="Amiri" w:cs="Amiri"/>
          <w:color w:val="111111"/>
          <w:sz w:val="28"/>
          <w:sz w:val="28"/>
          <w:szCs w:val="28"/>
          <w:rtl w:val="true"/>
          <w:lang w:bidi="ar-SA"/>
        </w:rPr>
        <w:t xml:space="preserve">رجلاً مسلماً أو امرأةً مسلمةً دَفَعَهُ مولاهُ إلى أولياء الدَّم إنْ </w:t>
      </w:r>
    </w:p>
    <w:p>
      <w:pPr>
        <w:pStyle w:val="BookText"/>
        <w:rPr/>
      </w:pPr>
      <w:r>
        <w:rPr>
          <w:rFonts w:ascii="IRNazanin" w:hAnsi="IRNazanin" w:eastAsia="IRNazanin"/>
          <w:color w:val="111111"/>
          <w:sz w:val="28"/>
          <w:sz w:val="28"/>
          <w:szCs w:val="28"/>
          <w:rtl w:val="true"/>
          <w:lang w:bidi="fa-IR"/>
        </w:rPr>
        <w:t>شاءوا قتلوه وإنْ شاءوا استرقّوه</w:t>
      </w:r>
      <w:r>
        <w:rPr>
          <w:rFonts w:eastAsia="IRNazanin" w:cs="IRNazanin"/>
          <w:color w:val="111111"/>
          <w:sz w:val="28"/>
          <w:szCs w:val="28"/>
          <w:rtl w:val="true"/>
          <w:lang w:bidi="fa-IR"/>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عبدٌ حُرَّاً فعليه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طلبوا الدِّية كان على مولاه الدِّية كاملة أو تسليم العبد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العبدُ مدبَّراً أو مكاتَباً في قتل العمد أُقيد منه كالأحرار</w:t>
      </w:r>
      <w:r>
        <w:rPr>
          <w:rFonts w:eastAsia="Amiri" w:cs="Amiri" w:ascii="Amiri" w:hAnsi="Amiri"/>
          <w:color w:val="111111"/>
          <w:sz w:val="28"/>
          <w:szCs w:val="28"/>
          <w:rtl w:val="true"/>
          <w:lang w:bidi="ar-SA"/>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صحيح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المدبَّر إذا قتل حُرَّاً عمداً كانت الدِّيةُ على مولاه الّذي دبَّره إنْ شاء أو سلَّمه إلى أولياء المقتول إنْ شاءوا قتلوه وإنْ شاءوا استرقّوه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قَتَلَ مكاتَبٌ حُرَّاً فإنْ كان له لم يؤدِّ من مكاتبته شيئاً فحكمه حكم المماليك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 مشروط عليه وقد أدّى مِنْ مكاتبته شيئاً كان على مولاه من الدِّية بقدر ما بقي من كونه رقَّاً وعلى إمام المسلمين من بيت المال بمقدار ما تحرَّر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الحكم في المدبَّر مطلقاً إذا كان تدبيره لا يمكن فسخه بأنْ يكون على سبيل النَّذر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قُتِل خنثى له حكم الرِّجال والنِّساء بأنْ يبول من الموضعين وينقطع منهما في حالةٍ أُعطي ورثتهُ نصفَ دية رجل ونصفَ دية امرأة</w:t>
      </w:r>
      <w:r>
        <w:rPr>
          <w:rFonts w:eastAsia="Amiri" w:cs="Amiri" w:ascii="Amiri" w:hAnsi="Amiri"/>
          <w:color w:val="111111"/>
          <w:sz w:val="28"/>
          <w:szCs w:val="28"/>
          <w:rtl w:val="true"/>
          <w:lang w:bidi="ar-SA"/>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لهذا أيضاً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قَتْلَهُ إنْ كان خطأً فذلك حكمه بأنْ يُعطَى ورثتُه أو عاقلتُه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عمداً </w:t>
      </w:r>
    </w:p>
    <w:p>
      <w:pPr>
        <w:pStyle w:val="BookText"/>
        <w:rPr/>
      </w:pPr>
      <w:r>
        <w:rPr>
          <w:rFonts w:ascii="Amiri" w:hAnsi="Amiri" w:eastAsia="Amiri" w:cs="Amiri"/>
          <w:color w:val="111111"/>
          <w:sz w:val="28"/>
          <w:sz w:val="28"/>
          <w:szCs w:val="28"/>
          <w:rtl w:val="true"/>
          <w:lang w:bidi="ar-SA"/>
        </w:rPr>
        <w:t xml:space="preserve">فإنْ أراد أولياؤُهُ القودَ فعليهم أنْ يَردّوا فاضلَ دية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ربع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شاءوا قتلوه وإنْ قبلوا الدِّية فلهم دية هذا 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اشتركوا في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بأنْ فَعَلَ كلُّ واحدٍ منهم ما العادة به جارية بأنْ يموت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بأنْ يقتله منهم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 لهم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ويمسكه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وأدّى فاضل ديتهم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وسُملت عين مَنْ نظر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وخُلِّد الحبس ممُسكُه حتى يموت</w:t>
      </w:r>
      <w:r>
        <w:rPr>
          <w:rFonts w:eastAsia="Amiri" w:cs="Amiri" w:ascii="Amiri" w:hAnsi="Amiri"/>
          <w:color w:val="111111"/>
          <w:sz w:val="28"/>
          <w:szCs w:val="28"/>
          <w:rtl w:val="true"/>
          <w:lang w:bidi="ar-SA"/>
        </w:rPr>
        <w:t>)</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تمَّ ما استفدناه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تنتهي بعد هذه العبارة بخمسة أسطر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الّذين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على الجمع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وأدّى فاضل ديّتهم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سُمِلَتْ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فُقئت بحديدةٍ مُحماةٍ</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نظر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يَنظُر يميناً وشمالاً ويترقَّب لهم لئلا يطّلع عليه أحد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في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أشرف جماعة من علوّ فيقع منهم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فتشبَّث بالّذي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ويتعلَّق الآخر بالآخر فيهلكون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ثلث الدِّية وعلى الثَّاني ثلث الدِّية وعلى الثَّالث 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ويُعطَى الرَّابعُ الدِّيةَ كاملةً</w:t>
      </w:r>
      <w:r>
        <w:rPr>
          <w:rFonts w:eastAsia="Amiri" w:cs="Amiri" w:ascii="Amiri" w:hAnsi="Amiri"/>
          <w:color w:val="111111"/>
          <w:sz w:val="28"/>
          <w:szCs w:val="28"/>
          <w:rtl w:val="true"/>
          <w:lang w:bidi="ar-SA"/>
        </w:rPr>
        <w:t>)</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والظّاهر أنَّ الشَّارح ناظر إلى وجود هذا الخلاف في نسخ المراسم العلويَّة حيث سيأتيك بعد قليل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ووجدتُ في بعض نسخ الأحكام النَّبويَّة هاهنا ما هو بخلاف ما ذكرنا وليس ذلك بشيء</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مثلُ ما في النِّهاية</w:t>
      </w:r>
      <w:r>
        <w:rPr>
          <w:rStyle w:val="FootnoteAnchor"/>
          <w:rtl w:val="true"/>
        </w:rPr>
        <w:footnoteReference w:id="1387"/>
      </w:r>
      <w:r>
        <w:rPr>
          <w:rFonts w:ascii="Amiri" w:hAnsi="Amiri" w:eastAsia="Amiri" w:cs="Amiri"/>
          <w:color w:val="111111"/>
          <w:sz w:val="28"/>
          <w:sz w:val="28"/>
          <w:szCs w:val="28"/>
          <w:rtl w:val="true"/>
          <w:lang w:bidi="ar-SA"/>
        </w:rPr>
        <w:t>من حيث المعنى وإنْ اختلفت العبارتان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أمير المؤمنين عليه السَّلام في أربعة نفر اطّلعوا في زُبية الأسد فخرَّ أحدُهم فاستمسك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بالرَّابع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عليه السَّلام بالأوَّل فريسة الأوَّل</w:t>
      </w: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وغرَّم أهلَه ثلث الدِّية لأهل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وغرَّم الثَّالث لأهل الرَّابع الدِّية كاملةً</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أولياء الأوَّل إذا أعطوا ثُلثَ دية الثَّاني لأوليائه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w:t>
      </w:r>
      <w:r>
        <w:rPr>
          <w:rStyle w:val="FootnoteAnchor"/>
          <w:rtl w:val="true"/>
        </w:rPr>
        <w:footnoteReference w:id="1390"/>
      </w:r>
      <w:r>
        <w:rPr>
          <w:rFonts w:ascii="Amiri" w:hAnsi="Amiri" w:eastAsia="Amiri" w:cs="Amiri"/>
          <w:color w:val="111111"/>
          <w:sz w:val="28"/>
          <w:sz w:val="28"/>
          <w:szCs w:val="28"/>
          <w:rtl w:val="true"/>
          <w:lang w:bidi="ar-SA"/>
        </w:rPr>
        <w:t xml:space="preserve">أولياءُ الثَّاني ثُلثَ الدِّية مِنْ خاصِّ 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ثُلثِ الدِّية الّذي أخذوه مِنْ أولياء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الثَّالث فيكون مبلغهما ثُلُثَي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أخذ أولياءُ الثَّالثِ ثُلُثَي الدِّية مِنْ أولياءِ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وأعطوا ثُلُثَ ديةٍ مِنْ عندهم مع ثُلُثَي الدِّية الّذي أخذوه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دية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بمنزلة الّذي ذكرناه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ووجدتُ في بعض نسخ الأحكام النَّبويَّة هاهنا ما هو بخلاف ما ذكرنا وليس ذلك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ودية الخطأ ترجع العاقلة بها على مال القاتل</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كان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مال فلا شيء للعاقلة عليه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ومتى كان للقاتل خطأً مالٌ ولم يكن للعاقلة شيءٌ أُلزِمَ في ماله الدِّية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ويَنسب الشَّيخ أبو</w:t>
      </w:r>
      <w:r>
        <w:rPr>
          <w:rStyle w:val="FootnoteAnchor"/>
          <w:rtl w:val="true"/>
        </w:rPr>
        <w:footnoteReference w:id="1392"/>
      </w:r>
      <w:r>
        <w:rPr>
          <w:rFonts w:ascii="IRNazanin" w:hAnsi="IRNazanin" w:eastAsia="IRNazanin"/>
          <w:color w:val="111111"/>
          <w:sz w:val="28"/>
          <w:sz w:val="28"/>
          <w:szCs w:val="28"/>
          <w:rtl w:val="true"/>
          <w:lang w:bidi="fa-IR"/>
        </w:rPr>
        <w:t>جعفر هذه الفتوى إلى بعض أصحابنا</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 كلامه في ذلك أنَّ دية قتل الخطأ تلزم العاقلةَ الّذين يرثون ديته أنْ لو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لا يرث من ديته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ائتمن ظئراً على</w:t>
      </w:r>
      <w:r>
        <w:rPr>
          <w:rStyle w:val="FootnoteAnchor"/>
          <w:rtl w:val="true"/>
        </w:rPr>
        <w:footnoteReference w:id="1394"/>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فسلَّمته إلى غيرها فلم يُعرَف له خبر</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فعليها الدِّية</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الظّئر إذا استأجرت ظئراً أخرى من غير إذنْ صاحب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فغابت به ولا يُعرَف له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عليها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نوّمت الظّئرُ الصّبيَّ إلى جانبها</w:t>
      </w:r>
      <w:r>
        <w:rPr>
          <w:rStyle w:val="FootnoteAnchor"/>
          <w:rtl w:val="true"/>
        </w:rPr>
        <w:footnoteReference w:id="1397"/>
      </w:r>
      <w:r>
        <w:rPr>
          <w:rFonts w:ascii="Amiri" w:hAnsi="Amiri" w:eastAsia="Amiri" w:cs="Amiri"/>
          <w:color w:val="111111"/>
          <w:sz w:val="28"/>
          <w:sz w:val="28"/>
          <w:szCs w:val="28"/>
          <w:rtl w:val="true"/>
          <w:lang w:bidi="ar-SA"/>
        </w:rPr>
        <w:t>فانقلبت عليه فقتلته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فعليها الدِّية كاملة</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على وجهين</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انقلبت الظّئر في منامها فقتلته وكانت طلبت المظائَرة للفخر وللعزِّ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عليها الدِّية في مالها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كانت إنَّما فعلت ذلك للفقر والحاجة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الدِّية على عاقلتها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والسنّ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ثمانية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مقاديم 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ومآخير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واحدةٍ مِنْ المقاديم خمسة وعشرون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واحدةٍ مِنْ المآخير خمسون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ألف دينار في الكلِّ</w:t>
      </w:r>
      <w:r>
        <w:rPr>
          <w:rFonts w:eastAsia="Amiri" w:cs="Amiri" w:ascii="Amiri" w:hAnsi="Amiri"/>
          <w:color w:val="111111"/>
          <w:sz w:val="28"/>
          <w:szCs w:val="28"/>
          <w:rtl w:val="true"/>
          <w:lang w:bidi="ar-SA"/>
        </w:rPr>
        <w:t>)</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تجدر الإشارة إلى أنَّ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عمَّا هو موجود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مقاديم 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اثنتي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ومآخير ستَّة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واحد من المقاديم خمسون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من المؤخّرات خمسة وعشرون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ومآخير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تفصيله بخلاف ما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وجملته توافقه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الأسنان كلّها الدِّية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تقسم عليها الدِّية ثمانية</w:t>
      </w:r>
      <w:r>
        <w:rPr>
          <w:rStyle w:val="FootnoteAnchor"/>
          <w:rtl w:val="true"/>
        </w:rPr>
        <w:footnoteReference w:id="1401"/>
      </w:r>
      <w:r>
        <w:rPr>
          <w:rFonts w:ascii="Amiri" w:hAnsi="Amiri" w:eastAsia="Amiri" w:cs="Amiri"/>
          <w:color w:val="111111"/>
          <w:sz w:val="28"/>
          <w:sz w:val="28"/>
          <w:szCs w:val="28"/>
          <w:rtl w:val="true"/>
          <w:lang w:bidi="ar-SA"/>
        </w:rPr>
        <w:t>وعشرون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عشرة منها في مواخير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واثنتا عشرة في مقاديمه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فالّتي في مواخير الفم لكلِّ سنٍّ منها خمسة وعشرون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أربع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في مقاديم الفم لكلِّ سنٍّ منها خمسون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ستّ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ألف دينار</w:t>
      </w:r>
      <w:r>
        <w:rPr>
          <w:rFonts w:eastAsia="Amiri" w:cs="Amiri" w:ascii="Amiri" w:hAnsi="Amiri"/>
          <w:color w:val="111111"/>
          <w:sz w:val="28"/>
          <w:szCs w:val="28"/>
          <w:rtl w:val="true"/>
          <w:lang w:bidi="ar-SA"/>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والعملُ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بن عيينة رواهُ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الخِلقة إنَّما هي ثمانية وعشرون</w:t>
      </w:r>
      <w:r>
        <w:rPr>
          <w:rStyle w:val="FootnoteAnchor"/>
          <w:rtl w:val="true"/>
        </w:rPr>
        <w:footnoteReference w:id="1403"/>
      </w:r>
      <w:r>
        <w:rPr>
          <w:rFonts w:ascii="Amiri" w:hAnsi="Amiri" w:eastAsia="Amiri" w:cs="Amiri"/>
          <w:color w:val="111111"/>
          <w:sz w:val="28"/>
          <w:sz w:val="28"/>
          <w:szCs w:val="28"/>
          <w:rtl w:val="true"/>
          <w:lang w:bidi="ar-SA"/>
        </w:rPr>
        <w:t>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في مقاديم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 عشرة سنّاً في </w:t>
      </w:r>
    </w:p>
    <w:p>
      <w:pPr>
        <w:pStyle w:val="BookText"/>
        <w:rPr/>
      </w:pPr>
      <w:r>
        <w:rPr>
          <w:rFonts w:ascii="Amiri" w:hAnsi="Amiri" w:eastAsia="Amiri" w:cs="Amiri"/>
          <w:color w:val="111111"/>
          <w:sz w:val="28"/>
          <w:sz w:val="28"/>
          <w:szCs w:val="28"/>
          <w:rtl w:val="true"/>
          <w:lang w:bidi="ar-SA"/>
        </w:rPr>
        <w:t>مآخيره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قُسّمت دية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فديةُ كلِّ سنٍّ من المقاديم إذا كُسرت حتّى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ديته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اثنتي عشرةَ سنَّاً ستَّة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سنٍّ من المواخير مائتان وخمسون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ست عشرة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فديتها أربعة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دية المقاديم والمواخير من الأسنان عشرة آلاف درهم</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w:t>
      </w:r>
      <w:r>
        <w:rPr>
          <w:rFonts w:eastAsia="IRNazanin" w:cs="IRNazanin"/>
          <w:color w:val="111111"/>
          <w:sz w:val="28"/>
          <w:szCs w:val="28"/>
          <w:rtl w:val="true"/>
          <w:lang w:bidi="fa-IR"/>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استواء</w:t>
      </w:r>
      <w:r>
        <w:rPr>
          <w:rFonts w:eastAsia="Amiri" w:cs="Amiri" w:ascii="Amiri" w:hAnsi="Amiri"/>
          <w:color w:val="111111"/>
          <w:sz w:val="28"/>
          <w:szCs w:val="28"/>
          <w:rtl w:val="true"/>
          <w:lang w:bidi="ar-SA"/>
        </w:rPr>
        <w:t xml:space="preserve">. </w:t>
      </w:r>
      <w:bookmarkStart w:id="1141" w:name="pg9124_99013"/>
    </w:p>
    <w:p>
      <w:pPr>
        <w:pStyle w:val="Heading4"/>
        <w:numPr>
          <w:ilvl w:val="3"/>
          <w:numId w:val="1"/>
        </w:numPr>
        <w:rPr/>
      </w:pPr>
      <w:bookmarkStart w:id="1142" w:name="__RefHeading___Toc2933950_2870459653"/>
      <w:bookmarkStart w:id="1143" w:name="_Toc447"/>
      <w:bookmarkEnd w:id="1141"/>
      <w:bookmarkEnd w:id="1142"/>
      <w:r>
        <w:rPr>
          <w:rtl w:val="true"/>
        </w:rPr>
        <w:t>باب الحدود</w:t>
      </w:r>
      <w:bookmarkEnd w:id="1143"/>
    </w:p>
    <w:p>
      <w:pPr>
        <w:pStyle w:val="BookText"/>
        <w:rPr/>
      </w:pPr>
      <w:r>
        <w:rPr>
          <w:rFonts w:ascii="IRNazanin" w:hAnsi="IRNazanin" w:eastAsia="IRNazanin"/>
          <w:color w:val="111111"/>
          <w:sz w:val="28"/>
          <w:sz w:val="28"/>
          <w:szCs w:val="28"/>
          <w:rtl w:val="true"/>
          <w:lang w:bidi="fa-IR"/>
        </w:rPr>
        <w:t>باب الحدود</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 بالقتل هو</w:t>
      </w:r>
      <w:r>
        <w:rPr>
          <w:rStyle w:val="FootnoteAnchor"/>
          <w:rtl w:val="true"/>
        </w:rPr>
        <w:footnoteReference w:id="1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الزِّنا للمحصن والمحصنة</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لا يخلو من خلل وإنْ كان الرَّجم والقتل يؤدّيان إلى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تفصيلٌ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المحصَن والمحصَنة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المحصَن شيخاً والمحصَنة 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على كلِّ واحدٍ منهما الجلد ثُمَّ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المحصَن والمحصَنة 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إذا زنيا كان على كلِّ واحدٍ منهما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دون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يزني بذات محرم أو غصب فرجَ امرأة ومَنْ في حكمهما يجب عليه القتل وإنْ لم يكن محصناً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تكرّر منها</w:t>
      </w:r>
      <w:r>
        <w:rPr>
          <w:rStyle w:val="FootnoteAnchor"/>
          <w:rtl w:val="true"/>
        </w:rPr>
        <w:footnoteReference w:id="1409"/>
      </w:r>
      <w:r>
        <w:rPr>
          <w:rFonts w:ascii="Amiri" w:hAnsi="Amiri" w:eastAsia="Amiri" w:cs="Amiri"/>
          <w:color w:val="111111"/>
          <w:sz w:val="28"/>
          <w:sz w:val="28"/>
          <w:szCs w:val="28"/>
          <w:rtl w:val="true"/>
          <w:lang w:bidi="ar-SA"/>
        </w:rPr>
        <w:t>المساحقة</w:t>
      </w:r>
      <w:r>
        <w:rPr>
          <w:rFonts w:eastAsia="Amiri" w:cs="Amiri" w:ascii="Amiri" w:hAnsi="Amiri"/>
          <w:color w:val="111111"/>
          <w:sz w:val="28"/>
          <w:szCs w:val="28"/>
          <w:rtl w:val="true"/>
          <w:lang w:bidi="ar-SA"/>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على بعض الوجوه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على أنَّ المرأة إذا ساحقت أخرى وقامت </w:t>
      </w:r>
    </w:p>
    <w:p>
      <w:pPr>
        <w:pStyle w:val="BookText"/>
        <w:rPr/>
      </w:pPr>
      <w:r>
        <w:rPr>
          <w:rFonts w:ascii="Amiri" w:hAnsi="Amiri" w:eastAsia="Amiri" w:cs="Amiri"/>
          <w:color w:val="111111"/>
          <w:sz w:val="28"/>
          <w:sz w:val="28"/>
          <w:szCs w:val="28"/>
          <w:rtl w:val="true"/>
          <w:lang w:bidi="ar-SA"/>
        </w:rPr>
        <w:t>عليها البيِّنة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كلِّ واحدةٍ منهما الرَّجم إنْ كانتا محصنتين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يكونا محصنتين كان على كلِّ واحدةٍ منهما مائة جلدة إذا كانتا حرَّتين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ساحقت المرأةُ غير المحصنة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 عليها الحدّ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في الرّابعة قتل الزَّانية غير المحصنة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حُدَّ في شرب الخمر مرَّتين وعاد في الثّالثة قُتل</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شَرب المسكِر وجب عليه الحدّ ثمانون جلدةً حدّ 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أُقيم عليه الحدّ دفعتين ثُمَّ عاد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والمجرِّد السِّلاح في أرض الإسلام السَّاعي فيها فساداً إنْ شاء الإمام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قطع رجله</w:t>
      </w:r>
      <w:r>
        <w:rPr>
          <w:rStyle w:val="FootnoteAnchor"/>
          <w:rtl w:val="true"/>
        </w:rPr>
        <w:footnoteReference w:id="1412"/>
      </w:r>
      <w:r>
        <w:rPr>
          <w:rFonts w:ascii="Amiri" w:hAnsi="Amiri" w:eastAsia="Amiri" w:cs="Amiri"/>
          <w:color w:val="111111"/>
          <w:sz w:val="28"/>
          <w:sz w:val="28"/>
          <w:szCs w:val="28"/>
          <w:rtl w:val="true"/>
          <w:lang w:bidi="ar-SA"/>
        </w:rPr>
        <w:t>ويده من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نفاه من الأرض</w:t>
      </w:r>
      <w:r>
        <w:rPr>
          <w:rFonts w:eastAsia="Amiri" w:cs="Amiri" w:ascii="Amiri" w:hAnsi="Amiri"/>
          <w:color w:val="111111"/>
          <w:sz w:val="28"/>
          <w:szCs w:val="28"/>
          <w:rtl w:val="true"/>
          <w:lang w:bidi="ar-SA"/>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ذلك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إذا قتل وهو يأخذ المال وجب أنْ يُقتل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أخذ المال وقتل وجب ان يُستَرد منه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تقطع يده بالسّرقة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يُقتل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أخذ المال ولم يَقتل ولم يَجرح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نُفي عن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جَرح ولم يأخذ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يُقتصَّ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يُنفى بعد ذلك من البلد الّذي فعل فيه ذلك</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يَجرح ولم يَأخذ المال وجب أنْ ينفى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وكأنَّ الرِّواية الأولى الّتي فيها يُخيّر الإمام تكون في الحال الّتي تكون من رجل يسعى</w:t>
      </w:r>
      <w:r>
        <w:rPr>
          <w:rStyle w:val="FootnoteAnchor"/>
          <w:rtl w:val="true"/>
        </w:rPr>
        <w:footnoteReference w:id="1414"/>
      </w:r>
      <w:r>
        <w:rPr>
          <w:rFonts w:ascii="Amiri" w:hAnsi="Amiri" w:eastAsia="Amiri" w:cs="Amiri"/>
          <w:color w:val="111111"/>
          <w:sz w:val="28"/>
          <w:sz w:val="28"/>
          <w:szCs w:val="28"/>
          <w:rtl w:val="true"/>
          <w:lang w:bidi="ar-SA"/>
        </w:rPr>
        <w:t>في أرض الإسلام بالفساد وتجريد السِّلاح ويهول الأمر فلا يُعلم هناك قتل ولا سرقة وإنَّما يُظَنّ كلّ واحد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مَنْ وطأ إحدى المحرَّمات</w:t>
      </w:r>
      <w:r>
        <w:rPr>
          <w:rStyle w:val="FootnoteAnchor"/>
          <w:rtl w:val="true"/>
        </w:rPr>
        <w:footnoteReference w:id="1415"/>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بعقد أو بغير عقد</w:t>
      </w:r>
      <w:r>
        <w:rPr>
          <w:rFonts w:eastAsia="Amiri" w:cs="Amiri" w:ascii="Amiri" w:hAnsi="Amiri"/>
          <w:color w:val="111111"/>
          <w:sz w:val="28"/>
          <w:szCs w:val="28"/>
          <w:rtl w:val="true"/>
          <w:lang w:bidi="ar-SA"/>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وطَأَ ذاتَ محرمٍ له وهو عالم أنَّها ذات محرم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 بنتاً أو أُختاً ونحوهن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القتل سواء كان مُحصَناً أو غير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 كان أو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كان أو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 كان أوشابَّاً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المحصن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ومجنون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فالعاقل المحصَن إذا شهد عليه أربعة رجال عدول بأنَّه وطأ غير مَنْ له وطؤها في القُبُل أو الدُّبُر وكان لا حائل بينه وبين وطء زوجته</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نكاحُها للدوام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المتعة لا تحصن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ملك اليمين فقد رُوي أنَّه يُحصِن</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الإحصان الموجب في الزَّاني الرَّجم هو أنْ تكون له زوجة أو ملك يمين يتمكَّن مِنْ وطئها متى شاء من غير حائل عن ذلك بغيبة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حبس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كانت الزَّوجة حرَّة أو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مليَّة أو ذميَّة؛ لأنَّ هذه الصِّفات إذا ثبتت فهو مستغني بالحلال عن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أكثر أصحابنا كالمرتضى والشَّيخ المفيد والشَّيخ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نكاح المتعة لا يُحصِن على أصحِّ الأقوال</w:t>
      </w:r>
      <w:r>
        <w:rPr>
          <w:rStyle w:val="FootnoteAnchor"/>
          <w:rtl w:val="true"/>
        </w:rPr>
        <w:footnoteReference w:id="1420"/>
      </w:r>
      <w:r>
        <w:rPr>
          <w:rFonts w:ascii="Amiri" w:hAnsi="Amiri" w:eastAsia="Amiri" w:cs="Amiri"/>
          <w:color w:val="111111"/>
          <w:sz w:val="28"/>
          <w:sz w:val="28"/>
          <w:szCs w:val="28"/>
          <w:rtl w:val="true"/>
          <w:lang w:bidi="ar-SA"/>
        </w:rPr>
        <w:t>لأنَّه غير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ويتعلَّق بأوقات محدودات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نكاح المتعة يُحصِن</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 في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تمتَّع بامرأة في أيامٍ معلومة يشترط حضور أوقات منها فربَّما يتخلل من الزَّمان ما يمنع صاحبه من الاستغناء عمَّا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يخرج عن الإحصان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تَمتَّع بها سنينَ وأعواماً على سبيل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ويشرط عليها أنْ لا تبرح 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ليلاً ولا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كذلك فإنَّه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نكاح المتعة يُحصِن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وتُحفَر له حَفيرة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ويقام فيها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تُقام إلى 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رجمه مَنْ يأمر الإمامُ بذلك</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قريب ممَّا في النّهاية والرِّسالة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يُدفن في حفيرة إلى حقويه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الرَّجم بالإقرار رَجَمَهُ الإمامُ أوَّلاً ثُمَّ النَّاس</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زنا الأبُ بجاريةِ ابنهِ عُزِّرَ من سَوطٍ</w:t>
      </w:r>
      <w:r>
        <w:rPr>
          <w:rStyle w:val="FootnoteAnchor"/>
          <w:rtl w:val="true"/>
        </w:rPr>
        <w:footnoteReference w:id="1424"/>
      </w:r>
      <w:r>
        <w:rPr>
          <w:rFonts w:ascii="Amiri" w:hAnsi="Amiri" w:eastAsia="Amiri" w:cs="Amiri"/>
          <w:color w:val="111111"/>
          <w:sz w:val="28"/>
          <w:sz w:val="28"/>
          <w:szCs w:val="28"/>
          <w:rtl w:val="true"/>
          <w:lang w:bidi="ar-SA"/>
        </w:rPr>
        <w:t>إلى تسعة وتسعين</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التَّعزير في باب الزِّنا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القذف إلى تسعة وسبعين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 العبيد خمسون جلدة في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حُدّوا سبع مرَّات وعادوا في الثَّامنة قُتلوا</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والعمل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المملوك والمملوكة إذا زنيا ليس عليهما إلَّا خمسون جلدة غير أنَّهما إذا زنيا ثماني مرَّات وأُقيم عليهما الحدّ في ذلك ثُمَّ زنيا التَّاسعة كان عليهما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زنى المكاتَب يُجلد بقدر ما تحرّر للأحرار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جلد العبيد</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كان غير 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مشروطاً فحكمه حكم المملوك إلى أنْ ينعتق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رمى حُرَّاً مسلماً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الرَّامي مسلماً سواء كان حُرَّاً أو عبداً فعليه ثمانون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الرَّامي للمسلم الحرّ ذميَّاً فدمه هدر سواء قذفه في نفسه أو في سببه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 ذلك لا يجب عليه الحدّ بل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أورد مِنْ الألفاظ ما ينبئ عن الزنا بين أهل تلك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عارفاً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قرنان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يُضرَب أيضاً ثَمانين</w:t>
      </w:r>
      <w:r>
        <w:rPr>
          <w:rFonts w:eastAsia="Amiri" w:cs="Amiri" w:ascii="Amiri" w:hAnsi="Amiri"/>
          <w:color w:val="111111"/>
          <w:sz w:val="28"/>
          <w:szCs w:val="28"/>
          <w:rtl w:val="true"/>
          <w:lang w:bidi="ar-SA"/>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والمرأة كافرين كانا أو مسلمين حرّين أو عبدين بعد أنْ </w:t>
      </w:r>
    </w:p>
    <w:p>
      <w:pPr>
        <w:pStyle w:val="BookText"/>
        <w:rPr/>
      </w:pPr>
      <w:r>
        <w:rPr>
          <w:rFonts w:ascii="Amiri" w:hAnsi="Amiri" w:eastAsia="Amiri" w:cs="Amiri"/>
          <w:color w:val="111111"/>
          <w:sz w:val="28"/>
          <w:sz w:val="28"/>
          <w:szCs w:val="28"/>
          <w:rtl w:val="true"/>
          <w:lang w:bidi="ar-SA"/>
        </w:rPr>
        <w:t>يكونا بالغين قال أحدُهما لغيره من المسلمين البالغين الأحرار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بأي لغةٍ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عارفاً بفائدة اللَّفظ وجب عليه الحدّ ثمانون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بالأخت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والكشخان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بالزّوجة</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 القوّاد خمسة وسبعين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عادوا نُفوا عن المصر</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الجامع بين الرِّجال والنِّساء وبين الغلمان والرِّجال للفجور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عليه ثلاثة أرباع حدّ الزَّاني</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المرأة إذا فعلت ذلك غيرَ أنَّها لا يُحلق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تُنفى كما يُفعَل بالرَّجل</w:t>
      </w:r>
      <w:r>
        <w:rPr>
          <w:rFonts w:eastAsia="Amiri" w:cs="Amiri" w:ascii="Amiri" w:hAnsi="Amiri"/>
          <w:color w:val="111111"/>
          <w:sz w:val="28"/>
          <w:szCs w:val="28"/>
          <w:rtl w:val="true"/>
          <w:lang w:bidi="ar-SA"/>
        </w:rPr>
        <w:t xml:space="preserve">. </w:t>
      </w:r>
      <w:bookmarkStart w:id="1144" w:name="pg9124_99019"/>
    </w:p>
    <w:p>
      <w:pPr>
        <w:pStyle w:val="Heading4"/>
        <w:numPr>
          <w:ilvl w:val="3"/>
          <w:numId w:val="1"/>
        </w:numPr>
        <w:rPr/>
      </w:pPr>
      <w:bookmarkStart w:id="1145" w:name="__RefHeading___Toc2933952_2870459653"/>
      <w:bookmarkStart w:id="1146" w:name="_Toc448"/>
      <w:bookmarkEnd w:id="1144"/>
      <w:bookmarkEnd w:id="1145"/>
      <w:r>
        <w:rPr>
          <w:rtl w:val="true"/>
        </w:rPr>
        <w:t>باب الأمر بالمعروف والنّهي عن المنكر</w:t>
      </w:r>
      <w:bookmarkEnd w:id="1146"/>
    </w:p>
    <w:p>
      <w:pPr>
        <w:pStyle w:val="BookText"/>
        <w:rPr/>
      </w:pPr>
      <w:r>
        <w:rPr>
          <w:rFonts w:ascii="Amiri" w:hAnsi="Amiri" w:eastAsia="Amiri" w:cs="Amiri"/>
          <w:color w:val="111111"/>
          <w:sz w:val="28"/>
          <w:sz w:val="28"/>
          <w:szCs w:val="28"/>
          <w:rtl w:val="true"/>
          <w:lang w:bidi="ar-SA"/>
        </w:rPr>
        <w:t>باب الأمر بالمعروف والنّهي عن المنكر</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أمكنه إنكار منكر وجب عليه</w:t>
      </w:r>
      <w:r>
        <w:rPr>
          <w:rFonts w:eastAsia="Amiri" w:cs="Amiri" w:ascii="Amiri" w:hAnsi="Amiri"/>
          <w:color w:val="111111"/>
          <w:sz w:val="28"/>
          <w:szCs w:val="28"/>
          <w:rtl w:val="true"/>
          <w:lang w:bidi="ar-SA"/>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فرض على الأعيان لا يتركه أحد مع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يجب عليه ذلك فحاله ينقسم إلى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بالقلب</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وجه آخر يترتَّب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وجهين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يؤدّب فاعله بالضَّرب والألم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مشروط بإذن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يُهجَر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تعظيمه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يفعل هو أيضاً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ويجتنب المنكر على وجه يتأسّى به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والحدود إلى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فوّضوا إلى الفقهاء إقامتها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وأمروا الشِّيعة بمعاونتهم ما استقاموا</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إمّا بتقريب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الحكم عليه إنفاذ ما حكم به وليس مجرّد الحكم من دون إنفاذ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قد جعلته عليكم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إرادة الولاية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إقامة الحدود إلى مَنْ إليه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w:t>
      </w:r>
      <w:r>
        <w:rPr>
          <w:rFonts w:eastAsia="IRNazanin" w:cs="IRNazanin"/>
          <w:color w:val="111111"/>
          <w:sz w:val="28"/>
          <w:szCs w:val="28"/>
          <w:lang w:bidi="fa-IR"/>
        </w:rPr>
        <w:t>21/395</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اضطرّتهم تقيَّة أجابوا داعيَها إلَّا في</w:t>
      </w:r>
    </w:p>
    <w:p>
      <w:pPr>
        <w:pStyle w:val="BookText"/>
        <w:rPr/>
      </w:pPr>
      <w:r>
        <w:rPr>
          <w:rFonts w:ascii="Amiri" w:hAnsi="Amiri" w:eastAsia="Amiri" w:cs="Amiri"/>
          <w:color w:val="111111"/>
          <w:sz w:val="28"/>
          <w:sz w:val="28"/>
          <w:szCs w:val="28"/>
          <w:rtl w:val="true"/>
          <w:lang w:bidi="ar-SA"/>
        </w:rPr>
        <w:t>الدِّماء</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إشارة إلى أنَّ مَنْ استخلفه سلطان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إقامتها معتقداً أنَّ ذلك بإذنْ سلطان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المؤمنين معونته ما لم يتعدَّ الحقَّ إلَّا أنْ يخاف في ذلك على نفسه فإنَّه يجوز حينئذٍ أنْ يَفعل في حال التَّقيَّة ما لم يبلغ قَتل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تَمكَّن مِنْ إنفاذ حكم أو صلاح بين النَّاس في الغَيبة فليفعل وله الثَّواب إنْ شاء الله تعالى</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الكتاب والحمد لله حقّ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محمَّدٍ وآله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حسبنا ونعم الوكيل والمعين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انتسخ منه أضعف عباد الله وأحوجهم إلى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علي الفراهاني المحمَّد آبادي في عشر للآخر من شهر الله المبارك شعبان سنة 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Style w:val="FootnoteAnchor"/>
          <w:rtl w:val="true"/>
        </w:rPr>
        <w:footnoteReference w:id="1437"/>
      </w:r>
      <w:r>
        <w:rPr>
          <w:rFonts w:ascii="IRNazanin" w:hAnsi="IRNazanin" w:eastAsia="IRNazanin"/>
          <w:color w:val="111111"/>
          <w:sz w:val="28"/>
          <w:sz w:val="28"/>
          <w:szCs w:val="28"/>
          <w:rtl w:val="true"/>
          <w:lang w:bidi="fa-IR"/>
        </w:rPr>
        <w:t>عشر</w:t>
      </w:r>
      <w:r>
        <w:rPr>
          <w:rStyle w:val="FootnoteAnchor"/>
          <w:rtl w:val="true"/>
        </w:rPr>
        <w:footnoteReference w:id="1438"/>
      </w:r>
      <w:r>
        <w:rPr>
          <w:rFonts w:ascii="Amiri" w:hAnsi="Amiri" w:eastAsia="Amiri" w:cs="Amiri"/>
          <w:color w:val="111111"/>
          <w:sz w:val="28"/>
          <w:sz w:val="28"/>
          <w:szCs w:val="28"/>
          <w:rtl w:val="true"/>
          <w:lang w:bidi="ar-SA"/>
        </w:rPr>
        <w:t>وستمائة داعياً لصاحبه ومستغف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لمصنفه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انتسخ من هذا الكتاب العبد الضّعيف الفق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المحتاج إلى رحمة الله تعالى أبو جعفر علي بن الحسن بن أبي العباس الجاستي الواراني في شهر الله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عظَّم الله بركته سنة ثما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w:t>
      </w:r>
      <w:r>
        <w:rPr>
          <w:rStyle w:val="FootnoteAnchor"/>
          <w:rtl w:val="true"/>
        </w:rPr>
        <w:footnoteReference w:id="1439"/>
      </w:r>
      <w:r>
        <w:rPr>
          <w:rFonts w:ascii="Amiri" w:hAnsi="Amiri" w:eastAsia="Amiri" w:cs="Amiri"/>
          <w:color w:val="111111"/>
          <w:sz w:val="28"/>
          <w:sz w:val="28"/>
          <w:szCs w:val="28"/>
          <w:rtl w:val="true"/>
          <w:lang w:bidi="ar-SA"/>
        </w:rPr>
        <w:t>وستمائة 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لصاحبه بالخير</w:t>
      </w:r>
      <w:r>
        <w:rPr>
          <w:rFonts w:eastAsia="Amiri" w:cs="Amiri" w:ascii="Amiri" w:hAnsi="Amiri"/>
          <w:color w:val="111111"/>
          <w:sz w:val="28"/>
          <w:szCs w:val="28"/>
          <w:rtl w:val="true"/>
          <w:lang w:bidi="ar-SA"/>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7" w:name="pg9124_99023"/>
      <w:bookmarkStart w:id="1148" w:name="pg9124_99023"/>
      <w:bookmarkEnd w:id="1148"/>
    </w:p>
    <w:p>
      <w:pPr>
        <w:pStyle w:val="Heading3"/>
        <w:numPr>
          <w:ilvl w:val="2"/>
          <w:numId w:val="1"/>
        </w:numPr>
        <w:rPr/>
      </w:pPr>
      <w:bookmarkStart w:id="1149" w:name="pg9124_99023"/>
      <w:bookmarkStart w:id="1150" w:name="__RefHeading___Toc2933954_2870459653"/>
      <w:bookmarkStart w:id="1151" w:name="_Toc449"/>
      <w:bookmarkEnd w:id="1149"/>
      <w:bookmarkEnd w:id="1150"/>
      <w:r>
        <w:rPr>
          <w:rtl w:val="true"/>
        </w:rPr>
        <w:t>مصادر المقدّمة والتّحقيق</w:t>
      </w:r>
      <w:bookmarkEnd w:id="1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بن عبد الكريم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الاقتصاد الهادي إلى طريق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جامع جهل 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الأشكوريّ، 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 في انفرادات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محمّد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عمر الباروديّ،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الأنوار اللّوامع في شرح مفاتيح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محمّد آل </w:t>
      </w:r>
    </w:p>
    <w:p>
      <w:pPr>
        <w:pStyle w:val="BookText"/>
        <w:rPr/>
      </w:pPr>
      <w:r>
        <w:rPr>
          <w:rFonts w:ascii="Amiri" w:hAnsi="Amiri" w:eastAsia="Amiri" w:cs="Amiri"/>
          <w:color w:val="111111"/>
          <w:sz w:val="28"/>
          <w:sz w:val="28"/>
          <w:szCs w:val="28"/>
          <w:rtl w:val="true"/>
          <w:lang w:bidi="ar-SA"/>
        </w:rPr>
        <w:t xml:space="preserve">عصفور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البحوث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محسن آل عصفور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إيضاح الفوائد في شرح إشكالات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المحقّقين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حسين الموسويّ الكرمانيّ والشّيخ علي پناه الإشتهارديّ والشّيخ عبد الرّحيم البروجرديّ، المطبعة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الحسينيّ الواسطيّ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حسن بن يوسف بن 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العربيّ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الأشكوريّ،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التّعليقات على 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جمال الدّين محمّد بن آقا حسين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المدرسة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بن السّيّد هادي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محفوظ وعبد الكريم الدّباغ وعدنان الدّباغ، دار المؤرّخ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 الرّائع لمختصر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مقداد بن عبد 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المقداد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الحسينيّ الكوه كمريّ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والعقود في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دانشگاه فردوسي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حسن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التراث العربي</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عباس القوچاني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آل عصفور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الإيروانيّ والسّيّد عبد الرّزاق المقرَّم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 في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يوسف بن 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 الشّرعيّة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المعاد في 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الشّيخ محمّد باقر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ط</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محسن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 الشّيعة في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بن مكّيّ العامليّ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الشّيخ حسن بن عليّ بن داود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منشورات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القرآن الكريم، تحقيق السّيّد عليّ الرّجائيّ،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ﻫ،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الموسويّ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الدّار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 وحياض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عبد الله الأفنديّ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الأشكوريّ،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منصور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الشّيخ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محمّد علي 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العطّار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محسن الطّهراني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أوفسيت،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اللّئالي العزيزيّة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الإحسائيّ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سيّد الشّهداء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مفلح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الكوثرانيّ العامليّ</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النزوع إلى علمي الأصول 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حمزة بن عليّ بن زهرة الحسينيّ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المكارم ابن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الحسينيّ الجلاليّ،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جواد الحسينيّ الجلاليّ،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منتجب الدّين عليّ بن عبيد الله ابن بابويه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السّيّد جلال الدّين الأرمويّ،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سنة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فهرستﮕان نسخه هاى خطى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واهتمام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مصطفى درايتى،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الوطنيّة في إيران، طهران،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مهدي بن مرتضى بحر العلوم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صادق بحر العلوم والسّيّد حسين بحر العلوم،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الأحكام في معرفة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يوسف بن 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في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الصّلاح الشّيخ تقيّ الدّين بن نجم الدّين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تحقيق الشّيخ رضا استادي،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للطباعة والنّشر،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تحقيق الشّيخ علي أكبر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الأسرار في شرح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الحجب والأستار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إعجاز حسين الكنتوريّ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شهاب الدّين المرعشيّ،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الرّموز في شرح 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حسن بن أبي طالب اليوسفيّ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الآبي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پناه الإشتهارديّ وآقا حسين اليزديّ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اللّثام عن 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الهنديّ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فارس صاحب الجوائب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المبسوط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الكشفيّ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المراسم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الشّيخ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قيد الطّبع والنّشر لمركز تراث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للعتبة العباسيّة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يوسف بن 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إسماعيل النّحوي المعروف بابن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 الأحكام في شرح عبادات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بن عليّ الموسويّ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 في شرح أخبار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بن محمّد تقي الأصفهانيّ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 العلويّة في الأحكام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حمزة بن عبد العزيز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الحق للطباعة والنّشر والتوزيع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الحسينيّ الأمينيّ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محمود البستانيّ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ونسخة مخطوطة تقع ضمن مجموعة موجودة في مكتبة الإمام محمد الحسين آل كاشف الغطاء العامّة، وتسلسلها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وتحتوي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البرّاج،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المراسم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بين يديك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السّلّاريّة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النّسخة موجودة في مكتبة مجلس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وتسلسلها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المنير في غريب الشّرح الكبير للرافعي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مقري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آل بحر العلوم،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بن عبد الله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المخطوطات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الرزاق العيسى، إصدار مركز دراسات الكوفة، مؤسسة النبراس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بن عليّ أكبر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 في شرح قواعد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بن محمّد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الخالصيّ،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محمّد بن نعمان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لألفيّة الشّيخ المفيد،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 في فهم تهذيب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بن محمّد تقي الأصفهاني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المرعشيّ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الأخيار في شرح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بن زين العابدين العلويّ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المجاهد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 في تحقيق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يوسف بن 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البحوث الإسلامية،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الشّيخ عبد العزيز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انتشارات إسلامي التابع لجماعة المدرسين،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 تحقيق مجموعة من المحققين تحت إشراف الشّيخ جعفر السّبحانيّ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السّبحانيّ ومجموعة،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المقدَّسة،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الأرواح فيما يتعلّق بأحكام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موسى العامليّ البابليّ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ق</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خطيّة مصوّرة محفوظة في مركز الفقيه العامليّ لإحياء التّراث تحت 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مصطفى بن حسين الحسينيّ التّفرشيّ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 في شرح مختصر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الموسويّ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الدّين المبارك بن محمّد الجزري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مطبوعاتي إسماعيليان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مجرّد الفقه 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ﻫ،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أيبك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الأرناؤوط وتركيّ مصطفى،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 إلى نيل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حمزة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السّيّد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الينابيع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فقهيّة لعدَّة كتب، 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أصغر مرواريد،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العربيّ و الدّار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اختصر المؤلِّف هذه الرسالة في رسالة أخرى أرّخ انتهاءها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امتازت بإضافات أوردنا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له جمع،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إنكار وجود نكتة في التّفرقة بين الآيتين، ولكن الغرض عدم لزوم وجود نكتة بمجرد التّماثل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ألّف كتاباً سماه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فهرست الشّيخ الطّوسي ورجال النّجاشي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 في شرح تلخيص المفتاح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والموضع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الجمع بين المتضادين أو أي معنيين متقابلين في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يكون بينهما تقابل وتناف ولو في بعض الصور سواء كان التّقابل حقيقياً أو اعتبارياً، وسواء كان تقابل التّضاد أو تقابل الإيجاب والسلب أو تقابل العدم والملكة، أو تقابل التّضاؤف أو ما يشبه شيئاً من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اللّغة نصب الرقيب في الطّريق، ويسميه بعضهم التّسهيم، يقال برد مسهم فيه خطوط مستوية، وهو أنْ يجعل قبل العجز من الفقرة، وهي في النّثر بمنزلة البيت من النّظم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أمثلته من غير 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أبناء وبنون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حفظة وحافظون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حكّام وحاكمون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الّلاتي والّلائي في الحقيقة جمع تكسير واحد أضيف فيهما الألف على رابع الكلمة، أو ثالثها كوزن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الثاني إلى الهمزة، ولكن ذكرناهما إلحاقاً بذلك</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الراغب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يستعمل لغةً فيما أظن، بل المستعمل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أخواتها كالخليقة والعقيقة والنطيحة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أحدها فسَّر بالزرّاع وهو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فيخرج عن محلّ الكلام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الحجارة الّتي تنصب على الشّيء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السّبب الأوَّل من أسباب هذه الظّاهرة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جرى هذا التّعبير ونظائره في هذه الرّسالة على مذهب عامّة اللّغويين من عَدِّ الألف في نفسها حرفاً، وإنْ كان الصواب أنَّه مَدَّة على الحرف الّذي يعدّ قبلها على ما يشهد به الوجدان اللّغوي وقرائن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ذكروه من أنَّ ما قبلها مفتوح وهي ساكنة غير تامّ بشهادة الوجدان اللّغويّ، فإنَّه يدل على عروض المدّ على نفس الحرف السّابق من غير فتحة عليه على ما يظهر بالتأمل، فالألف حالة على الحرف في قِبال السّكون والحركات الثّلاثة، ولتوضيح ذلك محلّ آخر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صرّح بكون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فيما كان على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وكان صحيح العين ولم يكن مضاعفاً فإنَّه يُجمع فيما قالوا على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ككلب وأكلُب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الحجر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للجمع عند سيبويه، وقال الأَخفش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وعبيد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ذكره في السّبب الثّاني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الجمعين في نوع المعنى مع اتّحاد معنى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وورد ذكرهما أيضاً في السّبب الرّابع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معنى الجمعين من جهة اختلاف معنى مفردهما بالدّقة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وورد ذكرهما كذلك في السّبب السّادس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أروعيّة بعض الجموع من بعض من حيث جمالها الذّاتي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وورد ذكرهما أيضاً في السّبب السّابع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أولويّة بعض الجمع من بعض في آخر الجملة لتحقيق سجع، أو موازنة ونحو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وهكذا الحال في مفردات أُخَر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يحتج لذلك بأنَّه المنساق من مثل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وَاذْكُرْ عَبْدَنَا أَيُّوبَ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فَكَذَّبُوا عَبْدَنَا وَقَالُوا مَجْنُونٌ وَازْدُجِرَ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ممّا أضيف فيه إلى الضّمير الرّاجع إليه تعالى هو العبد العابد، ولو كان منشأ ذلك هو الإضافة لاستفيد هذا المعنى من عبيد أيضاً في حالة الإضافة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للزمخشري في الكشاف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وجه آخر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فائدة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عِبَادِنَا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مبنى التّمثيل على وجود الصلاح في الإنسان كائناً مَنْ كان، وأنَّه وحده هو الّذي يبلغ به الفوز وينال ما عند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عَبْدَيْنِ مِنْ عِبَادِنَا صَالِحَيْنِ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فذكر النّبيين المشهورَين العلمَين بأنَّهما عبدان لم يكونا إلّا كسائر عبادنا، من غير تفاوت بينهما وبينهم إلّا بالصلاح وحده إظهاراً وإبانة، لأنَّ عبداً من العباد لا يرجح عنده إلّا بالصلاح لا غير، وأنَّ ما سواه ممّا يرجح به النّاس عند النّاس ليس بسبب للرجحان عنده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المعجم المفهرس لألفاظ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شرح الرّضي على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عقيل في شرحها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إنْ كان المؤكّد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ونفس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جمعتهما على مثال أفعل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الزيدان أنفسهما أو أعينهما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يقال باتفاق النّحاة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ذلك بحاجة إلى التّأكّد من مدى عمقها في تاريخ النّحو العربي وذكرها من قبل قدماء النّحاة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خلاف في أنَّ أقلّ الجمع اثنان أو ثلاثة، والأظهر عندي أنَّ أقلّه الاثنان كما استعمل فيه في القرآن الكريم وغيره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فهيئة الجمع لا تدلّ في نفسها إلّا على معنى الاجتماع، ولكن لَمّا اختصت التّثنية بصيغةٍ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هذا الاختصاص كان ظاهرة طارئة في اللّغة كظاهرة التّأنيث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المنساق من الجمع ما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فلا يكون الجمع مقيّداً بالثّلاثة فضلاً عن عددٍ آخر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وتوضيح هذه النّظرية وشواهدها بحاجة إلى تفصيل خارج عن موضوع هذه الرّسالة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كل اعتبار أدبيّ بحاجة إلى مصحّحين لغويّ وبلاغيّ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فالمصحّح اللّغويّ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العلاقة والتّناسب بين المعنى المجازيّ والمعنى الحقيقيّ، والمصحّح البلاغيّ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النّكتة البلاغيّة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الجهة الّتي توجب أداء المعنى بنحو الاعتبار الأدبيّ دون التّصريح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ويتضح الفرق بين المصحّحين بالمثال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عبّرنا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بالأسد فالمصحّح اللّغويّ لهذا التّعبير هو التّشابه بينهما في صفة الشّجاعة، ولكن المصحّح البلاغيّ لذلك هو قصد تحقيق نفس الإحساس الموجود تجاه الأسد بالنّسبة إلى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قاعدة لا ضرر من تقريرات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 العالی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بحث جموع التّكسير في الشّافية وشرحها للرضي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الألفية وشروحها كشرح ابن عقيل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ويمكن تفصيل هذا المعنى بذكر الهيئات وجموعها،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هيئة فعل تجمع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احتمال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مقدّمة المنجد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السّيوطي في الأشباه والنظائر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اختياره من الطّبرسي في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توضيحه إجمالاً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في جمع الجمع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أظافير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احتمالين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الفرائد الغوالي على شواهد الأمالي للسيد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أنوار الرّبيع في أنواع البديع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ولاحظ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فسّره بالنّسبة إليه تعالى بذلك، وهو بيان للمراد الحقيقي عند إطلاقه في حقّه لا على سبيل كونه معنى آخر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ادّعى نظيره الفرّاء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مِنْ شِيعَتِهِ لَإِبْرَاهِيمَ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والموضع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عُدَّ الثّاني جمعاً للأوَّل كما في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 على القياس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السّبب الخامس في بيان اندراج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هذا السّبب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أواخر طرفيها من الآيات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تلك الآية تحقّق لها سجعاً بالنسبة إلى غير آيتين منها لتشابهها مع أواخرها في الوزن والحرف الأخير، وموازنة بالنسبة للآية المختومة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لتشابهها في الوزن فقط</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أواخر الآيات في سورة آل عمران ابتداء من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فاختيار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يحقّق السّجع بالنّسبة إلى كلمتي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والموازنة بالنسبة إلى ما عداها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د 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وشرح الكافية للرضي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لو قدّر كون المعنى الوصفي ناشئاً بالتطوّر عن المعنى المصدري فإنَّه يحمل سمة المعنى المصدري من إفادة المبالغة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ما كان على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وكان صحيح العين ولم يكن مضاعفاً فإنَّه يُجمع فيما قالوا على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ككلب وأكْلُب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ر 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تهذيب اللّغة للأزهري، والمحكم لابن سِيده، والصحاح للجوهري، وحواشيها لابن بري والنهاية لابن الأثير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ما في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 بذوي قرابته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وقوم بررة وأبرار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ببرّ، وهو بارّ غداً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ذلك ما ورد في أوَّل حرف الباء من المفردات في غريب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وربّما قالوا تكون زائدة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أَنْتَ بِمُؤْمِنٍ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فبينه وبين قولك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أنت مؤمناً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بعد 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هذه الجملة بعد تلك الآية والأصل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نظر فبينه وبين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تلك الجملة في الموضع الواقع فيه زائدة لا معنى لها، وإنَّما محلها بعد الآية حيث إنَّها سيقت للاعتراض على جعل الباء زائدة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الصّورة الفنيّة في المثل القرآني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الصّورة الفنيّة في المثل القرآني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الصّورة الفنيّة في المثل القرآني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ومصادرها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التّنزيل وعيون الأقاويل في وجوه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والصورة الفنية في المثل القرآني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 في شرح تلخيص 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سبق في أوَّل السّبب الخامس أنَّهم لم يلتفتوا إلى نسبيّة ظاهرة الفصاحة في الألفاظ بالقياس إلى المعنى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فَكُلُوا مِنْهَا حَيْثُ شِئْتُمْ رَغَدًا وَادْخُلُوا الْبَابَ 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التَّائِبُونَ الْعَابِدُونَ الْحَامِدُونَ السَّائِحُونَ الرَّاكِعُونَ السَّاجِدُونَ الآمِرُونَ بِالْمَعْرُوفِ وَالنَّاهُونَ عَنْ الْمُنكَرِ وَالْحَافِظُونَ لِحُدُودِ اللَّهِ وَبَشِّرْ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المعجم المفهرس لألفاظ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المعجم المفهرس لألفاظ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في السّبب السّابع</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وَيَقُولُ الْأَشْهَادُ هَؤُلَاءِ الَّذِينَ كَذَبُوا عَلَى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التّعبير عن الألف والياء والواو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مثل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بالحرف مبني على رأي عامّة اللّغويين وإنْ لم يصح عندنا، فلاحظ</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في علوم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المعاني والبيان والبديع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 أنّه كلّما وقع أحد تلك الجموع في آخر الآية لم ينفك عن اقتضاء مراعاة السّجع أو الموازنة له، ولذلك لا حاجة بنا إلى بيان كيفية تحقّقهما بذكر أواخر الآيات المقترنة بمواضعها لسهولة مراجعة الباحث إليها بعد معرفة مواضعها وطول الكلام بذلك إلّا فيما قلّ موارد ذلك</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اختير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 لم تتحقّق موازنة ولا سجع وإنْ اشتركا في الحرف الأخير، لما مَرّ من أنّه متى كان ما قبل الأخير من أحدهما حرف علّة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أنْ يكون الأمر في الآخر كذلك،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كذلك</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أواخرها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يتوكّلون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الظّالمين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 في 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جواهر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جواهر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كتب علم البديع أو البلاغة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من أمثلة فكّ الإدغام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يُمْدِدْكُمْ رَبُّكُمْ بِخَمْسَةِ آلافٍ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ضرورة، مع سبق اللّفظ مدغماً من جهة دخول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الّتي قبلها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أَلَنْ يَكْفِيَكُمْ أَنْ يُمِدَّكُمْ رَبُّكُمْ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بابك المعاصر للصاحب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المعجم المفهرس لألفاظ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والأحزاب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الّذي رجحناه أنَّ الحركات ليست كيفيات على الحروف، بل هي حالات صوتية إضافية، لكن على هذا القول أيضاً فإنها تختلف عن الحروف في جوهرها، فجوهر الألف وأختيها من قبيل الحركات دون الحروف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بالحالة الألف والواو والياء</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الفيروزآبادي على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القزويني على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ذكرته أكثره مأخوذ من تعليقة السيد علي الحسيني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والدروس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ومسائل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40/44</w:t>
      </w:r>
      <w:r>
        <w:rPr>
          <w:rFonts w:ascii="IRNazanin" w:hAnsi="IRNazanin" w:eastAsia="IRNazanin"/>
          <w:b w:val="false"/>
          <w:b w:val="false"/>
          <w:bCs w:val="false"/>
          <w:i w:val="false"/>
          <w:i w:val="false"/>
          <w:iCs w:val="false"/>
          <w:color w:val="333333"/>
          <w:sz w:val="20"/>
          <w:sz w:val="20"/>
          <w:szCs w:val="20"/>
          <w:rtl w:val="true"/>
        </w:rPr>
        <w:t>، والفصول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w:t>
      </w:r>
      <w:r>
        <w:rPr>
          <w:rFonts w:ascii="IRNazanin" w:hAnsi="IRNazanin" w:eastAsia="IRNazanin"/>
          <w:b w:val="false"/>
          <w:b w:val="false"/>
          <w:bCs w:val="false"/>
          <w:i w:val="false"/>
          <w:i w:val="false"/>
          <w:iCs w:val="false"/>
          <w:color w:val="333333"/>
          <w:sz w:val="20"/>
          <w:sz w:val="20"/>
          <w:szCs w:val="20"/>
          <w:rtl w:val="true"/>
        </w:rPr>
        <w:t>، والقوانين المحكمة في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الخوئي والسيد الكلبايكاني في تعليقتهما على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القول الرابع والخامس في مسائل من الاجتهاد والتقليد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النسبة إلى قائلهما ولم نجدهما في مصدرٍ من المصادر التي تمكنّا من الوصول إليها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المستصفى للغزالي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والأحكام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حُكىت في 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دعوى الإجماع عن المحقق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ادّعى السيد المرتضى أنه من مسلمات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وادّعى صاحب المعالم أنه هذا ما وصل إلينا من كلماتهم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وقال الشهيد الثاني في 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الحق عندنا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من الاجتهاد والتقليد للنوري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أصول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الاجتهاد والتقليد تقريرات الشّيخ ضياء الدين العراقي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مسائل من الاجتهاد والتقليد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تعارض الأدلّة واختلاف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مشيخة الفقيه للسيد حسن الموسوي الخرسان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شرح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أكثر هذه الإيرادات مستفادة من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الوجوه من الأجوبة بعضها موجودة في كلمات بعض الأعلام، وبعضها خطر في البال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الاجتهاد والتقليد للسيد رضا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ملخص ما جاء في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ورسالة في تقليد الأعلم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كان فيه عن داود بن الحصين فقد رويته عن أبي ومحمّد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سعد بن عبد الله، عن محمّد بن الحسين بن أبي الخطاب، عن الحكم بن مسكين، عن داود ابن الحصين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مشيخة الفقيه تأليف السيد حسن الموسوي الخرسان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مسائل من الاجتهاد والتقليد للشيخ حسين النوري الهمداني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التنقيح في شرح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الاجتهاد والتقليد للسيد رضا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الاجتهاد والتقليد للسيد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بيان إضافي منّا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التنقيح في شرح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وممّن قرّب الاستدلال بها المحقّق الأصفهاني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ناقشه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المذكور للشيخ محمد علي الكركي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رسالته في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الاجتهاد والتقليد للسيد رضا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التنقيح في شرح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رسالة في الاجتهاد والتقليد للشيخ محمّد علي آراكي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والاجتهاد والتقليد للشيخ محمّد مهدي شمس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الاجتهاد والتقليد للسيد رضا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المحكم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رسالة في تقليد الأعلم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الاجتهاد والتقليد للشيخ محمّد مهدي شمس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والاجتهاد والتقليد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الاستنباط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علي تقي الحيدري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فيض القدير في شرح جامع الصغير نقلاً عن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الاجتهاد والتقليد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الاستنباط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رسالة في تقليد الأعلم للميرزا حبيب الله 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الاجتهاد والتقليد للصدر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بتصرف منّا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صاحب الجواهر هذا الكلام وتبنّاه وهو يصلح كإيراد على الوجه المذكور، فليلاحظ</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فقه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الاجتهاد والتقليد للصدر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المحكم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للكجوري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للصدر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الوجه في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المذكور قريب ممّا ذكر في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التنقيح في شرح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تعارض الأدلّة واختلاف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تعارض الأدلّة واختلاف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جوابات أهل الموصل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العمل في ليلة الجمعة ويومها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المواقيت أولها وآخرها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صلّى في غير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وقت الظهر والعصر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أوقات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أوقات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أوقات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والموضع السابق</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وقت الظهر والعصر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وقت الظهر والعصر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فإنّي قد حرقت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هنا مختلفة، ففي بعضها بالحاء المهملة والفاء على بناء المجهول من التفعيل أي غيّرت عن هذا الرأي فإنّي أمرته بالتأخير لمصلحة، والآن قد تغيّرت المصلحة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أنّ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بالصاد المهملة بهذا المعنى، وفي بعضها بالحاء والقاف كناية عن شدة التأثر والحزن، أي حزنت لفعله ذلك، وفي خبر آخر من أخبار 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الحرج، وهو الضيق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التقادير الظّاهر أنّ قول الراوي حتى تغيب الشمس مبني على المبالغة والمجاز، أي شارفت الغروب</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بيع الواحد بالاثنين و أكثر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البئر تقع فيه الفأرة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النهي عن بيع الذهب بالفضة نسيئة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النوافل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المسنون من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المسنون من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المسنون من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المسنون من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وهو يوافق ما في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والموجود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المسنون من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الصحيح والموافق لما في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المسنون من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في فقه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في فقه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في فقه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إتمام الصلاة في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إتمام الصلاة في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في فقه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في فقه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في فقه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في فقه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التقصير في الفريضة والرخصة في التطوع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في فقه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القبسات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الزيادات في فقه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في فقه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في فقه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على الحائض في أداء المناسك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في فقه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في فقه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الإحرام للحجّ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الإحرام للحج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الإحرام للحجّ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الإحرام للحجّ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الإحرام للحجّ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الوقت الذي يفوت فيه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الإحرام للحجّ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الإحرام للحجّ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سقط من أوّل سلسلته راوٍ أو أكثر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سقط من وسط سلسلته واحد، وهو يختلف عن المقطوع، إذ أنّ المقطوع هو عين المضمر الآتي الذكر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سقط من وسط سلسلته أكثر من واحد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يفهم من تفصيلهم في حجّيّة هذه الأقسام بين الحكم عليها بالصحة، وبين معاملتها معاملة المراسيل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الخبر المروي بتكرير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بيان للتحديث أو الإخبار أو السماع، وقد أوجب كون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 من الاتصال وعدمه الاختلاف في حكم إسناد المعنعن،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قبيل المرسل والمنقطع حتى يتبيّن اتصاله بغيره، ويقابله القول بأنّه متصل، وهو ما وصفه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 الذي عليه جمهور المحدثين، بل كاد يكون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ولكنّه اشترط لذلك شرطين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نفائس الأصول في شرح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عقائد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القناع عن وجوه حجيّة الإجماع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رواية ابن أبي عمير عن بعض أصحابنا، عن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فأوّل ما فيه أنّه مرسل، وما هذا سبيله لا يعارض به الأخبار المسندة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العتق وأحكامه، حديث</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والاستبصار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ولاء السائبة، حديث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نفائس الأصول في شرح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التفصيل بين المرسَل المنجبر بعمل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القول بانجبار الضعيف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التفصيل بين مراسيل محمد بن أبي عمير فقط وبين مراسيل غيره، بدعوى تسالم الكل على قبول مراسيله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التفصيل بين تعبير المرسِل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يكون حجة، وبين تعبيره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حجّة للاطمئنان بعدم كذب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التفصيل بين من لم ينصّوا بأنّه يروي عن الضعفاء، فيؤخذ بمراسيلهم، وبين من نصّوا على أنّه يروي عن الضعفاء فلا تقبل مراسيله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التفصيل بين مراسيل الكافي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التفصيل بين مراسيل الصدوق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التفصيل بين مرسلات الحلّي في مستطرفات السرائر وبين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التفصيل بين المرسل السالم من المعارض والمنكِر الموافق لفتوى الأصحاب وبين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من صور التفصيل المذكورة في المطولات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ولعلماء الرجال بحوث مفصّلة في الألفاظ الصادرة عن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أحد الأعلام المتقدّمين أو المتأخّرين، وكيفيّة استفادة التوثيق أو عدمه منها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ولهم كلام في كون المدار في حجّيته، وحجّية ما بعده هل هو الإخبار الحسّي، أم الاطمئنان أو مطلق الظن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بابتناء ذلك على حجّية قول الرجالي على الإخبار الحسّي، وبوجود شواهد عديدة في كلمات المتقدمين، دالة على وصول كثير من الأصول والفهارس والكتب الروائية والرجالية إلى المتأخّرين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قدر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أصحاب الإجماع قد ترجم لهم ووثقوا في كتب الرجال، فغيرهم أولى بذلك</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 كبير يشتمل على كتب عديدة، وبسبب كونه لا يبالي عمّن أخذ، ولأنّه كان يروي عن الضعفاء، ويعتمد المراسيل، قام القميون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من عرفوا بالتشدد المفرط في التوثيق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بتمحيصه وتنقيته، واستثنوا ما يقارب من ستة وعشرين رجلاً من مشايخه، لذلك صار كون الراوي ممّن لم يستثنه القميّون بمثابة توثيقه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ولسيدنا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افاداته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ثالث، على ضوء ما تقدم من تفسير الصحة بالمطابقة للواقع بأحد اللحاظين المتقدمين، فبعد أن جزم بأنّ مبنى ما نسب إلى المشهور في تفسير كلام الكشي هو كون المقصود بتصحيحه هو الحكم بصدوره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كون مضمونه مطابقاً لحكم الله الواقعي، استظهر أنّ المتعيّن البناء على كون المراد بها هو ما أخبر به الحسن بن محبوب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أخبرني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أبو أيوب 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ذلك فيكون المقصود بتصحيحه هو الحكم بمطابقة خبره للواقع، أي أنّه بالفعل قد أخبره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أبو أيوب الخزاز، لا أنّه كذب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والعياذ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اشتبه في النقل عنهما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المتتبع لكلماتهم يلاحظ بشكل واضح الاختلاف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فهم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جعله البعض قيداً للوثاقة، فيكون المعنى أنّ مفاد الإجماع هو الوثاقة ليس إلّا، وجعله آخرون قيداً لهؤلاء المذكورين، أي لا يدخل معهم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هو الصحيح، لوضوح عدم انحصار الوثاقة في المذكورين، خصوصاً في الطائفة الأولى</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في شرح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القرائن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كان يعتمد القدماء عليها فيما لو اعتضد بها الحديث لأوجب الوثوق به، والركون إليه، ووصفوه بالصحة، كما فعل صاحبا الكافي والفقيه؛ إذ حكما بصحة جميع ما أورداه في كتابيهما وإن لم يكن كثير منه صحيحاً على مصطلح المتأخرين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الخبر في كثير من الأصول الأربعمائة التي نقلوها عن مشايخهم بطرقهم المتصلة بأصحاب العصمة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متداولةً لديهم في تلك الأعصار، مشتهرةً فيما بينهم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ولاء السائبة،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المياه وأحكامها، الحديث</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مقدار الماء الذي لا ينجسه شيء،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الحديث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ولاء السائبة،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 يدل على كمية الكر،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كمية الكر،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ما يدل على كمية الكر،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اللبن للفحل،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فيما يحرم من النكاح، حديث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أن اللبن للفحل،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في ميراث من علا من الأجداد وهبط من الأبناء،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نفس الباب،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ميراث من علا من الآباء وهبط من الأولاد،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أن مع الأبوين أو مع واحد منهما لا يرث الجد والجدة،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همشاريجه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الرواية التي تليها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همشهريجه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 بلده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ميراث من وارث له،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نفس الباب،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ميراث من لا وارث له، حدث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نفس الباب،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الرجل يجامع المرأة فيما دون الفرج فينزل هو دونها، حديث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السُنّة في عقود النكاح وزفاف النساء، وآداب الخلوة والجماع،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ديات الأعضاء والجوارح والقصاص فيها،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تفسير لم يرتضه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فسّر الإجماع ليس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السادسة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المسألة السادسة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ذمّ الدنيا والزهد فيها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سلسلة التراث العلوي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كتاب عثر الموظفون الروس ما بين عام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عدّة نسخ منه باللغة الفارسية ولكنَّه يحمل عنواناً عربياً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وصلت أوَّل نسخة منه في عام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مدينة بطرسبورغ، وأحضر في عام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آخر كتب في سنة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اقتناه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وادي 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پامير وهوندوكوش الواقعة في أقصى شمال شرق أفغانستان، وأضيف في سنة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ثالث إلى الأوَّلين، وهو أقدم من الكل يرجع إلى عام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 وألحقت سنة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إفانوف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 عاملاً في متحف بطرسبورغ، والذي أقام في الهند بعد الثورة الروسية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ملاحظاته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لإسماعيلية وسط آسيا، وقد وجد لدى الإسماعيليين الهنود نسخاً أخرى للكتاب إلَّا أنَّها أحدث، منها مخطوطان في سنة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بومباي، ثم نسخة أخرى مؤرخة في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xml:space="preserve">، من الوادي العالي تشيترال الذي يصب في نهر كابول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التابع اليوم لمنطقة الحدود الباكستانية الشمالية الغربية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وأخيراً نسخة ترجع إلى سنة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منطقة هُنزة في بلتستان الواقعة في جلجات المطل على نهر كراكورام شمالي نهر الهندوس الأعلى</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الغنوصية في الإسلام لهاينس هالم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منشورات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رائد الباش</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عنونت هذه الفقرة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 الإله الأعلى وجوارحه الخمس</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من الإضافات الحديثة للطبقة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ويتضح ذلك ببيان أمور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المستشرق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ماديلونغ </w:t>
      </w:r>
      <w:r>
        <w:rPr>
          <w:rFonts w:eastAsia="IRNazanin" w:cs="IRNazanin"/>
          <w:b w:val="false"/>
          <w:bCs w:val="false"/>
          <w:i w:val="false"/>
          <w:iCs w:val="false"/>
          <w:color w:val="333333"/>
          <w:sz w:val="20"/>
          <w:szCs w:val="20"/>
        </w:rPr>
        <w:t>W.Madelung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نقل كلامه في الهامش الأوَّل ممَّا يتعلق بهذا الكتاب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سلسلة التراث العلوي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سلسلة التراث العلوي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نوادر المعجزات في مناقب الأئمة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تأويل الصمد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الكبرى في فضائل آل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يقولون برأيهم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الإسلام والإيمان والكفر والمعاد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والموضع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الطاعة والتقوى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لم يوثق في كتب الرجال صريحاً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روى الشيخ الطوسي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 صحيح إلى إسحاق بن يعقوب أنَّه سأل النائب الثاني للحجة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يوصل كتابه وفيه أسئلة إلى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فورد التوقيع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محمَّد بن شاذان بن نعيم فإنَّه رجل من شيعتنا أهل البيت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الرجل ليس له توثيق في كتبنا الرجالية ماعدا ما ذكره محمَّد بن شاذان هنا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 في فضائل سلمان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جواد القيومي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مؤسسة الآفاق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رسالة في آل أعين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السيد محمَّد علي الأبطحي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وأيضاً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والموضع السابق</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والموضع السابق</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والموضع السابق</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هو برواية الشيخ أبو محمَّد هارون بن موسى بن أحمد بن إبراهيم التلعكبري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حميد بن زياد الدهقان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أحمد بن زياد بن جعفر الأزدي البزاز قال، حدَّثنا محمَّد بن المثنى بن القاسم الحضرمي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شريح الحضرمي، عن حميد بن شعيب السبيعي، عن جابر بن يزيد الجعفي</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ميراث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إرث الزوجة من العقار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يزيد جعفى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لسعيد طاووسي مسرور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الحسين بن القاسم بن إبراهيم بن إسماعيل بن إبراهيم بن الحسن بن الحسن بن علي ابن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المولود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مناقب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ورواياته إلى جابر وردت عن طريق إسرائيل، وعبد الكريم الجعفي، وزهير، وسعيد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ويوسف، وشعيب بن راشد، وعمرو بن شمر، وعلي بن يحيى ابن إسماعيل بن المنذر، ويونس بن سعد بن مسعود الجعفي، وإبراهيم بن أبي يحيى المدني</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عنه بإسناده إلى جابر في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وقد وقع عمرو بن شمر في الإسناد في ثمانِ موارد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الحسيني الجلالي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 التابعة لجماعة المدرسين بقم المشرفة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ﻫ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الطبع والنشر التابعة لوزارة الثقافة والإرشاد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الروايات التي وردت عنه في فضل يوم الجمعة وليلتها، وفضل الجمع في شهر رمضان، وفضل من قال لا إله إلا الله، وفضل عمرة رمضان، وفضل شهر رمضان، وفضل التبسم في وجه المؤمن وإدخال السرور عليه، وفضل زيارة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ليلة عاشوراء ويومها، واستحباب التكفين بالبياض، وفضل الذكر من مغيب الشمس إلى الشفق ومن طلوع الفجر إلى طلوع الشمس، وفضل تسبيح الزهراء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تأويل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التوحيد ح</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وجود 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وفوق الذي عيننا تبلغ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الفقرة الأخيرة من الرواية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قال لا إله إلا الله،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أوَّل ما خلق الله عزَّ وجلَّ من خلقه،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الوسيلة،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من التوحيد، وهي نفسها في الكافي في باب تأويل الصمد،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الخطبة السابقة مع إضافة 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 الذي عسينا أنْ نبلغ ربنا، وسع ربّنا كلّ شيء علماً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الدليل على أنَّ الله عالم،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نور السموات والأرض،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الدليل على أنَّ الله سبحانه وتعالى ليس في مكان في الرد على فرية أهل الشام،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معنى لا حول ولا قوة إلا بالله،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تأويل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أَفَعَيِينَا بِالْخَلْقِ الْأَوَّلِ بَلْ هُمْ فِي لَبْسٍ مِنْ خَلْقٍ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الرزق،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وجه عدله تعالى في الأطفال،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الأكل متكئاً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الكليني بإسناده عن أبي علي الأشعري عن محمَّد بن عبد الجبار، عن محمَّد بن سالم، عن أحمد بن 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وجود سقط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بن عميرة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في كتاب الله إمامان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يدعو إلى الله، وإمام يدعو إلى النار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 يمزق قبره، على بناء المفعول مخففاً ومشدداً أي يخرق ليخرج منه عند البعث</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كلمات الفرج</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علي أكبر الغفاري، ومحمود الزرندي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الميت يمثل له ماله وولده وعمله قبل موته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التواضع والخمول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الشكر 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 والحزن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ويعتبر جابر من مشايخ أبي حنيفة إذ قد روى عنه، كما جاء ذلك في مسند الإمام أبي حنيفة</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طهارة ماء الحمام إذا صبّ الماء جنباً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أخرج له في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وفي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وفي الخامس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وفي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وفي السابع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أخرج له في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روايات، وفي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 روايات، وفي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عشرة رواية، وفي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 روايات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أخرج له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وفي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وفي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وفي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وفي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وفي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وفي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وفي التاسع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وفي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النديم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فهرسته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جابر بن حيان له كتاب التفسير، ولعله اشتباه فإنَّه لجابر بن يزيد الجعفي</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حديثان،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النقل عن جابر في الجزء الأوَّل في سبعة مواضع هي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مرتان و</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وفي الجزء الثاني في عشرة مواضع هي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وفي الجزء الثالث في أحد عشر موضعاً هي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مرتان و</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وفي الجزء الرابع في ثلاثة مواضع هي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وفي الجزء الخامس في ثلاثة عشر موضعاً هي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مرتان 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وفي الجزء السادس في ستة مواضع هي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وفي الجزء السابع في أحد عشر موضعاً هي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مرتان 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مرتان و</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مرتان و</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وفي الجزء الثامن تسعة مواضع هي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مرتان 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وفي الجزء التاسع في اثني عشر موضعاً هي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مرتان و</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 و</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مرتان و</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مرتان، وفي الجزء العاشر في خمسة عشر موضعاً هي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مرتان و</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 و</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مرات و</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وفي الجزء الحادي عشر في أربعة مواضع هي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مرتان، وفي الجزء الثاني عشر ثمانية عشر موضعاً هي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مرتان، 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مرتان 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مرات و</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وفي الجزء الثالث عشر في أربعة مواضع هي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مرتان 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وفي الجزء الرابع عشر في خمسة مواضع هي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مرتان و</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وفي الجزء السادس عشر في ثلاثة مواضع هي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وفي الجزء السابع عشر في عشرة مواضع هي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مرتان، وفي الجزء التاسع عشر في ستة مواضع هي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وفي الجزء العشرين في تسعة مواضع هي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مرتان و</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مرتان 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 وفي الجزء الحادي والعشرين في ثلاثة مواضع هي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وفي الجزء الثاني والعشرين في موضع واحد في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وفي الجزء الثالث والعشرين في سبعة مواضع هي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مرتان 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مرتان، وفي الجزء الرابع والعشرين في موضع واحد في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وفي الجزء السادس والعشرين في ثلاثة مواضع هي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وفي الجزء السابع والعشرين في تسعة مواضع هي في</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مرتان، وفي الجزء الثامن والعشرين في أربعة مواضع هي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مرتان و</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وفي الجزء التاسع والعشرين في أحد عشر موضعاً هي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مرتان و</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وفي الجزء الثلاثين في أربعة عشر موضعاً هي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مرتان و</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العباس بن علي بن مروان ابن الماهيار أبو عبد الله، البزّاز، المعروف بابن الجحام من أعلام القرن الرابع الهجري سمع منه التلعكبري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ونقل عنه السيد شرف الدين علي الحسيني الاسترآبادي النجفي في كتابه 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ثقة، من أصحابنا، عين، سديد، كثير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المقنع في الفقه، كتاب الدواجن، كتاب ما نزل من القرآن في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جماعة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كتاب لم يصنف في معناه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ألف 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الكليني ذيل الرواية بإسناده عن أبي علي الأشعري، عن محمَّد بن حسان، عن محمَّد بن علي، عن عبد الله بن القاسم، عن المفضل ابن عمر،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نُقِرَ فِي النَّاقُورِ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منّا إماماً مظفراً مستتراً، فإذا أراد الله عزَّ ذكره إظهار أمره، نكت في قلبه نكتة فظهر فقام بأمر الله 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إحرام الحجّ والوقوف بعرفة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فعل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أداء الشهادة وحرمة كتمانها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براءة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براءة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نقلها مسلم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وحدَّثني سلمة بن شبيب، حدَّثنا الحميدي، حدَّثنا سفيان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10387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في تفسير آي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5617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اعتمدنا في الفقرتين الأوليتين على ما جاء في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المراسم العلويّة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إنّها وافية بالمراد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الدال المهملة وسكون الياء المعجمة بنقطتين من تحتها، وفتح اللّام وكسر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الديلم، وهي بلاد معروفة، ينسب إليها جماعة من أولاد الموالي،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وثانيه، وكسر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معناها ناحية الطَبَر، والنّسبة إلى هذا الموضع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بلدان في إيران واسعة كثيرة يشملها هذا الاسم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 هذه الترجمة على سبيل الاختصار، وهي خالية من بعض المطالب العلميّة، وأوكلنا الأمر إلى جملة من كتب التّراجم، وعلى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تلاحظ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7/170</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4919</w:t>
      </w:r>
      <w:r>
        <w:rPr>
          <w:rFonts w:ascii="IRNazanin" w:hAnsi="IRNazanin" w:eastAsia="IRNazanin"/>
          <w:b w:val="false"/>
          <w:b w:val="false"/>
          <w:bCs w:val="false"/>
          <w:i w:val="false"/>
          <w:i w:val="false"/>
          <w:iCs w:val="false"/>
          <w:color w:val="333333"/>
          <w:sz w:val="20"/>
          <w:sz w:val="20"/>
          <w:szCs w:val="20"/>
          <w:rtl w:val="true"/>
        </w:rPr>
        <w:t>،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السّلّاريّة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مخطوط في مكتبة مجلس الشّورى بطهران، الرقم </w:t>
      </w:r>
      <w:r>
        <w:rPr>
          <w:rFonts w:eastAsia="IRNazanin" w:cs="IRNazanin"/>
          <w:b w:val="false"/>
          <w:bCs w:val="false"/>
          <w:i w:val="false"/>
          <w:iCs w:val="false"/>
          <w:color w:val="333333"/>
          <w:sz w:val="20"/>
          <w:szCs w:val="20"/>
        </w:rPr>
        <w:t>2/10007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والأجوبة لأستاذه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6366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الأقوال في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لنظام الدّين محمّد بن الحسين السّاوجيّ، نزيل عبد العظيم بالريّ، وتلميذ البهائيّ، توفّي بعد الشّاه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7/170</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تراجم العلماء والصّلحاء والأكابر والمشاهير المدفونين في تبريز ونواحيها، للمولى حشري الأديب الشّاعر الصّوفيّ التّبريزيّ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 قبل سنين كما ذكره بعض المطّلعين،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 والأستار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2817</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3065</w:t>
      </w:r>
      <w:r>
        <w:rPr>
          <w:rFonts w:ascii="IRNazanin" w:hAnsi="IRNazanin" w:eastAsia="IRNazanin"/>
          <w:b w:val="false"/>
          <w:b w:val="false"/>
          <w:bCs w:val="false"/>
          <w:i w:val="false"/>
          <w:i w:val="false"/>
          <w:iCs w:val="false"/>
          <w:color w:val="333333"/>
          <w:sz w:val="20"/>
          <w:sz w:val="20"/>
          <w:szCs w:val="20"/>
          <w:rtl w:val="true"/>
        </w:rPr>
        <w:t>، التراث العربيّ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11/275</w:t>
      </w:r>
      <w:r>
        <w:rPr>
          <w:rFonts w:ascii="IRNazanin" w:hAnsi="IRNazanin" w:eastAsia="IRNazanin"/>
          <w:b w:val="false"/>
          <w:b w:val="false"/>
          <w:bCs w:val="false"/>
          <w:i w:val="false"/>
          <w:i w:val="false"/>
          <w:iCs w:val="false"/>
          <w:color w:val="333333"/>
          <w:sz w:val="20"/>
          <w:sz w:val="20"/>
          <w:szCs w:val="20"/>
          <w:rtl w:val="true"/>
        </w:rPr>
        <w:t>،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يتسنَّ لنا التأكّد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محل هذا المطلب يقع ضمن المقدار المفقود من هذا الشّرح</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w:t>
      </w:r>
      <w:r>
        <w:rPr>
          <w:rFonts w:ascii="IRNazanin" w:hAnsi="IRNazanin" w:eastAsia="IRNazanin"/>
          <w:b w:val="false"/>
          <w:b w:val="false"/>
          <w:bCs w:val="false"/>
          <w:i w:val="false"/>
          <w:i w:val="false"/>
          <w:iCs w:val="false"/>
          <w:color w:val="333333"/>
          <w:sz w:val="20"/>
          <w:sz w:val="20"/>
          <w:szCs w:val="20"/>
          <w:rtl w:val="true"/>
        </w:rPr>
        <w:t>، وقال فيه 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بوجوب صيغة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علينا وعلى عباد الله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تخييراً، وهذا قول حدث في زمانه فيما أظنّه أو قبله بيسير، لأنّ بعض الشراح لرسالة سلّار أومأ إليه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يتّضح ذلك من خلال مقابلة المطلب الذي نقله فخر المحقّقين مع الشّرح الأوّل</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وقال فيه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ونقل صاحب شرح رسالة سلّار من أصحابنا بأنّه وجد بعض فتاوى المفيد بأنّ العقد وحده لا يوجب كلّ 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إنّما يجب كلّ المهر بالعقد والدخول أو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هذا لا يتوجّه كلام ابن إدريس، والحقّ عندي اختيار والدي المصنِّف</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الأخيار في شرح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عنه نصّاً واحداً قبل إنهاء الكتاب وهو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تركت الحداد فعلت محرَّماً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وانقضت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الصلاح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الفاخر شارح رسالة سلّار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تنقضي العدّة بتركه؛ للإخلال بمراد الشّارع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يحصل الامتثال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المرام في شرح مختصر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 على 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 والإبهام عن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اللّوامع في شرح مفاتيح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يتّضح ذلك من خلال مقابلة المطلب الذي نقله الشّيخ حسين بن موسى العاملي البابلي وآخرون مع الشّرح الأوّل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نسخته موجودة في مكتبة الإمام محمّد الحسين آل كاشف الغطاء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قيد الطبع</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وفيه ذكر لثمانٍ وثلاثين نسخة، ومعجم المخطوطات النّجفيّة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ذكر لثلاث نسخ، وكُتِب العنوان فيه تصحيفًا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المراسم العلميّة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20/298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 العربيّ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11/276</w:t>
      </w:r>
      <w:r>
        <w:rPr>
          <w:rFonts w:ascii="IRNazanin" w:hAnsi="IRNazanin" w:eastAsia="IRNazanin"/>
          <w:b w:val="false"/>
          <w:b w:val="false"/>
          <w:bCs w:val="false"/>
          <w:i w:val="false"/>
          <w:i w:val="false"/>
          <w:iCs w:val="false"/>
          <w:color w:val="333333"/>
          <w:sz w:val="20"/>
          <w:sz w:val="20"/>
          <w:szCs w:val="20"/>
          <w:rtl w:val="true"/>
        </w:rPr>
        <w:t>، 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من تلاميذ المحقّق الحلّيّ والعلّامة الحلّيّ ومترجم في كتب التراجم،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الذريعة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أوّل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20/298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تلاحظ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الذريعة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الطرابلسيّ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الطبقات غير موجودة، فلاحظ</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الذريعة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الطبقات صحيح مثل ما هو مثبت أعلاه، فلاحظ</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الذريعة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وهذه الإجازة لم يذكرها الشّيخ آقا بزرك الطهرانيّ في مجلّد الإجازات من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ممّا يستدرك عليه، فلاحظ</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الطهرانيّ هذه النسخة في كتابه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الذريعة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أوّل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الذريعة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الذريعة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كما في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الذريعة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الجاستي</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ترجم للفراهانيّ هذا في 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ترجم للوارانيّ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أشار إلى مجموعة من الروايات لم يصل إلينا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فجر بعمَّته وخالته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تلاحظ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أنَّ أكثر الحمل عشرة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تلاحظ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أبوي الكافر من منع الوقف على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تلاحظ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يتوكَّل للذمّي على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تلاحظ 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حكموا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مسألة ما لو وقع أحدٌ من علوّ وتعلّق بآخر والآخر بآخر وهكذا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بدفع 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تلاحظ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ووجدتُ في بعض نسخ الأحكام النَّبويَّة هاهنا ما هو بخلاف ما ذكرنا وليس ذلك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تلاحظ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بدأت النُّسخة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(_).</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منّا اقتضاها السِّياق أثبتناها لخرم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الّتي بعدها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طاف على غير 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طاف طواف الفريضة و هو على غير طهور؟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يتوضأ و يعيد طوافه، و إنْ كان تطوّعاً توضأ و صلّى ركعتين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ركعتيه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توافق ما في الأصل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بنقصان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يتمِّم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أثبتناها من المراسم العلويَّة لاقتضاء السِّياق ذلك</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أنصاب</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الجمل والعقود في العبادات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الفريضتين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ممَّا لا تتعلَّق به 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كالزّائد من الإبل على الخمس إلى التّسع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زاد منها على العشر إلى أربع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شنق</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والعقود في العبادات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الوقص بالتّحريك وفي إسكان القاف لغة، واحد الأوقاص في الصّدقة، وهو ما بين الفريضتين كالزّيادة على الخَمس من الإبل، والجمع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يجعل الوقص في البقر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وقص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المراسم العلويَّة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الهادي إلى طريق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استقامت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أوفق للسياق</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المراسم العلويَّة رعاية للتبويب</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الكافي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الأرض كلّها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 رواية مسمع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ما في أيدي شيعتنا من الأرض فهم فيه محلَّلون حتّى يقوم قائمنا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أوفق للسياق</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نصّ في المجاميع الحديثيّة المتقدِّمة الواصلة إلينا يتضمّن التّرخيص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بمجموعه على الرّغم من تداول المتقدّمين لهذا المضمون حتّى أنّ الشّيخ الطّوسي ذكر نصّه في أكثر من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المناهل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نعثر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في كتبه الأخرى الّتي لم نطّلع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يُستفاد ذلك ممّا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كيفيّة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 الزّوج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الزّوجة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 على عدم الاقتصار فيها على موردها للنّصوص الدالّة على أنّه إذا لم يذكر الأجل انقلب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المناسب للسياق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اللّام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الإشارة إلى أنَّ اعتراض الشَّارح مبنيّ على أنَّ عبارة الماتن 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الموافق لما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العبارة مقيَّدة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بشرط وجود الأب</w:t>
      </w:r>
      <w:r>
        <w:rPr>
          <w:rFonts w:eastAsia="IRNazanin" w:cs="IRNazanin"/>
          <w:b w:val="false"/>
          <w:bCs w:val="false"/>
          <w:i w:val="false"/>
          <w:iCs w:val="false"/>
          <w:color w:val="333333"/>
          <w:sz w:val="20"/>
          <w:szCs w:val="20"/>
          <w:rtl w:val="true"/>
        </w:rPr>
        <w:t>)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ابن إدريس أيضاً بأنَّه رُوي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أوفق بالسّياق</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الرَّضاع الّذي يحرِّم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يحرم من النِّكاح من الرَّضاع وما لا يحرم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قال بعدم الفساد 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المرتضى في رسائله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المسائل الموصليات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الطّوسي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قال بالفساد أبو الصّلاح 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الطّوسي في 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رجع عنه كما اتّضح ممَّا ذكرناه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الصّفحة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ماهية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كلمة واحدة غير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أقرب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والسّياق يساعد عليها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السَّكونيّ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فاطمةُ اثقُبي أُذُنَي الحسنِ والحسينِ خلافاً لليهود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4730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في انفرادات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رجع عنه في جواب المسائل الموصليات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وروي</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هذا القول في مظانّه من المصادر المتوفّرة 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القول الّذي بعده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أمتعيني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وردت في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صُحّحت في هامشها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متّعيني نفسك</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والأجل</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في انفرادات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منّا اقتضاها السّياق</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منّا اقتضاها السّياق</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أنْ يطلِّق مدخولاً بها على الشّروط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إذا طلَّقها ثُمَّ راجعها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منّا اقتضاها السِّياق أثبتناها لخرم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الموارد الّتي بعدها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عدَّتها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منّا اقتضاها السّياق</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 الكلمة في الأصل أقرب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وبنزُوعها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مقتضى السّياق</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كلمة واحدة غير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أقرب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والسّياق يساعد عليها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واليائسة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والآيسة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أوفق للسياق</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أوفق للسياق</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منّا اقتضاها السِّياق أثبتناها لخرم في النُّسخة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 إلى علمي الأصول والفروع لابن زهرة الحلبي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تزوَّج الأُم بغير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تتزوَّج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تتزوَّج الأُم أو تتزوَّج بغير أبيها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اقتضاها السّياق</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أوفق للسياق</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جُلِّلَ به الفرس من سلاحٍ وآلة تقيه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يلبسه الإنسان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جفف</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الفقهاء في بيع الحنطة أنَّها توصف بأُمور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صرّحوا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كونها خالصة من خليط آخر كالتّراب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هذا التّفسير لم يرد في المعاجم اللّغوية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قال المحقّق الكركي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تفسيره لها بما ذكرناه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أظفر له بمعنى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خطأ</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المراسم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لتعلُّق الشَّرح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رقق</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سلق</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أوفق للسياق</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للبائع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البائع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من للبائع</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أوفق للسياق</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المبتاع</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البائع</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خلافه تماماً كما اتَّضح من الهامشين السَّابقين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أوفق للسياق</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أوفق للسياق</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الثّلاثة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أوفق للسياق</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قيس،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باع سلعة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ثمنها كذا و كذا يداً 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وثمنها كذا وكذا نَظِرَة فخذها بأيِّ ثمن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صفقتها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له إلَّا أقلُّهما وإنْ كانت 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ساوم بثمنين أحدُهما عاجلاً والآخر 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فليسمّ أحدهما قبل الصّفقة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بالرّوايتين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القاضية بالبطلان الّتي استند إليها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نهي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بيعين في 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القاضية بالصّحّة مع أقلِّ الثَّمنين وأبعدِ الأجلين الّتي ذكرناها آنفاً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خرم مقداره أربع كلمات</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كلمة واحدة غير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أقرب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كلمة واحدة غير مقروءة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والسّياق يساعد على أنَّها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تجدر الإشارة إلى اختلاف الأعلام 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فالّذي يظهر من كلام المصنّف أنَّها تشمل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بيع الثَّمرة في رؤوس النَّخل بالتَّمر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والزَّرع بالحنطة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لبعض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الظَّاهر من الشّارح أنَّها مختصَّة بالأخير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 الزَّرع بالحنطة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لما ذكره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تكرار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رخَّص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العَرَايَا بأنْ تُشترى بِخِرْصِها تَمراً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العَرَايَا جمع عَريَّة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النَّخلة تكون للرجل في دار رجلٍ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فيجوز له أنْ يبيعها بخِرْصِها تمراً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ذلك 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نقصت الثَّمرة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أغلَّت</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فالمكروه بيع ما لم يبدُ صلاحه في التَّمر والخضروات سنة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الثَّمر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المراسم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لتعلُّق الشَّرح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القَضْبُ خاصَّةً ما دام رَطباً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الإسْفَسْت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 كما ذكره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اللّغة وصحاح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قضب</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المراسم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لتعلُّق الشَّرح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جوح</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يكال</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 لبدنه بالكد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بالبدن</w:t>
      </w:r>
      <w:r>
        <w:rPr>
          <w:rFonts w:eastAsia="IRNazanin" w:cs="IRNazanin"/>
          <w:b w:val="false"/>
          <w:bCs w:val="false"/>
          <w:i w:val="false"/>
          <w:iCs w:val="false"/>
          <w:color w:val="333333"/>
          <w:sz w:val="20"/>
          <w:szCs w:val="20"/>
          <w:rtl w:val="true"/>
        </w:rPr>
        <w:t>)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خرم بمقدار كلمة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الموردين الّذين بعدها</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والأنسب ما أثبتناه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 هي في احتباس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 هي في أجناس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احتباس</w:t>
      </w:r>
      <w:r>
        <w:rPr>
          <w:rFonts w:eastAsia="IRNazanin" w:cs="IRNazanin"/>
          <w:b w:val="false"/>
          <w:bCs w:val="false"/>
          <w:i w:val="false"/>
          <w:iCs w:val="false"/>
          <w:color w:val="333333"/>
          <w:sz w:val="20"/>
          <w:szCs w:val="20"/>
          <w:rtl w:val="true"/>
        </w:rPr>
        <w:t>)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إلى ما رُوي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یحلُّ منعُ الملحِ والنَّارِ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والكفارات</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مباحاً</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يحلف على امرأة مع زوجها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النَّذر</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في انفرادات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وللتفصيل أكثر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معصية الله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كفارة قتل الخطأ</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ابن أبي عقيل كما حكاه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يقدر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منّا اقتضاها السِّياق</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تعبير الشّارح هذا إشارة إلى كونه من تلامذة ابن إدريس</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ملكه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وأُجبر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باقي ثمنه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واختلاف يسير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الشّارح يُشير إلى الرّواية المروية عن السّكوني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رهن اختَلفَ فيه الرَّاهنُ والمرتَهِنُ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المرتهن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يُصدَّقُ المرتَهِنُ حتّى يُحيطَ بالثَّمنِ لأنَّهُ أمينُهُ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الواردين</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الأولى هي الّتي حكم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بالتّشريك بين المرتَهِن وجميع الغرماء في استيفاء ديونهم من الرَّهن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الحكم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أفلس وعليه دين لقوم، وعند بعضهم رهون، وليس عند بعضهم فمات، ولا يحيط ماله بما عليه من الدَّين،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يُقسَم جميع ما خلَّف من الرُّهون وغيرها على أرباب الدَّين بالحصص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يعرفها لمن تعود</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تجوزان</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يأتي ويذر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حكم هذه الصّورة مثل حكم الصّورة السّابقة وهي ما إذا كان موثوقاً بعدالته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هكذا رواية في المجاميع الحديثيّة الواصلة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ابن إدريس في ردّه على الشّيخ الطّوسي يُشعر بوجودها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بالروايتين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النّاهية عن وقف المؤمن على 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المجيزة لذلك فيما لو كان الكافر رحماً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يَقف</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صحّحت في الهامش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القبلة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الوارد أعلاه مخالف لما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ففيهما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فالمسلم يتوكّل للمسلم على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وللذمي على الذّمي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الذّمي فلا يتوكل لأهل الذّمة على أهل الإسلام، ويتوكّل المسلم على أهل الذّمة، وللذمي على الذّمي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وللذمي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رواية بهذا المضمون في المجاميع الحديثيّة الواصلة إلينا</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لهذه الأحاديث عيناً ولا أثراً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ذلك من كلام الفاضل الآبي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نقله عن المحقّق الحلّي وصاحب البشرى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الهامش السابق </w:t>
      </w:r>
      <w:r>
        <w:rPr>
          <w:rFonts w:eastAsia="IRNazanin" w:cs="IRNazanin"/>
          <w:b w:val="false"/>
          <w:bCs w:val="false"/>
          <w:i w:val="false"/>
          <w:iCs w:val="false"/>
          <w:color w:val="333333"/>
          <w:sz w:val="20"/>
          <w:szCs w:val="20"/>
          <w:rtl w:val="true"/>
        </w:rPr>
        <w:t>-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مَطهرة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الأدَاوَى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اللّغة وصحاح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يأخذه الرّجل بيده نحو عصا أو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اللّغة وصحاح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اللّقطة؟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تعرّف سنة، قليلاً كان أو كثيراً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دون الدرهم فلا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فيما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كاللّؤلؤ</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نصّ مطلق في المجاميع الحديثيّة الواصلة إلينا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أوصى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أُوصيَ</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بحسب ما انعتق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بحساب ما أعتق منه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المياه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الصّيد والذّكاة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تأكلوا من السَّمك إلّا شيئاً عليه فلوس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اللّغة وصحاح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اللّغة وصحاح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نبات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الفارسي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يستعمل إلّا مزيداً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 عن بعض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أحسبه إلّا حفص بن البختري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العجين يعجن من الماء النّجس كيف يصنع به؟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يباع ممّن يستحلّ أكل الميتة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ضرعها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عثمان في حديث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من الذّبيحة عشرة أشياء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والأنثيان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والنّخاع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والمذاكير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وأطلق في الميتة عشرة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إذا كان قائماً في 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الخبر النّاهي الّذي لعلّ المصنّف استند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المجيز الّذي أشار إليه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في لبن الميتة روايتين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القول يرجع إلى الالتزام بعدم نجاسة باطن الضّرع تخصيصاً في عموم نجاسة أجزاء المَيتة بالرّوايات المعتبرة الدّالّة على طهارة اللبن في 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إلى الالتزام بعدم انفعال اللّبن بملاقاة باطن المَيتة تخصيصاً في قاعدة الانفعال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لما استوجب هذا التّفصيل</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الوجه في ذلك راجع إلى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خرجت روحه حتف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بما خرجت روحه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بالتّذكية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بما خرجت روحه بدون التّذكية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 البناء على هذا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وترجيح روايات النّهي عن ألبان الميتة يلزم هذا القول</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العموم يتناول ما لو مرَّ اللّبن في 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يتناول ما إذا مات حتف أنفه أيضاً</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ويورّثون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ويترتَّبون</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الأجداد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وهامش 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حربيين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والأخوات</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يرث معهم الإخوة والولد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أصغر من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فيظهر أنَّ المقصود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ويرث معهم الإخوة وأولادهم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فتكون حينئذ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والولد</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نسيب</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البرَّاج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فيرثه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مُعيَّنة</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في انفرادات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البيِّنتان</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اللّغة وصحاح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لعثم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اللّغة وصحاح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تعع</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المتشبِّث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مثلهما</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حكمهما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ذمي أو العبد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اللّغة وصحاح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سمل</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وتجدر الإشارة إلى أنَّ حكم هذه المسألة المذكور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يختلف عمَّا موجود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الرَّابع نصف الدِّية 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الرَّابع الدِّية 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ويُعطَى الرَّابع الدِّية كاملة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مضبوطة الشّكل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جنبها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ثماني</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يوافق بعض نسخ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ثماني وعشرون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النسخ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غير عثم</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المراسم العلويَّة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الحدود والآداب</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تكرّرت منه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سهو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موافق لآية الحرابة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المحارم</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 وبين من وطأ 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 وبين وطء زوجته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في انفرادات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ذلك في الانتصار في انفرادات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عبّر الشّارح في موضعين سابقين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بالرّسالة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ثلاثين 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سوطٍ</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غيرة له على أهله، و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يُدخل الرّجل على زوجته،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يرضى أن يدخل الرّجال على بناته،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يدخل على الأخوات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تغلب لم أرهما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القرنان والكشخان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العرب، ومعناهما عند العامّة معنى الدّيوث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وإقامة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وإقامة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والجهاد عن الدِّين</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يستدل لذلك بمقبولة ابن حنظلة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ینظران إلى من كان منكم ممّن قد روى حديثنا ونظر في حلالنا وحرامنا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 أحكامنا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فليرتضوا به حكماً فإنّي قد جعلته عليكم حاكماً فإذا حکم بحكمنا فلم يقبله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استخف بحكم الله وعلينا 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والرّادّ علينا الرّادّ على الله وهو على حد الشّرك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جعلت التّقيّة ليحقن بها الدم، فإذا بلغت التّقيّة الدم فلا 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منّا اقتضاها السِّياق أثبتناها لخرم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الموارد الّتي بعدها</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image" Target="media/image2.jpeg"/><Relationship Id="rId595" Type="http://schemas.openxmlformats.org/officeDocument/2006/relationships/image" Target="media/image2.jpeg"/><Relationship Id="rId596" Type="http://schemas.openxmlformats.org/officeDocument/2006/relationships/footer" Target="footer589.xml"/><Relationship Id="rId597" Type="http://schemas.openxmlformats.org/officeDocument/2006/relationships/footnotes" Target="footnotes.xml"/><Relationship Id="rId598" Type="http://schemas.openxmlformats.org/officeDocument/2006/relationships/numbering" Target="numbering.xml"/><Relationship Id="rId599" Type="http://schemas.openxmlformats.org/officeDocument/2006/relationships/fontTable" Target="fontTable.xml"/><Relationship Id="rId600" Type="http://schemas.openxmlformats.org/officeDocument/2006/relationships/settings" Target="settings.xml"/><Relationship Id="rId6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609</Pages>
  <Words>52182</Words>
  <Characters>229967</Characters>
  <CharactersWithSpaces>280247</CharactersWithSpaces>
  <Paragraphs>2168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2026-08-20T09:29:29Z</dcterms:created>
  <dc:creator>ghaemiyeh.com</dc:creator>
  <dc:description/>
  <dc:language>en-US</dc:language>
  <cp:lastModifiedBy/>
  <dcterms:modified xsi:type="dcterms:W3CDTF">2026-08-20T12:59:51Z</dcterms:modified>
  <cp:revision>1</cp:revision>
  <dc:subject/>
  <dc:title>دراسات علمیة - 9 و 10 مجلة نصف سنویة تعنى بالأبحاث التخصصیة فی الحوزة العلمیة</dc:title>
</cp:coreProperties>
</file>

<file path=docProps/custom.xml><?xml version="1.0" encoding="utf-8"?>
<Properties xmlns="http://schemas.openxmlformats.org/officeDocument/2006/custom-properties" xmlns:vt="http://schemas.openxmlformats.org/officeDocument/2006/docPropsVTypes"/>
</file>