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40.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0.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مصباح الفقاهة فی المعاملات تقریرا لابحاث ابوالقاسم الموسوی الخوئی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9934_774463916">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09936_774463916">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09938_774463916">
            <w:r>
              <w:rPr>
                <w:webHidden/>
                <w:rStyle w:val="IndexLink"/>
                <w:rtl w:val="true"/>
              </w:rPr>
              <w:t>کلمة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909940_774463916">
            <w:r>
              <w:rPr>
                <w:webHidden/>
                <w:rStyle w:val="IndexLink"/>
                <w:rtl w:val="true"/>
              </w:rPr>
              <w:t>روایة تحف العقول</w:t>
            </w:r>
            <w:r>
              <w:rPr>
                <w:rStyle w:val="IndexLink"/>
                <w:rtl w:val="true"/>
              </w:rPr>
              <w:tab/>
            </w:r>
            <w:r>
              <w:rPr>
                <w:rStyle w:val="IndexLink"/>
              </w:rPr>
              <w:t>17</w:t>
            </w:r>
          </w:hyperlink>
        </w:p>
        <w:p>
          <w:pPr>
            <w:pStyle w:val="Contents3"/>
            <w:tabs>
              <w:tab w:val="clear" w:pos="8459"/>
              <w:tab w:val="right" w:pos="9026" w:leader="dot"/>
            </w:tabs>
            <w:rPr/>
          </w:pPr>
          <w:hyperlink w:anchor="__RefHeading___Toc909942_774463916">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909944_774463916">
            <w:r>
              <w:rPr>
                <w:webHidden/>
                <w:rStyle w:val="IndexLink"/>
                <w:rtl w:val="true"/>
              </w:rPr>
              <w:t>الوجوه الدالّة علی عدم جواز التمسّک بها</w:t>
            </w:r>
            <w:r>
              <w:rPr>
                <w:rStyle w:val="IndexLink"/>
                <w:rtl w:val="true"/>
              </w:rPr>
              <w:tab/>
            </w:r>
            <w:r>
              <w:rPr>
                <w:rStyle w:val="IndexLink"/>
              </w:rPr>
              <w:t>18</w:t>
            </w:r>
          </w:hyperlink>
        </w:p>
        <w:p>
          <w:pPr>
            <w:pStyle w:val="Contents3"/>
            <w:tabs>
              <w:tab w:val="clear" w:pos="8459"/>
              <w:tab w:val="right" w:pos="9026" w:leader="dot"/>
            </w:tabs>
            <w:rPr/>
          </w:pPr>
          <w:hyperlink w:anchor="__RefHeading___Toc909946_774463916">
            <w:r>
              <w:rPr>
                <w:webHidden/>
                <w:rStyle w:val="IndexLink"/>
                <w:rtl w:val="true"/>
              </w:rPr>
              <w:t>أنحاء الاضافة بین المال و مالکه</w:t>
            </w:r>
            <w:r>
              <w:rPr>
                <w:rStyle w:val="IndexLink"/>
                <w:rtl w:val="true"/>
              </w:rPr>
              <w:tab/>
            </w:r>
            <w:r>
              <w:rPr>
                <w:rStyle w:val="IndexLink"/>
              </w:rPr>
              <w:t>24</w:t>
            </w:r>
          </w:hyperlink>
        </w:p>
        <w:p>
          <w:pPr>
            <w:pStyle w:val="Contents2"/>
            <w:tabs>
              <w:tab w:val="clear" w:pos="8743"/>
              <w:tab w:val="right" w:pos="9026" w:leader="dot"/>
            </w:tabs>
            <w:rPr/>
          </w:pPr>
          <w:hyperlink w:anchor="__RefHeading___Toc909948_774463916">
            <w:r>
              <w:rPr>
                <w:webHidden/>
                <w:rStyle w:val="IndexLink"/>
                <w:rtl w:val="true"/>
              </w:rPr>
              <w:t>روایة الفقه الرضوی</w:t>
            </w:r>
            <w:r>
              <w:rPr>
                <w:rStyle w:val="IndexLink"/>
                <w:rtl w:val="true"/>
              </w:rPr>
              <w:tab/>
            </w:r>
            <w:r>
              <w:rPr>
                <w:rStyle w:val="IndexLink"/>
              </w:rPr>
              <w:t>29</w:t>
            </w:r>
          </w:hyperlink>
        </w:p>
        <w:p>
          <w:pPr>
            <w:pStyle w:val="Contents3"/>
            <w:tabs>
              <w:tab w:val="clear" w:pos="8459"/>
              <w:tab w:val="right" w:pos="9026" w:leader="dot"/>
            </w:tabs>
            <w:rPr/>
          </w:pPr>
          <w:hyperlink w:anchor="__RefHeading___Toc909950_774463916">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909952_774463916">
            <w:r>
              <w:rPr>
                <w:webHidden/>
                <w:rStyle w:val="IndexLink"/>
                <w:rtl w:val="true"/>
              </w:rPr>
              <w:t>البحث فی صحة نسبة الکتاب الی الامام الرضا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909954_774463916">
            <w:r>
              <w:rPr>
                <w:webHidden/>
                <w:rStyle w:val="IndexLink"/>
                <w:rtl w:val="true"/>
              </w:rPr>
              <w:t>دلالة الروایة علی المطلوب</w:t>
            </w:r>
            <w:r>
              <w:rPr>
                <w:rStyle w:val="IndexLink"/>
                <w:rtl w:val="true"/>
              </w:rPr>
              <w:tab/>
            </w:r>
            <w:r>
              <w:rPr>
                <w:rStyle w:val="IndexLink"/>
              </w:rPr>
              <w:t>36</w:t>
            </w:r>
          </w:hyperlink>
        </w:p>
        <w:p>
          <w:pPr>
            <w:pStyle w:val="Contents2"/>
            <w:tabs>
              <w:tab w:val="clear" w:pos="8743"/>
              <w:tab w:val="right" w:pos="9026" w:leader="dot"/>
            </w:tabs>
            <w:rPr/>
          </w:pPr>
          <w:hyperlink w:anchor="__RefHeading___Toc909956_774463916">
            <w:r>
              <w:rPr>
                <w:webHidden/>
                <w:rStyle w:val="IndexLink"/>
                <w:rtl w:val="true"/>
              </w:rPr>
              <w:t>روایة دعائم الاسلام</w:t>
            </w:r>
            <w:r>
              <w:rPr>
                <w:rStyle w:val="IndexLink"/>
                <w:rtl w:val="true"/>
              </w:rPr>
              <w:tab/>
            </w:r>
            <w:r>
              <w:rPr>
                <w:rStyle w:val="IndexLink"/>
              </w:rPr>
              <w:t>38</w:t>
            </w:r>
          </w:hyperlink>
        </w:p>
        <w:p>
          <w:pPr>
            <w:pStyle w:val="Contents3"/>
            <w:tabs>
              <w:tab w:val="clear" w:pos="8459"/>
              <w:tab w:val="right" w:pos="9026" w:leader="dot"/>
            </w:tabs>
            <w:rPr/>
          </w:pPr>
          <w:hyperlink w:anchor="__RefHeading___Toc909958_774463916">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909960_774463916">
            <w:r>
              <w:rPr>
                <w:webHidden/>
                <w:rStyle w:val="IndexLink"/>
                <w:rtl w:val="true"/>
              </w:rPr>
              <w:t>البحث فی کتاب الدعائم و مؤلفه القاضی النعمان</w:t>
            </w:r>
            <w:r>
              <w:rPr>
                <w:rStyle w:val="IndexLink"/>
                <w:rtl w:val="true"/>
              </w:rPr>
              <w:tab/>
            </w:r>
            <w:r>
              <w:rPr>
                <w:rStyle w:val="IndexLink"/>
              </w:rPr>
              <w:t>38</w:t>
            </w:r>
          </w:hyperlink>
        </w:p>
        <w:p>
          <w:pPr>
            <w:pStyle w:val="Contents3"/>
            <w:tabs>
              <w:tab w:val="clear" w:pos="8459"/>
              <w:tab w:val="right" w:pos="9026" w:leader="dot"/>
            </w:tabs>
            <w:rPr/>
          </w:pPr>
          <w:hyperlink w:anchor="__RefHeading___Toc909962_774463916">
            <w:r>
              <w:rPr>
                <w:webHidden/>
                <w:rStyle w:val="IndexLink"/>
                <w:rtl w:val="true"/>
              </w:rPr>
              <w:t>نقد لبعض ما ورد فی کتاب الدعائم</w:t>
            </w:r>
            <w:r>
              <w:rPr>
                <w:rStyle w:val="IndexLink"/>
                <w:rtl w:val="true"/>
              </w:rPr>
              <w:tab/>
            </w:r>
            <w:r>
              <w:rPr>
                <w:rStyle w:val="IndexLink"/>
              </w:rPr>
              <w:t>42</w:t>
            </w:r>
          </w:hyperlink>
        </w:p>
        <w:p>
          <w:pPr>
            <w:pStyle w:val="Contents2"/>
            <w:tabs>
              <w:tab w:val="clear" w:pos="8743"/>
              <w:tab w:val="right" w:pos="9026" w:leader="dot"/>
            </w:tabs>
            <w:rPr/>
          </w:pPr>
          <w:hyperlink w:anchor="__RefHeading___Toc909964_774463916">
            <w:r>
              <w:rPr>
                <w:webHidden/>
                <w:rStyle w:val="IndexLink"/>
                <w:rtl w:val="true"/>
              </w:rPr>
              <w:t>النبوی المشهور</w:t>
            </w:r>
            <w:r>
              <w:rPr>
                <w:rStyle w:val="IndexLink"/>
                <w:rtl w:val="true"/>
              </w:rPr>
              <w:tab/>
            </w:r>
            <w:r>
              <w:rPr>
                <w:rStyle w:val="IndexLink"/>
              </w:rPr>
              <w:t>44</w:t>
            </w:r>
          </w:hyperlink>
        </w:p>
        <w:p>
          <w:pPr>
            <w:pStyle w:val="Contents3"/>
            <w:tabs>
              <w:tab w:val="clear" w:pos="8459"/>
              <w:tab w:val="right" w:pos="9026" w:leader="dot"/>
            </w:tabs>
            <w:rPr/>
          </w:pPr>
          <w:hyperlink w:anchor="__RefHeading___Toc909966_774463916">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909968_774463916">
            <w:r>
              <w:rPr>
                <w:webHidden/>
                <w:rStyle w:val="IndexLink"/>
                <w:rtl w:val="true"/>
              </w:rPr>
              <w:t>البحث فی سند النبوی</w:t>
            </w:r>
            <w:r>
              <w:rPr>
                <w:rStyle w:val="IndexLink"/>
                <w:rtl w:val="true"/>
              </w:rPr>
              <w:tab/>
            </w:r>
            <w:r>
              <w:rPr>
                <w:rStyle w:val="IndexLink"/>
              </w:rPr>
              <w:t>44</w:t>
            </w:r>
          </w:hyperlink>
        </w:p>
        <w:p>
          <w:pPr>
            <w:pStyle w:val="Contents3"/>
            <w:tabs>
              <w:tab w:val="clear" w:pos="8459"/>
              <w:tab w:val="right" w:pos="9026" w:leader="dot"/>
            </w:tabs>
            <w:rPr/>
          </w:pPr>
          <w:hyperlink w:anchor="__RefHeading___Toc909970_774463916">
            <w:r>
              <w:rPr>
                <w:webHidden/>
                <w:rStyle w:val="IndexLink"/>
                <w:rtl w:val="true"/>
              </w:rPr>
              <w:t>البحث فی دلالته</w:t>
            </w:r>
            <w:r>
              <w:rPr>
                <w:rStyle w:val="IndexLink"/>
                <w:rtl w:val="true"/>
              </w:rPr>
              <w:tab/>
            </w:r>
            <w:r>
              <w:rPr>
                <w:rStyle w:val="IndexLink"/>
              </w:rPr>
              <w:t>46</w:t>
            </w:r>
          </w:hyperlink>
        </w:p>
        <w:p>
          <w:pPr>
            <w:pStyle w:val="Contents2"/>
            <w:tabs>
              <w:tab w:val="clear" w:pos="8743"/>
              <w:tab w:val="right" w:pos="9026" w:leader="dot"/>
            </w:tabs>
            <w:rPr/>
          </w:pPr>
          <w:hyperlink w:anchor="__RefHeading___Toc909972_774463916">
            <w:r>
              <w:rPr>
                <w:webHidden/>
                <w:rStyle w:val="IndexLink"/>
                <w:rtl w:val="true"/>
              </w:rPr>
              <w:t>بطلان المعاملة علی الأعمال المحرّمة</w:t>
            </w:r>
            <w:r>
              <w:rPr>
                <w:rStyle w:val="IndexLink"/>
                <w:rtl w:val="true"/>
              </w:rPr>
              <w:tab/>
            </w:r>
            <w:r>
              <w:rPr>
                <w:rStyle w:val="IndexLink"/>
              </w:rPr>
              <w:t>48</w:t>
            </w:r>
          </w:hyperlink>
        </w:p>
        <w:p>
          <w:pPr>
            <w:pStyle w:val="Contents3"/>
            <w:tabs>
              <w:tab w:val="clear" w:pos="8459"/>
              <w:tab w:val="right" w:pos="9026" w:leader="dot"/>
            </w:tabs>
            <w:rPr/>
          </w:pPr>
          <w:hyperlink w:anchor="__RefHeading___Toc909974_774463916">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909976_774463916">
            <w:r>
              <w:rPr>
                <w:webHidden/>
                <w:rStyle w:val="IndexLink"/>
                <w:rtl w:val="true"/>
              </w:rPr>
              <w:t>تقسیم المکاسب إلی الثلاثة أو الخمسة</w:t>
            </w:r>
            <w:r>
              <w:rPr>
                <w:rStyle w:val="IndexLink"/>
                <w:rtl w:val="true"/>
              </w:rPr>
              <w:tab/>
            </w:r>
            <w:r>
              <w:rPr>
                <w:rStyle w:val="IndexLink"/>
              </w:rPr>
              <w:t>49</w:t>
            </w:r>
          </w:hyperlink>
        </w:p>
        <w:p>
          <w:pPr>
            <w:pStyle w:val="Contents3"/>
            <w:tabs>
              <w:tab w:val="clear" w:pos="8459"/>
              <w:tab w:val="right" w:pos="9026" w:leader="dot"/>
            </w:tabs>
            <w:rPr/>
          </w:pPr>
          <w:hyperlink w:anchor="__RefHeading___Toc909978_774463916">
            <w:r>
              <w:rPr>
                <w:webHidden/>
                <w:rStyle w:val="IndexLink"/>
                <w:rtl w:val="true"/>
              </w:rPr>
              <w:t>معنی حرمة الاکتساب تکلیفا</w:t>
            </w:r>
            <w:r>
              <w:rPr>
                <w:rStyle w:val="IndexLink"/>
                <w:rtl w:val="true"/>
              </w:rPr>
              <w:tab/>
            </w:r>
            <w:r>
              <w:rPr>
                <w:rStyle w:val="IndexLink"/>
              </w:rPr>
              <w:t>53</w:t>
            </w:r>
          </w:hyperlink>
        </w:p>
        <w:p>
          <w:pPr>
            <w:pStyle w:val="Contents3"/>
            <w:tabs>
              <w:tab w:val="clear" w:pos="8459"/>
              <w:tab w:val="right" w:pos="9026" w:leader="dot"/>
            </w:tabs>
            <w:rPr/>
          </w:pPr>
          <w:hyperlink w:anchor="__RefHeading___Toc909980_774463916">
            <w:r>
              <w:rPr>
                <w:webHidden/>
                <w:rStyle w:val="IndexLink"/>
                <w:rtl w:val="true"/>
              </w:rPr>
              <w:t>معنی حرمة الاکتساب وضعا</w:t>
            </w:r>
            <w:r>
              <w:rPr>
                <w:rStyle w:val="IndexLink"/>
                <w:rtl w:val="true"/>
              </w:rPr>
              <w:tab/>
            </w:r>
            <w:r>
              <w:rPr>
                <w:rStyle w:val="IndexLink"/>
              </w:rPr>
              <w:t>58</w:t>
            </w:r>
          </w:hyperlink>
        </w:p>
        <w:p>
          <w:pPr>
            <w:pStyle w:val="Contents2"/>
            <w:tabs>
              <w:tab w:val="clear" w:pos="8743"/>
              <w:tab w:val="right" w:pos="9026" w:leader="dot"/>
            </w:tabs>
            <w:rPr/>
          </w:pPr>
          <w:hyperlink w:anchor="__RefHeading___Toc909982_774463916">
            <w:r>
              <w:rPr>
                <w:webHidden/>
                <w:rStyle w:val="IndexLink"/>
                <w:rtl w:val="true"/>
              </w:rPr>
              <w:t>النوع الأول</w:t>
            </w:r>
            <w:r>
              <w:rPr>
                <w:rStyle w:val="IndexLink"/>
                <w:rtl w:val="true"/>
              </w:rPr>
              <w:t>:</w:t>
            </w:r>
            <w:r>
              <w:rPr>
                <w:rStyle w:val="IndexLink"/>
                <w:rtl w:val="true"/>
              </w:rPr>
              <w:t>الإکتساب بالأعیان النجسة</w:t>
            </w:r>
            <w:r>
              <w:rPr>
                <w:rStyle w:val="IndexLink"/>
                <w:rtl w:val="true"/>
              </w:rPr>
              <w:tab/>
            </w:r>
            <w:r>
              <w:rPr>
                <w:rStyle w:val="IndexLink"/>
              </w:rPr>
              <w:t>59</w:t>
            </w:r>
          </w:hyperlink>
        </w:p>
        <w:p>
          <w:pPr>
            <w:pStyle w:val="Contents3"/>
            <w:tabs>
              <w:tab w:val="clear" w:pos="8459"/>
              <w:tab w:val="right" w:pos="9026" w:leader="dot"/>
            </w:tabs>
            <w:rPr/>
          </w:pPr>
          <w:hyperlink w:anchor="__RefHeading___Toc909984_774463916">
            <w:r>
              <w:rPr>
                <w:webHidden/>
                <w:rStyle w:val="IndexLink"/>
                <w:rtl w:val="true"/>
              </w:rPr>
              <w:t>جواز المعاوضة علی أبوال ما لا یؤکل لحمه</w:t>
            </w:r>
            <w:r>
              <w:rPr>
                <w:rStyle w:val="IndexLink"/>
                <w:rtl w:val="true"/>
              </w:rPr>
              <w:tab/>
            </w:r>
            <w:r>
              <w:rPr>
                <w:rStyle w:val="IndexLink"/>
              </w:rPr>
              <w:t>59</w:t>
            </w:r>
          </w:hyperlink>
        </w:p>
        <w:p>
          <w:pPr>
            <w:pStyle w:val="Contents4"/>
            <w:tabs>
              <w:tab w:val="clear" w:pos="8176"/>
              <w:tab w:val="right" w:pos="9026" w:leader="dot"/>
            </w:tabs>
            <w:rPr/>
          </w:pPr>
          <w:hyperlink w:anchor="__RefHeading___Toc909986_774463916">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909988_774463916">
            <w:r>
              <w:rPr>
                <w:webHidden/>
                <w:rStyle w:val="IndexLink"/>
                <w:rtl w:val="true"/>
              </w:rPr>
              <w:t>أدلة المصنف علی حرمة المعاوضة و مناقشتها</w:t>
            </w:r>
            <w:r>
              <w:rPr>
                <w:rStyle w:val="IndexLink"/>
                <w:rtl w:val="true"/>
              </w:rPr>
              <w:tab/>
            </w:r>
            <w:r>
              <w:rPr>
                <w:rStyle w:val="IndexLink"/>
              </w:rPr>
              <w:t>61</w:t>
            </w:r>
          </w:hyperlink>
        </w:p>
        <w:p>
          <w:pPr>
            <w:pStyle w:val="Contents4"/>
            <w:tabs>
              <w:tab w:val="clear" w:pos="8176"/>
              <w:tab w:val="right" w:pos="9026" w:leader="dot"/>
            </w:tabs>
            <w:rPr/>
          </w:pPr>
          <w:hyperlink w:anchor="__RefHeading___Toc909990_774463916">
            <w:r>
              <w:rPr>
                <w:webHidden/>
                <w:rStyle w:val="IndexLink"/>
                <w:rtl w:val="true"/>
              </w:rPr>
              <w:t>دلیل المحقق الایروانی و الجواب عنه</w:t>
            </w:r>
            <w:r>
              <w:rPr>
                <w:rStyle w:val="IndexLink"/>
                <w:rtl w:val="true"/>
              </w:rPr>
              <w:tab/>
            </w:r>
            <w:r>
              <w:rPr>
                <w:rStyle w:val="IndexLink"/>
              </w:rPr>
              <w:t>64</w:t>
            </w:r>
          </w:hyperlink>
        </w:p>
        <w:p>
          <w:pPr>
            <w:pStyle w:val="Contents4"/>
            <w:tabs>
              <w:tab w:val="clear" w:pos="8176"/>
              <w:tab w:val="right" w:pos="9026" w:leader="dot"/>
            </w:tabs>
            <w:rPr/>
          </w:pPr>
          <w:hyperlink w:anchor="__RefHeading___Toc909992_774463916">
            <w:r>
              <w:rPr>
                <w:webHidden/>
                <w:rStyle w:val="IndexLink"/>
                <w:rtl w:val="true"/>
              </w:rPr>
              <w:t>شرب أبوال ما یؤکل لحمه</w:t>
            </w:r>
            <w:r>
              <w:rPr>
                <w:rStyle w:val="IndexLink"/>
                <w:rtl w:val="true"/>
              </w:rPr>
              <w:tab/>
            </w:r>
            <w:r>
              <w:rPr>
                <w:rStyle w:val="IndexLink"/>
              </w:rPr>
              <w:t>67</w:t>
            </w:r>
          </w:hyperlink>
        </w:p>
        <w:p>
          <w:pPr>
            <w:pStyle w:val="Contents4"/>
            <w:tabs>
              <w:tab w:val="clear" w:pos="8176"/>
              <w:tab w:val="right" w:pos="9026" w:leader="dot"/>
            </w:tabs>
            <w:rPr/>
          </w:pPr>
          <w:hyperlink w:anchor="__RefHeading___Toc909994_774463916">
            <w:r>
              <w:rPr>
                <w:webHidden/>
                <w:rStyle w:val="IndexLink"/>
                <w:rtl w:val="true"/>
              </w:rPr>
              <w:t>الاستدلال بآیة تحریم الخبائث و مناقشته</w:t>
            </w:r>
            <w:r>
              <w:rPr>
                <w:rStyle w:val="IndexLink"/>
                <w:rtl w:val="true"/>
              </w:rPr>
              <w:tab/>
            </w:r>
            <w:r>
              <w:rPr>
                <w:rStyle w:val="IndexLink"/>
              </w:rPr>
              <w:t>69</w:t>
            </w:r>
          </w:hyperlink>
        </w:p>
        <w:p>
          <w:pPr>
            <w:pStyle w:val="Contents3"/>
            <w:tabs>
              <w:tab w:val="clear" w:pos="8459"/>
              <w:tab w:val="right" w:pos="9026" w:leader="dot"/>
            </w:tabs>
            <w:rPr/>
          </w:pPr>
          <w:hyperlink w:anchor="__RefHeading___Toc909996_774463916">
            <w:r>
              <w:rPr>
                <w:webHidden/>
                <w:rStyle w:val="IndexLink"/>
                <w:rtl w:val="true"/>
              </w:rPr>
              <w:t>حرمة بیع شحوم ما لا یؤکل لحمه</w:t>
            </w:r>
            <w:r>
              <w:rPr>
                <w:rStyle w:val="IndexLink"/>
                <w:rtl w:val="true"/>
              </w:rPr>
              <w:tab/>
            </w:r>
            <w:r>
              <w:rPr>
                <w:rStyle w:val="IndexLink"/>
              </w:rPr>
              <w:t>74</w:t>
            </w:r>
          </w:hyperlink>
        </w:p>
        <w:p>
          <w:pPr>
            <w:pStyle w:val="Contents3"/>
            <w:tabs>
              <w:tab w:val="clear" w:pos="8459"/>
              <w:tab w:val="right" w:pos="9026" w:leader="dot"/>
            </w:tabs>
            <w:rPr/>
          </w:pPr>
          <w:hyperlink w:anchor="__RefHeading___Toc909998_774463916">
            <w:r>
              <w:rPr>
                <w:webHidden/>
                <w:rStyle w:val="IndexLink"/>
                <w:rtl w:val="true"/>
              </w:rPr>
              <w:t>جواز بیع العذرة</w:t>
            </w:r>
            <w:r>
              <w:rPr>
                <w:rStyle w:val="IndexLink"/>
                <w:rtl w:val="true"/>
              </w:rPr>
              <w:tab/>
            </w:r>
            <w:r>
              <w:rPr>
                <w:rStyle w:val="IndexLink"/>
              </w:rPr>
              <w:t>75</w:t>
            </w:r>
          </w:hyperlink>
        </w:p>
        <w:p>
          <w:pPr>
            <w:pStyle w:val="Contents4"/>
            <w:tabs>
              <w:tab w:val="clear" w:pos="8176"/>
              <w:tab w:val="right" w:pos="9026" w:leader="dot"/>
            </w:tabs>
            <w:rPr/>
          </w:pPr>
          <w:hyperlink w:anchor="__RefHeading___Toc910000_774463916">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910002_774463916">
            <w:r>
              <w:rPr>
                <w:webHidden/>
                <w:rStyle w:val="IndexLink"/>
                <w:rtl w:val="true"/>
              </w:rPr>
              <w:t>مقتضی القواعد و الاجماعات و الروایات العامة</w:t>
            </w:r>
            <w:r>
              <w:rPr>
                <w:rStyle w:val="IndexLink"/>
                <w:rtl w:val="true"/>
              </w:rPr>
              <w:tab/>
            </w:r>
            <w:r>
              <w:rPr>
                <w:rStyle w:val="IndexLink"/>
              </w:rPr>
              <w:t>76</w:t>
            </w:r>
          </w:hyperlink>
        </w:p>
        <w:p>
          <w:pPr>
            <w:pStyle w:val="Contents4"/>
            <w:tabs>
              <w:tab w:val="clear" w:pos="8176"/>
              <w:tab w:val="right" w:pos="9026" w:leader="dot"/>
            </w:tabs>
            <w:rPr/>
          </w:pPr>
          <w:hyperlink w:anchor="__RefHeading___Toc910004_774463916">
            <w:r>
              <w:rPr>
                <w:webHidden/>
                <w:rStyle w:val="IndexLink"/>
                <w:rtl w:val="true"/>
              </w:rPr>
              <w:t>مقتضی الروایات الخاصة</w:t>
            </w:r>
            <w:r>
              <w:rPr>
                <w:rStyle w:val="IndexLink"/>
                <w:rtl w:val="true"/>
              </w:rPr>
              <w:tab/>
            </w:r>
            <w:r>
              <w:rPr>
                <w:rStyle w:val="IndexLink"/>
              </w:rPr>
              <w:t>76</w:t>
            </w:r>
          </w:hyperlink>
        </w:p>
        <w:p>
          <w:pPr>
            <w:pStyle w:val="Contents4"/>
            <w:tabs>
              <w:tab w:val="clear" w:pos="8176"/>
              <w:tab w:val="right" w:pos="9026" w:leader="dot"/>
            </w:tabs>
            <w:rPr/>
          </w:pPr>
          <w:hyperlink w:anchor="__RefHeading___Toc910006_774463916">
            <w:r>
              <w:rPr>
                <w:webHidden/>
                <w:rStyle w:val="IndexLink"/>
                <w:rtl w:val="true"/>
              </w:rPr>
              <w:t>وجوه الجمع بین الروایات</w:t>
            </w:r>
            <w:r>
              <w:rPr>
                <w:rStyle w:val="IndexLink"/>
                <w:rtl w:val="true"/>
              </w:rPr>
              <w:tab/>
            </w:r>
            <w:r>
              <w:rPr>
                <w:rStyle w:val="IndexLink"/>
              </w:rPr>
              <w:t>77</w:t>
            </w:r>
          </w:hyperlink>
        </w:p>
        <w:p>
          <w:pPr>
            <w:pStyle w:val="Contents4"/>
            <w:tabs>
              <w:tab w:val="clear" w:pos="8176"/>
              <w:tab w:val="right" w:pos="9026" w:leader="dot"/>
            </w:tabs>
            <w:rPr/>
          </w:pPr>
          <w:hyperlink w:anchor="__RefHeading___Toc910008_774463916">
            <w:r>
              <w:rPr>
                <w:webHidden/>
                <w:rStyle w:val="IndexLink"/>
                <w:rtl w:val="true"/>
              </w:rPr>
              <w:t>استعمال لفظ السحت فی الکراهة</w:t>
            </w:r>
            <w:r>
              <w:rPr>
                <w:rStyle w:val="IndexLink"/>
                <w:rtl w:val="true"/>
              </w:rPr>
              <w:tab/>
            </w:r>
            <w:r>
              <w:rPr>
                <w:rStyle w:val="IndexLink"/>
              </w:rPr>
              <w:t>82</w:t>
            </w:r>
          </w:hyperlink>
        </w:p>
        <w:p>
          <w:pPr>
            <w:pStyle w:val="Contents4"/>
            <w:tabs>
              <w:tab w:val="clear" w:pos="8176"/>
              <w:tab w:val="right" w:pos="9026" w:leader="dot"/>
            </w:tabs>
            <w:rPr/>
          </w:pPr>
          <w:hyperlink w:anchor="__RefHeading___Toc910010_774463916">
            <w:r>
              <w:rPr>
                <w:webHidden/>
                <w:rStyle w:val="IndexLink"/>
                <w:rtl w:val="true"/>
              </w:rPr>
              <w:t>المختار فی علاج التعارض</w:t>
            </w:r>
            <w:r>
              <w:rPr>
                <w:rStyle w:val="IndexLink"/>
                <w:rtl w:val="true"/>
              </w:rPr>
              <w:tab/>
            </w:r>
            <w:r>
              <w:rPr>
                <w:rStyle w:val="IndexLink"/>
              </w:rPr>
              <w:t>86</w:t>
            </w:r>
          </w:hyperlink>
        </w:p>
        <w:p>
          <w:pPr>
            <w:pStyle w:val="Contents3"/>
            <w:tabs>
              <w:tab w:val="clear" w:pos="8459"/>
              <w:tab w:val="right" w:pos="9026" w:leader="dot"/>
            </w:tabs>
            <w:rPr/>
          </w:pPr>
          <w:hyperlink w:anchor="__RefHeading___Toc910012_774463916">
            <w:r>
              <w:rPr>
                <w:webHidden/>
                <w:rStyle w:val="IndexLink"/>
                <w:rtl w:val="true"/>
              </w:rPr>
              <w:t>جواز بیع الأرواث</w:t>
            </w:r>
            <w:r>
              <w:rPr>
                <w:rStyle w:val="IndexLink"/>
                <w:rtl w:val="true"/>
              </w:rPr>
              <w:tab/>
            </w:r>
            <w:r>
              <w:rPr>
                <w:rStyle w:val="IndexLink"/>
              </w:rPr>
              <w:t>90</w:t>
            </w:r>
          </w:hyperlink>
        </w:p>
        <w:p>
          <w:pPr>
            <w:pStyle w:val="Contents3"/>
            <w:tabs>
              <w:tab w:val="clear" w:pos="8459"/>
              <w:tab w:val="right" w:pos="9026" w:leader="dot"/>
            </w:tabs>
            <w:rPr/>
          </w:pPr>
          <w:hyperlink w:anchor="__RefHeading___Toc910014_774463916">
            <w:r>
              <w:rPr>
                <w:webHidden/>
                <w:rStyle w:val="IndexLink"/>
                <w:rtl w:val="true"/>
              </w:rPr>
              <w:t>جواز بیع الدم نجسا کان أم طاهرا</w:t>
            </w:r>
            <w:r>
              <w:rPr>
                <w:rStyle w:val="IndexLink"/>
                <w:rtl w:val="true"/>
              </w:rPr>
              <w:tab/>
            </w:r>
            <w:r>
              <w:rPr>
                <w:rStyle w:val="IndexLink"/>
              </w:rPr>
              <w:t>93</w:t>
            </w:r>
          </w:hyperlink>
        </w:p>
        <w:p>
          <w:pPr>
            <w:pStyle w:val="Contents3"/>
            <w:tabs>
              <w:tab w:val="clear" w:pos="8459"/>
              <w:tab w:val="right" w:pos="9026" w:leader="dot"/>
            </w:tabs>
            <w:rPr/>
          </w:pPr>
          <w:hyperlink w:anchor="__RefHeading___Toc910016_774463916">
            <w:r>
              <w:rPr>
                <w:webHidden/>
                <w:rStyle w:val="IndexLink"/>
                <w:rtl w:val="true"/>
              </w:rPr>
              <w:t>بیع المنی</w:t>
            </w:r>
            <w:r>
              <w:rPr>
                <w:rStyle w:val="IndexLink"/>
                <w:rtl w:val="true"/>
              </w:rPr>
              <w:tab/>
            </w:r>
            <w:r>
              <w:rPr>
                <w:rStyle w:val="IndexLink"/>
              </w:rPr>
              <w:t>98</w:t>
            </w:r>
          </w:hyperlink>
        </w:p>
        <w:p>
          <w:pPr>
            <w:pStyle w:val="Contents4"/>
            <w:tabs>
              <w:tab w:val="clear" w:pos="8176"/>
              <w:tab w:val="right" w:pos="9026" w:leader="dot"/>
            </w:tabs>
            <w:rPr/>
          </w:pPr>
          <w:hyperlink w:anchor="__RefHeading___Toc910018_774463916">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910020_774463916">
            <w:r>
              <w:rPr>
                <w:webHidden/>
                <w:rStyle w:val="IndexLink"/>
                <w:rtl w:val="true"/>
              </w:rPr>
              <w:t>الدلیل علی حرمة بیعه اذا وقع خارج الرحم</w:t>
            </w:r>
            <w:r>
              <w:rPr>
                <w:rStyle w:val="IndexLink"/>
                <w:rtl w:val="true"/>
              </w:rPr>
              <w:tab/>
            </w:r>
            <w:r>
              <w:rPr>
                <w:rStyle w:val="IndexLink"/>
              </w:rPr>
              <w:t>99</w:t>
            </w:r>
          </w:hyperlink>
        </w:p>
        <w:p>
          <w:pPr>
            <w:pStyle w:val="Contents4"/>
            <w:tabs>
              <w:tab w:val="clear" w:pos="8176"/>
              <w:tab w:val="right" w:pos="9026" w:leader="dot"/>
            </w:tabs>
            <w:rPr/>
          </w:pPr>
          <w:hyperlink w:anchor="__RefHeading___Toc910022_774463916">
            <w:r>
              <w:rPr>
                <w:webHidden/>
                <w:rStyle w:val="IndexLink"/>
                <w:rtl w:val="true"/>
              </w:rPr>
              <w:t>بیعه بعد وقوعه فی الرحم</w:t>
            </w:r>
            <w:r>
              <w:rPr>
                <w:rStyle w:val="IndexLink"/>
                <w:rtl w:val="true"/>
              </w:rPr>
              <w:tab/>
            </w:r>
            <w:r>
              <w:rPr>
                <w:rStyle w:val="IndexLink"/>
              </w:rPr>
              <w:t>100</w:t>
            </w:r>
          </w:hyperlink>
        </w:p>
        <w:p>
          <w:pPr>
            <w:pStyle w:val="Contents4"/>
            <w:tabs>
              <w:tab w:val="clear" w:pos="8176"/>
              <w:tab w:val="right" w:pos="9026" w:leader="dot"/>
            </w:tabs>
            <w:rPr/>
          </w:pPr>
          <w:hyperlink w:anchor="__RefHeading___Toc910024_774463916">
            <w:r>
              <w:rPr>
                <w:webHidden/>
                <w:rStyle w:val="IndexLink"/>
                <w:rtl w:val="true"/>
              </w:rPr>
              <w:t>بیعه و هو فی أصلاب الفحول</w:t>
            </w:r>
            <w:r>
              <w:rPr>
                <w:rStyle w:val="IndexLink"/>
                <w:rtl w:val="true"/>
              </w:rPr>
              <w:tab/>
            </w:r>
            <w:r>
              <w:rPr>
                <w:rStyle w:val="IndexLink"/>
              </w:rPr>
              <w:t>102</w:t>
            </w:r>
          </w:hyperlink>
        </w:p>
        <w:p>
          <w:pPr>
            <w:pStyle w:val="Contents3"/>
            <w:tabs>
              <w:tab w:val="clear" w:pos="8459"/>
              <w:tab w:val="right" w:pos="9026" w:leader="dot"/>
            </w:tabs>
            <w:rPr/>
          </w:pPr>
          <w:hyperlink w:anchor="__RefHeading___Toc910026_774463916">
            <w:r>
              <w:rPr>
                <w:webHidden/>
                <w:rStyle w:val="IndexLink"/>
                <w:rtl w:val="true"/>
              </w:rPr>
              <w:t>جواز الانتفاع بالمیتة و حرمة بیعها</w:t>
            </w:r>
            <w:r>
              <w:rPr>
                <w:rStyle w:val="IndexLink"/>
                <w:rtl w:val="true"/>
              </w:rPr>
              <w:tab/>
            </w:r>
            <w:r>
              <w:rPr>
                <w:rStyle w:val="IndexLink"/>
              </w:rPr>
              <w:t>106</w:t>
            </w:r>
          </w:hyperlink>
        </w:p>
        <w:p>
          <w:pPr>
            <w:pStyle w:val="Contents4"/>
            <w:tabs>
              <w:tab w:val="clear" w:pos="8176"/>
              <w:tab w:val="right" w:pos="9026" w:leader="dot"/>
            </w:tabs>
            <w:rPr/>
          </w:pPr>
          <w:hyperlink w:anchor="__RefHeading___Toc910028_774463916">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910030_774463916">
            <w:r>
              <w:rPr>
                <w:webHidden/>
                <w:rStyle w:val="IndexLink"/>
                <w:rtl w:val="true"/>
              </w:rPr>
              <w:t>الانتفاع بها</w:t>
            </w:r>
            <w:r>
              <w:rPr>
                <w:rStyle w:val="IndexLink"/>
                <w:rtl w:val="true"/>
              </w:rPr>
              <w:tab/>
            </w:r>
            <w:r>
              <w:rPr>
                <w:rStyle w:val="IndexLink"/>
              </w:rPr>
              <w:t>107</w:t>
            </w:r>
          </w:hyperlink>
        </w:p>
        <w:p>
          <w:pPr>
            <w:pStyle w:val="Contents5"/>
            <w:tabs>
              <w:tab w:val="clear" w:pos="7892"/>
              <w:tab w:val="right" w:pos="9026" w:leader="dot"/>
            </w:tabs>
            <w:rPr/>
          </w:pPr>
          <w:hyperlink w:anchor="__RefHeading___Toc910032_774463916">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910034_774463916">
            <w:r>
              <w:rPr>
                <w:webHidden/>
                <w:rStyle w:val="IndexLink"/>
                <w:rtl w:val="true"/>
              </w:rPr>
              <w:t>الروایات الدالة علی حرمة الانتفاع بها</w:t>
            </w:r>
            <w:r>
              <w:rPr>
                <w:rStyle w:val="IndexLink"/>
                <w:rtl w:val="true"/>
              </w:rPr>
              <w:tab/>
            </w:r>
            <w:r>
              <w:rPr>
                <w:rStyle w:val="IndexLink"/>
              </w:rPr>
              <w:t>107</w:t>
            </w:r>
          </w:hyperlink>
        </w:p>
        <w:p>
          <w:pPr>
            <w:pStyle w:val="Contents5"/>
            <w:tabs>
              <w:tab w:val="clear" w:pos="7892"/>
              <w:tab w:val="right" w:pos="9026" w:leader="dot"/>
            </w:tabs>
            <w:rPr/>
          </w:pPr>
          <w:hyperlink w:anchor="__RefHeading___Toc910036_774463916">
            <w:r>
              <w:rPr>
                <w:webHidden/>
                <w:rStyle w:val="IndexLink"/>
                <w:rtl w:val="true"/>
              </w:rPr>
              <w:t>الروایات الدالة علی جواز الانتفاع بها</w:t>
            </w:r>
            <w:r>
              <w:rPr>
                <w:rStyle w:val="IndexLink"/>
                <w:rtl w:val="true"/>
              </w:rPr>
              <w:tab/>
            </w:r>
            <w:r>
              <w:rPr>
                <w:rStyle w:val="IndexLink"/>
              </w:rPr>
              <w:t>110</w:t>
            </w:r>
          </w:hyperlink>
        </w:p>
        <w:p>
          <w:pPr>
            <w:pStyle w:val="Contents5"/>
            <w:tabs>
              <w:tab w:val="clear" w:pos="7892"/>
              <w:tab w:val="right" w:pos="9026" w:leader="dot"/>
            </w:tabs>
            <w:rPr/>
          </w:pPr>
          <w:hyperlink w:anchor="__RefHeading___Toc910038_774463916">
            <w:r>
              <w:rPr>
                <w:webHidden/>
                <w:rStyle w:val="IndexLink"/>
                <w:rtl w:val="true"/>
              </w:rPr>
              <w:t>مقتضی الجمع بین الروایات</w:t>
            </w:r>
            <w:r>
              <w:rPr>
                <w:rStyle w:val="IndexLink"/>
                <w:rtl w:val="true"/>
              </w:rPr>
              <w:tab/>
            </w:r>
            <w:r>
              <w:rPr>
                <w:rStyle w:val="IndexLink"/>
              </w:rPr>
              <w:t>113</w:t>
            </w:r>
          </w:hyperlink>
        </w:p>
        <w:p>
          <w:pPr>
            <w:pStyle w:val="Contents4"/>
            <w:tabs>
              <w:tab w:val="clear" w:pos="8176"/>
              <w:tab w:val="right" w:pos="9026" w:leader="dot"/>
            </w:tabs>
            <w:rPr/>
          </w:pPr>
          <w:hyperlink w:anchor="__RefHeading___Toc910040_774463916">
            <w:r>
              <w:rPr>
                <w:webHidden/>
                <w:rStyle w:val="IndexLink"/>
                <w:rtl w:val="true"/>
              </w:rPr>
              <w:t>حرمة بیع المیتة</w:t>
            </w:r>
            <w:r>
              <w:rPr>
                <w:rStyle w:val="IndexLink"/>
                <w:rtl w:val="true"/>
              </w:rPr>
              <w:tab/>
            </w:r>
            <w:r>
              <w:rPr>
                <w:rStyle w:val="IndexLink"/>
              </w:rPr>
              <w:t>114</w:t>
            </w:r>
          </w:hyperlink>
        </w:p>
        <w:p>
          <w:pPr>
            <w:pStyle w:val="Contents5"/>
            <w:tabs>
              <w:tab w:val="clear" w:pos="7892"/>
              <w:tab w:val="right" w:pos="9026" w:leader="dot"/>
            </w:tabs>
            <w:rPr/>
          </w:pPr>
          <w:hyperlink w:anchor="__RefHeading___Toc910042_774463916">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910044_774463916">
            <w:r>
              <w:rPr>
                <w:webHidden/>
                <w:rStyle w:val="IndexLink"/>
                <w:rtl w:val="true"/>
              </w:rPr>
              <w:t>أدلة حرمة بیعها</w:t>
            </w:r>
            <w:r>
              <w:rPr>
                <w:rStyle w:val="IndexLink"/>
                <w:rtl w:val="true"/>
              </w:rPr>
              <w:tab/>
            </w:r>
            <w:r>
              <w:rPr>
                <w:rStyle w:val="IndexLink"/>
              </w:rPr>
              <w:t>115</w:t>
            </w:r>
          </w:hyperlink>
        </w:p>
        <w:p>
          <w:pPr>
            <w:pStyle w:val="Contents5"/>
            <w:tabs>
              <w:tab w:val="clear" w:pos="7892"/>
              <w:tab w:val="right" w:pos="9026" w:leader="dot"/>
            </w:tabs>
            <w:rPr/>
          </w:pPr>
          <w:hyperlink w:anchor="__RefHeading___Toc910046_774463916">
            <w:r>
              <w:rPr>
                <w:webHidden/>
                <w:rStyle w:val="IndexLink"/>
                <w:rtl w:val="true"/>
              </w:rPr>
              <w:t>الجمع بین أدلة الحرمة و الجواز</w:t>
            </w:r>
            <w:r>
              <w:rPr>
                <w:rStyle w:val="IndexLink"/>
                <w:rtl w:val="true"/>
              </w:rPr>
              <w:tab/>
            </w:r>
            <w:r>
              <w:rPr>
                <w:rStyle w:val="IndexLink"/>
              </w:rPr>
              <w:t>118</w:t>
            </w:r>
          </w:hyperlink>
        </w:p>
        <w:p>
          <w:pPr>
            <w:pStyle w:val="Contents4"/>
            <w:tabs>
              <w:tab w:val="clear" w:pos="8176"/>
              <w:tab w:val="right" w:pos="9026" w:leader="dot"/>
            </w:tabs>
            <w:rPr/>
          </w:pPr>
          <w:hyperlink w:anchor="__RefHeading___Toc910048_774463916">
            <w:r>
              <w:rPr>
                <w:webHidden/>
                <w:rStyle w:val="IndexLink"/>
                <w:rtl w:val="true"/>
              </w:rPr>
              <w:t>حکم بیع المذکّی المختلط بالمیتة</w:t>
            </w:r>
            <w:r>
              <w:rPr>
                <w:rStyle w:val="IndexLink"/>
                <w:rtl w:val="true"/>
              </w:rPr>
              <w:tab/>
            </w:r>
            <w:r>
              <w:rPr>
                <w:rStyle w:val="IndexLink"/>
              </w:rPr>
              <w:t>122</w:t>
            </w:r>
          </w:hyperlink>
        </w:p>
        <w:p>
          <w:pPr>
            <w:pStyle w:val="Contents5"/>
            <w:tabs>
              <w:tab w:val="clear" w:pos="7892"/>
              <w:tab w:val="right" w:pos="9026" w:leader="dot"/>
            </w:tabs>
            <w:rPr/>
          </w:pPr>
          <w:hyperlink w:anchor="__RefHeading___Toc910050_774463916">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910052_774463916">
            <w:r>
              <w:rPr>
                <w:webHidden/>
                <w:rStyle w:val="IndexLink"/>
                <w:rtl w:val="true"/>
              </w:rPr>
              <w:t>القواعد العامة</w:t>
            </w:r>
            <w:r>
              <w:rPr>
                <w:rStyle w:val="IndexLink"/>
                <w:rtl w:val="true"/>
              </w:rPr>
              <w:tab/>
            </w:r>
            <w:r>
              <w:rPr>
                <w:rStyle w:val="IndexLink"/>
              </w:rPr>
              <w:t>122</w:t>
            </w:r>
          </w:hyperlink>
        </w:p>
        <w:p>
          <w:pPr>
            <w:pStyle w:val="Contents5"/>
            <w:tabs>
              <w:tab w:val="clear" w:pos="7892"/>
              <w:tab w:val="right" w:pos="9026" w:leader="dot"/>
            </w:tabs>
            <w:rPr/>
          </w:pPr>
          <w:hyperlink w:anchor="__RefHeading___Toc910054_774463916">
            <w:r>
              <w:rPr>
                <w:webHidden/>
                <w:rStyle w:val="IndexLink"/>
                <w:rtl w:val="true"/>
              </w:rPr>
              <w:t>الروایات الواردة فی المقام</w:t>
            </w:r>
            <w:r>
              <w:rPr>
                <w:rStyle w:val="IndexLink"/>
                <w:rtl w:val="true"/>
              </w:rPr>
              <w:tab/>
            </w:r>
            <w:r>
              <w:rPr>
                <w:rStyle w:val="IndexLink"/>
              </w:rPr>
              <w:t>125</w:t>
            </w:r>
          </w:hyperlink>
        </w:p>
        <w:p>
          <w:pPr>
            <w:pStyle w:val="Contents5"/>
            <w:tabs>
              <w:tab w:val="clear" w:pos="7892"/>
              <w:tab w:val="right" w:pos="9026" w:leader="dot"/>
            </w:tabs>
            <w:rPr/>
          </w:pPr>
          <w:hyperlink w:anchor="__RefHeading___Toc910056_774463916">
            <w:r>
              <w:rPr>
                <w:webHidden/>
                <w:rStyle w:val="IndexLink"/>
                <w:rtl w:val="true"/>
              </w:rPr>
              <w:t>مقتضی الجمع بین الروایات</w:t>
            </w:r>
            <w:r>
              <w:rPr>
                <w:rStyle w:val="IndexLink"/>
                <w:rtl w:val="true"/>
              </w:rPr>
              <w:tab/>
            </w:r>
            <w:r>
              <w:rPr>
                <w:rStyle w:val="IndexLink"/>
              </w:rPr>
              <w:t>127</w:t>
            </w:r>
          </w:hyperlink>
        </w:p>
        <w:p>
          <w:pPr>
            <w:pStyle w:val="Contents4"/>
            <w:tabs>
              <w:tab w:val="clear" w:pos="8176"/>
              <w:tab w:val="right" w:pos="9026" w:leader="dot"/>
            </w:tabs>
            <w:rPr/>
          </w:pPr>
          <w:hyperlink w:anchor="__RefHeading___Toc910058_774463916">
            <w:r>
              <w:rPr>
                <w:webHidden/>
                <w:rStyle w:val="IndexLink"/>
                <w:rtl w:val="true"/>
              </w:rPr>
              <w:t>جواز بیع میتة ما لیس له دم سائل</w:t>
            </w:r>
            <w:r>
              <w:rPr>
                <w:rStyle w:val="IndexLink"/>
                <w:rtl w:val="true"/>
              </w:rPr>
              <w:tab/>
            </w:r>
            <w:r>
              <w:rPr>
                <w:rStyle w:val="IndexLink"/>
              </w:rPr>
              <w:t>130</w:t>
            </w:r>
          </w:hyperlink>
        </w:p>
        <w:p>
          <w:pPr>
            <w:pStyle w:val="Contents3"/>
            <w:tabs>
              <w:tab w:val="clear" w:pos="8459"/>
              <w:tab w:val="right" w:pos="9026" w:leader="dot"/>
            </w:tabs>
            <w:rPr/>
          </w:pPr>
          <w:hyperlink w:anchor="__RefHeading___Toc910060_774463916">
            <w:r>
              <w:rPr>
                <w:webHidden/>
                <w:rStyle w:val="IndexLink"/>
                <w:rtl w:val="true"/>
              </w:rPr>
              <w:t>حرمة التکسّب بالکلب الهراش</w:t>
            </w:r>
            <w:r>
              <w:rPr>
                <w:rStyle w:val="IndexLink"/>
                <w:rtl w:val="true"/>
              </w:rPr>
              <w:tab/>
            </w:r>
            <w:r>
              <w:rPr>
                <w:rStyle w:val="IndexLink"/>
              </w:rPr>
              <w:t>131</w:t>
            </w:r>
          </w:hyperlink>
        </w:p>
        <w:p>
          <w:pPr>
            <w:pStyle w:val="Contents3"/>
            <w:tabs>
              <w:tab w:val="clear" w:pos="8459"/>
              <w:tab w:val="right" w:pos="9026" w:leader="dot"/>
            </w:tabs>
            <w:rPr/>
          </w:pPr>
          <w:hyperlink w:anchor="__RefHeading___Toc910062_774463916">
            <w:r>
              <w:rPr>
                <w:webHidden/>
                <w:rStyle w:val="IndexLink"/>
                <w:rtl w:val="true"/>
              </w:rPr>
              <w:t>حرمة التکسّب بالخنزیر</w:t>
            </w:r>
            <w:r>
              <w:rPr>
                <w:rStyle w:val="IndexLink"/>
                <w:rtl w:val="true"/>
              </w:rPr>
              <w:tab/>
            </w:r>
            <w:r>
              <w:rPr>
                <w:rStyle w:val="IndexLink"/>
              </w:rPr>
              <w:t>134</w:t>
            </w:r>
          </w:hyperlink>
        </w:p>
        <w:p>
          <w:pPr>
            <w:pStyle w:val="Contents4"/>
            <w:tabs>
              <w:tab w:val="clear" w:pos="8176"/>
              <w:tab w:val="right" w:pos="9026" w:leader="dot"/>
            </w:tabs>
            <w:rPr/>
          </w:pPr>
          <w:hyperlink w:anchor="__RefHeading___Toc910064_774463916">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910066_774463916">
            <w:r>
              <w:rPr>
                <w:webHidden/>
                <w:rStyle w:val="IndexLink"/>
                <w:rtl w:val="true"/>
              </w:rPr>
              <w:t>الجمع بین الروایات المانعة و المجوزة</w:t>
            </w:r>
            <w:r>
              <w:rPr>
                <w:rStyle w:val="IndexLink"/>
                <w:rtl w:val="true"/>
              </w:rPr>
              <w:tab/>
            </w:r>
            <w:r>
              <w:rPr>
                <w:rStyle w:val="IndexLink"/>
              </w:rPr>
              <w:t>136</w:t>
            </w:r>
          </w:hyperlink>
        </w:p>
        <w:p>
          <w:pPr>
            <w:pStyle w:val="Contents4"/>
            <w:tabs>
              <w:tab w:val="clear" w:pos="8176"/>
              <w:tab w:val="right" w:pos="9026" w:leader="dot"/>
            </w:tabs>
            <w:rPr/>
          </w:pPr>
          <w:hyperlink w:anchor="__RefHeading___Toc910068_774463916">
            <w:r>
              <w:rPr>
                <w:webHidden/>
                <w:rStyle w:val="IndexLink"/>
                <w:rtl w:val="true"/>
              </w:rPr>
              <w:t>بیع أجزاء الکلب و الخنزیر</w:t>
            </w:r>
            <w:r>
              <w:rPr>
                <w:rStyle w:val="IndexLink"/>
                <w:rtl w:val="true"/>
              </w:rPr>
              <w:tab/>
            </w:r>
            <w:r>
              <w:rPr>
                <w:rStyle w:val="IndexLink"/>
              </w:rPr>
              <w:t>138</w:t>
            </w:r>
          </w:hyperlink>
        </w:p>
        <w:p>
          <w:pPr>
            <w:pStyle w:val="Contents3"/>
            <w:tabs>
              <w:tab w:val="clear" w:pos="8459"/>
              <w:tab w:val="right" w:pos="9026" w:leader="dot"/>
            </w:tabs>
            <w:rPr/>
          </w:pPr>
          <w:hyperlink w:anchor="__RefHeading___Toc910070_774463916">
            <w:r>
              <w:rPr>
                <w:webHidden/>
                <w:rStyle w:val="IndexLink"/>
                <w:rtl w:val="true"/>
              </w:rPr>
              <w:t>حرمة التکسّب بالخمر و کل مسکر مائع</w:t>
            </w:r>
            <w:r>
              <w:rPr>
                <w:rStyle w:val="IndexLink"/>
                <w:rtl w:val="true"/>
              </w:rPr>
              <w:tab/>
            </w:r>
            <w:r>
              <w:rPr>
                <w:rStyle w:val="IndexLink"/>
              </w:rPr>
              <w:t>139</w:t>
            </w:r>
          </w:hyperlink>
        </w:p>
        <w:p>
          <w:pPr>
            <w:pStyle w:val="Contents4"/>
            <w:tabs>
              <w:tab w:val="clear" w:pos="8176"/>
              <w:tab w:val="right" w:pos="9026" w:leader="dot"/>
            </w:tabs>
            <w:rPr/>
          </w:pPr>
          <w:hyperlink w:anchor="__RefHeading___Toc910072_774463916">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910074_774463916">
            <w:r>
              <w:rPr>
                <w:webHidden/>
                <w:rStyle w:val="IndexLink"/>
                <w:rtl w:val="true"/>
              </w:rPr>
              <w:t>اختصاص الحکم بالمسکرات المائعة</w:t>
            </w:r>
            <w:r>
              <w:rPr>
                <w:rStyle w:val="IndexLink"/>
                <w:rtl w:val="true"/>
              </w:rPr>
              <w:tab/>
            </w:r>
            <w:r>
              <w:rPr>
                <w:rStyle w:val="IndexLink"/>
              </w:rPr>
              <w:t>142</w:t>
            </w:r>
          </w:hyperlink>
        </w:p>
        <w:p>
          <w:pPr>
            <w:pStyle w:val="Contents4"/>
            <w:tabs>
              <w:tab w:val="clear" w:pos="8176"/>
              <w:tab w:val="right" w:pos="9026" w:leader="dot"/>
            </w:tabs>
            <w:rPr/>
          </w:pPr>
          <w:hyperlink w:anchor="__RefHeading___Toc910076_774463916">
            <w:r>
              <w:rPr>
                <w:webHidden/>
                <w:rStyle w:val="IndexLink"/>
                <w:rtl w:val="true"/>
              </w:rPr>
              <w:t>جواز بیع الکحول الصناعی</w:t>
            </w:r>
            <w:r>
              <w:rPr>
                <w:rStyle w:val="IndexLink"/>
                <w:rtl w:val="true"/>
              </w:rPr>
              <w:tab/>
            </w:r>
            <w:r>
              <w:rPr>
                <w:rStyle w:val="IndexLink"/>
              </w:rPr>
              <w:t>144</w:t>
            </w:r>
          </w:hyperlink>
        </w:p>
        <w:p>
          <w:pPr>
            <w:pStyle w:val="Contents3"/>
            <w:tabs>
              <w:tab w:val="clear" w:pos="8459"/>
              <w:tab w:val="right" w:pos="9026" w:leader="dot"/>
            </w:tabs>
            <w:rPr/>
          </w:pPr>
          <w:hyperlink w:anchor="__RefHeading___Toc910078_774463916">
            <w:r>
              <w:rPr>
                <w:webHidden/>
                <w:rStyle w:val="IndexLink"/>
                <w:rtl w:val="true"/>
              </w:rPr>
              <w:t>جواز بیع المتنجّس</w:t>
            </w:r>
            <w:r>
              <w:rPr>
                <w:rStyle w:val="IndexLink"/>
                <w:rtl w:val="true"/>
              </w:rPr>
              <w:tab/>
            </w:r>
            <w:r>
              <w:rPr>
                <w:rStyle w:val="IndexLink"/>
              </w:rPr>
              <w:t>146</w:t>
            </w:r>
          </w:hyperlink>
        </w:p>
        <w:p>
          <w:pPr>
            <w:pStyle w:val="Contents3"/>
            <w:tabs>
              <w:tab w:val="clear" w:pos="8459"/>
              <w:tab w:val="right" w:pos="9026" w:leader="dot"/>
            </w:tabs>
            <w:rPr/>
          </w:pPr>
          <w:hyperlink w:anchor="__RefHeading___Toc910080_774463916">
            <w:r>
              <w:rPr>
                <w:webHidden/>
                <w:rStyle w:val="IndexLink"/>
                <w:rtl w:val="true"/>
              </w:rPr>
              <w:t>جواز بیع السباع و المسوخ إلاّ القرد</w:t>
            </w:r>
            <w:r>
              <w:rPr>
                <w:rStyle w:val="IndexLink"/>
                <w:rtl w:val="true"/>
              </w:rPr>
              <w:tab/>
            </w:r>
            <w:r>
              <w:rPr>
                <w:rStyle w:val="IndexLink"/>
              </w:rPr>
              <w:t>148</w:t>
            </w:r>
          </w:hyperlink>
        </w:p>
        <w:p>
          <w:pPr>
            <w:pStyle w:val="Contents3"/>
            <w:tabs>
              <w:tab w:val="clear" w:pos="8459"/>
              <w:tab w:val="right" w:pos="9026" w:leader="dot"/>
            </w:tabs>
            <w:rPr/>
          </w:pPr>
          <w:hyperlink w:anchor="__RefHeading___Toc910082_774463916">
            <w:r>
              <w:rPr>
                <w:webHidden/>
                <w:rStyle w:val="IndexLink"/>
                <w:rtl w:val="true"/>
              </w:rPr>
              <w:t>جواز بیع العبد الکافر</w:t>
            </w:r>
            <w:r>
              <w:rPr>
                <w:rStyle w:val="IndexLink"/>
                <w:rtl w:val="true"/>
              </w:rPr>
              <w:tab/>
            </w:r>
            <w:r>
              <w:rPr>
                <w:rStyle w:val="IndexLink"/>
              </w:rPr>
              <w:t>151</w:t>
            </w:r>
          </w:hyperlink>
        </w:p>
        <w:p>
          <w:pPr>
            <w:pStyle w:val="Contents4"/>
            <w:tabs>
              <w:tab w:val="clear" w:pos="8176"/>
              <w:tab w:val="right" w:pos="9026" w:leader="dot"/>
            </w:tabs>
            <w:rPr/>
          </w:pPr>
          <w:hyperlink w:anchor="__RefHeading___Toc910084_774463916">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910086_774463916">
            <w:r>
              <w:rPr>
                <w:webHidden/>
                <w:rStyle w:val="IndexLink"/>
                <w:rtl w:val="true"/>
              </w:rPr>
              <w:t>بیع المرتد الفطری</w:t>
            </w:r>
            <w:r>
              <w:rPr>
                <w:rStyle w:val="IndexLink"/>
                <w:rtl w:val="true"/>
              </w:rPr>
              <w:tab/>
            </w:r>
            <w:r>
              <w:rPr>
                <w:rStyle w:val="IndexLink"/>
              </w:rPr>
              <w:t>153</w:t>
            </w:r>
          </w:hyperlink>
        </w:p>
        <w:p>
          <w:pPr>
            <w:pStyle w:val="Contents3"/>
            <w:tabs>
              <w:tab w:val="clear" w:pos="8459"/>
              <w:tab w:val="right" w:pos="9026" w:leader="dot"/>
            </w:tabs>
            <w:rPr/>
          </w:pPr>
          <w:hyperlink w:anchor="__RefHeading___Toc910088_774463916">
            <w:r>
              <w:rPr>
                <w:webHidden/>
                <w:rStyle w:val="IndexLink"/>
                <w:rtl w:val="true"/>
              </w:rPr>
              <w:t>جواز بیع کلب الصید</w:t>
            </w:r>
            <w:r>
              <w:rPr>
                <w:rStyle w:val="IndexLink"/>
                <w:rtl w:val="true"/>
              </w:rPr>
              <w:tab/>
            </w:r>
            <w:r>
              <w:rPr>
                <w:rStyle w:val="IndexLink"/>
              </w:rPr>
              <w:t>154</w:t>
            </w:r>
          </w:hyperlink>
        </w:p>
        <w:p>
          <w:pPr>
            <w:pStyle w:val="Contents4"/>
            <w:tabs>
              <w:tab w:val="clear" w:pos="8176"/>
              <w:tab w:val="right" w:pos="9026" w:leader="dot"/>
            </w:tabs>
            <w:rPr/>
          </w:pPr>
          <w:hyperlink w:anchor="__RefHeading___Toc910090_774463916">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910092_774463916">
            <w:r>
              <w:rPr>
                <w:webHidden/>
                <w:rStyle w:val="IndexLink"/>
                <w:rtl w:val="true"/>
              </w:rPr>
              <w:t>الروایات الواردة فی بیع الکلاب</w:t>
            </w:r>
            <w:r>
              <w:rPr>
                <w:rStyle w:val="IndexLink"/>
                <w:rtl w:val="true"/>
              </w:rPr>
              <w:tab/>
            </w:r>
            <w:r>
              <w:rPr>
                <w:rStyle w:val="IndexLink"/>
              </w:rPr>
              <w:t>157</w:t>
            </w:r>
          </w:hyperlink>
        </w:p>
        <w:p>
          <w:pPr>
            <w:pStyle w:val="Contents3"/>
            <w:tabs>
              <w:tab w:val="clear" w:pos="8459"/>
              <w:tab w:val="right" w:pos="9026" w:leader="dot"/>
            </w:tabs>
            <w:rPr/>
          </w:pPr>
          <w:hyperlink w:anchor="__RefHeading___Toc910094_774463916">
            <w:r>
              <w:rPr>
                <w:webHidden/>
                <w:rStyle w:val="IndexLink"/>
                <w:rtl w:val="true"/>
              </w:rPr>
              <w:t>حرمة بیع کلب الحراسة</w:t>
            </w:r>
            <w:r>
              <w:rPr>
                <w:rStyle w:val="IndexLink"/>
                <w:rtl w:val="true"/>
              </w:rPr>
              <w:tab/>
            </w:r>
            <w:r>
              <w:rPr>
                <w:rStyle w:val="IndexLink"/>
              </w:rPr>
              <w:t>161</w:t>
            </w:r>
          </w:hyperlink>
        </w:p>
        <w:p>
          <w:pPr>
            <w:pStyle w:val="Contents4"/>
            <w:tabs>
              <w:tab w:val="clear" w:pos="8176"/>
              <w:tab w:val="right" w:pos="9026" w:leader="dot"/>
            </w:tabs>
            <w:rPr/>
          </w:pPr>
          <w:hyperlink w:anchor="__RefHeading___Toc910096_774463916">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910098_774463916">
            <w:r>
              <w:rPr>
                <w:webHidden/>
                <w:rStyle w:val="IndexLink"/>
                <w:rtl w:val="true"/>
              </w:rPr>
              <w:t>الوجوه المستدل بها علی الجواز</w:t>
            </w:r>
            <w:r>
              <w:rPr>
                <w:rStyle w:val="IndexLink"/>
                <w:rtl w:val="true"/>
              </w:rPr>
              <w:tab/>
            </w:r>
            <w:r>
              <w:rPr>
                <w:rStyle w:val="IndexLink"/>
              </w:rPr>
              <w:t>161</w:t>
            </w:r>
          </w:hyperlink>
        </w:p>
        <w:p>
          <w:pPr>
            <w:pStyle w:val="Contents4"/>
            <w:tabs>
              <w:tab w:val="clear" w:pos="8176"/>
              <w:tab w:val="right" w:pos="9026" w:leader="dot"/>
            </w:tabs>
            <w:rPr/>
          </w:pPr>
          <w:hyperlink w:anchor="__RefHeading___Toc910100_774463916">
            <w:r>
              <w:rPr>
                <w:webHidden/>
                <w:rStyle w:val="IndexLink"/>
                <w:rtl w:val="true"/>
              </w:rPr>
              <w:t>حکم المعاملات الاخری غیر البیع</w:t>
            </w:r>
            <w:r>
              <w:rPr>
                <w:rStyle w:val="IndexLink"/>
                <w:rtl w:val="true"/>
              </w:rPr>
              <w:tab/>
            </w:r>
            <w:r>
              <w:rPr>
                <w:rStyle w:val="IndexLink"/>
              </w:rPr>
              <w:t>169</w:t>
            </w:r>
          </w:hyperlink>
        </w:p>
        <w:p>
          <w:pPr>
            <w:pStyle w:val="Contents3"/>
            <w:tabs>
              <w:tab w:val="clear" w:pos="8459"/>
              <w:tab w:val="right" w:pos="9026" w:leader="dot"/>
            </w:tabs>
            <w:rPr/>
          </w:pPr>
          <w:hyperlink w:anchor="__RefHeading___Toc910102_774463916">
            <w:r>
              <w:rPr>
                <w:webHidden/>
                <w:rStyle w:val="IndexLink"/>
                <w:rtl w:val="true"/>
              </w:rPr>
              <w:t>جواز بیع العصیر العنبی إذا غلی و لم یذهب ثلثاه</w:t>
            </w:r>
            <w:r>
              <w:rPr>
                <w:rStyle w:val="IndexLink"/>
                <w:rtl w:val="true"/>
              </w:rPr>
              <w:tab/>
            </w:r>
            <w:r>
              <w:rPr>
                <w:rStyle w:val="IndexLink"/>
              </w:rPr>
              <w:t>171</w:t>
            </w:r>
          </w:hyperlink>
        </w:p>
        <w:p>
          <w:pPr>
            <w:pStyle w:val="Contents4"/>
            <w:tabs>
              <w:tab w:val="clear" w:pos="8176"/>
              <w:tab w:val="right" w:pos="9026" w:leader="dot"/>
            </w:tabs>
            <w:rPr/>
          </w:pPr>
          <w:hyperlink w:anchor="__RefHeading___Toc910104_774463916">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910106_774463916">
            <w:r>
              <w:rPr>
                <w:webHidden/>
                <w:rStyle w:val="IndexLink"/>
                <w:rtl w:val="true"/>
              </w:rPr>
              <w:t>الاستدلال علی حرمة بیعه بالنجاسة و الحرمة و انتفاء المالیة</w:t>
            </w:r>
            <w:r>
              <w:rPr>
                <w:rStyle w:val="IndexLink"/>
                <w:rtl w:val="true"/>
              </w:rPr>
              <w:tab/>
            </w:r>
            <w:r>
              <w:rPr>
                <w:rStyle w:val="IndexLink"/>
              </w:rPr>
              <w:t>172</w:t>
            </w:r>
          </w:hyperlink>
        </w:p>
        <w:p>
          <w:pPr>
            <w:pStyle w:val="Contents4"/>
            <w:tabs>
              <w:tab w:val="clear" w:pos="8176"/>
              <w:tab w:val="right" w:pos="9026" w:leader="dot"/>
            </w:tabs>
            <w:rPr/>
          </w:pPr>
          <w:hyperlink w:anchor="__RefHeading___Toc910108_774463916">
            <w:r>
              <w:rPr>
                <w:webHidden/>
                <w:rStyle w:val="IndexLink"/>
                <w:rtl w:val="true"/>
              </w:rPr>
              <w:t>الاستدلال علی الحرمة بالروایات الخاصة</w:t>
            </w:r>
            <w:r>
              <w:rPr>
                <w:rStyle w:val="IndexLink"/>
                <w:rtl w:val="true"/>
              </w:rPr>
              <w:tab/>
            </w:r>
            <w:r>
              <w:rPr>
                <w:rStyle w:val="IndexLink"/>
              </w:rPr>
              <w:t>173</w:t>
            </w:r>
          </w:hyperlink>
        </w:p>
        <w:p>
          <w:pPr>
            <w:pStyle w:val="Contents3"/>
            <w:tabs>
              <w:tab w:val="clear" w:pos="8459"/>
              <w:tab w:val="right" w:pos="9026" w:leader="dot"/>
            </w:tabs>
            <w:rPr/>
          </w:pPr>
          <w:hyperlink w:anchor="__RefHeading___Toc910110_774463916">
            <w:r>
              <w:rPr>
                <w:webHidden/>
                <w:rStyle w:val="IndexLink"/>
                <w:rtl w:val="true"/>
              </w:rPr>
              <w:t>جواز المعاوضة علی الدهن المتنجّس</w:t>
            </w:r>
            <w:r>
              <w:rPr>
                <w:rStyle w:val="IndexLink"/>
                <w:rtl w:val="true"/>
              </w:rPr>
              <w:tab/>
            </w:r>
            <w:r>
              <w:rPr>
                <w:rStyle w:val="IndexLink"/>
              </w:rPr>
              <w:t>177</w:t>
            </w:r>
          </w:hyperlink>
        </w:p>
        <w:p>
          <w:pPr>
            <w:pStyle w:val="Contents4"/>
            <w:tabs>
              <w:tab w:val="clear" w:pos="8176"/>
              <w:tab w:val="right" w:pos="9026" w:leader="dot"/>
            </w:tabs>
            <w:rPr/>
          </w:pPr>
          <w:hyperlink w:anchor="__RefHeading___Toc910112_774463916">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910114_774463916">
            <w:r>
              <w:rPr>
                <w:webHidden/>
                <w:rStyle w:val="IndexLink"/>
                <w:rtl w:val="true"/>
              </w:rPr>
              <w:t>الروایات الواردة فی بیع الدهن المتنجّس</w:t>
            </w:r>
            <w:r>
              <w:rPr>
                <w:rStyle w:val="IndexLink"/>
                <w:rtl w:val="true"/>
              </w:rPr>
              <w:tab/>
            </w:r>
            <w:r>
              <w:rPr>
                <w:rStyle w:val="IndexLink"/>
              </w:rPr>
              <w:t>179</w:t>
            </w:r>
          </w:hyperlink>
        </w:p>
        <w:p>
          <w:pPr>
            <w:pStyle w:val="Contents4"/>
            <w:tabs>
              <w:tab w:val="clear" w:pos="8176"/>
              <w:tab w:val="right" w:pos="9026" w:leader="dot"/>
            </w:tabs>
            <w:rPr/>
          </w:pPr>
          <w:hyperlink w:anchor="__RefHeading___Toc910116_774463916">
            <w:r>
              <w:rPr>
                <w:webHidden/>
                <w:rStyle w:val="IndexLink"/>
                <w:rtl w:val="true"/>
              </w:rPr>
              <w:t>عدم اشتراط الاستصباح فی صحة بیع الدهن المتنجّس</w:t>
            </w:r>
            <w:r>
              <w:rPr>
                <w:rStyle w:val="IndexLink"/>
                <w:rtl w:val="true"/>
              </w:rPr>
              <w:tab/>
            </w:r>
            <w:r>
              <w:rPr>
                <w:rStyle w:val="IndexLink"/>
              </w:rPr>
              <w:t>182</w:t>
            </w:r>
          </w:hyperlink>
        </w:p>
        <w:p>
          <w:pPr>
            <w:pStyle w:val="Contents4"/>
            <w:tabs>
              <w:tab w:val="clear" w:pos="8176"/>
              <w:tab w:val="right" w:pos="9026" w:leader="dot"/>
            </w:tabs>
            <w:rPr/>
          </w:pPr>
          <w:hyperlink w:anchor="__RefHeading___Toc910118_774463916">
            <w:r>
              <w:rPr>
                <w:webHidden/>
                <w:rStyle w:val="IndexLink"/>
                <w:rtl w:val="true"/>
              </w:rPr>
              <w:t>هل تقتضی الروایات لزوم قصد الاستصباح؟</w:t>
            </w:r>
            <w:r>
              <w:rPr>
                <w:rStyle w:val="IndexLink"/>
                <w:rtl w:val="true"/>
              </w:rPr>
              <w:tab/>
            </w:r>
            <w:r>
              <w:rPr>
                <w:rStyle w:val="IndexLink"/>
              </w:rPr>
              <w:t>186</w:t>
            </w:r>
          </w:hyperlink>
        </w:p>
        <w:p>
          <w:pPr>
            <w:pStyle w:val="Contents4"/>
            <w:tabs>
              <w:tab w:val="clear" w:pos="8176"/>
              <w:tab w:val="right" w:pos="9026" w:leader="dot"/>
            </w:tabs>
            <w:rPr/>
          </w:pPr>
          <w:hyperlink w:anchor="__RefHeading___Toc910120_774463916">
            <w:r>
              <w:rPr>
                <w:webHidden/>
                <w:rStyle w:val="IndexLink"/>
                <w:rtl w:val="true"/>
              </w:rPr>
              <w:t>وجوب الإعلام بنجاسة الدهن عند البیع</w:t>
            </w:r>
            <w:r>
              <w:rPr>
                <w:rStyle w:val="IndexLink"/>
                <w:rtl w:val="true"/>
              </w:rPr>
              <w:tab/>
            </w:r>
            <w:r>
              <w:rPr>
                <w:rStyle w:val="IndexLink"/>
              </w:rPr>
              <w:t>188</w:t>
            </w:r>
          </w:hyperlink>
        </w:p>
        <w:p>
          <w:pPr>
            <w:pStyle w:val="Contents3"/>
            <w:tabs>
              <w:tab w:val="clear" w:pos="8459"/>
              <w:tab w:val="right" w:pos="9026" w:leader="dot"/>
            </w:tabs>
            <w:rPr/>
          </w:pPr>
          <w:hyperlink w:anchor="__RefHeading___Toc910122_774463916">
            <w:r>
              <w:rPr>
                <w:webHidden/>
                <w:rStyle w:val="IndexLink"/>
                <w:rtl w:val="true"/>
              </w:rPr>
              <w:t>حرمة تغریر الجاهل و إلقائه فی الحرام الواقعی</w:t>
            </w:r>
            <w:r>
              <w:rPr>
                <w:rStyle w:val="IndexLink"/>
                <w:rtl w:val="true"/>
              </w:rPr>
              <w:tab/>
            </w:r>
            <w:r>
              <w:rPr>
                <w:rStyle w:val="IndexLink"/>
              </w:rPr>
              <w:t>191</w:t>
            </w:r>
          </w:hyperlink>
        </w:p>
        <w:p>
          <w:pPr>
            <w:pStyle w:val="Contents4"/>
            <w:tabs>
              <w:tab w:val="clear" w:pos="8176"/>
              <w:tab w:val="right" w:pos="9026" w:leader="dot"/>
            </w:tabs>
            <w:rPr/>
          </w:pPr>
          <w:hyperlink w:anchor="__RefHeading___Toc910124_774463916">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910126_774463916">
            <w:r>
              <w:rPr>
                <w:webHidden/>
                <w:rStyle w:val="IndexLink"/>
                <w:rtl w:val="true"/>
              </w:rPr>
              <w:t>تنبیه الجاهل فی غیر موارد التسبیب و التغریر</w:t>
            </w:r>
            <w:r>
              <w:rPr>
                <w:rStyle w:val="IndexLink"/>
                <w:rtl w:val="true"/>
              </w:rPr>
              <w:tab/>
            </w:r>
            <w:r>
              <w:rPr>
                <w:rStyle w:val="IndexLink"/>
              </w:rPr>
              <w:t>196</w:t>
            </w:r>
          </w:hyperlink>
        </w:p>
        <w:p>
          <w:pPr>
            <w:pStyle w:val="Contents4"/>
            <w:tabs>
              <w:tab w:val="clear" w:pos="8176"/>
              <w:tab w:val="right" w:pos="9026" w:leader="dot"/>
            </w:tabs>
            <w:rPr/>
          </w:pPr>
          <w:hyperlink w:anchor="__RefHeading___Toc910128_774463916">
            <w:r>
              <w:rPr>
                <w:webHidden/>
                <w:rStyle w:val="IndexLink"/>
                <w:rtl w:val="true"/>
              </w:rPr>
              <w:t>الأقسام الأربعة لإلقاء الغیر فی الحرام الواقعی</w:t>
            </w:r>
            <w:r>
              <w:rPr>
                <w:rStyle w:val="IndexLink"/>
                <w:rtl w:val="true"/>
              </w:rPr>
              <w:tab/>
            </w:r>
            <w:r>
              <w:rPr>
                <w:rStyle w:val="IndexLink"/>
              </w:rPr>
              <w:t>198</w:t>
            </w:r>
          </w:hyperlink>
        </w:p>
        <w:p>
          <w:pPr>
            <w:pStyle w:val="Contents3"/>
            <w:tabs>
              <w:tab w:val="clear" w:pos="8459"/>
              <w:tab w:val="right" w:pos="9026" w:leader="dot"/>
            </w:tabs>
            <w:rPr/>
          </w:pPr>
          <w:hyperlink w:anchor="__RefHeading___Toc910130_774463916">
            <w:r>
              <w:rPr>
                <w:webHidden/>
                <w:rStyle w:val="IndexLink"/>
                <w:rtl w:val="true"/>
              </w:rPr>
              <w:t>جواز استصباح الدهن المتنجّس تحت الظلال</w:t>
            </w:r>
            <w:r>
              <w:rPr>
                <w:rStyle w:val="IndexLink"/>
                <w:rtl w:val="true"/>
              </w:rPr>
              <w:tab/>
            </w:r>
            <w:r>
              <w:rPr>
                <w:rStyle w:val="IndexLink"/>
              </w:rPr>
              <w:t>204</w:t>
            </w:r>
          </w:hyperlink>
        </w:p>
        <w:p>
          <w:pPr>
            <w:pStyle w:val="Contents3"/>
            <w:tabs>
              <w:tab w:val="clear" w:pos="8459"/>
              <w:tab w:val="right" w:pos="9026" w:leader="dot"/>
            </w:tabs>
            <w:rPr/>
          </w:pPr>
          <w:hyperlink w:anchor="__RefHeading___Toc910132_774463916">
            <w:r>
              <w:rPr>
                <w:webHidden/>
                <w:rStyle w:val="IndexLink"/>
                <w:rtl w:val="true"/>
              </w:rPr>
              <w:t>جواز الانتفاع بالدهن المتنجّس فی غیر الاستصباح</w:t>
            </w:r>
            <w:r>
              <w:rPr>
                <w:rStyle w:val="IndexLink"/>
                <w:rtl w:val="true"/>
              </w:rPr>
              <w:tab/>
            </w:r>
            <w:r>
              <w:rPr>
                <w:rStyle w:val="IndexLink"/>
              </w:rPr>
              <w:t>208</w:t>
            </w:r>
          </w:hyperlink>
        </w:p>
        <w:p>
          <w:pPr>
            <w:pStyle w:val="Contents3"/>
            <w:tabs>
              <w:tab w:val="clear" w:pos="8459"/>
              <w:tab w:val="right" w:pos="9026" w:leader="dot"/>
            </w:tabs>
            <w:rPr/>
          </w:pPr>
          <w:hyperlink w:anchor="__RefHeading___Toc910134_774463916">
            <w:r>
              <w:rPr>
                <w:webHidden/>
                <w:rStyle w:val="IndexLink"/>
                <w:rtl w:val="true"/>
              </w:rPr>
              <w:t>الأصل جواز الانتفاع بالمتنجّس</w:t>
            </w:r>
            <w:r>
              <w:rPr>
                <w:rStyle w:val="IndexLink"/>
                <w:rtl w:val="true"/>
              </w:rPr>
              <w:tab/>
            </w:r>
            <w:r>
              <w:rPr>
                <w:rStyle w:val="IndexLink"/>
              </w:rPr>
              <w:t>211</w:t>
            </w:r>
          </w:hyperlink>
        </w:p>
        <w:p>
          <w:pPr>
            <w:pStyle w:val="Contents3"/>
            <w:tabs>
              <w:tab w:val="clear" w:pos="8459"/>
              <w:tab w:val="right" w:pos="9026" w:leader="dot"/>
            </w:tabs>
            <w:rPr/>
          </w:pPr>
          <w:hyperlink w:anchor="__RefHeading___Toc910136_774463916">
            <w:r>
              <w:rPr>
                <w:webHidden/>
                <w:rStyle w:val="IndexLink"/>
                <w:rtl w:val="true"/>
              </w:rPr>
              <w:t>الأصل جواز الانتفاع بالأعیان النجسة</w:t>
            </w:r>
            <w:r>
              <w:rPr>
                <w:rStyle w:val="IndexLink"/>
                <w:rtl w:val="true"/>
              </w:rPr>
              <w:tab/>
            </w:r>
            <w:r>
              <w:rPr>
                <w:rStyle w:val="IndexLink"/>
              </w:rPr>
              <w:t>225</w:t>
            </w:r>
          </w:hyperlink>
        </w:p>
        <w:p>
          <w:pPr>
            <w:pStyle w:val="Contents4"/>
            <w:tabs>
              <w:tab w:val="clear" w:pos="8176"/>
              <w:tab w:val="right" w:pos="9026" w:leader="dot"/>
            </w:tabs>
            <w:rPr/>
          </w:pPr>
          <w:hyperlink w:anchor="__RefHeading___Toc910138_774463916">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910140_774463916">
            <w:r>
              <w:rPr>
                <w:webHidden/>
                <w:rStyle w:val="IndexLink"/>
                <w:rtl w:val="true"/>
              </w:rPr>
              <w:t>ما استدلّ به علی الحرمة و مناقشته</w:t>
            </w:r>
            <w:r>
              <w:rPr>
                <w:rStyle w:val="IndexLink"/>
                <w:rtl w:val="true"/>
              </w:rPr>
              <w:tab/>
            </w:r>
            <w:r>
              <w:rPr>
                <w:rStyle w:val="IndexLink"/>
              </w:rPr>
              <w:t>226</w:t>
            </w:r>
          </w:hyperlink>
        </w:p>
        <w:p>
          <w:pPr>
            <w:pStyle w:val="Contents4"/>
            <w:tabs>
              <w:tab w:val="clear" w:pos="8176"/>
              <w:tab w:val="right" w:pos="9026" w:leader="dot"/>
            </w:tabs>
            <w:rPr/>
          </w:pPr>
          <w:hyperlink w:anchor="__RefHeading___Toc910142_774463916">
            <w:r>
              <w:rPr>
                <w:webHidden/>
                <w:rStyle w:val="IndexLink"/>
                <w:rtl w:val="true"/>
              </w:rPr>
              <w:t>حقیقة حق الاختصاص و منشأ ثبوته</w:t>
            </w:r>
            <w:r>
              <w:rPr>
                <w:rStyle w:val="IndexLink"/>
                <w:rtl w:val="true"/>
              </w:rPr>
              <w:tab/>
            </w:r>
            <w:r>
              <w:rPr>
                <w:rStyle w:val="IndexLink"/>
              </w:rPr>
              <w:t>234</w:t>
            </w:r>
          </w:hyperlink>
        </w:p>
        <w:p>
          <w:pPr>
            <w:pStyle w:val="Contents2"/>
            <w:tabs>
              <w:tab w:val="clear" w:pos="8743"/>
              <w:tab w:val="right" w:pos="9026" w:leader="dot"/>
            </w:tabs>
            <w:rPr/>
          </w:pPr>
          <w:hyperlink w:anchor="__RefHeading___Toc910144_774463916">
            <w:r>
              <w:rPr>
                <w:webHidden/>
                <w:rStyle w:val="IndexLink"/>
                <w:rtl w:val="true"/>
              </w:rPr>
              <w:t>النوع الثانی</w:t>
            </w:r>
            <w:r>
              <w:rPr>
                <w:rStyle w:val="IndexLink"/>
                <w:rtl w:val="true"/>
              </w:rPr>
              <w:t>:</w:t>
            </w:r>
            <w:r>
              <w:rPr>
                <w:rStyle w:val="IndexLink"/>
                <w:rtl w:val="true"/>
              </w:rPr>
              <w:t>ما یحرم لتحریم ما یقصد به</w:t>
            </w:r>
            <w:r>
              <w:rPr>
                <w:rStyle w:val="IndexLink"/>
                <w:rtl w:val="true"/>
              </w:rPr>
              <w:tab/>
            </w:r>
            <w:r>
              <w:rPr>
                <w:rStyle w:val="IndexLink"/>
              </w:rPr>
              <w:t>240</w:t>
            </w:r>
          </w:hyperlink>
        </w:p>
        <w:p>
          <w:pPr>
            <w:pStyle w:val="Contents3"/>
            <w:tabs>
              <w:tab w:val="clear" w:pos="8459"/>
              <w:tab w:val="right" w:pos="9026" w:leader="dot"/>
            </w:tabs>
            <w:rPr/>
          </w:pPr>
          <w:hyperlink w:anchor="__RefHeading___Toc910146_774463916">
            <w:r>
              <w:rPr>
                <w:webHidden/>
                <w:rStyle w:val="IndexLink"/>
                <w:rtl w:val="true"/>
              </w:rPr>
              <w:t>الأول ما لا یقصد من وجوده علی نحوه الخاص إلاّ الحرام</w:t>
            </w:r>
            <w:r>
              <w:rPr>
                <w:rStyle w:val="IndexLink"/>
                <w:rtl w:val="true"/>
              </w:rPr>
              <w:tab/>
            </w:r>
            <w:r>
              <w:rPr>
                <w:rStyle w:val="IndexLink"/>
              </w:rPr>
              <w:t>240</w:t>
            </w:r>
          </w:hyperlink>
        </w:p>
        <w:p>
          <w:pPr>
            <w:pStyle w:val="Contents4"/>
            <w:tabs>
              <w:tab w:val="clear" w:pos="8176"/>
              <w:tab w:val="right" w:pos="9026" w:leader="dot"/>
            </w:tabs>
            <w:rPr/>
          </w:pPr>
          <w:hyperlink w:anchor="__RefHeading___Toc910148_774463916">
            <w:r>
              <w:rPr>
                <w:webHidden/>
                <w:rStyle w:val="IndexLink"/>
                <w:rtl w:val="true"/>
              </w:rPr>
              <w:t>حرمة بیع هیاکل العبادة المبتدعة</w:t>
            </w:r>
            <w:r>
              <w:rPr>
                <w:rStyle w:val="IndexLink"/>
                <w:rtl w:val="true"/>
              </w:rPr>
              <w:tab/>
            </w:r>
            <w:r>
              <w:rPr>
                <w:rStyle w:val="IndexLink"/>
              </w:rPr>
              <w:t>240</w:t>
            </w:r>
          </w:hyperlink>
        </w:p>
        <w:p>
          <w:pPr>
            <w:pStyle w:val="Contents5"/>
            <w:tabs>
              <w:tab w:val="clear" w:pos="7892"/>
              <w:tab w:val="right" w:pos="9026" w:leader="dot"/>
            </w:tabs>
            <w:rPr/>
          </w:pPr>
          <w:hyperlink w:anchor="__RefHeading___Toc910150_774463916">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910152_774463916">
            <w:r>
              <w:rPr>
                <w:webHidden/>
                <w:rStyle w:val="IndexLink"/>
                <w:rtl w:val="true"/>
              </w:rPr>
              <w:t>بحث و تتمیم مناشئ مالیة الاشیاء</w:t>
            </w:r>
            <w:r>
              <w:rPr>
                <w:rStyle w:val="IndexLink"/>
                <w:rtl w:val="true"/>
              </w:rPr>
              <w:tab/>
            </w:r>
            <w:r>
              <w:rPr>
                <w:rStyle w:val="IndexLink"/>
              </w:rPr>
              <w:t>244</w:t>
            </w:r>
          </w:hyperlink>
        </w:p>
        <w:p>
          <w:pPr>
            <w:pStyle w:val="Contents4"/>
            <w:tabs>
              <w:tab w:val="clear" w:pos="8176"/>
              <w:tab w:val="right" w:pos="9026" w:leader="dot"/>
            </w:tabs>
            <w:rPr/>
          </w:pPr>
          <w:hyperlink w:anchor="__RefHeading___Toc910154_774463916">
            <w:r>
              <w:rPr>
                <w:webHidden/>
                <w:rStyle w:val="IndexLink"/>
                <w:rtl w:val="true"/>
              </w:rPr>
              <w:t>حرمة بیع آلات القمار</w:t>
            </w:r>
            <w:r>
              <w:rPr>
                <w:rStyle w:val="IndexLink"/>
                <w:rtl w:val="true"/>
              </w:rPr>
              <w:tab/>
            </w:r>
            <w:r>
              <w:rPr>
                <w:rStyle w:val="IndexLink"/>
              </w:rPr>
              <w:t>248</w:t>
            </w:r>
          </w:hyperlink>
        </w:p>
        <w:p>
          <w:pPr>
            <w:pStyle w:val="Contents4"/>
            <w:tabs>
              <w:tab w:val="clear" w:pos="8176"/>
              <w:tab w:val="right" w:pos="9026" w:leader="dot"/>
            </w:tabs>
            <w:rPr/>
          </w:pPr>
          <w:hyperlink w:anchor="__RefHeading___Toc910156_774463916">
            <w:r>
              <w:rPr>
                <w:webHidden/>
                <w:rStyle w:val="IndexLink"/>
                <w:rtl w:val="true"/>
              </w:rPr>
              <w:t>حرمة بیع آلات الملاهی</w:t>
            </w:r>
            <w:r>
              <w:rPr>
                <w:rStyle w:val="IndexLink"/>
                <w:rtl w:val="true"/>
              </w:rPr>
              <w:tab/>
            </w:r>
            <w:r>
              <w:rPr>
                <w:rStyle w:val="IndexLink"/>
              </w:rPr>
              <w:t>252</w:t>
            </w:r>
          </w:hyperlink>
        </w:p>
        <w:p>
          <w:pPr>
            <w:pStyle w:val="Contents4"/>
            <w:tabs>
              <w:tab w:val="clear" w:pos="8176"/>
              <w:tab w:val="right" w:pos="9026" w:leader="dot"/>
            </w:tabs>
            <w:rPr/>
          </w:pPr>
          <w:hyperlink w:anchor="__RefHeading___Toc910158_774463916">
            <w:r>
              <w:rPr>
                <w:webHidden/>
                <w:rStyle w:val="IndexLink"/>
                <w:rtl w:val="true"/>
              </w:rPr>
              <w:t>حکم بیع آنیة الذهب و الفضة</w:t>
            </w:r>
            <w:r>
              <w:rPr>
                <w:rStyle w:val="IndexLink"/>
                <w:rtl w:val="true"/>
              </w:rPr>
              <w:tab/>
            </w:r>
            <w:r>
              <w:rPr>
                <w:rStyle w:val="IndexLink"/>
              </w:rPr>
              <w:t>254</w:t>
            </w:r>
          </w:hyperlink>
        </w:p>
        <w:p>
          <w:pPr>
            <w:pStyle w:val="Contents4"/>
            <w:tabs>
              <w:tab w:val="clear" w:pos="8176"/>
              <w:tab w:val="right" w:pos="9026" w:leader="dot"/>
            </w:tabs>
            <w:rPr/>
          </w:pPr>
          <w:hyperlink w:anchor="__RefHeading___Toc910160_774463916">
            <w:r>
              <w:rPr>
                <w:webHidden/>
                <w:rStyle w:val="IndexLink"/>
                <w:rtl w:val="true"/>
              </w:rPr>
              <w:t>حکم بیع الدراهم المغشوشة</w:t>
            </w:r>
            <w:r>
              <w:rPr>
                <w:rStyle w:val="IndexLink"/>
                <w:rtl w:val="true"/>
              </w:rPr>
              <w:tab/>
            </w:r>
            <w:r>
              <w:rPr>
                <w:rStyle w:val="IndexLink"/>
              </w:rPr>
              <w:t>256</w:t>
            </w:r>
          </w:hyperlink>
        </w:p>
        <w:p>
          <w:pPr>
            <w:pStyle w:val="Contents5"/>
            <w:tabs>
              <w:tab w:val="clear" w:pos="7892"/>
              <w:tab w:val="right" w:pos="9026" w:leader="dot"/>
            </w:tabs>
            <w:rPr/>
          </w:pPr>
          <w:hyperlink w:anchor="__RefHeading___Toc910162_774463916">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910164_774463916">
            <w:r>
              <w:rPr>
                <w:webHidden/>
                <w:rStyle w:val="IndexLink"/>
                <w:rtl w:val="true"/>
              </w:rPr>
              <w:t>الانتفاع بها فی التزیین و الدفع إلی الظالم</w:t>
            </w:r>
            <w:r>
              <w:rPr>
                <w:rStyle w:val="IndexLink"/>
                <w:rtl w:val="true"/>
              </w:rPr>
              <w:tab/>
            </w:r>
            <w:r>
              <w:rPr>
                <w:rStyle w:val="IndexLink"/>
              </w:rPr>
              <w:t>256</w:t>
            </w:r>
          </w:hyperlink>
        </w:p>
        <w:p>
          <w:pPr>
            <w:pStyle w:val="Contents5"/>
            <w:tabs>
              <w:tab w:val="clear" w:pos="7892"/>
              <w:tab w:val="right" w:pos="9026" w:leader="dot"/>
            </w:tabs>
            <w:rPr/>
          </w:pPr>
          <w:hyperlink w:anchor="__RefHeading___Toc910166_774463916">
            <w:r>
              <w:rPr>
                <w:webHidden/>
                <w:rStyle w:val="IndexLink"/>
                <w:rtl w:val="true"/>
              </w:rPr>
              <w:t>المعاوضة علیها مع العلم بالغش و الجهل به</w:t>
            </w:r>
            <w:r>
              <w:rPr>
                <w:rStyle w:val="IndexLink"/>
                <w:rtl w:val="true"/>
              </w:rPr>
              <w:tab/>
            </w:r>
            <w:r>
              <w:rPr>
                <w:rStyle w:val="IndexLink"/>
              </w:rPr>
              <w:t>257</w:t>
            </w:r>
          </w:hyperlink>
        </w:p>
        <w:p>
          <w:pPr>
            <w:pStyle w:val="Contents3"/>
            <w:tabs>
              <w:tab w:val="clear" w:pos="8459"/>
              <w:tab w:val="right" w:pos="9026" w:leader="dot"/>
            </w:tabs>
            <w:rPr/>
          </w:pPr>
          <w:hyperlink w:anchor="__RefHeading___Toc910168_774463916">
            <w:r>
              <w:rPr>
                <w:webHidden/>
                <w:rStyle w:val="IndexLink"/>
                <w:rtl w:val="true"/>
              </w:rPr>
              <w:t>الثانی ما یقصد منه المتعاملان المنفعة المحرّمة</w:t>
            </w:r>
            <w:r>
              <w:rPr>
                <w:rStyle w:val="IndexLink"/>
                <w:rtl w:val="true"/>
              </w:rPr>
              <w:tab/>
            </w:r>
            <w:r>
              <w:rPr>
                <w:rStyle w:val="IndexLink"/>
              </w:rPr>
              <w:t>262</w:t>
            </w:r>
          </w:hyperlink>
        </w:p>
        <w:p>
          <w:pPr>
            <w:pStyle w:val="Contents4"/>
            <w:tabs>
              <w:tab w:val="clear" w:pos="8176"/>
              <w:tab w:val="right" w:pos="9026" w:leader="dot"/>
            </w:tabs>
            <w:rPr/>
          </w:pPr>
          <w:hyperlink w:anchor="__RefHeading___Toc910170_774463916">
            <w:r>
              <w:rPr>
                <w:webHidden/>
                <w:rStyle w:val="IndexLink"/>
                <w:rtl w:val="true"/>
              </w:rPr>
              <w:t>حکم بیع العنب علی أن یعمل خمرا</w:t>
            </w:r>
            <w:r>
              <w:rPr>
                <w:rStyle w:val="IndexLink"/>
                <w:rtl w:val="true"/>
              </w:rPr>
              <w:tab/>
            </w:r>
            <w:r>
              <w:rPr>
                <w:rStyle w:val="IndexLink"/>
              </w:rPr>
              <w:t>262</w:t>
            </w:r>
          </w:hyperlink>
        </w:p>
        <w:p>
          <w:pPr>
            <w:pStyle w:val="Contents5"/>
            <w:tabs>
              <w:tab w:val="clear" w:pos="7892"/>
              <w:tab w:val="right" w:pos="9026" w:leader="dot"/>
            </w:tabs>
            <w:rPr/>
          </w:pPr>
          <w:hyperlink w:anchor="__RefHeading___Toc910172_774463916">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910174_774463916">
            <w:r>
              <w:rPr>
                <w:webHidden/>
                <w:rStyle w:val="IndexLink"/>
                <w:rtl w:val="true"/>
              </w:rPr>
              <w:t>حکم ما یقصد من إجارته الحرام</w:t>
            </w:r>
            <w:r>
              <w:rPr>
                <w:rStyle w:val="IndexLink"/>
                <w:rtl w:val="true"/>
              </w:rPr>
              <w:tab/>
            </w:r>
            <w:r>
              <w:rPr>
                <w:rStyle w:val="IndexLink"/>
              </w:rPr>
              <w:t>267</w:t>
            </w:r>
          </w:hyperlink>
        </w:p>
        <w:p>
          <w:pPr>
            <w:pStyle w:val="Contents4"/>
            <w:tabs>
              <w:tab w:val="clear" w:pos="8176"/>
              <w:tab w:val="right" w:pos="9026" w:leader="dot"/>
            </w:tabs>
            <w:rPr/>
          </w:pPr>
          <w:hyperlink w:anchor="__RefHeading___Toc910176_774463916">
            <w:r>
              <w:rPr>
                <w:webHidden/>
                <w:rStyle w:val="IndexLink"/>
                <w:rtl w:val="true"/>
              </w:rPr>
              <w:t>حکم بیع الجاریة المغنّیة</w:t>
            </w:r>
            <w:r>
              <w:rPr>
                <w:rStyle w:val="IndexLink"/>
                <w:rtl w:val="true"/>
              </w:rPr>
              <w:tab/>
            </w:r>
            <w:r>
              <w:rPr>
                <w:rStyle w:val="IndexLink"/>
              </w:rPr>
              <w:t>271</w:t>
            </w:r>
          </w:hyperlink>
        </w:p>
        <w:p>
          <w:pPr>
            <w:pStyle w:val="Contents5"/>
            <w:tabs>
              <w:tab w:val="clear" w:pos="7892"/>
              <w:tab w:val="right" w:pos="9026" w:leader="dot"/>
            </w:tabs>
            <w:rPr/>
          </w:pPr>
          <w:hyperlink w:anchor="__RefHeading___Toc910178_774463916">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910180_774463916">
            <w:r>
              <w:rPr>
                <w:webHidden/>
                <w:rStyle w:val="IndexLink"/>
                <w:rtl w:val="true"/>
              </w:rPr>
              <w:t>البحث فیما تقتضیه القواعد</w:t>
            </w:r>
            <w:r>
              <w:rPr>
                <w:rStyle w:val="IndexLink"/>
                <w:rtl w:val="true"/>
              </w:rPr>
              <w:tab/>
            </w:r>
            <w:r>
              <w:rPr>
                <w:rStyle w:val="IndexLink"/>
              </w:rPr>
              <w:t>272</w:t>
            </w:r>
          </w:hyperlink>
        </w:p>
        <w:p>
          <w:pPr>
            <w:pStyle w:val="Contents5"/>
            <w:tabs>
              <w:tab w:val="clear" w:pos="7892"/>
              <w:tab w:val="right" w:pos="9026" w:leader="dot"/>
            </w:tabs>
            <w:rPr/>
          </w:pPr>
          <w:hyperlink w:anchor="__RefHeading___Toc910182_774463916">
            <w:r>
              <w:rPr>
                <w:webHidden/>
                <w:rStyle w:val="IndexLink"/>
                <w:rtl w:val="true"/>
              </w:rPr>
              <w:t>البحث فی الروایات الخاصّة</w:t>
            </w:r>
            <w:r>
              <w:rPr>
                <w:rStyle w:val="IndexLink"/>
                <w:rtl w:val="true"/>
              </w:rPr>
              <w:tab/>
            </w:r>
            <w:r>
              <w:rPr>
                <w:rStyle w:val="IndexLink"/>
              </w:rPr>
              <w:t>273</w:t>
            </w:r>
          </w:hyperlink>
        </w:p>
        <w:p>
          <w:pPr>
            <w:pStyle w:val="Contents5"/>
            <w:tabs>
              <w:tab w:val="clear" w:pos="7892"/>
              <w:tab w:val="right" w:pos="9026" w:leader="dot"/>
            </w:tabs>
            <w:rPr/>
          </w:pPr>
          <w:hyperlink w:anchor="__RefHeading___Toc910184_774463916">
            <w:r>
              <w:rPr>
                <w:webHidden/>
                <w:rStyle w:val="IndexLink"/>
                <w:rtl w:val="true"/>
              </w:rPr>
              <w:t>حرمة کسب المغنّیة</w:t>
            </w:r>
            <w:r>
              <w:rPr>
                <w:rStyle w:val="IndexLink"/>
                <w:rtl w:val="true"/>
              </w:rPr>
              <w:tab/>
            </w:r>
            <w:r>
              <w:rPr>
                <w:rStyle w:val="IndexLink"/>
              </w:rPr>
              <w:t>276</w:t>
            </w:r>
          </w:hyperlink>
        </w:p>
        <w:p>
          <w:pPr>
            <w:pStyle w:val="Contents4"/>
            <w:tabs>
              <w:tab w:val="clear" w:pos="8176"/>
              <w:tab w:val="right" w:pos="9026" w:leader="dot"/>
            </w:tabs>
            <w:rPr/>
          </w:pPr>
          <w:hyperlink w:anchor="__RefHeading___Toc910186_774463916">
            <w:r>
              <w:rPr>
                <w:webHidden/>
                <w:rStyle w:val="IndexLink"/>
                <w:rtl w:val="true"/>
              </w:rPr>
              <w:t>حکم بیع العنب ممّن یجعله خمرا</w:t>
            </w:r>
            <w:r>
              <w:rPr>
                <w:rStyle w:val="IndexLink"/>
                <w:rtl w:val="true"/>
              </w:rPr>
              <w:tab/>
            </w:r>
            <w:r>
              <w:rPr>
                <w:rStyle w:val="IndexLink"/>
              </w:rPr>
              <w:t>277</w:t>
            </w:r>
          </w:hyperlink>
        </w:p>
        <w:p>
          <w:pPr>
            <w:pStyle w:val="Contents5"/>
            <w:tabs>
              <w:tab w:val="clear" w:pos="7892"/>
              <w:tab w:val="right" w:pos="9026" w:leader="dot"/>
            </w:tabs>
            <w:rPr/>
          </w:pPr>
          <w:hyperlink w:anchor="__RefHeading___Toc910188_774463916">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910190_774463916">
            <w:r>
              <w:rPr>
                <w:webHidden/>
                <w:rStyle w:val="IndexLink"/>
                <w:rtl w:val="true"/>
              </w:rPr>
              <w:t>مقتضی الروایات بلحاظ الحرمة الوضعیة</w:t>
            </w:r>
            <w:r>
              <w:rPr>
                <w:rStyle w:val="IndexLink"/>
                <w:rtl w:val="true"/>
              </w:rPr>
              <w:tab/>
            </w:r>
            <w:r>
              <w:rPr>
                <w:rStyle w:val="IndexLink"/>
              </w:rPr>
              <w:t>279</w:t>
            </w:r>
          </w:hyperlink>
        </w:p>
        <w:p>
          <w:pPr>
            <w:pStyle w:val="Contents5"/>
            <w:tabs>
              <w:tab w:val="clear" w:pos="7892"/>
              <w:tab w:val="right" w:pos="9026" w:leader="dot"/>
            </w:tabs>
            <w:rPr/>
          </w:pPr>
          <w:hyperlink w:anchor="__RefHeading___Toc910192_774463916">
            <w:r>
              <w:rPr>
                <w:webHidden/>
                <w:rStyle w:val="IndexLink"/>
                <w:rtl w:val="true"/>
              </w:rPr>
              <w:t>مقتضی الروایات بلحاظ الحرمة التکلیفیة</w:t>
            </w:r>
            <w:r>
              <w:rPr>
                <w:rStyle w:val="IndexLink"/>
                <w:rtl w:val="true"/>
              </w:rPr>
              <w:tab/>
            </w:r>
            <w:r>
              <w:rPr>
                <w:rStyle w:val="IndexLink"/>
              </w:rPr>
              <w:t>280</w:t>
            </w:r>
          </w:hyperlink>
        </w:p>
        <w:p>
          <w:pPr>
            <w:pStyle w:val="Contents5"/>
            <w:tabs>
              <w:tab w:val="clear" w:pos="7892"/>
              <w:tab w:val="right" w:pos="9026" w:leader="dot"/>
            </w:tabs>
            <w:rPr/>
          </w:pPr>
          <w:hyperlink w:anchor="__RefHeading___Toc910194_774463916">
            <w:r>
              <w:rPr>
                <w:webHidden/>
                <w:rStyle w:val="IndexLink"/>
                <w:rtl w:val="true"/>
              </w:rPr>
              <w:t>مقتضی القواعد فی المقام</w:t>
            </w:r>
            <w:r>
              <w:rPr>
                <w:rStyle w:val="IndexLink"/>
                <w:rtl w:val="true"/>
              </w:rPr>
              <w:tab/>
            </w:r>
            <w:r>
              <w:rPr>
                <w:rStyle w:val="IndexLink"/>
              </w:rPr>
              <w:t>284</w:t>
            </w:r>
          </w:hyperlink>
        </w:p>
        <w:p>
          <w:pPr>
            <w:pStyle w:val="Contents4"/>
            <w:tabs>
              <w:tab w:val="clear" w:pos="8176"/>
              <w:tab w:val="right" w:pos="9026" w:leader="dot"/>
            </w:tabs>
            <w:rPr/>
          </w:pPr>
          <w:hyperlink w:anchor="__RefHeading___Toc910196_774463916">
            <w:r>
              <w:rPr>
                <w:webHidden/>
                <w:rStyle w:val="IndexLink"/>
                <w:rtl w:val="true"/>
              </w:rPr>
              <w:t>حقیقة الإعانة و مفهومها</w:t>
            </w:r>
            <w:r>
              <w:rPr>
                <w:rStyle w:val="IndexLink"/>
                <w:rtl w:val="true"/>
              </w:rPr>
              <w:tab/>
            </w:r>
            <w:r>
              <w:rPr>
                <w:rStyle w:val="IndexLink"/>
              </w:rPr>
              <w:t>285</w:t>
            </w:r>
          </w:hyperlink>
        </w:p>
        <w:p>
          <w:pPr>
            <w:pStyle w:val="Contents5"/>
            <w:tabs>
              <w:tab w:val="clear" w:pos="7892"/>
              <w:tab w:val="right" w:pos="9026" w:leader="dot"/>
            </w:tabs>
            <w:rPr/>
          </w:pPr>
          <w:hyperlink w:anchor="__RefHeading___Toc910198_774463916">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910200_774463916">
            <w:r>
              <w:rPr>
                <w:webHidden/>
                <w:rStyle w:val="IndexLink"/>
                <w:rtl w:val="true"/>
              </w:rPr>
              <w:t>حکم الإعانة علی الإثم</w:t>
            </w:r>
            <w:r>
              <w:rPr>
                <w:rStyle w:val="IndexLink"/>
                <w:rtl w:val="true"/>
              </w:rPr>
              <w:tab/>
            </w:r>
            <w:r>
              <w:rPr>
                <w:rStyle w:val="IndexLink"/>
              </w:rPr>
              <w:t>291</w:t>
            </w:r>
          </w:hyperlink>
        </w:p>
        <w:p>
          <w:pPr>
            <w:pStyle w:val="Contents5"/>
            <w:tabs>
              <w:tab w:val="clear" w:pos="7892"/>
              <w:tab w:val="right" w:pos="9026" w:leader="dot"/>
            </w:tabs>
            <w:rPr/>
          </w:pPr>
          <w:hyperlink w:anchor="__RefHeading___Toc910202_774463916">
            <w:r>
              <w:rPr>
                <w:webHidden/>
                <w:rStyle w:val="IndexLink"/>
                <w:rtl w:val="true"/>
              </w:rPr>
              <w:t>الاستدلال علی حرمة الإعانة و الجواب عنه</w:t>
            </w:r>
            <w:r>
              <w:rPr>
                <w:rStyle w:val="IndexLink"/>
                <w:rtl w:val="true"/>
              </w:rPr>
              <w:tab/>
            </w:r>
            <w:r>
              <w:rPr>
                <w:rStyle w:val="IndexLink"/>
              </w:rPr>
              <w:t>292</w:t>
            </w:r>
          </w:hyperlink>
        </w:p>
        <w:p>
          <w:pPr>
            <w:pStyle w:val="Contents5"/>
            <w:tabs>
              <w:tab w:val="clear" w:pos="7892"/>
              <w:tab w:val="right" w:pos="9026" w:leader="dot"/>
            </w:tabs>
            <w:rPr/>
          </w:pPr>
          <w:hyperlink w:anchor="__RefHeading___Toc910204_774463916">
            <w:r>
              <w:rPr>
                <w:webHidden/>
                <w:rStyle w:val="IndexLink"/>
                <w:rtl w:val="true"/>
              </w:rPr>
              <w:t>تتمیم و فیه تأسیس</w:t>
            </w:r>
            <w:r>
              <w:rPr>
                <w:rStyle w:val="IndexLink"/>
                <w:rtl w:val="true"/>
              </w:rPr>
              <w:tab/>
            </w:r>
            <w:r>
              <w:rPr>
                <w:rStyle w:val="IndexLink"/>
              </w:rPr>
              <w:t>296</w:t>
            </w:r>
          </w:hyperlink>
        </w:p>
        <w:p>
          <w:pPr>
            <w:pStyle w:val="Contents5"/>
            <w:tabs>
              <w:tab w:val="clear" w:pos="7892"/>
              <w:tab w:val="right" w:pos="9026" w:leader="dot"/>
            </w:tabs>
            <w:rPr/>
          </w:pPr>
          <w:hyperlink w:anchor="__RefHeading___Toc910206_774463916">
            <w:r>
              <w:rPr>
                <w:webHidden/>
                <w:rStyle w:val="IndexLink"/>
                <w:rtl w:val="true"/>
              </w:rPr>
              <w:t>حرمة الإعانة علی الإثم کحرمة الکذب تقبل التخصیص</w:t>
            </w:r>
            <w:r>
              <w:rPr>
                <w:rStyle w:val="IndexLink"/>
                <w:rtl w:val="true"/>
              </w:rPr>
              <w:tab/>
            </w:r>
            <w:r>
              <w:rPr>
                <w:rStyle w:val="IndexLink"/>
              </w:rPr>
              <w:t>298</w:t>
            </w:r>
          </w:hyperlink>
        </w:p>
        <w:p>
          <w:pPr>
            <w:pStyle w:val="Contents3"/>
            <w:tabs>
              <w:tab w:val="clear" w:pos="8459"/>
              <w:tab w:val="right" w:pos="9026" w:leader="dot"/>
            </w:tabs>
            <w:rPr/>
          </w:pPr>
          <w:hyperlink w:anchor="__RefHeading___Toc910208_774463916">
            <w:r>
              <w:rPr>
                <w:webHidden/>
                <w:rStyle w:val="IndexLink"/>
                <w:rtl w:val="true"/>
              </w:rPr>
              <w:t>الثالث ما یحرم لتحریم ما یقصد منه شأنا</w:t>
            </w:r>
            <w:r>
              <w:rPr>
                <w:rStyle w:val="IndexLink"/>
                <w:rtl w:val="true"/>
              </w:rPr>
              <w:tab/>
            </w:r>
            <w:r>
              <w:rPr>
                <w:rStyle w:val="IndexLink"/>
              </w:rPr>
              <w:t>300</w:t>
            </w:r>
          </w:hyperlink>
        </w:p>
        <w:p>
          <w:pPr>
            <w:pStyle w:val="Contents4"/>
            <w:tabs>
              <w:tab w:val="clear" w:pos="8176"/>
              <w:tab w:val="right" w:pos="9026" w:leader="dot"/>
            </w:tabs>
            <w:rPr/>
          </w:pPr>
          <w:hyperlink w:anchor="__RefHeading___Toc910210_774463916">
            <w:r>
              <w:rPr>
                <w:webHidden/>
                <w:rStyle w:val="IndexLink"/>
                <w:rtl w:val="true"/>
              </w:rPr>
              <w:t>حرمة بیع السلاح من أعداء الدین</w:t>
            </w:r>
            <w:r>
              <w:rPr>
                <w:rStyle w:val="IndexLink"/>
                <w:rtl w:val="true"/>
              </w:rPr>
              <w:tab/>
            </w:r>
            <w:r>
              <w:rPr>
                <w:rStyle w:val="IndexLink"/>
              </w:rPr>
              <w:t>300</w:t>
            </w:r>
          </w:hyperlink>
        </w:p>
        <w:p>
          <w:pPr>
            <w:pStyle w:val="Contents5"/>
            <w:tabs>
              <w:tab w:val="clear" w:pos="7892"/>
              <w:tab w:val="right" w:pos="9026" w:leader="dot"/>
            </w:tabs>
            <w:rPr/>
          </w:pPr>
          <w:hyperlink w:anchor="__RefHeading___Toc910212_774463916">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910214_774463916">
            <w:r>
              <w:rPr>
                <w:webHidden/>
                <w:rStyle w:val="IndexLink"/>
                <w:rtl w:val="true"/>
              </w:rPr>
              <w:t>تفصیل المصنّف بین حالتی الحرب و الصلح</w:t>
            </w:r>
            <w:r>
              <w:rPr>
                <w:rStyle w:val="IndexLink"/>
                <w:rtl w:val="true"/>
              </w:rPr>
              <w:tab/>
            </w:r>
            <w:r>
              <w:rPr>
                <w:rStyle w:val="IndexLink"/>
              </w:rPr>
              <w:t>301</w:t>
            </w:r>
          </w:hyperlink>
        </w:p>
        <w:p>
          <w:pPr>
            <w:pStyle w:val="Contents5"/>
            <w:tabs>
              <w:tab w:val="clear" w:pos="7892"/>
              <w:tab w:val="right" w:pos="9026" w:leader="dot"/>
            </w:tabs>
            <w:rPr/>
          </w:pPr>
          <w:hyperlink w:anchor="__RefHeading___Toc910216_774463916">
            <w:r>
              <w:rPr>
                <w:webHidden/>
                <w:rStyle w:val="IndexLink"/>
                <w:rtl w:val="true"/>
              </w:rPr>
              <w:t>شمول التحریم لمطلق آلات الحرب</w:t>
            </w:r>
            <w:r>
              <w:rPr>
                <w:rStyle w:val="IndexLink"/>
                <w:rtl w:val="true"/>
              </w:rPr>
              <w:tab/>
            </w:r>
            <w:r>
              <w:rPr>
                <w:rStyle w:val="IndexLink"/>
              </w:rPr>
              <w:t>306</w:t>
            </w:r>
          </w:hyperlink>
        </w:p>
        <w:p>
          <w:pPr>
            <w:pStyle w:val="Contents5"/>
            <w:tabs>
              <w:tab w:val="clear" w:pos="7892"/>
              <w:tab w:val="right" w:pos="9026" w:leader="dot"/>
            </w:tabs>
            <w:rPr/>
          </w:pPr>
          <w:hyperlink w:anchor="__RefHeading___Toc910218_774463916">
            <w:r>
              <w:rPr>
                <w:webHidden/>
                <w:rStyle w:val="IndexLink"/>
                <w:rtl w:val="true"/>
              </w:rPr>
              <w:t>هل الحرمة فی المقام تکلیفیة فقط أو وضعیة أیضا؟</w:t>
            </w:r>
            <w:r>
              <w:rPr>
                <w:rStyle w:val="IndexLink"/>
                <w:rtl w:val="true"/>
              </w:rPr>
              <w:tab/>
            </w:r>
            <w:r>
              <w:rPr>
                <w:rStyle w:val="IndexLink"/>
              </w:rPr>
              <w:t>309</w:t>
            </w:r>
          </w:hyperlink>
        </w:p>
        <w:p>
          <w:pPr>
            <w:pStyle w:val="Contents2"/>
            <w:tabs>
              <w:tab w:val="clear" w:pos="8743"/>
              <w:tab w:val="right" w:pos="9026" w:leader="dot"/>
            </w:tabs>
            <w:rPr/>
          </w:pPr>
          <w:hyperlink w:anchor="__RefHeading___Toc910220_774463916">
            <w:r>
              <w:rPr>
                <w:webHidden/>
                <w:rStyle w:val="IndexLink"/>
                <w:rtl w:val="true"/>
              </w:rPr>
              <w:t>النوع الثالث</w:t>
            </w:r>
            <w:r>
              <w:rPr>
                <w:rStyle w:val="IndexLink"/>
                <w:rtl w:val="true"/>
              </w:rPr>
              <w:t>:</w:t>
            </w:r>
            <w:r>
              <w:rPr>
                <w:rStyle w:val="IndexLink"/>
                <w:rtl w:val="true"/>
              </w:rPr>
              <w:t>ما لا منفعة فیه محلّلة معتدا بها</w:t>
            </w:r>
            <w:r>
              <w:rPr>
                <w:rStyle w:val="IndexLink"/>
                <w:rtl w:val="true"/>
              </w:rPr>
              <w:tab/>
            </w:r>
            <w:r>
              <w:rPr>
                <w:rStyle w:val="IndexLink"/>
              </w:rPr>
              <w:t>310</w:t>
            </w:r>
          </w:hyperlink>
        </w:p>
        <w:p>
          <w:pPr>
            <w:pStyle w:val="Contents3"/>
            <w:tabs>
              <w:tab w:val="clear" w:pos="8459"/>
              <w:tab w:val="right" w:pos="9026" w:leader="dot"/>
            </w:tabs>
            <w:rPr/>
          </w:pPr>
          <w:hyperlink w:anchor="__RefHeading___Toc910222_774463916">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910224_774463916">
            <w:r>
              <w:rPr>
                <w:webHidden/>
                <w:rStyle w:val="IndexLink"/>
                <w:rtl w:val="true"/>
              </w:rPr>
              <w:t>الاستدلال علی فساد بیعه و الجواب عنه</w:t>
            </w:r>
            <w:r>
              <w:rPr>
                <w:rStyle w:val="IndexLink"/>
                <w:rtl w:val="true"/>
              </w:rPr>
              <w:tab/>
            </w:r>
            <w:r>
              <w:rPr>
                <w:rStyle w:val="IndexLink"/>
              </w:rPr>
              <w:t>311</w:t>
            </w:r>
          </w:hyperlink>
        </w:p>
        <w:p>
          <w:pPr>
            <w:pStyle w:val="Contents3"/>
            <w:tabs>
              <w:tab w:val="clear" w:pos="8459"/>
              <w:tab w:val="right" w:pos="9026" w:leader="dot"/>
            </w:tabs>
            <w:rPr/>
          </w:pPr>
          <w:hyperlink w:anchor="__RefHeading___Toc910226_774463916">
            <w:r>
              <w:rPr>
                <w:webHidden/>
                <w:rStyle w:val="IndexLink"/>
                <w:rtl w:val="true"/>
              </w:rPr>
              <w:t>ضمان ما لا نفع فیه لو غصب</w:t>
            </w:r>
            <w:r>
              <w:rPr>
                <w:rStyle w:val="IndexLink"/>
                <w:rtl w:val="true"/>
              </w:rPr>
              <w:tab/>
            </w:r>
            <w:r>
              <w:rPr>
                <w:rStyle w:val="IndexLink"/>
              </w:rPr>
              <w:t>316</w:t>
            </w:r>
          </w:hyperlink>
        </w:p>
        <w:p>
          <w:pPr>
            <w:pStyle w:val="Contents2"/>
            <w:tabs>
              <w:tab w:val="clear" w:pos="8743"/>
              <w:tab w:val="right" w:pos="9026" w:leader="dot"/>
            </w:tabs>
            <w:rPr/>
          </w:pPr>
          <w:hyperlink w:anchor="__RefHeading___Toc910228_774463916">
            <w:r>
              <w:rPr>
                <w:webHidden/>
                <w:rStyle w:val="IndexLink"/>
                <w:rtl w:val="true"/>
              </w:rPr>
              <w:t>النوع الرابع</w:t>
            </w:r>
            <w:r>
              <w:rPr>
                <w:rStyle w:val="IndexLink"/>
                <w:rtl w:val="true"/>
              </w:rPr>
              <w:t>:</w:t>
            </w:r>
            <w:r>
              <w:rPr>
                <w:rStyle w:val="IndexLink"/>
                <w:rtl w:val="true"/>
              </w:rPr>
              <w:t>ما یحرم الاکتساب به لکونه عملا محرّما فی نفسه</w:t>
            </w:r>
            <w:r>
              <w:rPr>
                <w:rStyle w:val="IndexLink"/>
                <w:rtl w:val="true"/>
              </w:rPr>
              <w:tab/>
            </w:r>
            <w:r>
              <w:rPr>
                <w:rStyle w:val="IndexLink"/>
              </w:rPr>
              <w:t>318</w:t>
            </w:r>
          </w:hyperlink>
        </w:p>
        <w:p>
          <w:pPr>
            <w:pStyle w:val="Contents3"/>
            <w:tabs>
              <w:tab w:val="clear" w:pos="8459"/>
              <w:tab w:val="right" w:pos="9026" w:leader="dot"/>
            </w:tabs>
            <w:rPr/>
          </w:pPr>
          <w:hyperlink w:anchor="__RefHeading___Toc910230_774463916">
            <w:r>
              <w:rPr>
                <w:webHidden/>
                <w:rStyle w:val="IndexLink"/>
                <w:rtl w:val="true"/>
              </w:rPr>
              <w:t>حکم تدلیس الماشطة</w:t>
            </w:r>
            <w:r>
              <w:rPr>
                <w:rStyle w:val="IndexLink"/>
                <w:rtl w:val="true"/>
              </w:rPr>
              <w:tab/>
            </w:r>
            <w:r>
              <w:rPr>
                <w:rStyle w:val="IndexLink"/>
              </w:rPr>
              <w:t>318</w:t>
            </w:r>
          </w:hyperlink>
        </w:p>
        <w:p>
          <w:pPr>
            <w:pStyle w:val="Contents4"/>
            <w:tabs>
              <w:tab w:val="clear" w:pos="8176"/>
              <w:tab w:val="right" w:pos="9026" w:leader="dot"/>
            </w:tabs>
            <w:rPr/>
          </w:pPr>
          <w:hyperlink w:anchor="__RefHeading___Toc910232_774463916">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910234_774463916">
            <w:r>
              <w:rPr>
                <w:webHidden/>
                <w:rStyle w:val="IndexLink"/>
                <w:rtl w:val="true"/>
              </w:rPr>
              <w:t>هل یحرم التدلیس فی المقام؟</w:t>
            </w:r>
            <w:r>
              <w:rPr>
                <w:rStyle w:val="IndexLink"/>
                <w:rtl w:val="true"/>
              </w:rPr>
              <w:tab/>
            </w:r>
            <w:r>
              <w:rPr>
                <w:rStyle w:val="IndexLink"/>
              </w:rPr>
              <w:t>320</w:t>
            </w:r>
          </w:hyperlink>
        </w:p>
        <w:p>
          <w:pPr>
            <w:pStyle w:val="Contents4"/>
            <w:tabs>
              <w:tab w:val="clear" w:pos="8176"/>
              <w:tab w:val="right" w:pos="9026" w:leader="dot"/>
            </w:tabs>
            <w:rPr/>
          </w:pPr>
          <w:hyperlink w:anchor="__RefHeading___Toc910236_774463916">
            <w:r>
              <w:rPr>
                <w:webHidden/>
                <w:rStyle w:val="IndexLink"/>
                <w:rtl w:val="true"/>
              </w:rPr>
              <w:t>حکم تمشیط الماشطة</w:t>
            </w:r>
            <w:r>
              <w:rPr>
                <w:rStyle w:val="IndexLink"/>
                <w:rtl w:val="true"/>
              </w:rPr>
              <w:tab/>
            </w:r>
            <w:r>
              <w:rPr>
                <w:rStyle w:val="IndexLink"/>
              </w:rPr>
              <w:t>321</w:t>
            </w:r>
          </w:hyperlink>
        </w:p>
        <w:p>
          <w:pPr>
            <w:pStyle w:val="Contents4"/>
            <w:tabs>
              <w:tab w:val="clear" w:pos="8176"/>
              <w:tab w:val="right" w:pos="9026" w:leader="dot"/>
            </w:tabs>
            <w:rPr/>
          </w:pPr>
          <w:hyperlink w:anchor="__RefHeading___Toc910238_774463916">
            <w:r>
              <w:rPr>
                <w:webHidden/>
                <w:rStyle w:val="IndexLink"/>
                <w:rtl w:val="true"/>
              </w:rPr>
              <w:t>البحث فیما ورد من لعن الماشطة علی الوصل و النمص</w:t>
            </w:r>
            <w:r>
              <w:rPr>
                <w:rStyle w:val="IndexLink"/>
                <w:rtl w:val="true"/>
              </w:rPr>
              <w:tab/>
            </w:r>
            <w:r>
              <w:rPr>
                <w:rStyle w:val="IndexLink"/>
              </w:rPr>
              <w:t>325</w:t>
            </w:r>
          </w:hyperlink>
        </w:p>
        <w:p>
          <w:pPr>
            <w:pStyle w:val="Contents4"/>
            <w:tabs>
              <w:tab w:val="clear" w:pos="8176"/>
              <w:tab w:val="right" w:pos="9026" w:leader="dot"/>
            </w:tabs>
            <w:rPr/>
          </w:pPr>
          <w:hyperlink w:anchor="__RefHeading___Toc910240_774463916">
            <w:r>
              <w:rPr>
                <w:webHidden/>
                <w:rStyle w:val="IndexLink"/>
                <w:rtl w:val="true"/>
              </w:rPr>
              <w:t>الجمع بین الروایات الواردة فی وصل الشعر بشعر امرأة</w:t>
            </w:r>
            <w:r>
              <w:rPr>
                <w:rStyle w:val="IndexLink"/>
                <w:rtl w:val="true"/>
              </w:rPr>
              <w:tab/>
            </w:r>
            <w:r>
              <w:rPr>
                <w:rStyle w:val="IndexLink"/>
              </w:rPr>
              <w:t>326</w:t>
            </w:r>
          </w:hyperlink>
        </w:p>
        <w:p>
          <w:pPr>
            <w:pStyle w:val="Contents4"/>
            <w:tabs>
              <w:tab w:val="clear" w:pos="8176"/>
              <w:tab w:val="right" w:pos="9026" w:leader="dot"/>
            </w:tabs>
            <w:rPr/>
          </w:pPr>
          <w:hyperlink w:anchor="__RefHeading___Toc910242_774463916">
            <w:r>
              <w:rPr>
                <w:webHidden/>
                <w:rStyle w:val="IndexLink"/>
                <w:rtl w:val="true"/>
              </w:rPr>
              <w:t>حکم وشم الأطفال</w:t>
            </w:r>
            <w:r>
              <w:rPr>
                <w:rStyle w:val="IndexLink"/>
                <w:rtl w:val="true"/>
              </w:rPr>
              <w:tab/>
            </w:r>
            <w:r>
              <w:rPr>
                <w:rStyle w:val="IndexLink"/>
              </w:rPr>
              <w:t>331</w:t>
            </w:r>
          </w:hyperlink>
        </w:p>
        <w:p>
          <w:pPr>
            <w:pStyle w:val="Contents4"/>
            <w:tabs>
              <w:tab w:val="clear" w:pos="8176"/>
              <w:tab w:val="right" w:pos="9026" w:leader="dot"/>
            </w:tabs>
            <w:rPr/>
          </w:pPr>
          <w:hyperlink w:anchor="__RefHeading___Toc910244_774463916">
            <w:r>
              <w:rPr>
                <w:webHidden/>
                <w:rStyle w:val="IndexLink"/>
                <w:rtl w:val="true"/>
              </w:rPr>
              <w:t>معنی التدلیس</w:t>
            </w:r>
            <w:r>
              <w:rPr>
                <w:rStyle w:val="IndexLink"/>
                <w:rtl w:val="true"/>
              </w:rPr>
              <w:tab/>
            </w:r>
            <w:r>
              <w:rPr>
                <w:rStyle w:val="IndexLink"/>
              </w:rPr>
              <w:t>331</w:t>
            </w:r>
          </w:hyperlink>
        </w:p>
        <w:p>
          <w:pPr>
            <w:pStyle w:val="Contents3"/>
            <w:tabs>
              <w:tab w:val="clear" w:pos="8459"/>
              <w:tab w:val="right" w:pos="9026" w:leader="dot"/>
            </w:tabs>
            <w:rPr/>
          </w:pPr>
          <w:hyperlink w:anchor="__RefHeading___Toc910246_774463916">
            <w:r>
              <w:rPr>
                <w:webHidden/>
                <w:rStyle w:val="IndexLink"/>
                <w:rtl w:val="true"/>
              </w:rPr>
              <w:t>تزیین الرجل بما یحرم علیه</w:t>
            </w:r>
            <w:r>
              <w:rPr>
                <w:rStyle w:val="IndexLink"/>
                <w:rtl w:val="true"/>
              </w:rPr>
              <w:tab/>
            </w:r>
            <w:r>
              <w:rPr>
                <w:rStyle w:val="IndexLink"/>
              </w:rPr>
              <w:t>332</w:t>
            </w:r>
          </w:hyperlink>
        </w:p>
        <w:p>
          <w:pPr>
            <w:pStyle w:val="Contents3"/>
            <w:tabs>
              <w:tab w:val="clear" w:pos="8459"/>
              <w:tab w:val="right" w:pos="9026" w:leader="dot"/>
            </w:tabs>
            <w:rPr/>
          </w:pPr>
          <w:hyperlink w:anchor="__RefHeading___Toc910248_774463916">
            <w:r>
              <w:rPr>
                <w:webHidden/>
                <w:rStyle w:val="IndexLink"/>
                <w:rtl w:val="true"/>
              </w:rPr>
              <w:t>تشبّه الرجل بالمرأة و تشبّه المرأة بالرجل</w:t>
            </w:r>
            <w:r>
              <w:rPr>
                <w:rStyle w:val="IndexLink"/>
                <w:rtl w:val="true"/>
              </w:rPr>
              <w:tab/>
            </w:r>
            <w:r>
              <w:rPr>
                <w:rStyle w:val="IndexLink"/>
              </w:rPr>
              <w:t>334</w:t>
            </w:r>
          </w:hyperlink>
        </w:p>
        <w:p>
          <w:pPr>
            <w:pStyle w:val="Contents4"/>
            <w:tabs>
              <w:tab w:val="clear" w:pos="8176"/>
              <w:tab w:val="right" w:pos="9026" w:leader="dot"/>
            </w:tabs>
            <w:rPr/>
          </w:pPr>
          <w:hyperlink w:anchor="__RefHeading___Toc910250_774463916">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910252_774463916">
            <w:r>
              <w:rPr>
                <w:webHidden/>
                <w:rStyle w:val="IndexLink"/>
                <w:rtl w:val="true"/>
              </w:rPr>
              <w:t>التشبّه فی اللباس</w:t>
            </w:r>
            <w:r>
              <w:rPr>
                <w:rStyle w:val="IndexLink"/>
                <w:rtl w:val="true"/>
              </w:rPr>
              <w:tab/>
            </w:r>
            <w:r>
              <w:rPr>
                <w:rStyle w:val="IndexLink"/>
              </w:rPr>
              <w:t>337</w:t>
            </w:r>
          </w:hyperlink>
        </w:p>
        <w:p>
          <w:pPr>
            <w:pStyle w:val="Contents3"/>
            <w:tabs>
              <w:tab w:val="clear" w:pos="8459"/>
              <w:tab w:val="right" w:pos="9026" w:leader="dot"/>
            </w:tabs>
            <w:rPr/>
          </w:pPr>
          <w:hyperlink w:anchor="__RefHeading___Toc910254_774463916">
            <w:r>
              <w:rPr>
                <w:webHidden/>
                <w:rStyle w:val="IndexLink"/>
                <w:rtl w:val="true"/>
              </w:rPr>
              <w:t>التشبیب بالمرأة الأجنبیة</w:t>
            </w:r>
            <w:r>
              <w:rPr>
                <w:rStyle w:val="IndexLink"/>
                <w:rtl w:val="true"/>
              </w:rPr>
              <w:tab/>
            </w:r>
            <w:r>
              <w:rPr>
                <w:rStyle w:val="IndexLink"/>
              </w:rPr>
              <w:t>339</w:t>
            </w:r>
          </w:hyperlink>
        </w:p>
        <w:p>
          <w:pPr>
            <w:pStyle w:val="Contents4"/>
            <w:tabs>
              <w:tab w:val="clear" w:pos="8176"/>
              <w:tab w:val="right" w:pos="9026" w:leader="dot"/>
            </w:tabs>
            <w:rPr/>
          </w:pPr>
          <w:hyperlink w:anchor="__RefHeading___Toc910256_774463916">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910258_774463916">
            <w:r>
              <w:rPr>
                <w:webHidden/>
                <w:rStyle w:val="IndexLink"/>
                <w:rtl w:val="true"/>
              </w:rPr>
              <w:t>الاستدلال علی حرمة ذلک و الجواب عنه</w:t>
            </w:r>
            <w:r>
              <w:rPr>
                <w:rStyle w:val="IndexLink"/>
                <w:rtl w:val="true"/>
              </w:rPr>
              <w:tab/>
            </w:r>
            <w:r>
              <w:rPr>
                <w:rStyle w:val="IndexLink"/>
              </w:rPr>
              <w:t>340</w:t>
            </w:r>
          </w:hyperlink>
        </w:p>
        <w:p>
          <w:pPr>
            <w:pStyle w:val="Contents4"/>
            <w:tabs>
              <w:tab w:val="clear" w:pos="8176"/>
              <w:tab w:val="right" w:pos="9026" w:leader="dot"/>
            </w:tabs>
            <w:rPr/>
          </w:pPr>
          <w:hyperlink w:anchor="__RefHeading___Toc910260_774463916">
            <w:r>
              <w:rPr>
                <w:webHidden/>
                <w:rStyle w:val="IndexLink"/>
                <w:rtl w:val="true"/>
              </w:rPr>
              <w:t>ما استدل به علی حرمة التشبیب و الجواب عنه</w:t>
            </w:r>
            <w:r>
              <w:rPr>
                <w:rStyle w:val="IndexLink"/>
                <w:rtl w:val="true"/>
              </w:rPr>
              <w:tab/>
            </w:r>
            <w:r>
              <w:rPr>
                <w:rStyle w:val="IndexLink"/>
              </w:rPr>
              <w:t>342</w:t>
            </w:r>
          </w:hyperlink>
        </w:p>
        <w:p>
          <w:pPr>
            <w:pStyle w:val="Contents4"/>
            <w:tabs>
              <w:tab w:val="clear" w:pos="8176"/>
              <w:tab w:val="right" w:pos="9026" w:leader="dot"/>
            </w:tabs>
            <w:rPr/>
          </w:pPr>
          <w:hyperlink w:anchor="__RefHeading___Toc910262_774463916">
            <w:r>
              <w:rPr>
                <w:webHidden/>
                <w:rStyle w:val="IndexLink"/>
                <w:rtl w:val="true"/>
              </w:rPr>
              <w:t>الأخبار الناهیة عن النظر إلی الأجنبیة</w:t>
            </w:r>
            <w:r>
              <w:rPr>
                <w:rStyle w:val="IndexLink"/>
                <w:rtl w:val="true"/>
              </w:rPr>
              <w:tab/>
            </w:r>
            <w:r>
              <w:rPr>
                <w:rStyle w:val="IndexLink"/>
              </w:rPr>
              <w:t>344</w:t>
            </w:r>
          </w:hyperlink>
        </w:p>
        <w:p>
          <w:pPr>
            <w:pStyle w:val="Contents4"/>
            <w:tabs>
              <w:tab w:val="clear" w:pos="8176"/>
              <w:tab w:val="right" w:pos="9026" w:leader="dot"/>
            </w:tabs>
            <w:rPr/>
          </w:pPr>
          <w:hyperlink w:anchor="__RefHeading___Toc910264_774463916">
            <w:r>
              <w:rPr>
                <w:webHidden/>
                <w:rStyle w:val="IndexLink"/>
                <w:rtl w:val="true"/>
              </w:rPr>
              <w:t>الأخبار الناهیة عن الخلوة بالأجنبیة</w:t>
            </w:r>
            <w:r>
              <w:rPr>
                <w:rStyle w:val="IndexLink"/>
                <w:rtl w:val="true"/>
              </w:rPr>
              <w:tab/>
            </w:r>
            <w:r>
              <w:rPr>
                <w:rStyle w:val="IndexLink"/>
              </w:rPr>
              <w:t>345</w:t>
            </w:r>
          </w:hyperlink>
        </w:p>
        <w:p>
          <w:pPr>
            <w:pStyle w:val="Contents4"/>
            <w:tabs>
              <w:tab w:val="clear" w:pos="8176"/>
              <w:tab w:val="right" w:pos="9026" w:leader="dot"/>
            </w:tabs>
            <w:rPr/>
          </w:pPr>
          <w:hyperlink w:anchor="__RefHeading___Toc910266_774463916">
            <w:r>
              <w:rPr>
                <w:webHidden/>
                <w:rStyle w:val="IndexLink"/>
                <w:rtl w:val="true"/>
              </w:rPr>
              <w:t>التشبیب بالغلام</w:t>
            </w:r>
            <w:r>
              <w:rPr>
                <w:rStyle w:val="IndexLink"/>
                <w:rtl w:val="true"/>
              </w:rPr>
              <w:tab/>
            </w:r>
            <w:r>
              <w:rPr>
                <w:rStyle w:val="IndexLink"/>
              </w:rPr>
              <w:t>351</w:t>
            </w:r>
          </w:hyperlink>
        </w:p>
        <w:p>
          <w:pPr>
            <w:pStyle w:val="Contents3"/>
            <w:tabs>
              <w:tab w:val="clear" w:pos="8459"/>
              <w:tab w:val="right" w:pos="9026" w:leader="dot"/>
            </w:tabs>
            <w:rPr/>
          </w:pPr>
          <w:hyperlink w:anchor="__RefHeading___Toc910268_774463916">
            <w:r>
              <w:rPr>
                <w:webHidden/>
                <w:rStyle w:val="IndexLink"/>
                <w:rtl w:val="true"/>
              </w:rPr>
              <w:t>حرمة التصویر</w:t>
            </w:r>
            <w:r>
              <w:rPr>
                <w:rStyle w:val="IndexLink"/>
                <w:rtl w:val="true"/>
              </w:rPr>
              <w:tab/>
            </w:r>
            <w:r>
              <w:rPr>
                <w:rStyle w:val="IndexLink"/>
              </w:rPr>
              <w:t>352</w:t>
            </w:r>
          </w:hyperlink>
        </w:p>
        <w:p>
          <w:pPr>
            <w:pStyle w:val="Contents4"/>
            <w:tabs>
              <w:tab w:val="clear" w:pos="8176"/>
              <w:tab w:val="right" w:pos="9026" w:leader="dot"/>
            </w:tabs>
            <w:rPr/>
          </w:pPr>
          <w:hyperlink w:anchor="__RefHeading___Toc910270_774463916">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910272_774463916">
            <w:r>
              <w:rPr>
                <w:webHidden/>
                <w:rStyle w:val="IndexLink"/>
                <w:rtl w:val="true"/>
              </w:rPr>
              <w:t>الأقوال فی حرمته</w:t>
            </w:r>
            <w:r>
              <w:rPr>
                <w:rStyle w:val="IndexLink"/>
                <w:rtl w:val="true"/>
              </w:rPr>
              <w:tab/>
            </w:r>
            <w:r>
              <w:rPr>
                <w:rStyle w:val="IndexLink"/>
              </w:rPr>
              <w:t>353</w:t>
            </w:r>
          </w:hyperlink>
        </w:p>
        <w:p>
          <w:pPr>
            <w:pStyle w:val="Contents4"/>
            <w:tabs>
              <w:tab w:val="clear" w:pos="8176"/>
              <w:tab w:val="right" w:pos="9026" w:leader="dot"/>
            </w:tabs>
            <w:rPr/>
          </w:pPr>
          <w:hyperlink w:anchor="__RefHeading___Toc910274_774463916">
            <w:r>
              <w:rPr>
                <w:webHidden/>
                <w:rStyle w:val="IndexLink"/>
                <w:rtl w:val="true"/>
              </w:rPr>
              <w:t>هل یحرم التصویر مطلقا؟</w:t>
            </w:r>
            <w:r>
              <w:rPr>
                <w:rStyle w:val="IndexLink"/>
                <w:rtl w:val="true"/>
              </w:rPr>
              <w:tab/>
            </w:r>
            <w:r>
              <w:rPr>
                <w:rStyle w:val="IndexLink"/>
              </w:rPr>
              <w:t>354</w:t>
            </w:r>
          </w:hyperlink>
        </w:p>
        <w:p>
          <w:pPr>
            <w:pStyle w:val="Contents4"/>
            <w:tabs>
              <w:tab w:val="clear" w:pos="8176"/>
              <w:tab w:val="right" w:pos="9026" w:leader="dot"/>
            </w:tabs>
            <w:rPr/>
          </w:pPr>
          <w:hyperlink w:anchor="__RefHeading___Toc910276_774463916">
            <w:r>
              <w:rPr>
                <w:webHidden/>
                <w:rStyle w:val="IndexLink"/>
                <w:rtl w:val="true"/>
              </w:rPr>
              <w:t>الدلیل علی حرمة تصویر ذوات الأرواح</w:t>
            </w:r>
            <w:r>
              <w:rPr>
                <w:rStyle w:val="IndexLink"/>
                <w:rtl w:val="true"/>
              </w:rPr>
              <w:tab/>
            </w:r>
            <w:r>
              <w:rPr>
                <w:rStyle w:val="IndexLink"/>
              </w:rPr>
              <w:t>357</w:t>
            </w:r>
          </w:hyperlink>
        </w:p>
        <w:p>
          <w:pPr>
            <w:pStyle w:val="Contents4"/>
            <w:tabs>
              <w:tab w:val="clear" w:pos="8176"/>
              <w:tab w:val="right" w:pos="9026" w:leader="dot"/>
            </w:tabs>
            <w:rPr/>
          </w:pPr>
          <w:hyperlink w:anchor="__RefHeading___Toc910278_774463916">
            <w:r>
              <w:rPr>
                <w:webHidden/>
                <w:rStyle w:val="IndexLink"/>
                <w:rtl w:val="true"/>
              </w:rPr>
              <w:t>ما استدل به علی اختصاص الحرمة بالصور المجسّمة</w:t>
            </w:r>
            <w:r>
              <w:rPr>
                <w:rStyle w:val="IndexLink"/>
                <w:rtl w:val="true"/>
              </w:rPr>
              <w:tab/>
            </w:r>
            <w:r>
              <w:rPr>
                <w:rStyle w:val="IndexLink"/>
              </w:rPr>
              <w:t>359</w:t>
            </w:r>
          </w:hyperlink>
        </w:p>
        <w:p>
          <w:pPr>
            <w:pStyle w:val="Contents4"/>
            <w:tabs>
              <w:tab w:val="clear" w:pos="8176"/>
              <w:tab w:val="right" w:pos="9026" w:leader="dot"/>
            </w:tabs>
            <w:rPr/>
          </w:pPr>
          <w:hyperlink w:anchor="__RefHeading___Toc910280_774463916">
            <w:r>
              <w:rPr>
                <w:webHidden/>
                <w:rStyle w:val="IndexLink"/>
                <w:rtl w:val="true"/>
              </w:rPr>
              <w:t>فروع مهمّة</w:t>
            </w:r>
            <w:r>
              <w:rPr>
                <w:rStyle w:val="IndexLink"/>
                <w:rtl w:val="true"/>
              </w:rPr>
              <w:tab/>
            </w:r>
            <w:r>
              <w:rPr>
                <w:rStyle w:val="IndexLink"/>
              </w:rPr>
              <w:t>363</w:t>
            </w:r>
          </w:hyperlink>
        </w:p>
        <w:p>
          <w:pPr>
            <w:pStyle w:val="Contents4"/>
            <w:tabs>
              <w:tab w:val="clear" w:pos="8176"/>
              <w:tab w:val="right" w:pos="9026" w:leader="dot"/>
            </w:tabs>
            <w:rPr/>
          </w:pPr>
          <w:hyperlink w:anchor="__RefHeading___Toc910282_774463916">
            <w:r>
              <w:rPr>
                <w:webHidden/>
                <w:rStyle w:val="IndexLink"/>
                <w:rtl w:val="true"/>
              </w:rPr>
              <w:t>حرمة التصویر غیر مقیّدة بکون الصورة معجبة</w:t>
            </w:r>
            <w:r>
              <w:rPr>
                <w:rStyle w:val="IndexLink"/>
                <w:rtl w:val="true"/>
              </w:rPr>
              <w:tab/>
            </w:r>
            <w:r>
              <w:rPr>
                <w:rStyle w:val="IndexLink"/>
              </w:rPr>
              <w:t>366</w:t>
            </w:r>
          </w:hyperlink>
        </w:p>
        <w:p>
          <w:pPr>
            <w:pStyle w:val="Contents4"/>
            <w:tabs>
              <w:tab w:val="clear" w:pos="8176"/>
              <w:tab w:val="right" w:pos="9026" w:leader="dot"/>
            </w:tabs>
            <w:rPr/>
          </w:pPr>
          <w:hyperlink w:anchor="__RefHeading___Toc910284_774463916">
            <w:r>
              <w:rPr>
                <w:webHidden/>
                <w:rStyle w:val="IndexLink"/>
                <w:rtl w:val="true"/>
              </w:rPr>
              <w:t>اعتبار قصد الحکایة فی حرمة التصویر</w:t>
            </w:r>
            <w:r>
              <w:rPr>
                <w:rStyle w:val="IndexLink"/>
                <w:rtl w:val="true"/>
              </w:rPr>
              <w:tab/>
            </w:r>
            <w:r>
              <w:rPr>
                <w:rStyle w:val="IndexLink"/>
              </w:rPr>
              <w:t>368</w:t>
            </w:r>
          </w:hyperlink>
        </w:p>
        <w:p>
          <w:pPr>
            <w:pStyle w:val="Contents4"/>
            <w:tabs>
              <w:tab w:val="clear" w:pos="8176"/>
              <w:tab w:val="right" w:pos="9026" w:leader="dot"/>
            </w:tabs>
            <w:rPr/>
          </w:pPr>
          <w:hyperlink w:anchor="__RefHeading___Toc910286_774463916">
            <w:r>
              <w:rPr>
                <w:webHidden/>
                <w:rStyle w:val="IndexLink"/>
                <w:rtl w:val="true"/>
              </w:rPr>
              <w:t>اعتبار الصدق العرفی فی حرمة التصویر</w:t>
            </w:r>
            <w:r>
              <w:rPr>
                <w:rStyle w:val="IndexLink"/>
                <w:rtl w:val="true"/>
              </w:rPr>
              <w:tab/>
            </w:r>
            <w:r>
              <w:rPr>
                <w:rStyle w:val="IndexLink"/>
              </w:rPr>
              <w:t>369</w:t>
            </w:r>
          </w:hyperlink>
        </w:p>
        <w:p>
          <w:pPr>
            <w:pStyle w:val="Contents4"/>
            <w:tabs>
              <w:tab w:val="clear" w:pos="8176"/>
              <w:tab w:val="right" w:pos="9026" w:leader="dot"/>
            </w:tabs>
            <w:rPr/>
          </w:pPr>
          <w:hyperlink w:anchor="__RefHeading___Toc910288_774463916">
            <w:r>
              <w:rPr>
                <w:webHidden/>
                <w:rStyle w:val="IndexLink"/>
                <w:rtl w:val="true"/>
              </w:rPr>
              <w:t>جواز أخذ العکس المتعارف</w:t>
            </w:r>
            <w:r>
              <w:rPr>
                <w:rStyle w:val="IndexLink"/>
                <w:rtl w:val="true"/>
              </w:rPr>
              <w:tab/>
            </w:r>
            <w:r>
              <w:rPr>
                <w:rStyle w:val="IndexLink"/>
              </w:rPr>
              <w:t>370</w:t>
            </w:r>
          </w:hyperlink>
        </w:p>
        <w:p>
          <w:pPr>
            <w:pStyle w:val="Contents3"/>
            <w:tabs>
              <w:tab w:val="clear" w:pos="8459"/>
              <w:tab w:val="right" w:pos="9026" w:leader="dot"/>
            </w:tabs>
            <w:rPr/>
          </w:pPr>
          <w:hyperlink w:anchor="__RefHeading___Toc910290_774463916">
            <w:r>
              <w:rPr>
                <w:webHidden/>
                <w:rStyle w:val="IndexLink"/>
                <w:rtl w:val="true"/>
              </w:rPr>
              <w:t>ما استدل به علی حرمة اقتناء الصور المحرّمة</w:t>
            </w:r>
            <w:r>
              <w:rPr>
                <w:rStyle w:val="IndexLink"/>
                <w:rtl w:val="true"/>
              </w:rPr>
              <w:tab/>
            </w:r>
            <w:r>
              <w:rPr>
                <w:rStyle w:val="IndexLink"/>
              </w:rPr>
              <w:t>372</w:t>
            </w:r>
          </w:hyperlink>
        </w:p>
        <w:p>
          <w:pPr>
            <w:pStyle w:val="Contents4"/>
            <w:tabs>
              <w:tab w:val="clear" w:pos="8176"/>
              <w:tab w:val="right" w:pos="9026" w:leader="dot"/>
            </w:tabs>
            <w:rPr/>
          </w:pPr>
          <w:hyperlink w:anchor="__RefHeading___Toc910292_774463916">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910294_774463916">
            <w:r>
              <w:rPr>
                <w:webHidden/>
                <w:rStyle w:val="IndexLink"/>
                <w:rtl w:val="true"/>
              </w:rPr>
              <w:t>مقتضی الجمع بین الروایات هو کراهة الاقتناء</w:t>
            </w:r>
            <w:r>
              <w:rPr>
                <w:rStyle w:val="IndexLink"/>
                <w:rtl w:val="true"/>
              </w:rPr>
              <w:tab/>
            </w:r>
            <w:r>
              <w:rPr>
                <w:rStyle w:val="IndexLink"/>
              </w:rPr>
              <w:t>379</w:t>
            </w:r>
          </w:hyperlink>
        </w:p>
        <w:p>
          <w:pPr>
            <w:pStyle w:val="Contents4"/>
            <w:tabs>
              <w:tab w:val="clear" w:pos="8176"/>
              <w:tab w:val="right" w:pos="9026" w:leader="dot"/>
            </w:tabs>
            <w:rPr/>
          </w:pPr>
          <w:hyperlink w:anchor="__RefHeading___Toc910296_774463916">
            <w:r>
              <w:rPr>
                <w:webHidden/>
                <w:rStyle w:val="IndexLink"/>
                <w:rtl w:val="true"/>
              </w:rPr>
              <w:t>جواز بیع الصور المحرّمة</w:t>
            </w:r>
            <w:r>
              <w:rPr>
                <w:rStyle w:val="IndexLink"/>
                <w:rtl w:val="true"/>
              </w:rPr>
              <w:tab/>
            </w:r>
            <w:r>
              <w:rPr>
                <w:rStyle w:val="IndexLink"/>
              </w:rPr>
              <w:t>381</w:t>
            </w:r>
          </w:hyperlink>
        </w:p>
        <w:p>
          <w:pPr>
            <w:pStyle w:val="Contents3"/>
            <w:tabs>
              <w:tab w:val="clear" w:pos="8459"/>
              <w:tab w:val="right" w:pos="9026" w:leader="dot"/>
            </w:tabs>
            <w:rPr/>
          </w:pPr>
          <w:hyperlink w:anchor="__RefHeading___Toc910298_774463916">
            <w:r>
              <w:rPr>
                <w:webHidden/>
                <w:rStyle w:val="IndexLink"/>
                <w:rtl w:val="true"/>
              </w:rPr>
              <w:t>حرمة التطفیف و البخس</w:t>
            </w:r>
            <w:r>
              <w:rPr>
                <w:rStyle w:val="IndexLink"/>
                <w:rtl w:val="true"/>
              </w:rPr>
              <w:tab/>
            </w:r>
            <w:r>
              <w:rPr>
                <w:rStyle w:val="IndexLink"/>
              </w:rPr>
              <w:t>383</w:t>
            </w:r>
          </w:hyperlink>
        </w:p>
        <w:p>
          <w:pPr>
            <w:pStyle w:val="Contents4"/>
            <w:tabs>
              <w:tab w:val="clear" w:pos="8176"/>
              <w:tab w:val="right" w:pos="9026" w:leader="dot"/>
            </w:tabs>
            <w:rPr/>
          </w:pPr>
          <w:hyperlink w:anchor="__RefHeading___Toc910300_774463916">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910302_774463916">
            <w:r>
              <w:rPr>
                <w:webHidden/>
                <w:rStyle w:val="IndexLink"/>
                <w:rtl w:val="true"/>
              </w:rPr>
              <w:t>أدلّة حرمتهما</w:t>
            </w:r>
            <w:r>
              <w:rPr>
                <w:rStyle w:val="IndexLink"/>
                <w:rtl w:val="true"/>
              </w:rPr>
              <w:tab/>
            </w:r>
            <w:r>
              <w:rPr>
                <w:rStyle w:val="IndexLink"/>
              </w:rPr>
              <w:t>383</w:t>
            </w:r>
          </w:hyperlink>
        </w:p>
        <w:p>
          <w:pPr>
            <w:pStyle w:val="Contents4"/>
            <w:tabs>
              <w:tab w:val="clear" w:pos="8176"/>
              <w:tab w:val="right" w:pos="9026" w:leader="dot"/>
            </w:tabs>
            <w:rPr/>
          </w:pPr>
          <w:hyperlink w:anchor="__RefHeading___Toc910304_774463916">
            <w:r>
              <w:rPr>
                <w:webHidden/>
                <w:rStyle w:val="IndexLink"/>
                <w:rtl w:val="true"/>
              </w:rPr>
              <w:t>صحّة المعاملة المطفّف فیها و فسادها</w:t>
            </w:r>
            <w:r>
              <w:rPr>
                <w:rStyle w:val="IndexLink"/>
                <w:rtl w:val="true"/>
              </w:rPr>
              <w:tab/>
            </w:r>
            <w:r>
              <w:rPr>
                <w:rStyle w:val="IndexLink"/>
              </w:rPr>
              <w:t>386</w:t>
            </w:r>
          </w:hyperlink>
        </w:p>
        <w:p>
          <w:pPr>
            <w:pStyle w:val="Contents3"/>
            <w:tabs>
              <w:tab w:val="clear" w:pos="8459"/>
              <w:tab w:val="right" w:pos="9026" w:leader="dot"/>
            </w:tabs>
            <w:rPr/>
          </w:pPr>
          <w:hyperlink w:anchor="__RefHeading___Toc910306_774463916">
            <w:r>
              <w:rPr>
                <w:webHidden/>
                <w:rStyle w:val="IndexLink"/>
                <w:rtl w:val="true"/>
              </w:rPr>
              <w:t>التنجیم</w:t>
            </w:r>
            <w:r>
              <w:rPr>
                <w:rStyle w:val="IndexLink"/>
                <w:rtl w:val="true"/>
              </w:rPr>
              <w:tab/>
            </w:r>
            <w:r>
              <w:rPr>
                <w:rStyle w:val="IndexLink"/>
              </w:rPr>
              <w:t>389</w:t>
            </w:r>
          </w:hyperlink>
        </w:p>
        <w:p>
          <w:pPr>
            <w:pStyle w:val="Contents4"/>
            <w:tabs>
              <w:tab w:val="clear" w:pos="8176"/>
              <w:tab w:val="right" w:pos="9026" w:leader="dot"/>
            </w:tabs>
            <w:rPr/>
          </w:pPr>
          <w:hyperlink w:anchor="__RefHeading___Toc910308_774463916">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910310_774463916">
            <w:r>
              <w:rPr>
                <w:webHidden/>
                <w:rStyle w:val="IndexLink"/>
                <w:rtl w:val="true"/>
              </w:rPr>
              <w:t>بیان المقدمتین</w:t>
            </w:r>
            <w:r>
              <w:rPr>
                <w:rStyle w:val="IndexLink"/>
                <w:rtl w:val="true"/>
              </w:rPr>
              <w:tab/>
            </w:r>
            <w:r>
              <w:rPr>
                <w:rStyle w:val="IndexLink"/>
              </w:rPr>
              <w:t>389</w:t>
            </w:r>
          </w:hyperlink>
        </w:p>
        <w:p>
          <w:pPr>
            <w:pStyle w:val="Contents5"/>
            <w:tabs>
              <w:tab w:val="clear" w:pos="7892"/>
              <w:tab w:val="right" w:pos="9026" w:leader="dot"/>
            </w:tabs>
            <w:rPr/>
          </w:pPr>
          <w:hyperlink w:anchor="__RefHeading___Toc910312_774463916">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910314_774463916">
            <w:r>
              <w:rPr>
                <w:webHidden/>
                <w:rStyle w:val="IndexLink"/>
                <w:rtl w:val="true"/>
              </w:rPr>
              <w:t>اصول الإسلام أربعة</w:t>
            </w:r>
            <w:r>
              <w:rPr>
                <w:rStyle w:val="IndexLink"/>
                <w:rtl w:val="true"/>
              </w:rPr>
              <w:tab/>
            </w:r>
            <w:r>
              <w:rPr>
                <w:rStyle w:val="IndexLink"/>
              </w:rPr>
              <w:t>389</w:t>
            </w:r>
          </w:hyperlink>
        </w:p>
        <w:p>
          <w:pPr>
            <w:pStyle w:val="Contents5"/>
            <w:tabs>
              <w:tab w:val="clear" w:pos="7892"/>
              <w:tab w:val="right" w:pos="9026" w:leader="dot"/>
            </w:tabs>
            <w:rPr/>
          </w:pPr>
          <w:hyperlink w:anchor="__RefHeading___Toc910316_774463916">
            <w:r>
              <w:rPr>
                <w:webHidden/>
                <w:rStyle w:val="IndexLink"/>
                <w:rtl w:val="true"/>
              </w:rPr>
              <w:t>تأثیر الکیفیات الخاصّة بین الفلکیات فی الأوضاع الأرضیة</w:t>
            </w:r>
            <w:r>
              <w:rPr>
                <w:rStyle w:val="IndexLink"/>
                <w:rtl w:val="true"/>
              </w:rPr>
              <w:tab/>
            </w:r>
            <w:r>
              <w:rPr>
                <w:rStyle w:val="IndexLink"/>
              </w:rPr>
              <w:t>391</w:t>
            </w:r>
          </w:hyperlink>
        </w:p>
        <w:p>
          <w:pPr>
            <w:pStyle w:val="Contents4"/>
            <w:tabs>
              <w:tab w:val="clear" w:pos="8176"/>
              <w:tab w:val="right" w:pos="9026" w:leader="dot"/>
            </w:tabs>
            <w:rPr/>
          </w:pPr>
          <w:hyperlink w:anchor="__RefHeading___Toc910318_774463916">
            <w:r>
              <w:rPr>
                <w:webHidden/>
                <w:rStyle w:val="IndexLink"/>
                <w:rtl w:val="true"/>
              </w:rPr>
              <w:t>رأی الفلاسفة فی النفوس الفلکیة</w:t>
            </w:r>
            <w:r>
              <w:rPr>
                <w:rStyle w:val="IndexLink"/>
                <w:rtl w:val="true"/>
              </w:rPr>
              <w:tab/>
            </w:r>
            <w:r>
              <w:rPr>
                <w:rStyle w:val="IndexLink"/>
              </w:rPr>
              <w:t>392</w:t>
            </w:r>
          </w:hyperlink>
        </w:p>
        <w:p>
          <w:pPr>
            <w:pStyle w:val="Contents4"/>
            <w:tabs>
              <w:tab w:val="clear" w:pos="8176"/>
              <w:tab w:val="right" w:pos="9026" w:leader="dot"/>
            </w:tabs>
            <w:rPr/>
          </w:pPr>
          <w:hyperlink w:anchor="__RefHeading___Toc910320_774463916">
            <w:r>
              <w:rPr>
                <w:webHidden/>
                <w:rStyle w:val="IndexLink"/>
                <w:rtl w:val="true"/>
              </w:rPr>
              <w:t>تأثیر الأوضاع الفلکیة بنفسها فی الحوادث</w:t>
            </w:r>
            <w:r>
              <w:rPr>
                <w:rStyle w:val="IndexLink"/>
                <w:rtl w:val="true"/>
              </w:rPr>
              <w:tab/>
            </w:r>
            <w:r>
              <w:rPr>
                <w:rStyle w:val="IndexLink"/>
              </w:rPr>
              <w:t>393</w:t>
            </w:r>
          </w:hyperlink>
        </w:p>
        <w:p>
          <w:pPr>
            <w:pStyle w:val="Contents4"/>
            <w:tabs>
              <w:tab w:val="clear" w:pos="8176"/>
              <w:tab w:val="right" w:pos="9026" w:leader="dot"/>
            </w:tabs>
            <w:rPr/>
          </w:pPr>
          <w:hyperlink w:anchor="__RefHeading___Toc910322_774463916">
            <w:r>
              <w:rPr>
                <w:webHidden/>
                <w:rStyle w:val="IndexLink"/>
                <w:rtl w:val="true"/>
              </w:rPr>
              <w:t>علامیة أوضاع الکواکب علی الحوادث الأرضیة</w:t>
            </w:r>
            <w:r>
              <w:rPr>
                <w:rStyle w:val="IndexLink"/>
                <w:rtl w:val="true"/>
              </w:rPr>
              <w:tab/>
            </w:r>
            <w:r>
              <w:rPr>
                <w:rStyle w:val="IndexLink"/>
              </w:rPr>
              <w:t>395</w:t>
            </w:r>
          </w:hyperlink>
        </w:p>
        <w:p>
          <w:pPr>
            <w:pStyle w:val="Contents4"/>
            <w:tabs>
              <w:tab w:val="clear" w:pos="8176"/>
              <w:tab w:val="right" w:pos="9026" w:leader="dot"/>
            </w:tabs>
            <w:rPr/>
          </w:pPr>
          <w:hyperlink w:anchor="__RefHeading___Toc910324_774463916">
            <w:r>
              <w:rPr>
                <w:webHidden/>
                <w:rStyle w:val="IndexLink"/>
                <w:rtl w:val="true"/>
              </w:rPr>
              <w:t>الالتزام بأنّه تعالی أودع فیها ما یقتضی حدوث بعض الحوادث</w:t>
            </w:r>
            <w:r>
              <w:rPr>
                <w:rStyle w:val="IndexLink"/>
                <w:rtl w:val="true"/>
              </w:rPr>
              <w:tab/>
            </w:r>
            <w:r>
              <w:rPr>
                <w:rStyle w:val="IndexLink"/>
              </w:rPr>
              <w:t>396</w:t>
            </w:r>
          </w:hyperlink>
        </w:p>
        <w:p>
          <w:pPr>
            <w:pStyle w:val="Contents4"/>
            <w:tabs>
              <w:tab w:val="clear" w:pos="8176"/>
              <w:tab w:val="right" w:pos="9026" w:leader="dot"/>
            </w:tabs>
            <w:rPr/>
          </w:pPr>
          <w:hyperlink w:anchor="__RefHeading___Toc910326_774463916">
            <w:r>
              <w:rPr>
                <w:webHidden/>
                <w:rStyle w:val="IndexLink"/>
                <w:rtl w:val="true"/>
              </w:rPr>
              <w:t>تعلّم علم النجوم</w:t>
            </w:r>
            <w:r>
              <w:rPr>
                <w:rStyle w:val="IndexLink"/>
                <w:rtl w:val="true"/>
              </w:rPr>
              <w:tab/>
            </w:r>
            <w:r>
              <w:rPr>
                <w:rStyle w:val="IndexLink"/>
              </w:rPr>
              <w:t>399</w:t>
            </w:r>
          </w:hyperlink>
        </w:p>
        <w:p>
          <w:pPr>
            <w:pStyle w:val="Contents3"/>
            <w:tabs>
              <w:tab w:val="clear" w:pos="8459"/>
              <w:tab w:val="right" w:pos="9026" w:leader="dot"/>
            </w:tabs>
            <w:rPr/>
          </w:pPr>
          <w:hyperlink w:anchor="__RefHeading___Toc910328_774463916">
            <w:r>
              <w:rPr>
                <w:webHidden/>
                <w:rStyle w:val="IndexLink"/>
                <w:rtl w:val="true"/>
              </w:rPr>
              <w:t>حفظ کتب الضلال</w:t>
            </w:r>
            <w:r>
              <w:rPr>
                <w:rStyle w:val="IndexLink"/>
                <w:rtl w:val="true"/>
              </w:rPr>
              <w:tab/>
            </w:r>
            <w:r>
              <w:rPr>
                <w:rStyle w:val="IndexLink"/>
              </w:rPr>
              <w:t>400</w:t>
            </w:r>
          </w:hyperlink>
        </w:p>
        <w:p>
          <w:pPr>
            <w:pStyle w:val="Contents4"/>
            <w:tabs>
              <w:tab w:val="clear" w:pos="8176"/>
              <w:tab w:val="right" w:pos="9026" w:leader="dot"/>
            </w:tabs>
            <w:rPr/>
          </w:pPr>
          <w:hyperlink w:anchor="__RefHeading___Toc910330_774463916">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910332_774463916">
            <w:r>
              <w:rPr>
                <w:webHidden/>
                <w:rStyle w:val="IndexLink"/>
                <w:rtl w:val="true"/>
              </w:rPr>
              <w:t>أدلّة الحرمة و الجواب عنها</w:t>
            </w:r>
            <w:r>
              <w:rPr>
                <w:rStyle w:val="IndexLink"/>
                <w:rtl w:val="true"/>
              </w:rPr>
              <w:tab/>
            </w:r>
            <w:r>
              <w:rPr>
                <w:rStyle w:val="IndexLink"/>
              </w:rPr>
              <w:t>401</w:t>
            </w:r>
          </w:hyperlink>
        </w:p>
        <w:p>
          <w:pPr>
            <w:pStyle w:val="Contents3"/>
            <w:tabs>
              <w:tab w:val="clear" w:pos="8459"/>
              <w:tab w:val="right" w:pos="9026" w:leader="dot"/>
            </w:tabs>
            <w:rPr/>
          </w:pPr>
          <w:hyperlink w:anchor="__RefHeading___Toc910334_774463916">
            <w:r>
              <w:rPr>
                <w:webHidden/>
                <w:rStyle w:val="IndexLink"/>
                <w:rtl w:val="true"/>
              </w:rPr>
              <w:t>حرمة حلق اللحیة</w:t>
            </w:r>
            <w:r>
              <w:rPr>
                <w:rStyle w:val="IndexLink"/>
                <w:rtl w:val="true"/>
              </w:rPr>
              <w:tab/>
            </w:r>
            <w:r>
              <w:rPr>
                <w:rStyle w:val="IndexLink"/>
              </w:rPr>
              <w:t>405</w:t>
            </w:r>
          </w:hyperlink>
        </w:p>
        <w:p>
          <w:pPr>
            <w:pStyle w:val="Contents4"/>
            <w:tabs>
              <w:tab w:val="clear" w:pos="8176"/>
              <w:tab w:val="right" w:pos="9026" w:leader="dot"/>
            </w:tabs>
            <w:rPr/>
          </w:pPr>
          <w:hyperlink w:anchor="__RefHeading___Toc910336_774463916">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910338_774463916">
            <w:r>
              <w:rPr>
                <w:webHidden/>
                <w:rStyle w:val="IndexLink"/>
                <w:rtl w:val="true"/>
              </w:rPr>
              <w:t>أدلّة الحرمة و ما یرد علیها</w:t>
            </w:r>
            <w:r>
              <w:rPr>
                <w:rStyle w:val="IndexLink"/>
                <w:rtl w:val="true"/>
              </w:rPr>
              <w:tab/>
            </w:r>
            <w:r>
              <w:rPr>
                <w:rStyle w:val="IndexLink"/>
              </w:rPr>
              <w:t>406</w:t>
            </w:r>
          </w:hyperlink>
        </w:p>
        <w:p>
          <w:pPr>
            <w:pStyle w:val="Contents3"/>
            <w:tabs>
              <w:tab w:val="clear" w:pos="8459"/>
              <w:tab w:val="right" w:pos="9026" w:leader="dot"/>
            </w:tabs>
            <w:rPr/>
          </w:pPr>
          <w:hyperlink w:anchor="__RefHeading___Toc910340_774463916">
            <w:r>
              <w:rPr>
                <w:webHidden/>
                <w:rStyle w:val="IndexLink"/>
                <w:rtl w:val="true"/>
              </w:rPr>
              <w:t>موضوع الرشوة و حقیقتها</w:t>
            </w:r>
            <w:r>
              <w:rPr>
                <w:rStyle w:val="IndexLink"/>
                <w:rtl w:val="true"/>
              </w:rPr>
              <w:tab/>
            </w:r>
            <w:r>
              <w:rPr>
                <w:rStyle w:val="IndexLink"/>
              </w:rPr>
              <w:t>412</w:t>
            </w:r>
          </w:hyperlink>
        </w:p>
        <w:p>
          <w:pPr>
            <w:pStyle w:val="Contents4"/>
            <w:tabs>
              <w:tab w:val="clear" w:pos="8176"/>
              <w:tab w:val="right" w:pos="9026" w:leader="dot"/>
            </w:tabs>
            <w:rPr/>
          </w:pPr>
          <w:hyperlink w:anchor="__RefHeading___Toc910342_774463916">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910344_774463916">
            <w:r>
              <w:rPr>
                <w:webHidden/>
                <w:rStyle w:val="IndexLink"/>
                <w:rtl w:val="true"/>
              </w:rPr>
              <w:t>موضوع الرشوة</w:t>
            </w:r>
            <w:r>
              <w:rPr>
                <w:rStyle w:val="IndexLink"/>
                <w:rtl w:val="true"/>
              </w:rPr>
              <w:tab/>
            </w:r>
            <w:r>
              <w:rPr>
                <w:rStyle w:val="IndexLink"/>
              </w:rPr>
              <w:t>412</w:t>
            </w:r>
          </w:hyperlink>
        </w:p>
        <w:p>
          <w:pPr>
            <w:pStyle w:val="Contents4"/>
            <w:tabs>
              <w:tab w:val="clear" w:pos="8176"/>
              <w:tab w:val="right" w:pos="9026" w:leader="dot"/>
            </w:tabs>
            <w:rPr/>
          </w:pPr>
          <w:hyperlink w:anchor="__RefHeading___Toc910346_774463916">
            <w:r>
              <w:rPr>
                <w:webHidden/>
                <w:rStyle w:val="IndexLink"/>
                <w:rtl w:val="true"/>
              </w:rPr>
              <w:t>أدلة حرمة الرشوة</w:t>
            </w:r>
            <w:r>
              <w:rPr>
                <w:rStyle w:val="IndexLink"/>
                <w:rtl w:val="true"/>
              </w:rPr>
              <w:tab/>
            </w:r>
            <w:r>
              <w:rPr>
                <w:rStyle w:val="IndexLink"/>
              </w:rPr>
              <w:t>414</w:t>
            </w:r>
          </w:hyperlink>
        </w:p>
        <w:p>
          <w:pPr>
            <w:pStyle w:val="Contents4"/>
            <w:tabs>
              <w:tab w:val="clear" w:pos="8176"/>
              <w:tab w:val="right" w:pos="9026" w:leader="dot"/>
            </w:tabs>
            <w:rPr/>
          </w:pPr>
          <w:hyperlink w:anchor="__RefHeading___Toc910348_774463916">
            <w:r>
              <w:rPr>
                <w:webHidden/>
                <w:rStyle w:val="IndexLink"/>
                <w:rtl w:val="true"/>
              </w:rPr>
              <w:t>حکم ما یأخذه القاضی من الرشوة</w:t>
            </w:r>
            <w:r>
              <w:rPr>
                <w:rStyle w:val="IndexLink"/>
                <w:rtl w:val="true"/>
              </w:rPr>
              <w:tab/>
            </w:r>
            <w:r>
              <w:rPr>
                <w:rStyle w:val="IndexLink"/>
              </w:rPr>
              <w:t>416</w:t>
            </w:r>
          </w:hyperlink>
        </w:p>
        <w:p>
          <w:pPr>
            <w:pStyle w:val="Contents4"/>
            <w:tabs>
              <w:tab w:val="clear" w:pos="8176"/>
              <w:tab w:val="right" w:pos="9026" w:leader="dot"/>
            </w:tabs>
            <w:rPr/>
          </w:pPr>
          <w:hyperlink w:anchor="__RefHeading___Toc910350_774463916">
            <w:r>
              <w:rPr>
                <w:webHidden/>
                <w:rStyle w:val="IndexLink"/>
                <w:rtl w:val="true"/>
              </w:rPr>
              <w:t>حکم الاجرة و الرشوة علی تبلیغ الأحکام</w:t>
            </w:r>
            <w:r>
              <w:rPr>
                <w:rStyle w:val="IndexLink"/>
                <w:rtl w:val="true"/>
              </w:rPr>
              <w:tab/>
            </w:r>
            <w:r>
              <w:rPr>
                <w:rStyle w:val="IndexLink"/>
              </w:rPr>
              <w:t>420</w:t>
            </w:r>
          </w:hyperlink>
        </w:p>
        <w:p>
          <w:pPr>
            <w:pStyle w:val="Contents4"/>
            <w:tabs>
              <w:tab w:val="clear" w:pos="8176"/>
              <w:tab w:val="right" w:pos="9026" w:leader="dot"/>
            </w:tabs>
            <w:rPr/>
          </w:pPr>
          <w:hyperlink w:anchor="__RefHeading___Toc910352_774463916">
            <w:r>
              <w:rPr>
                <w:webHidden/>
                <w:rStyle w:val="IndexLink"/>
                <w:rtl w:val="true"/>
              </w:rPr>
              <w:t>جواز ارتزاق القاضی من بیت المال</w:t>
            </w:r>
            <w:r>
              <w:rPr>
                <w:rStyle w:val="IndexLink"/>
                <w:rtl w:val="true"/>
              </w:rPr>
              <w:tab/>
            </w:r>
            <w:r>
              <w:rPr>
                <w:rStyle w:val="IndexLink"/>
              </w:rPr>
              <w:t>421</w:t>
            </w:r>
          </w:hyperlink>
        </w:p>
        <w:p>
          <w:pPr>
            <w:pStyle w:val="Contents4"/>
            <w:tabs>
              <w:tab w:val="clear" w:pos="8176"/>
              <w:tab w:val="right" w:pos="9026" w:leader="dot"/>
            </w:tabs>
            <w:rPr/>
          </w:pPr>
          <w:hyperlink w:anchor="__RefHeading___Toc910354_774463916">
            <w:r>
              <w:rPr>
                <w:webHidden/>
                <w:rStyle w:val="IndexLink"/>
                <w:rtl w:val="true"/>
              </w:rPr>
              <w:t>جواز أخذ القاضی للهدیة</w:t>
            </w:r>
            <w:r>
              <w:rPr>
                <w:rStyle w:val="IndexLink"/>
                <w:rtl w:val="true"/>
              </w:rPr>
              <w:tab/>
            </w:r>
            <w:r>
              <w:rPr>
                <w:rStyle w:val="IndexLink"/>
              </w:rPr>
              <w:t>423</w:t>
            </w:r>
          </w:hyperlink>
        </w:p>
        <w:p>
          <w:pPr>
            <w:pStyle w:val="Contents4"/>
            <w:tabs>
              <w:tab w:val="clear" w:pos="8176"/>
              <w:tab w:val="right" w:pos="9026" w:leader="dot"/>
            </w:tabs>
            <w:rPr/>
          </w:pPr>
          <w:hyperlink w:anchor="__RefHeading___Toc910356_774463916">
            <w:r>
              <w:rPr>
                <w:webHidden/>
                <w:rStyle w:val="IndexLink"/>
                <w:rtl w:val="true"/>
              </w:rPr>
              <w:t>الرشوة فی غیر الأحکام</w:t>
            </w:r>
            <w:r>
              <w:rPr>
                <w:rStyle w:val="IndexLink"/>
                <w:rtl w:val="true"/>
              </w:rPr>
              <w:tab/>
            </w:r>
            <w:r>
              <w:rPr>
                <w:rStyle w:val="IndexLink"/>
              </w:rPr>
              <w:t>426</w:t>
            </w:r>
          </w:hyperlink>
        </w:p>
        <w:p>
          <w:pPr>
            <w:pStyle w:val="Contents4"/>
            <w:tabs>
              <w:tab w:val="clear" w:pos="8176"/>
              <w:tab w:val="right" w:pos="9026" w:leader="dot"/>
            </w:tabs>
            <w:rPr/>
          </w:pPr>
          <w:hyperlink w:anchor="__RefHeading___Toc910358_774463916">
            <w:r>
              <w:rPr>
                <w:webHidden/>
                <w:rStyle w:val="IndexLink"/>
                <w:rtl w:val="true"/>
              </w:rPr>
              <w:t>من الرشوة فی الحکم المعاملة المحاباتیة مع القاضی</w:t>
            </w:r>
            <w:r>
              <w:rPr>
                <w:rStyle w:val="IndexLink"/>
                <w:rtl w:val="true"/>
              </w:rPr>
              <w:tab/>
            </w:r>
            <w:r>
              <w:rPr>
                <w:rStyle w:val="IndexLink"/>
              </w:rPr>
              <w:t>429</w:t>
            </w:r>
          </w:hyperlink>
        </w:p>
        <w:p>
          <w:pPr>
            <w:pStyle w:val="Contents4"/>
            <w:tabs>
              <w:tab w:val="clear" w:pos="8176"/>
              <w:tab w:val="right" w:pos="9026" w:leader="dot"/>
            </w:tabs>
            <w:rPr/>
          </w:pPr>
          <w:hyperlink w:anchor="__RefHeading___Toc910360_774463916">
            <w:r>
              <w:rPr>
                <w:webHidden/>
                <w:rStyle w:val="IndexLink"/>
                <w:rtl w:val="true"/>
              </w:rPr>
              <w:t>حکم الرشوة وضعا</w:t>
            </w:r>
            <w:r>
              <w:rPr>
                <w:rStyle w:val="IndexLink"/>
                <w:rtl w:val="true"/>
              </w:rPr>
              <w:tab/>
            </w:r>
            <w:r>
              <w:rPr>
                <w:rStyle w:val="IndexLink"/>
              </w:rPr>
              <w:t>430</w:t>
            </w:r>
          </w:hyperlink>
        </w:p>
        <w:p>
          <w:pPr>
            <w:pStyle w:val="Contents4"/>
            <w:tabs>
              <w:tab w:val="clear" w:pos="8176"/>
              <w:tab w:val="right" w:pos="9026" w:leader="dot"/>
            </w:tabs>
            <w:rPr/>
          </w:pPr>
          <w:hyperlink w:anchor="__RefHeading___Toc910362_774463916">
            <w:r>
              <w:rPr>
                <w:webHidden/>
                <w:rStyle w:val="IndexLink"/>
                <w:rtl w:val="true"/>
              </w:rPr>
              <w:t>اختلاف الدافع و القابض</w:t>
            </w:r>
            <w:r>
              <w:rPr>
                <w:rStyle w:val="IndexLink"/>
                <w:rtl w:val="true"/>
              </w:rPr>
              <w:tab/>
            </w:r>
            <w:r>
              <w:rPr>
                <w:rStyle w:val="IndexLink"/>
              </w:rPr>
              <w:t>432</w:t>
            </w:r>
          </w:hyperlink>
        </w:p>
        <w:p>
          <w:pPr>
            <w:pStyle w:val="Contents3"/>
            <w:tabs>
              <w:tab w:val="clear" w:pos="8459"/>
              <w:tab w:val="right" w:pos="9026" w:leader="dot"/>
            </w:tabs>
            <w:rPr/>
          </w:pPr>
          <w:hyperlink w:anchor="__RefHeading___Toc910364_774463916">
            <w:r>
              <w:rPr>
                <w:webHidden/>
                <w:rStyle w:val="IndexLink"/>
                <w:rtl w:val="true"/>
              </w:rPr>
              <w:t>حرمة سبّ المؤمن</w:t>
            </w:r>
            <w:r>
              <w:rPr>
                <w:rStyle w:val="IndexLink"/>
                <w:rtl w:val="true"/>
              </w:rPr>
              <w:tab/>
            </w:r>
            <w:r>
              <w:rPr>
                <w:rStyle w:val="IndexLink"/>
              </w:rPr>
              <w:t>435</w:t>
            </w:r>
          </w:hyperlink>
        </w:p>
        <w:p>
          <w:pPr>
            <w:pStyle w:val="Contents4"/>
            <w:tabs>
              <w:tab w:val="clear" w:pos="8176"/>
              <w:tab w:val="right" w:pos="9026" w:leader="dot"/>
            </w:tabs>
            <w:rPr/>
          </w:pPr>
          <w:hyperlink w:anchor="__RefHeading___Toc910366_774463916">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910368_774463916">
            <w:r>
              <w:rPr>
                <w:webHidden/>
                <w:rStyle w:val="IndexLink"/>
                <w:rtl w:val="true"/>
              </w:rPr>
              <w:t>النسبة بین السبّ و الغیبة</w:t>
            </w:r>
            <w:r>
              <w:rPr>
                <w:rStyle w:val="IndexLink"/>
                <w:rtl w:val="true"/>
              </w:rPr>
              <w:tab/>
            </w:r>
            <w:r>
              <w:rPr>
                <w:rStyle w:val="IndexLink"/>
              </w:rPr>
              <w:t>440</w:t>
            </w:r>
          </w:hyperlink>
        </w:p>
        <w:p>
          <w:pPr>
            <w:pStyle w:val="Contents4"/>
            <w:tabs>
              <w:tab w:val="clear" w:pos="8176"/>
              <w:tab w:val="right" w:pos="9026" w:leader="dot"/>
            </w:tabs>
            <w:rPr/>
          </w:pPr>
          <w:hyperlink w:anchor="__RefHeading___Toc910370_774463916">
            <w:r>
              <w:rPr>
                <w:webHidden/>
                <w:rStyle w:val="IndexLink"/>
                <w:rtl w:val="true"/>
              </w:rPr>
              <w:t>مستثنیات حرمة السب</w:t>
            </w:r>
            <w:r>
              <w:rPr>
                <w:rStyle w:val="IndexLink"/>
                <w:rtl w:val="true"/>
              </w:rPr>
              <w:tab/>
            </w:r>
            <w:r>
              <w:rPr>
                <w:rStyle w:val="IndexLink"/>
              </w:rPr>
              <w:t>441</w:t>
            </w:r>
          </w:hyperlink>
        </w:p>
        <w:p>
          <w:pPr>
            <w:pStyle w:val="Contents3"/>
            <w:tabs>
              <w:tab w:val="clear" w:pos="8459"/>
              <w:tab w:val="right" w:pos="9026" w:leader="dot"/>
            </w:tabs>
            <w:rPr/>
          </w:pPr>
          <w:hyperlink w:anchor="__RefHeading___Toc910372_774463916">
            <w:r>
              <w:rPr>
                <w:webHidden/>
                <w:rStyle w:val="IndexLink"/>
                <w:rtl w:val="true"/>
              </w:rPr>
              <w:t>حرمة السحر</w:t>
            </w:r>
            <w:r>
              <w:rPr>
                <w:rStyle w:val="IndexLink"/>
                <w:rtl w:val="true"/>
              </w:rPr>
              <w:tab/>
            </w:r>
            <w:r>
              <w:rPr>
                <w:rStyle w:val="IndexLink"/>
              </w:rPr>
              <w:t>444</w:t>
            </w:r>
          </w:hyperlink>
        </w:p>
        <w:p>
          <w:pPr>
            <w:pStyle w:val="Contents4"/>
            <w:tabs>
              <w:tab w:val="clear" w:pos="8176"/>
              <w:tab w:val="right" w:pos="9026" w:leader="dot"/>
            </w:tabs>
            <w:rPr/>
          </w:pPr>
          <w:hyperlink w:anchor="__RefHeading___Toc910374_774463916">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910376_774463916">
            <w:r>
              <w:rPr>
                <w:webHidden/>
                <w:rStyle w:val="IndexLink"/>
                <w:rtl w:val="true"/>
              </w:rPr>
              <w:t>موضوع السحر</w:t>
            </w:r>
            <w:r>
              <w:rPr>
                <w:rStyle w:val="IndexLink"/>
                <w:rtl w:val="true"/>
              </w:rPr>
              <w:tab/>
            </w:r>
            <w:r>
              <w:rPr>
                <w:rStyle w:val="IndexLink"/>
              </w:rPr>
              <w:t>446</w:t>
            </w:r>
          </w:hyperlink>
        </w:p>
        <w:p>
          <w:pPr>
            <w:pStyle w:val="Contents4"/>
            <w:tabs>
              <w:tab w:val="clear" w:pos="8176"/>
              <w:tab w:val="right" w:pos="9026" w:leader="dot"/>
            </w:tabs>
            <w:rPr/>
          </w:pPr>
          <w:hyperlink w:anchor="__RefHeading___Toc910378_774463916">
            <w:r>
              <w:rPr>
                <w:webHidden/>
                <w:rStyle w:val="IndexLink"/>
                <w:rtl w:val="true"/>
              </w:rPr>
              <w:t>الفرق بین المعجزة و السحر و الشعوذة</w:t>
            </w:r>
            <w:r>
              <w:rPr>
                <w:rStyle w:val="IndexLink"/>
                <w:rtl w:val="true"/>
              </w:rPr>
              <w:tab/>
            </w:r>
            <w:r>
              <w:rPr>
                <w:rStyle w:val="IndexLink"/>
              </w:rPr>
              <w:t>450</w:t>
            </w:r>
          </w:hyperlink>
        </w:p>
        <w:p>
          <w:pPr>
            <w:pStyle w:val="Contents4"/>
            <w:tabs>
              <w:tab w:val="clear" w:pos="8176"/>
              <w:tab w:val="right" w:pos="9026" w:leader="dot"/>
            </w:tabs>
            <w:rPr/>
          </w:pPr>
          <w:hyperlink w:anchor="__RefHeading___Toc910380_774463916">
            <w:r>
              <w:rPr>
                <w:webHidden/>
                <w:rStyle w:val="IndexLink"/>
                <w:rtl w:val="true"/>
              </w:rPr>
              <w:t>أقسام السحر</w:t>
            </w:r>
            <w:r>
              <w:rPr>
                <w:rStyle w:val="IndexLink"/>
                <w:rtl w:val="true"/>
              </w:rPr>
              <w:tab/>
            </w:r>
            <w:r>
              <w:rPr>
                <w:rStyle w:val="IndexLink"/>
              </w:rPr>
              <w:t>451</w:t>
            </w:r>
          </w:hyperlink>
        </w:p>
        <w:p>
          <w:pPr>
            <w:pStyle w:val="Contents4"/>
            <w:tabs>
              <w:tab w:val="clear" w:pos="8176"/>
              <w:tab w:val="right" w:pos="9026" w:leader="dot"/>
            </w:tabs>
            <w:rPr/>
          </w:pPr>
          <w:hyperlink w:anchor="__RefHeading___Toc910382_774463916">
            <w:r>
              <w:rPr>
                <w:webHidden/>
                <w:rStyle w:val="IndexLink"/>
                <w:rtl w:val="true"/>
              </w:rPr>
              <w:t>الروایات الدالّة علی کفر الساحر و المراد منها</w:t>
            </w:r>
            <w:r>
              <w:rPr>
                <w:rStyle w:val="IndexLink"/>
                <w:rtl w:val="true"/>
              </w:rPr>
              <w:tab/>
            </w:r>
            <w:r>
              <w:rPr>
                <w:rStyle w:val="IndexLink"/>
              </w:rPr>
              <w:t>457</w:t>
            </w:r>
          </w:hyperlink>
        </w:p>
        <w:p>
          <w:pPr>
            <w:pStyle w:val="Contents4"/>
            <w:tabs>
              <w:tab w:val="clear" w:pos="8176"/>
              <w:tab w:val="right" w:pos="9026" w:leader="dot"/>
            </w:tabs>
            <w:rPr/>
          </w:pPr>
          <w:hyperlink w:anchor="__RefHeading___Toc910384_774463916">
            <w:r>
              <w:rPr>
                <w:webHidden/>
                <w:rStyle w:val="IndexLink"/>
                <w:rtl w:val="true"/>
              </w:rPr>
              <w:t>ما هو حدّ الساحر؟</w:t>
            </w:r>
            <w:r>
              <w:rPr>
                <w:rStyle w:val="IndexLink"/>
                <w:rtl w:val="true"/>
              </w:rPr>
              <w:tab/>
            </w:r>
            <w:r>
              <w:rPr>
                <w:rStyle w:val="IndexLink"/>
              </w:rPr>
              <w:t>458</w:t>
            </w:r>
          </w:hyperlink>
        </w:p>
        <w:p>
          <w:pPr>
            <w:pStyle w:val="Contents4"/>
            <w:tabs>
              <w:tab w:val="clear" w:pos="8176"/>
              <w:tab w:val="right" w:pos="9026" w:leader="dot"/>
            </w:tabs>
            <w:rPr/>
          </w:pPr>
          <w:hyperlink w:anchor="__RefHeading___Toc910386_774463916">
            <w:r>
              <w:rPr>
                <w:webHidden/>
                <w:rStyle w:val="IndexLink"/>
                <w:rtl w:val="true"/>
              </w:rPr>
              <w:t>عدم اختصاص حرمة السحر بالمضرّ منه</w:t>
            </w:r>
            <w:r>
              <w:rPr>
                <w:rStyle w:val="IndexLink"/>
                <w:rtl w:val="true"/>
              </w:rPr>
              <w:tab/>
            </w:r>
            <w:r>
              <w:rPr>
                <w:rStyle w:val="IndexLink"/>
              </w:rPr>
              <w:t>461</w:t>
            </w:r>
          </w:hyperlink>
        </w:p>
        <w:p>
          <w:pPr>
            <w:pStyle w:val="Contents4"/>
            <w:tabs>
              <w:tab w:val="clear" w:pos="8176"/>
              <w:tab w:val="right" w:pos="9026" w:leader="dot"/>
            </w:tabs>
            <w:rPr/>
          </w:pPr>
          <w:hyperlink w:anchor="__RefHeading___Toc910388_774463916">
            <w:r>
              <w:rPr>
                <w:webHidden/>
                <w:rStyle w:val="IndexLink"/>
                <w:rtl w:val="true"/>
              </w:rPr>
              <w:t>جواز دفع ضرر السحر بالسحر</w:t>
            </w:r>
            <w:r>
              <w:rPr>
                <w:rStyle w:val="IndexLink"/>
                <w:rtl w:val="true"/>
              </w:rPr>
              <w:tab/>
            </w:r>
            <w:r>
              <w:rPr>
                <w:rStyle w:val="IndexLink"/>
              </w:rPr>
              <w:t>462</w:t>
            </w:r>
          </w:hyperlink>
        </w:p>
        <w:p>
          <w:pPr>
            <w:pStyle w:val="Contents4"/>
            <w:tabs>
              <w:tab w:val="clear" w:pos="8176"/>
              <w:tab w:val="right" w:pos="9026" w:leader="dot"/>
            </w:tabs>
            <w:rPr/>
          </w:pPr>
          <w:hyperlink w:anchor="__RefHeading___Toc910390_774463916">
            <w:r>
              <w:rPr>
                <w:webHidden/>
                <w:rStyle w:val="IndexLink"/>
                <w:rtl w:val="true"/>
              </w:rPr>
              <w:t>التسخیر لیس من السحر</w:t>
            </w:r>
            <w:r>
              <w:rPr>
                <w:rStyle w:val="IndexLink"/>
                <w:rtl w:val="true"/>
              </w:rPr>
              <w:tab/>
            </w:r>
            <w:r>
              <w:rPr>
                <w:rStyle w:val="IndexLink"/>
              </w:rPr>
              <w:t>464</w:t>
            </w:r>
          </w:hyperlink>
        </w:p>
        <w:p>
          <w:pPr>
            <w:pStyle w:val="Contents3"/>
            <w:tabs>
              <w:tab w:val="clear" w:pos="8459"/>
              <w:tab w:val="right" w:pos="9026" w:leader="dot"/>
            </w:tabs>
            <w:rPr/>
          </w:pPr>
          <w:hyperlink w:anchor="__RefHeading___Toc910392_774463916">
            <w:r>
              <w:rPr>
                <w:webHidden/>
                <w:rStyle w:val="IndexLink"/>
                <w:rtl w:val="true"/>
              </w:rPr>
              <w:t>الشعوذة</w:t>
            </w:r>
            <w:r>
              <w:rPr>
                <w:rStyle w:val="IndexLink"/>
                <w:rtl w:val="true"/>
              </w:rPr>
              <w:tab/>
            </w:r>
            <w:r>
              <w:rPr>
                <w:rStyle w:val="IndexLink"/>
              </w:rPr>
              <w:t>465</w:t>
            </w:r>
          </w:hyperlink>
        </w:p>
        <w:p>
          <w:pPr>
            <w:pStyle w:val="Contents3"/>
            <w:tabs>
              <w:tab w:val="clear" w:pos="8459"/>
              <w:tab w:val="right" w:pos="9026" w:leader="dot"/>
            </w:tabs>
            <w:rPr/>
          </w:pPr>
          <w:hyperlink w:anchor="__RefHeading___Toc910394_774463916">
            <w:r>
              <w:rPr>
                <w:webHidden/>
                <w:rStyle w:val="IndexLink"/>
                <w:rtl w:val="true"/>
              </w:rPr>
              <w:t>الغشّ حرام</w:t>
            </w:r>
            <w:r>
              <w:rPr>
                <w:rStyle w:val="IndexLink"/>
                <w:rtl w:val="true"/>
              </w:rPr>
              <w:tab/>
            </w:r>
            <w:r>
              <w:rPr>
                <w:rStyle w:val="IndexLink"/>
              </w:rPr>
              <w:t>467</w:t>
            </w:r>
          </w:hyperlink>
        </w:p>
        <w:p>
          <w:pPr>
            <w:pStyle w:val="Contents4"/>
            <w:tabs>
              <w:tab w:val="clear" w:pos="8176"/>
              <w:tab w:val="right" w:pos="9026" w:leader="dot"/>
            </w:tabs>
            <w:rPr/>
          </w:pPr>
          <w:hyperlink w:anchor="__RefHeading___Toc910396_774463916">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910398_774463916">
            <w:r>
              <w:rPr>
                <w:webHidden/>
                <w:rStyle w:val="IndexLink"/>
                <w:rtl w:val="true"/>
              </w:rPr>
              <w:t>موضوع الغشّ</w:t>
            </w:r>
            <w:r>
              <w:rPr>
                <w:rStyle w:val="IndexLink"/>
                <w:rtl w:val="true"/>
              </w:rPr>
              <w:tab/>
            </w:r>
            <w:r>
              <w:rPr>
                <w:rStyle w:val="IndexLink"/>
              </w:rPr>
              <w:t>469</w:t>
            </w:r>
          </w:hyperlink>
        </w:p>
        <w:p>
          <w:pPr>
            <w:pStyle w:val="Contents4"/>
            <w:tabs>
              <w:tab w:val="clear" w:pos="8176"/>
              <w:tab w:val="right" w:pos="9026" w:leader="dot"/>
            </w:tabs>
            <w:rPr/>
          </w:pPr>
          <w:hyperlink w:anchor="__RefHeading___Toc910400_774463916">
            <w:r>
              <w:rPr>
                <w:webHidden/>
                <w:rStyle w:val="IndexLink"/>
                <w:rtl w:val="true"/>
              </w:rPr>
              <w:t>لا یعتبر فی صدق الغشّ قصد مفهومه</w:t>
            </w:r>
            <w:r>
              <w:rPr>
                <w:rStyle w:val="IndexLink"/>
                <w:rtl w:val="true"/>
              </w:rPr>
              <w:tab/>
            </w:r>
            <w:r>
              <w:rPr>
                <w:rStyle w:val="IndexLink"/>
              </w:rPr>
              <w:t>471</w:t>
            </w:r>
          </w:hyperlink>
        </w:p>
        <w:p>
          <w:pPr>
            <w:pStyle w:val="Contents4"/>
            <w:tabs>
              <w:tab w:val="clear" w:pos="8176"/>
              <w:tab w:val="right" w:pos="9026" w:leader="dot"/>
            </w:tabs>
            <w:rPr/>
          </w:pPr>
          <w:hyperlink w:anchor="__RefHeading___Toc910402_774463916">
            <w:r>
              <w:rPr>
                <w:webHidden/>
                <w:rStyle w:val="IndexLink"/>
                <w:rtl w:val="true"/>
              </w:rPr>
              <w:t>حکم المعاملة المشتملة علی الغشّ من حیث الصحّة أو الفساد</w:t>
            </w:r>
            <w:r>
              <w:rPr>
                <w:rStyle w:val="IndexLink"/>
                <w:rtl w:val="true"/>
              </w:rPr>
              <w:tab/>
            </w:r>
            <w:r>
              <w:rPr>
                <w:rStyle w:val="IndexLink"/>
              </w:rPr>
              <w:t>471</w:t>
            </w:r>
          </w:hyperlink>
        </w:p>
        <w:p>
          <w:pPr>
            <w:pStyle w:val="Contents3"/>
            <w:tabs>
              <w:tab w:val="clear" w:pos="8459"/>
              <w:tab w:val="right" w:pos="9026" w:leader="dot"/>
            </w:tabs>
            <w:rPr/>
          </w:pPr>
          <w:hyperlink w:anchor="__RefHeading___Toc910404_774463916">
            <w:r>
              <w:rPr>
                <w:webHidden/>
                <w:rStyle w:val="IndexLink"/>
                <w:rtl w:val="true"/>
              </w:rPr>
              <w:t>حرمة الغناء</w:t>
            </w:r>
            <w:r>
              <w:rPr>
                <w:rStyle w:val="IndexLink"/>
                <w:rtl w:val="true"/>
              </w:rPr>
              <w:tab/>
            </w:r>
            <w:r>
              <w:rPr>
                <w:rStyle w:val="IndexLink"/>
              </w:rPr>
              <w:t>475</w:t>
            </w:r>
          </w:hyperlink>
        </w:p>
        <w:p>
          <w:pPr>
            <w:pStyle w:val="Contents4"/>
            <w:tabs>
              <w:tab w:val="clear" w:pos="8176"/>
              <w:tab w:val="right" w:pos="9026" w:leader="dot"/>
            </w:tabs>
            <w:rPr/>
          </w:pPr>
          <w:hyperlink w:anchor="__RefHeading___Toc910406_774463916">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910408_774463916">
            <w:r>
              <w:rPr>
                <w:webHidden/>
                <w:rStyle w:val="IndexLink"/>
                <w:rtl w:val="true"/>
              </w:rPr>
              <w:t>الوجوه المستدلّ بها علی الحرمة</w:t>
            </w:r>
            <w:r>
              <w:rPr>
                <w:rStyle w:val="IndexLink"/>
                <w:rtl w:val="true"/>
              </w:rPr>
              <w:tab/>
            </w:r>
            <w:r>
              <w:rPr>
                <w:rStyle w:val="IndexLink"/>
              </w:rPr>
              <w:t>476</w:t>
            </w:r>
          </w:hyperlink>
        </w:p>
        <w:p>
          <w:pPr>
            <w:pStyle w:val="Contents4"/>
            <w:tabs>
              <w:tab w:val="clear" w:pos="8176"/>
              <w:tab w:val="right" w:pos="9026" w:leader="dot"/>
            </w:tabs>
            <w:rPr/>
          </w:pPr>
          <w:hyperlink w:anchor="__RefHeading___Toc910410_774463916">
            <w:r>
              <w:rPr>
                <w:webHidden/>
                <w:rStyle w:val="IndexLink"/>
                <w:rtl w:val="true"/>
              </w:rPr>
              <w:t>رأی المحدّث الکاشانی فی حرمة الغناء و الجواب عنه</w:t>
            </w:r>
            <w:r>
              <w:rPr>
                <w:rStyle w:val="IndexLink"/>
                <w:rtl w:val="true"/>
              </w:rPr>
              <w:tab/>
            </w:r>
            <w:r>
              <w:rPr>
                <w:rStyle w:val="IndexLink"/>
              </w:rPr>
              <w:t>480</w:t>
            </w:r>
          </w:hyperlink>
        </w:p>
        <w:p>
          <w:pPr>
            <w:pStyle w:val="Contents4"/>
            <w:tabs>
              <w:tab w:val="clear" w:pos="8176"/>
              <w:tab w:val="right" w:pos="9026" w:leader="dot"/>
            </w:tabs>
            <w:rPr/>
          </w:pPr>
          <w:hyperlink w:anchor="__RefHeading___Toc910412_774463916">
            <w:r>
              <w:rPr>
                <w:webHidden/>
                <w:rStyle w:val="IndexLink"/>
                <w:rtl w:val="true"/>
              </w:rPr>
              <w:t>تحقیق موضوع الغناء</w:t>
            </w:r>
            <w:r>
              <w:rPr>
                <w:rStyle w:val="IndexLink"/>
                <w:rtl w:val="true"/>
              </w:rPr>
              <w:tab/>
            </w:r>
            <w:r>
              <w:rPr>
                <w:rStyle w:val="IndexLink"/>
              </w:rPr>
              <w:t>483</w:t>
            </w:r>
          </w:hyperlink>
        </w:p>
        <w:p>
          <w:pPr>
            <w:pStyle w:val="Contents4"/>
            <w:tabs>
              <w:tab w:val="clear" w:pos="8176"/>
              <w:tab w:val="right" w:pos="9026" w:leader="dot"/>
            </w:tabs>
            <w:rPr/>
          </w:pPr>
          <w:hyperlink w:anchor="__RefHeading___Toc910414_774463916">
            <w:r>
              <w:rPr>
                <w:webHidden/>
                <w:rStyle w:val="IndexLink"/>
                <w:rtl w:val="true"/>
              </w:rPr>
              <w:t>مستثنیات حرمة الغناء</w:t>
            </w:r>
            <w:r>
              <w:rPr>
                <w:rStyle w:val="IndexLink"/>
                <w:rtl w:val="true"/>
              </w:rPr>
              <w:tab/>
            </w:r>
            <w:r>
              <w:rPr>
                <w:rStyle w:val="IndexLink"/>
              </w:rPr>
              <w:t>489</w:t>
            </w:r>
          </w:hyperlink>
        </w:p>
        <w:p>
          <w:pPr>
            <w:pStyle w:val="Contents5"/>
            <w:tabs>
              <w:tab w:val="clear" w:pos="7892"/>
              <w:tab w:val="right" w:pos="9026" w:leader="dot"/>
            </w:tabs>
            <w:rPr/>
          </w:pPr>
          <w:hyperlink w:anchor="__RefHeading___Toc910416_774463916">
            <w:r>
              <w:rPr>
                <w:webHidden/>
                <w:rStyle w:val="IndexLink"/>
                <w:rtl w:val="true"/>
              </w:rPr>
              <w:t>رثاء الحسین</w:t>
            </w:r>
            <w:r>
              <w:rPr>
                <w:rStyle w:val="IndexLink"/>
                <w:rtl w:val="true"/>
              </w:rPr>
              <w:t>(</w:t>
            </w:r>
            <w:r>
              <w:rPr>
                <w:rStyle w:val="IndexLink"/>
                <w:rtl w:val="true"/>
              </w:rPr>
              <w:t>علیه السّلام</w:t>
            </w:r>
            <w:r>
              <w:rPr>
                <w:rStyle w:val="IndexLink"/>
                <w:rtl w:val="true"/>
              </w:rPr>
              <w:t>)</w:t>
              <w:tab/>
            </w:r>
            <w:r>
              <w:rPr>
                <w:rStyle w:val="IndexLink"/>
              </w:rPr>
              <w:t>489</w:t>
            </w:r>
          </w:hyperlink>
        </w:p>
        <w:p>
          <w:pPr>
            <w:pStyle w:val="Contents5"/>
            <w:tabs>
              <w:tab w:val="clear" w:pos="7892"/>
              <w:tab w:val="right" w:pos="9026" w:leader="dot"/>
            </w:tabs>
            <w:rPr/>
          </w:pPr>
          <w:hyperlink w:anchor="__RefHeading___Toc910418_774463916">
            <w:r>
              <w:rPr>
                <w:webHidden/>
                <w:rStyle w:val="IndexLink"/>
                <w:rtl w:val="true"/>
              </w:rPr>
              <w:t>جواز الحداء لسوق الإبل</w:t>
            </w:r>
            <w:r>
              <w:rPr>
                <w:rStyle w:val="IndexLink"/>
                <w:rtl w:val="true"/>
              </w:rPr>
              <w:tab/>
            </w:r>
            <w:r>
              <w:rPr>
                <w:rStyle w:val="IndexLink"/>
              </w:rPr>
              <w:t>490</w:t>
            </w:r>
          </w:hyperlink>
        </w:p>
        <w:p>
          <w:pPr>
            <w:pStyle w:val="Contents5"/>
            <w:tabs>
              <w:tab w:val="clear" w:pos="7892"/>
              <w:tab w:val="right" w:pos="9026" w:leader="dot"/>
            </w:tabs>
            <w:rPr/>
          </w:pPr>
          <w:hyperlink w:anchor="__RefHeading___Toc910420_774463916">
            <w:r>
              <w:rPr>
                <w:webHidden/>
                <w:rStyle w:val="IndexLink"/>
                <w:rtl w:val="true"/>
              </w:rPr>
              <w:t>جواز الغناء فی زفّ العرائس</w:t>
            </w:r>
            <w:r>
              <w:rPr>
                <w:rStyle w:val="IndexLink"/>
                <w:rtl w:val="true"/>
              </w:rPr>
              <w:tab/>
            </w:r>
            <w:r>
              <w:rPr>
                <w:rStyle w:val="IndexLink"/>
              </w:rPr>
              <w:t>490</w:t>
            </w:r>
          </w:hyperlink>
        </w:p>
        <w:p>
          <w:pPr>
            <w:pStyle w:val="Contents5"/>
            <w:tabs>
              <w:tab w:val="clear" w:pos="7892"/>
              <w:tab w:val="right" w:pos="9026" w:leader="dot"/>
            </w:tabs>
            <w:rPr/>
          </w:pPr>
          <w:hyperlink w:anchor="__RefHeading___Toc910422_774463916">
            <w:r>
              <w:rPr>
                <w:webHidden/>
                <w:rStyle w:val="IndexLink"/>
                <w:rtl w:val="true"/>
              </w:rPr>
              <w:t>الغناء فی قراءة القرآن</w:t>
            </w:r>
            <w:r>
              <w:rPr>
                <w:rStyle w:val="IndexLink"/>
                <w:rtl w:val="true"/>
              </w:rPr>
              <w:tab/>
            </w:r>
            <w:r>
              <w:rPr>
                <w:rStyle w:val="IndexLink"/>
              </w:rPr>
              <w:t>491</w:t>
            </w:r>
          </w:hyperlink>
        </w:p>
        <w:p>
          <w:pPr>
            <w:pStyle w:val="Contents4"/>
            <w:tabs>
              <w:tab w:val="clear" w:pos="8176"/>
              <w:tab w:val="right" w:pos="9026" w:leader="dot"/>
            </w:tabs>
            <w:rPr/>
          </w:pPr>
          <w:hyperlink w:anchor="__RefHeading___Toc910424_774463916">
            <w:r>
              <w:rPr>
                <w:webHidden/>
                <w:rStyle w:val="IndexLink"/>
                <w:rtl w:val="true"/>
              </w:rPr>
              <w:t>تعلّم الغناء و تعلیمه</w:t>
            </w:r>
            <w:r>
              <w:rPr>
                <w:rStyle w:val="IndexLink"/>
                <w:rtl w:val="true"/>
              </w:rPr>
              <w:tab/>
            </w:r>
            <w:r>
              <w:rPr>
                <w:rStyle w:val="IndexLink"/>
              </w:rPr>
              <w:t>495</w:t>
            </w:r>
          </w:hyperlink>
        </w:p>
        <w:p>
          <w:pPr>
            <w:pStyle w:val="Contents3"/>
            <w:tabs>
              <w:tab w:val="clear" w:pos="8459"/>
              <w:tab w:val="right" w:pos="9026" w:leader="dot"/>
            </w:tabs>
            <w:rPr/>
          </w:pPr>
          <w:hyperlink w:anchor="__RefHeading___Toc910426_774463916">
            <w:r>
              <w:rPr>
                <w:webHidden/>
                <w:rStyle w:val="IndexLink"/>
                <w:rtl w:val="true"/>
              </w:rPr>
              <w:t>حرمة الغیبة</w:t>
            </w:r>
            <w:r>
              <w:rPr>
                <w:rStyle w:val="IndexLink"/>
                <w:rtl w:val="true"/>
              </w:rPr>
              <w:tab/>
            </w:r>
            <w:r>
              <w:rPr>
                <w:rStyle w:val="IndexLink"/>
              </w:rPr>
              <w:t>496</w:t>
            </w:r>
          </w:hyperlink>
        </w:p>
        <w:p>
          <w:pPr>
            <w:pStyle w:val="Contents4"/>
            <w:tabs>
              <w:tab w:val="clear" w:pos="8176"/>
              <w:tab w:val="right" w:pos="9026" w:leader="dot"/>
            </w:tabs>
            <w:rPr/>
          </w:pPr>
          <w:hyperlink w:anchor="__RefHeading___Toc910428_774463916">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910430_774463916">
            <w:r>
              <w:rPr>
                <w:webHidden/>
                <w:rStyle w:val="IndexLink"/>
                <w:rtl w:val="true"/>
              </w:rPr>
              <w:t>النصوص الدالّة علی الحرمة</w:t>
            </w:r>
            <w:r>
              <w:rPr>
                <w:rStyle w:val="IndexLink"/>
                <w:rtl w:val="true"/>
              </w:rPr>
              <w:tab/>
            </w:r>
            <w:r>
              <w:rPr>
                <w:rStyle w:val="IndexLink"/>
              </w:rPr>
              <w:t>496</w:t>
            </w:r>
          </w:hyperlink>
        </w:p>
        <w:p>
          <w:pPr>
            <w:pStyle w:val="Contents4"/>
            <w:tabs>
              <w:tab w:val="clear" w:pos="8176"/>
              <w:tab w:val="right" w:pos="9026" w:leader="dot"/>
            </w:tabs>
            <w:rPr/>
          </w:pPr>
          <w:hyperlink w:anchor="__RefHeading___Toc910432_774463916">
            <w:r>
              <w:rPr>
                <w:webHidden/>
                <w:rStyle w:val="IndexLink"/>
                <w:rtl w:val="true"/>
              </w:rPr>
              <w:t>الغیبة من الذنوب الکبیرة</w:t>
            </w:r>
            <w:r>
              <w:rPr>
                <w:rStyle w:val="IndexLink"/>
                <w:rtl w:val="true"/>
              </w:rPr>
              <w:tab/>
            </w:r>
            <w:r>
              <w:rPr>
                <w:rStyle w:val="IndexLink"/>
              </w:rPr>
              <w:t>499</w:t>
            </w:r>
          </w:hyperlink>
        </w:p>
        <w:p>
          <w:pPr>
            <w:pStyle w:val="Contents5"/>
            <w:tabs>
              <w:tab w:val="clear" w:pos="7892"/>
              <w:tab w:val="right" w:pos="9026" w:leader="dot"/>
            </w:tabs>
            <w:rPr/>
          </w:pPr>
          <w:hyperlink w:anchor="__RefHeading___Toc910434_774463916">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910436_774463916">
            <w:r>
              <w:rPr>
                <w:webHidden/>
                <w:rStyle w:val="IndexLink"/>
                <w:rtl w:val="true"/>
              </w:rPr>
              <w:t>تحقیق المراد من الکبیرة</w:t>
            </w:r>
            <w:r>
              <w:rPr>
                <w:rStyle w:val="IndexLink"/>
                <w:rtl w:val="true"/>
              </w:rPr>
              <w:tab/>
            </w:r>
            <w:r>
              <w:rPr>
                <w:rStyle w:val="IndexLink"/>
              </w:rPr>
              <w:t>499</w:t>
            </w:r>
          </w:hyperlink>
        </w:p>
        <w:p>
          <w:pPr>
            <w:pStyle w:val="Contents4"/>
            <w:tabs>
              <w:tab w:val="clear" w:pos="8176"/>
              <w:tab w:val="right" w:pos="9026" w:leader="dot"/>
            </w:tabs>
            <w:rPr/>
          </w:pPr>
          <w:hyperlink w:anchor="__RefHeading___Toc910438_774463916">
            <w:r>
              <w:rPr>
                <w:webHidden/>
                <w:rStyle w:val="IndexLink"/>
                <w:rtl w:val="true"/>
              </w:rPr>
              <w:t>حرمة الغیبة مشروطة بالإیمان</w:t>
            </w:r>
            <w:r>
              <w:rPr>
                <w:rStyle w:val="IndexLink"/>
                <w:rtl w:val="true"/>
              </w:rPr>
              <w:tab/>
            </w:r>
            <w:r>
              <w:rPr>
                <w:rStyle w:val="IndexLink"/>
              </w:rPr>
              <w:t>502</w:t>
            </w:r>
          </w:hyperlink>
        </w:p>
        <w:p>
          <w:pPr>
            <w:pStyle w:val="Contents4"/>
            <w:tabs>
              <w:tab w:val="clear" w:pos="8176"/>
              <w:tab w:val="right" w:pos="9026" w:leader="dot"/>
            </w:tabs>
            <w:rPr/>
          </w:pPr>
          <w:hyperlink w:anchor="__RefHeading___Toc910440_774463916">
            <w:r>
              <w:rPr>
                <w:webHidden/>
                <w:rStyle w:val="IndexLink"/>
                <w:rtl w:val="true"/>
              </w:rPr>
              <w:t>حرمة غیبة الصبی الممیّز</w:t>
            </w:r>
            <w:r>
              <w:rPr>
                <w:rStyle w:val="IndexLink"/>
                <w:rtl w:val="true"/>
              </w:rPr>
              <w:tab/>
            </w:r>
            <w:r>
              <w:rPr>
                <w:rStyle w:val="IndexLink"/>
              </w:rPr>
              <w:t>505</w:t>
            </w:r>
          </w:hyperlink>
        </w:p>
        <w:p>
          <w:pPr>
            <w:pStyle w:val="Contents4"/>
            <w:tabs>
              <w:tab w:val="clear" w:pos="8176"/>
              <w:tab w:val="right" w:pos="9026" w:leader="dot"/>
            </w:tabs>
            <w:rPr/>
          </w:pPr>
          <w:hyperlink w:anchor="__RefHeading___Toc910442_774463916">
            <w:r>
              <w:rPr>
                <w:webHidden/>
                <w:rStyle w:val="IndexLink"/>
                <w:rtl w:val="true"/>
              </w:rPr>
              <w:t>موضوع الغیبة</w:t>
            </w:r>
            <w:r>
              <w:rPr>
                <w:rStyle w:val="IndexLink"/>
                <w:rtl w:val="true"/>
              </w:rPr>
              <w:tab/>
            </w:r>
            <w:r>
              <w:rPr>
                <w:rStyle w:val="IndexLink"/>
              </w:rPr>
              <w:t>506</w:t>
            </w:r>
          </w:hyperlink>
        </w:p>
        <w:p>
          <w:pPr>
            <w:pStyle w:val="Contents5"/>
            <w:tabs>
              <w:tab w:val="clear" w:pos="7892"/>
              <w:tab w:val="right" w:pos="9026" w:leader="dot"/>
            </w:tabs>
            <w:rPr/>
          </w:pPr>
          <w:hyperlink w:anchor="__RefHeading___Toc910444_774463916">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910446_774463916">
            <w:r>
              <w:rPr>
                <w:webHidden/>
                <w:rStyle w:val="IndexLink"/>
                <w:rtl w:val="true"/>
              </w:rPr>
              <w:t>تنبیهات موضوع الغیبة</w:t>
            </w:r>
            <w:r>
              <w:rPr>
                <w:rStyle w:val="IndexLink"/>
                <w:rtl w:val="true"/>
              </w:rPr>
              <w:tab/>
            </w:r>
            <w:r>
              <w:rPr>
                <w:rStyle w:val="IndexLink"/>
              </w:rPr>
              <w:t>509</w:t>
            </w:r>
          </w:hyperlink>
        </w:p>
        <w:p>
          <w:pPr>
            <w:pStyle w:val="Contents5"/>
            <w:tabs>
              <w:tab w:val="clear" w:pos="7892"/>
              <w:tab w:val="right" w:pos="9026" w:leader="dot"/>
            </w:tabs>
            <w:rPr/>
          </w:pPr>
          <w:hyperlink w:anchor="__RefHeading___Toc910448_774463916">
            <w:r>
              <w:rPr>
                <w:webHidden/>
                <w:rStyle w:val="IndexLink"/>
                <w:rtl w:val="true"/>
              </w:rPr>
              <w:t>دواعی الغیبة</w:t>
            </w:r>
            <w:r>
              <w:rPr>
                <w:rStyle w:val="IndexLink"/>
                <w:rtl w:val="true"/>
              </w:rPr>
              <w:tab/>
            </w:r>
            <w:r>
              <w:rPr>
                <w:rStyle w:val="IndexLink"/>
              </w:rPr>
              <w:t>513</w:t>
            </w:r>
          </w:hyperlink>
        </w:p>
        <w:p>
          <w:pPr>
            <w:pStyle w:val="Contents4"/>
            <w:tabs>
              <w:tab w:val="clear" w:pos="8176"/>
              <w:tab w:val="right" w:pos="9026" w:leader="dot"/>
            </w:tabs>
            <w:rPr/>
          </w:pPr>
          <w:hyperlink w:anchor="__RefHeading___Toc910450_774463916">
            <w:r>
              <w:rPr>
                <w:webHidden/>
                <w:rStyle w:val="IndexLink"/>
                <w:rtl w:val="true"/>
              </w:rPr>
              <w:t>کفّارة الغیبة</w:t>
            </w:r>
            <w:r>
              <w:rPr>
                <w:rStyle w:val="IndexLink"/>
                <w:rtl w:val="true"/>
              </w:rPr>
              <w:tab/>
            </w:r>
            <w:r>
              <w:rPr>
                <w:rStyle w:val="IndexLink"/>
              </w:rPr>
              <w:t>514</w:t>
            </w:r>
          </w:hyperlink>
        </w:p>
        <w:p>
          <w:pPr>
            <w:pStyle w:val="Contents5"/>
            <w:tabs>
              <w:tab w:val="clear" w:pos="7892"/>
              <w:tab w:val="right" w:pos="9026" w:leader="dot"/>
            </w:tabs>
            <w:rPr/>
          </w:pPr>
          <w:hyperlink w:anchor="__RefHeading___Toc910452_774463916">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910454_774463916">
            <w:r>
              <w:rPr>
                <w:webHidden/>
                <w:rStyle w:val="IndexLink"/>
                <w:rtl w:val="true"/>
              </w:rPr>
              <w:t>الروایات الدالّة علی أنّ حقوق الناس لا ترتفع إلاّ بإسقاط ذی الحقّ منهم</w:t>
            </w:r>
            <w:r>
              <w:rPr>
                <w:rStyle w:val="IndexLink"/>
                <w:rtl w:val="true"/>
              </w:rPr>
              <w:tab/>
            </w:r>
            <w:r>
              <w:rPr>
                <w:rStyle w:val="IndexLink"/>
              </w:rPr>
              <w:t>515</w:t>
            </w:r>
          </w:hyperlink>
        </w:p>
        <w:p>
          <w:pPr>
            <w:pStyle w:val="Contents5"/>
            <w:tabs>
              <w:tab w:val="clear" w:pos="7892"/>
              <w:tab w:val="right" w:pos="9026" w:leader="dot"/>
            </w:tabs>
            <w:rPr/>
          </w:pPr>
          <w:hyperlink w:anchor="__RefHeading___Toc910456_774463916">
            <w:r>
              <w:rPr>
                <w:webHidden/>
                <w:rStyle w:val="IndexLink"/>
                <w:rtl w:val="true"/>
              </w:rPr>
              <w:t>أدلّة وجوب الاستغفار للمغتاب</w:t>
            </w:r>
            <w:r>
              <w:rPr>
                <w:rStyle w:val="IndexLink"/>
                <w:rtl w:val="true"/>
              </w:rPr>
              <w:tab/>
            </w:r>
            <w:r>
              <w:rPr>
                <w:rStyle w:val="IndexLink"/>
              </w:rPr>
              <w:t>518</w:t>
            </w:r>
          </w:hyperlink>
        </w:p>
        <w:p>
          <w:pPr>
            <w:pStyle w:val="Contents5"/>
            <w:tabs>
              <w:tab w:val="clear" w:pos="7892"/>
              <w:tab w:val="right" w:pos="9026" w:leader="dot"/>
            </w:tabs>
            <w:rPr/>
          </w:pPr>
          <w:hyperlink w:anchor="__RefHeading___Toc910458_774463916">
            <w:r>
              <w:rPr>
                <w:webHidden/>
                <w:rStyle w:val="IndexLink"/>
                <w:rtl w:val="true"/>
              </w:rPr>
              <w:t>التفصیل بین وصول الغیبة للمقول فیه فیجب الاستحلال منه و عدم وصولها فیجب الاستغفار</w:t>
            </w:r>
            <w:r>
              <w:rPr>
                <w:rStyle w:val="IndexLink"/>
                <w:rtl w:val="true"/>
              </w:rPr>
              <w:tab/>
            </w:r>
            <w:r>
              <w:rPr>
                <w:rStyle w:val="IndexLink"/>
              </w:rPr>
              <w:t>520</w:t>
            </w:r>
          </w:hyperlink>
        </w:p>
        <w:p>
          <w:pPr>
            <w:pStyle w:val="Contents5"/>
            <w:tabs>
              <w:tab w:val="clear" w:pos="7892"/>
              <w:tab w:val="right" w:pos="9026" w:leader="dot"/>
            </w:tabs>
            <w:rPr/>
          </w:pPr>
          <w:hyperlink w:anchor="__RefHeading___Toc910460_774463916">
            <w:r>
              <w:rPr>
                <w:webHidden/>
                <w:rStyle w:val="IndexLink"/>
                <w:rtl w:val="true"/>
              </w:rPr>
              <w:t>التفصیل بین إمکان الاستحلال و عدمه</w:t>
            </w:r>
            <w:r>
              <w:rPr>
                <w:rStyle w:val="IndexLink"/>
                <w:rtl w:val="true"/>
              </w:rPr>
              <w:tab/>
            </w:r>
            <w:r>
              <w:rPr>
                <w:rStyle w:val="IndexLink"/>
              </w:rPr>
              <w:t>521</w:t>
            </w:r>
          </w:hyperlink>
        </w:p>
        <w:p>
          <w:pPr>
            <w:pStyle w:val="Contents5"/>
            <w:tabs>
              <w:tab w:val="clear" w:pos="7892"/>
              <w:tab w:val="right" w:pos="9026" w:leader="dot"/>
            </w:tabs>
            <w:rPr/>
          </w:pPr>
          <w:hyperlink w:anchor="__RefHeading___Toc910462_774463916">
            <w:r>
              <w:rPr>
                <w:webHidden/>
                <w:rStyle w:val="IndexLink"/>
                <w:rtl w:val="true"/>
              </w:rPr>
              <w:t>المختار فی کفّارة الغیبة</w:t>
            </w:r>
            <w:r>
              <w:rPr>
                <w:rStyle w:val="IndexLink"/>
                <w:rtl w:val="true"/>
              </w:rPr>
              <w:tab/>
            </w:r>
            <w:r>
              <w:rPr>
                <w:rStyle w:val="IndexLink"/>
              </w:rPr>
              <w:t>522</w:t>
            </w:r>
          </w:hyperlink>
        </w:p>
        <w:p>
          <w:pPr>
            <w:pStyle w:val="Contents4"/>
            <w:tabs>
              <w:tab w:val="clear" w:pos="8176"/>
              <w:tab w:val="right" w:pos="9026" w:leader="dot"/>
            </w:tabs>
            <w:rPr/>
          </w:pPr>
          <w:hyperlink w:anchor="__RefHeading___Toc910464_774463916">
            <w:r>
              <w:rPr>
                <w:webHidden/>
                <w:rStyle w:val="IndexLink"/>
                <w:rtl w:val="true"/>
              </w:rPr>
              <w:t>مستثنیات الغیبة</w:t>
            </w:r>
            <w:r>
              <w:rPr>
                <w:rStyle w:val="IndexLink"/>
                <w:rtl w:val="true"/>
              </w:rPr>
              <w:tab/>
            </w:r>
            <w:r>
              <w:rPr>
                <w:rStyle w:val="IndexLink"/>
              </w:rPr>
              <w:t>523</w:t>
            </w:r>
          </w:hyperlink>
        </w:p>
        <w:p>
          <w:pPr>
            <w:pStyle w:val="Contents5"/>
            <w:tabs>
              <w:tab w:val="clear" w:pos="7892"/>
              <w:tab w:val="right" w:pos="9026" w:leader="dot"/>
            </w:tabs>
            <w:rPr/>
          </w:pPr>
          <w:hyperlink w:anchor="__RefHeading___Toc910466_774463916">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910468_774463916">
            <w:r>
              <w:rPr>
                <w:webHidden/>
                <w:rStyle w:val="IndexLink"/>
                <w:rtl w:val="true"/>
              </w:rPr>
              <w:t>المتجاهر بالفسق</w:t>
            </w:r>
            <w:r>
              <w:rPr>
                <w:rStyle w:val="IndexLink"/>
                <w:rtl w:val="true"/>
              </w:rPr>
              <w:tab/>
            </w:r>
            <w:r>
              <w:rPr>
                <w:rStyle w:val="IndexLink"/>
              </w:rPr>
              <w:t>524</w:t>
            </w:r>
          </w:hyperlink>
        </w:p>
        <w:p>
          <w:pPr>
            <w:pStyle w:val="Contents6"/>
            <w:tabs>
              <w:tab w:val="clear" w:pos="7609"/>
              <w:tab w:val="right" w:pos="9026" w:leader="dot"/>
            </w:tabs>
            <w:rPr/>
          </w:pPr>
          <w:hyperlink w:anchor="__RefHeading___Toc910470_774463916">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910472_774463916">
            <w:r>
              <w:rPr>
                <w:webHidden/>
                <w:rStyle w:val="IndexLink"/>
                <w:rtl w:val="true"/>
              </w:rPr>
              <w:t>فروع</w:t>
            </w:r>
            <w:r>
              <w:rPr>
                <w:rStyle w:val="IndexLink"/>
                <w:rtl w:val="true"/>
              </w:rPr>
              <w:tab/>
            </w:r>
            <w:r>
              <w:rPr>
                <w:rStyle w:val="IndexLink"/>
              </w:rPr>
              <w:t>528</w:t>
            </w:r>
          </w:hyperlink>
        </w:p>
        <w:p>
          <w:pPr>
            <w:pStyle w:val="Contents5"/>
            <w:tabs>
              <w:tab w:val="clear" w:pos="7892"/>
              <w:tab w:val="right" w:pos="9026" w:leader="dot"/>
            </w:tabs>
            <w:rPr/>
          </w:pPr>
          <w:hyperlink w:anchor="__RefHeading___Toc910474_774463916">
            <w:r>
              <w:rPr>
                <w:webHidden/>
                <w:rStyle w:val="IndexLink"/>
                <w:rtl w:val="true"/>
              </w:rPr>
              <w:t>جواز تظلّم المظلوم</w:t>
            </w:r>
            <w:r>
              <w:rPr>
                <w:rStyle w:val="IndexLink"/>
                <w:rtl w:val="true"/>
              </w:rPr>
              <w:tab/>
            </w:r>
            <w:r>
              <w:rPr>
                <w:rStyle w:val="IndexLink"/>
              </w:rPr>
              <w:t>532</w:t>
            </w:r>
          </w:hyperlink>
        </w:p>
        <w:p>
          <w:pPr>
            <w:pStyle w:val="Contents6"/>
            <w:tabs>
              <w:tab w:val="clear" w:pos="7609"/>
              <w:tab w:val="right" w:pos="9026" w:leader="dot"/>
            </w:tabs>
            <w:rPr/>
          </w:pPr>
          <w:hyperlink w:anchor="__RefHeading___Toc910476_774463916">
            <w:r>
              <w:rPr>
                <w:webHidden/>
                <w:rStyle w:val="IndexLink"/>
                <w:rtl w:val="true"/>
              </w:rPr>
              <w:t>اشارة</w:t>
            </w:r>
            <w:r>
              <w:rPr>
                <w:rStyle w:val="IndexLink"/>
                <w:rtl w:val="true"/>
              </w:rPr>
              <w:tab/>
            </w:r>
            <w:r>
              <w:rPr>
                <w:rStyle w:val="IndexLink"/>
              </w:rPr>
              <w:t>532</w:t>
            </w:r>
          </w:hyperlink>
        </w:p>
        <w:p>
          <w:pPr>
            <w:pStyle w:val="Contents6"/>
            <w:tabs>
              <w:tab w:val="clear" w:pos="7609"/>
              <w:tab w:val="right" w:pos="9026" w:leader="dot"/>
            </w:tabs>
            <w:rPr/>
          </w:pPr>
          <w:hyperlink w:anchor="__RefHeading___Toc910478_774463916">
            <w:r>
              <w:rPr>
                <w:webHidden/>
                <w:rStyle w:val="IndexLink"/>
                <w:rtl w:val="true"/>
              </w:rPr>
              <w:t>عدم جواز الغیبة فی ترک الأولی</w:t>
            </w:r>
            <w:r>
              <w:rPr>
                <w:rStyle w:val="IndexLink"/>
                <w:rtl w:val="true"/>
              </w:rPr>
              <w:tab/>
            </w:r>
            <w:r>
              <w:rPr>
                <w:rStyle w:val="IndexLink"/>
              </w:rPr>
              <w:t>537</w:t>
            </w:r>
          </w:hyperlink>
        </w:p>
        <w:p>
          <w:pPr>
            <w:pStyle w:val="Contents6"/>
            <w:tabs>
              <w:tab w:val="clear" w:pos="7609"/>
              <w:tab w:val="right" w:pos="9026" w:leader="dot"/>
            </w:tabs>
            <w:rPr/>
          </w:pPr>
          <w:hyperlink w:anchor="__RefHeading___Toc910480_774463916">
            <w:r>
              <w:rPr>
                <w:webHidden/>
                <w:rStyle w:val="IndexLink"/>
                <w:rtl w:val="true"/>
              </w:rPr>
              <w:t>نصح المستشیر</w:t>
            </w:r>
            <w:r>
              <w:rPr>
                <w:rStyle w:val="IndexLink"/>
                <w:rtl w:val="true"/>
              </w:rPr>
              <w:tab/>
            </w:r>
            <w:r>
              <w:rPr>
                <w:rStyle w:val="IndexLink"/>
              </w:rPr>
              <w:t>540</w:t>
            </w:r>
          </w:hyperlink>
        </w:p>
        <w:p>
          <w:pPr>
            <w:pStyle w:val="Contents6"/>
            <w:tabs>
              <w:tab w:val="clear" w:pos="7609"/>
              <w:tab w:val="right" w:pos="9026" w:leader="dot"/>
            </w:tabs>
            <w:rPr/>
          </w:pPr>
          <w:hyperlink w:anchor="__RefHeading___Toc910482_774463916">
            <w:r>
              <w:rPr>
                <w:webHidden/>
                <w:rStyle w:val="IndexLink"/>
                <w:rtl w:val="true"/>
              </w:rPr>
              <w:t>جواز الاغتیاب فی مواضع الاستفتاء</w:t>
            </w:r>
            <w:r>
              <w:rPr>
                <w:rStyle w:val="IndexLink"/>
                <w:rtl w:val="true"/>
              </w:rPr>
              <w:tab/>
            </w:r>
            <w:r>
              <w:rPr>
                <w:rStyle w:val="IndexLink"/>
              </w:rPr>
              <w:t>545</w:t>
            </w:r>
          </w:hyperlink>
        </w:p>
        <w:p>
          <w:pPr>
            <w:pStyle w:val="Contents5"/>
            <w:tabs>
              <w:tab w:val="clear" w:pos="7892"/>
              <w:tab w:val="right" w:pos="9026" w:leader="dot"/>
            </w:tabs>
            <w:rPr/>
          </w:pPr>
          <w:hyperlink w:anchor="__RefHeading___Toc910484_774463916">
            <w:r>
              <w:rPr>
                <w:webHidden/>
                <w:rStyle w:val="IndexLink"/>
                <w:rtl w:val="true"/>
              </w:rPr>
              <w:t>جواز الاغتیاب لردع المقول فیه عن المنکر</w:t>
            </w:r>
            <w:r>
              <w:rPr>
                <w:rStyle w:val="IndexLink"/>
                <w:rtl w:val="true"/>
              </w:rPr>
              <w:tab/>
            </w:r>
            <w:r>
              <w:rPr>
                <w:rStyle w:val="IndexLink"/>
              </w:rPr>
              <w:t>547</w:t>
            </w:r>
          </w:hyperlink>
        </w:p>
        <w:p>
          <w:pPr>
            <w:pStyle w:val="Contents5"/>
            <w:tabs>
              <w:tab w:val="clear" w:pos="7892"/>
              <w:tab w:val="right" w:pos="9026" w:leader="dot"/>
            </w:tabs>
            <w:rPr/>
          </w:pPr>
          <w:hyperlink w:anchor="__RefHeading___Toc910486_774463916">
            <w:r>
              <w:rPr>
                <w:webHidden/>
                <w:rStyle w:val="IndexLink"/>
                <w:rtl w:val="true"/>
              </w:rPr>
              <w:t>جواز الاغتیاب لحسم مادّة الفساد</w:t>
            </w:r>
            <w:r>
              <w:rPr>
                <w:rStyle w:val="IndexLink"/>
                <w:rtl w:val="true"/>
              </w:rPr>
              <w:tab/>
            </w:r>
            <w:r>
              <w:rPr>
                <w:rStyle w:val="IndexLink"/>
              </w:rPr>
              <w:t>548</w:t>
            </w:r>
          </w:hyperlink>
        </w:p>
        <w:p>
          <w:pPr>
            <w:pStyle w:val="Contents5"/>
            <w:tabs>
              <w:tab w:val="clear" w:pos="7892"/>
              <w:tab w:val="right" w:pos="9026" w:leader="dot"/>
            </w:tabs>
            <w:rPr/>
          </w:pPr>
          <w:hyperlink w:anchor="__RefHeading___Toc910488_774463916">
            <w:r>
              <w:rPr>
                <w:webHidden/>
                <w:rStyle w:val="IndexLink"/>
                <w:rtl w:val="true"/>
              </w:rPr>
              <w:t>جواز جرح الشهود</w:t>
            </w:r>
            <w:r>
              <w:rPr>
                <w:rStyle w:val="IndexLink"/>
                <w:rtl w:val="true"/>
              </w:rPr>
              <w:tab/>
            </w:r>
            <w:r>
              <w:rPr>
                <w:rStyle w:val="IndexLink"/>
              </w:rPr>
              <w:t>549</w:t>
            </w:r>
          </w:hyperlink>
        </w:p>
        <w:p>
          <w:pPr>
            <w:pStyle w:val="Contents5"/>
            <w:tabs>
              <w:tab w:val="clear" w:pos="7892"/>
              <w:tab w:val="right" w:pos="9026" w:leader="dot"/>
            </w:tabs>
            <w:rPr/>
          </w:pPr>
          <w:hyperlink w:anchor="__RefHeading___Toc910490_774463916">
            <w:r>
              <w:rPr>
                <w:webHidden/>
                <w:rStyle w:val="IndexLink"/>
                <w:rtl w:val="true"/>
              </w:rPr>
              <w:t>جواز الاغتیاب لدفع الضرر عن المقول فیه</w:t>
            </w:r>
            <w:r>
              <w:rPr>
                <w:rStyle w:val="IndexLink"/>
                <w:rtl w:val="true"/>
              </w:rPr>
              <w:tab/>
            </w:r>
            <w:r>
              <w:rPr>
                <w:rStyle w:val="IndexLink"/>
              </w:rPr>
              <w:t>550</w:t>
            </w:r>
          </w:hyperlink>
        </w:p>
        <w:p>
          <w:pPr>
            <w:pStyle w:val="Contents5"/>
            <w:tabs>
              <w:tab w:val="clear" w:pos="7892"/>
              <w:tab w:val="right" w:pos="9026" w:leader="dot"/>
            </w:tabs>
            <w:rPr/>
          </w:pPr>
          <w:hyperlink w:anchor="__RefHeading___Toc910492_774463916">
            <w:r>
              <w:rPr>
                <w:webHidden/>
                <w:rStyle w:val="IndexLink"/>
                <w:rtl w:val="true"/>
              </w:rPr>
              <w:t>جواز الاغتیاب بذکر الأوصاف الظاهرة</w:t>
            </w:r>
            <w:r>
              <w:rPr>
                <w:rStyle w:val="IndexLink"/>
                <w:rtl w:val="true"/>
              </w:rPr>
              <w:tab/>
            </w:r>
            <w:r>
              <w:rPr>
                <w:rStyle w:val="IndexLink"/>
              </w:rPr>
              <w:t>551</w:t>
            </w:r>
          </w:hyperlink>
        </w:p>
        <w:p>
          <w:pPr>
            <w:pStyle w:val="Contents5"/>
            <w:tabs>
              <w:tab w:val="clear" w:pos="7892"/>
              <w:tab w:val="right" w:pos="9026" w:leader="dot"/>
            </w:tabs>
            <w:rPr/>
          </w:pPr>
          <w:hyperlink w:anchor="__RefHeading___Toc910494_774463916">
            <w:r>
              <w:rPr>
                <w:webHidden/>
                <w:rStyle w:val="IndexLink"/>
                <w:rtl w:val="true"/>
              </w:rPr>
              <w:t>الاغتیاب عند من یعلم بمعصیة المغتاب</w:t>
            </w:r>
            <w:r>
              <w:rPr>
                <w:rStyle w:val="IndexLink"/>
                <w:rtl w:val="true"/>
              </w:rPr>
              <w:tab/>
            </w:r>
            <w:r>
              <w:rPr>
                <w:rStyle w:val="IndexLink"/>
              </w:rPr>
              <w:t>552</w:t>
            </w:r>
          </w:hyperlink>
        </w:p>
        <w:p>
          <w:pPr>
            <w:pStyle w:val="Contents5"/>
            <w:tabs>
              <w:tab w:val="clear" w:pos="7892"/>
              <w:tab w:val="right" w:pos="9026" w:leader="dot"/>
            </w:tabs>
            <w:rPr/>
          </w:pPr>
          <w:hyperlink w:anchor="__RefHeading___Toc910496_774463916">
            <w:r>
              <w:rPr>
                <w:webHidden/>
                <w:rStyle w:val="IndexLink"/>
                <w:rtl w:val="true"/>
              </w:rPr>
              <w:t>ردّ من ادّعی نسبا لیس له</w:t>
            </w:r>
            <w:r>
              <w:rPr>
                <w:rStyle w:val="IndexLink"/>
                <w:rtl w:val="true"/>
              </w:rPr>
              <w:tab/>
            </w:r>
            <w:r>
              <w:rPr>
                <w:rStyle w:val="IndexLink"/>
              </w:rPr>
              <w:t>552</w:t>
            </w:r>
          </w:hyperlink>
        </w:p>
        <w:p>
          <w:pPr>
            <w:pStyle w:val="Contents5"/>
            <w:tabs>
              <w:tab w:val="clear" w:pos="7892"/>
              <w:tab w:val="right" w:pos="9026" w:leader="dot"/>
            </w:tabs>
            <w:rPr/>
          </w:pPr>
          <w:hyperlink w:anchor="__RefHeading___Toc910498_774463916">
            <w:r>
              <w:rPr>
                <w:webHidden/>
                <w:rStyle w:val="IndexLink"/>
                <w:rtl w:val="true"/>
              </w:rPr>
              <w:t>القدح فی مقالة باطلة</w:t>
            </w:r>
            <w:r>
              <w:rPr>
                <w:rStyle w:val="IndexLink"/>
                <w:rtl w:val="true"/>
              </w:rPr>
              <w:tab/>
            </w:r>
            <w:r>
              <w:rPr>
                <w:rStyle w:val="IndexLink"/>
              </w:rPr>
              <w:t>552</w:t>
            </w:r>
          </w:hyperlink>
        </w:p>
        <w:p>
          <w:pPr>
            <w:pStyle w:val="Contents4"/>
            <w:tabs>
              <w:tab w:val="clear" w:pos="8176"/>
              <w:tab w:val="right" w:pos="9026" w:leader="dot"/>
            </w:tabs>
            <w:rPr/>
          </w:pPr>
          <w:hyperlink w:anchor="__RefHeading___Toc910500_774463916">
            <w:r>
              <w:rPr>
                <w:webHidden/>
                <w:rStyle w:val="IndexLink"/>
                <w:rtl w:val="true"/>
              </w:rPr>
              <w:t>حرمة استماع الغیبة</w:t>
            </w:r>
            <w:r>
              <w:rPr>
                <w:rStyle w:val="IndexLink"/>
                <w:rtl w:val="true"/>
              </w:rPr>
              <w:tab/>
            </w:r>
            <w:r>
              <w:rPr>
                <w:rStyle w:val="IndexLink"/>
              </w:rPr>
              <w:t>553</w:t>
            </w:r>
          </w:hyperlink>
        </w:p>
        <w:p>
          <w:pPr>
            <w:pStyle w:val="Contents5"/>
            <w:tabs>
              <w:tab w:val="clear" w:pos="7892"/>
              <w:tab w:val="right" w:pos="9026" w:leader="dot"/>
            </w:tabs>
            <w:rPr/>
          </w:pPr>
          <w:hyperlink w:anchor="__RefHeading___Toc910502_774463916">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910504_774463916">
            <w:r>
              <w:rPr>
                <w:webHidden/>
                <w:rStyle w:val="IndexLink"/>
                <w:rtl w:val="true"/>
              </w:rPr>
              <w:t>حرمة الغیبة لا تلازم حرمة استماعها</w:t>
            </w:r>
            <w:r>
              <w:rPr>
                <w:rStyle w:val="IndexLink"/>
                <w:rtl w:val="true"/>
              </w:rPr>
              <w:tab/>
            </w:r>
            <w:r>
              <w:rPr>
                <w:rStyle w:val="IndexLink"/>
              </w:rPr>
              <w:t>558</w:t>
            </w:r>
          </w:hyperlink>
        </w:p>
        <w:p>
          <w:pPr>
            <w:pStyle w:val="Contents5"/>
            <w:tabs>
              <w:tab w:val="clear" w:pos="7892"/>
              <w:tab w:val="right" w:pos="9026" w:leader="dot"/>
            </w:tabs>
            <w:rPr/>
          </w:pPr>
          <w:hyperlink w:anchor="__RefHeading___Toc910506_774463916">
            <w:r>
              <w:rPr>
                <w:webHidden/>
                <w:rStyle w:val="IndexLink"/>
                <w:rtl w:val="true"/>
              </w:rPr>
              <w:t>حرمة کون الإنسان ذا لسانین</w:t>
            </w:r>
            <w:r>
              <w:rPr>
                <w:rStyle w:val="IndexLink"/>
                <w:rtl w:val="true"/>
              </w:rPr>
              <w:tab/>
            </w:r>
            <w:r>
              <w:rPr>
                <w:rStyle w:val="IndexLink"/>
              </w:rPr>
              <w:t>563</w:t>
            </w:r>
          </w:hyperlink>
        </w:p>
        <w:p>
          <w:pPr>
            <w:pStyle w:val="Contents5"/>
            <w:tabs>
              <w:tab w:val="clear" w:pos="7892"/>
              <w:tab w:val="right" w:pos="9026" w:leader="dot"/>
            </w:tabs>
            <w:rPr/>
          </w:pPr>
          <w:hyperlink w:anchor="__RefHeading___Toc910508_774463916">
            <w:r>
              <w:rPr>
                <w:webHidden/>
                <w:rStyle w:val="IndexLink"/>
                <w:rtl w:val="true"/>
              </w:rPr>
              <w:t>حقوق الإخوان</w:t>
            </w:r>
            <w:r>
              <w:rPr>
                <w:rStyle w:val="IndexLink"/>
                <w:rtl w:val="true"/>
              </w:rPr>
              <w:tab/>
            </w:r>
            <w:r>
              <w:rPr>
                <w:rStyle w:val="IndexLink"/>
              </w:rPr>
              <w:t>564</w:t>
            </w:r>
          </w:hyperlink>
        </w:p>
        <w:p>
          <w:pPr>
            <w:pStyle w:val="Contents3"/>
            <w:tabs>
              <w:tab w:val="clear" w:pos="8459"/>
              <w:tab w:val="right" w:pos="9026" w:leader="dot"/>
            </w:tabs>
            <w:rPr/>
          </w:pPr>
          <w:hyperlink w:anchor="__RefHeading___Toc910510_774463916">
            <w:r>
              <w:rPr>
                <w:webHidden/>
                <w:rStyle w:val="IndexLink"/>
                <w:rtl w:val="true"/>
              </w:rPr>
              <w:t>حرمة القمار</w:t>
            </w:r>
            <w:r>
              <w:rPr>
                <w:rStyle w:val="IndexLink"/>
                <w:rtl w:val="true"/>
              </w:rPr>
              <w:tab/>
            </w:r>
            <w:r>
              <w:rPr>
                <w:rStyle w:val="IndexLink"/>
              </w:rPr>
              <w:t>569</w:t>
            </w:r>
          </w:hyperlink>
        </w:p>
        <w:p>
          <w:pPr>
            <w:pStyle w:val="Contents4"/>
            <w:tabs>
              <w:tab w:val="clear" w:pos="8176"/>
              <w:tab w:val="right" w:pos="9026" w:leader="dot"/>
            </w:tabs>
            <w:rPr/>
          </w:pPr>
          <w:hyperlink w:anchor="__RefHeading___Toc910512_774463916">
            <w:r>
              <w:rPr>
                <w:webHidden/>
                <w:rStyle w:val="IndexLink"/>
                <w:rtl w:val="true"/>
              </w:rPr>
              <w:t>اشارة</w:t>
            </w:r>
            <w:r>
              <w:rPr>
                <w:rStyle w:val="IndexLink"/>
                <w:rtl w:val="true"/>
              </w:rPr>
              <w:tab/>
            </w:r>
            <w:r>
              <w:rPr>
                <w:rStyle w:val="IndexLink"/>
              </w:rPr>
              <w:t>569</w:t>
            </w:r>
          </w:hyperlink>
        </w:p>
        <w:p>
          <w:pPr>
            <w:pStyle w:val="Contents4"/>
            <w:tabs>
              <w:tab w:val="clear" w:pos="8176"/>
              <w:tab w:val="right" w:pos="9026" w:leader="dot"/>
            </w:tabs>
            <w:rPr/>
          </w:pPr>
          <w:hyperlink w:anchor="__RefHeading___Toc910514_774463916">
            <w:r>
              <w:rPr>
                <w:webHidden/>
                <w:rStyle w:val="IndexLink"/>
                <w:rtl w:val="true"/>
              </w:rPr>
              <w:t>اللعب بالآلات المعدّة للقمار مع المراهنة</w:t>
            </w:r>
            <w:r>
              <w:rPr>
                <w:rStyle w:val="IndexLink"/>
                <w:rtl w:val="true"/>
              </w:rPr>
              <w:tab/>
            </w:r>
            <w:r>
              <w:rPr>
                <w:rStyle w:val="IndexLink"/>
              </w:rPr>
              <w:t>569</w:t>
            </w:r>
          </w:hyperlink>
        </w:p>
        <w:p>
          <w:pPr>
            <w:pStyle w:val="Contents4"/>
            <w:tabs>
              <w:tab w:val="clear" w:pos="8176"/>
              <w:tab w:val="right" w:pos="9026" w:leader="dot"/>
            </w:tabs>
            <w:rPr/>
          </w:pPr>
          <w:hyperlink w:anchor="__RefHeading___Toc910516_774463916">
            <w:r>
              <w:rPr>
                <w:webHidden/>
                <w:rStyle w:val="IndexLink"/>
                <w:rtl w:val="true"/>
              </w:rPr>
              <w:t>حرمة اللعب بالآلات المعدّة للقمار بدون الرهن</w:t>
            </w:r>
            <w:r>
              <w:rPr>
                <w:rStyle w:val="IndexLink"/>
                <w:rtl w:val="true"/>
              </w:rPr>
              <w:tab/>
            </w:r>
            <w:r>
              <w:rPr>
                <w:rStyle w:val="IndexLink"/>
              </w:rPr>
              <w:t>570</w:t>
            </w:r>
          </w:hyperlink>
        </w:p>
        <w:p>
          <w:pPr>
            <w:pStyle w:val="Contents4"/>
            <w:tabs>
              <w:tab w:val="clear" w:pos="8176"/>
              <w:tab w:val="right" w:pos="9026" w:leader="dot"/>
            </w:tabs>
            <w:rPr/>
          </w:pPr>
          <w:hyperlink w:anchor="__RefHeading___Toc910518_774463916">
            <w:r>
              <w:rPr>
                <w:webHidden/>
                <w:rStyle w:val="IndexLink"/>
                <w:rtl w:val="true"/>
              </w:rPr>
              <w:t>موضوع القمار</w:t>
            </w:r>
            <w:r>
              <w:rPr>
                <w:rStyle w:val="IndexLink"/>
                <w:rtl w:val="true"/>
              </w:rPr>
              <w:tab/>
            </w:r>
            <w:r>
              <w:rPr>
                <w:rStyle w:val="IndexLink"/>
              </w:rPr>
              <w:t>575</w:t>
            </w:r>
          </w:hyperlink>
        </w:p>
        <w:p>
          <w:pPr>
            <w:pStyle w:val="Contents4"/>
            <w:tabs>
              <w:tab w:val="clear" w:pos="8176"/>
              <w:tab w:val="right" w:pos="9026" w:leader="dot"/>
            </w:tabs>
            <w:rPr/>
          </w:pPr>
          <w:hyperlink w:anchor="__RefHeading___Toc910520_774463916">
            <w:r>
              <w:rPr>
                <w:webHidden/>
                <w:rStyle w:val="IndexLink"/>
                <w:rtl w:val="true"/>
              </w:rPr>
              <w:t>حرمة المراهنة علی اللعب بغیر الآلات المعدّة للقمار</w:t>
            </w:r>
            <w:r>
              <w:rPr>
                <w:rStyle w:val="IndexLink"/>
                <w:rtl w:val="true"/>
              </w:rPr>
              <w:tab/>
            </w:r>
            <w:r>
              <w:rPr>
                <w:rStyle w:val="IndexLink"/>
              </w:rPr>
              <w:t>577</w:t>
            </w:r>
          </w:hyperlink>
        </w:p>
        <w:p>
          <w:pPr>
            <w:pStyle w:val="Contents4"/>
            <w:tabs>
              <w:tab w:val="clear" w:pos="8176"/>
              <w:tab w:val="right" w:pos="9026" w:leader="dot"/>
            </w:tabs>
            <w:rPr/>
          </w:pPr>
          <w:hyperlink w:anchor="__RefHeading___Toc910522_774463916">
            <w:r>
              <w:rPr>
                <w:webHidden/>
                <w:rStyle w:val="IndexLink"/>
                <w:rtl w:val="true"/>
              </w:rPr>
              <w:t>ما ورد فی قیء الإمام</w:t>
            </w:r>
            <w:r>
              <w:rPr>
                <w:rStyle w:val="IndexLink"/>
                <w:rtl w:val="true"/>
              </w:rPr>
              <w:t>(</w:t>
            </w:r>
            <w:r>
              <w:rPr>
                <w:rStyle w:val="IndexLink"/>
                <w:rtl w:val="true"/>
              </w:rPr>
              <w:t>علیه السّلام</w:t>
            </w:r>
            <w:r>
              <w:rPr>
                <w:rStyle w:val="IndexLink"/>
                <w:rtl w:val="true"/>
              </w:rPr>
              <w:t>)</w:t>
            </w:r>
            <w:r>
              <w:rPr>
                <w:rStyle w:val="IndexLink"/>
                <w:rtl w:val="true"/>
              </w:rPr>
              <w:t>البیض المقامر به</w:t>
            </w:r>
            <w:r>
              <w:rPr>
                <w:rStyle w:val="IndexLink"/>
                <w:rtl w:val="true"/>
              </w:rPr>
              <w:tab/>
            </w:r>
            <w:r>
              <w:rPr>
                <w:rStyle w:val="IndexLink"/>
              </w:rPr>
              <w:t>583</w:t>
            </w:r>
          </w:hyperlink>
        </w:p>
        <w:p>
          <w:pPr>
            <w:pStyle w:val="Contents3"/>
            <w:tabs>
              <w:tab w:val="clear" w:pos="8459"/>
              <w:tab w:val="right" w:pos="9026" w:leader="dot"/>
            </w:tabs>
            <w:rPr/>
          </w:pPr>
          <w:hyperlink w:anchor="__RefHeading___Toc910524_774463916">
            <w:r>
              <w:rPr>
                <w:webHidden/>
                <w:rStyle w:val="IndexLink"/>
                <w:rtl w:val="true"/>
              </w:rPr>
              <w:t>حکم المسابقة بغیر رهان فیما عدا الموارد المنصوصة</w:t>
            </w:r>
            <w:r>
              <w:rPr>
                <w:rStyle w:val="IndexLink"/>
                <w:rtl w:val="true"/>
              </w:rPr>
              <w:tab/>
            </w:r>
            <w:r>
              <w:rPr>
                <w:rStyle w:val="IndexLink"/>
              </w:rPr>
              <w:t>585</w:t>
            </w:r>
          </w:hyperlink>
        </w:p>
        <w:p>
          <w:pPr>
            <w:pStyle w:val="Contents3"/>
            <w:tabs>
              <w:tab w:val="clear" w:pos="8459"/>
              <w:tab w:val="right" w:pos="9026" w:leader="dot"/>
            </w:tabs>
            <w:rPr/>
          </w:pPr>
          <w:hyperlink w:anchor="__RefHeading___Toc910526_774463916">
            <w:r>
              <w:rPr>
                <w:webHidden/>
                <w:rStyle w:val="IndexLink"/>
                <w:rtl w:val="true"/>
              </w:rPr>
              <w:t>حرمة القیادة</w:t>
            </w:r>
            <w:r>
              <w:rPr>
                <w:rStyle w:val="IndexLink"/>
                <w:rtl w:val="true"/>
              </w:rPr>
              <w:tab/>
            </w:r>
            <w:r>
              <w:rPr>
                <w:rStyle w:val="IndexLink"/>
              </w:rPr>
              <w:t>588</w:t>
            </w:r>
          </w:hyperlink>
        </w:p>
        <w:p>
          <w:pPr>
            <w:pStyle w:val="Contents3"/>
            <w:tabs>
              <w:tab w:val="clear" w:pos="8459"/>
              <w:tab w:val="right" w:pos="9026" w:leader="dot"/>
            </w:tabs>
            <w:rPr/>
          </w:pPr>
          <w:hyperlink w:anchor="__RefHeading___Toc910528_774463916">
            <w:r>
              <w:rPr>
                <w:webHidden/>
                <w:rStyle w:val="IndexLink"/>
                <w:rtl w:val="true"/>
              </w:rPr>
              <w:t>حرمة إتیان القائف و ترتیب الأثر علی قوله</w:t>
            </w:r>
            <w:r>
              <w:rPr>
                <w:rStyle w:val="IndexLink"/>
                <w:rtl w:val="true"/>
              </w:rPr>
              <w:tab/>
            </w:r>
            <w:r>
              <w:rPr>
                <w:rStyle w:val="IndexLink"/>
              </w:rPr>
              <w:t>590</w:t>
            </w:r>
          </w:hyperlink>
        </w:p>
        <w:p>
          <w:pPr>
            <w:pStyle w:val="Contents3"/>
            <w:tabs>
              <w:tab w:val="clear" w:pos="8459"/>
              <w:tab w:val="right" w:pos="9026" w:leader="dot"/>
            </w:tabs>
            <w:rPr/>
          </w:pPr>
          <w:hyperlink w:anchor="__RefHeading___Toc910530_774463916">
            <w:r>
              <w:rPr>
                <w:webHidden/>
                <w:rStyle w:val="IndexLink"/>
                <w:rtl w:val="true"/>
              </w:rPr>
              <w:t>حرمة الکذب</w:t>
            </w:r>
            <w:r>
              <w:rPr>
                <w:rStyle w:val="IndexLink"/>
                <w:rtl w:val="true"/>
              </w:rPr>
              <w:tab/>
            </w:r>
            <w:r>
              <w:rPr>
                <w:rStyle w:val="IndexLink"/>
              </w:rPr>
              <w:t>594</w:t>
            </w:r>
          </w:hyperlink>
        </w:p>
        <w:p>
          <w:pPr>
            <w:pStyle w:val="Contents4"/>
            <w:tabs>
              <w:tab w:val="clear" w:pos="8176"/>
              <w:tab w:val="right" w:pos="9026" w:leader="dot"/>
            </w:tabs>
            <w:rPr/>
          </w:pPr>
          <w:hyperlink w:anchor="__RefHeading___Toc910532_774463916">
            <w:r>
              <w:rPr>
                <w:webHidden/>
                <w:rStyle w:val="IndexLink"/>
                <w:rtl w:val="true"/>
              </w:rPr>
              <w:t>اشارة</w:t>
            </w:r>
            <w:r>
              <w:rPr>
                <w:rStyle w:val="IndexLink"/>
                <w:rtl w:val="true"/>
              </w:rPr>
              <w:tab/>
            </w:r>
            <w:r>
              <w:rPr>
                <w:rStyle w:val="IndexLink"/>
              </w:rPr>
              <w:t>594</w:t>
            </w:r>
          </w:hyperlink>
        </w:p>
        <w:p>
          <w:pPr>
            <w:pStyle w:val="Contents4"/>
            <w:tabs>
              <w:tab w:val="clear" w:pos="8176"/>
              <w:tab w:val="right" w:pos="9026" w:leader="dot"/>
            </w:tabs>
            <w:rPr/>
          </w:pPr>
          <w:hyperlink w:anchor="__RefHeading___Toc910534_774463916">
            <w:r>
              <w:rPr>
                <w:webHidden/>
                <w:rStyle w:val="IndexLink"/>
                <w:rtl w:val="true"/>
              </w:rPr>
              <w:t>الکذب من الکبائر</w:t>
            </w:r>
            <w:r>
              <w:rPr>
                <w:rStyle w:val="IndexLink"/>
                <w:rtl w:val="true"/>
              </w:rPr>
              <w:tab/>
            </w:r>
            <w:r>
              <w:rPr>
                <w:rStyle w:val="IndexLink"/>
              </w:rPr>
              <w:t>595</w:t>
            </w:r>
          </w:hyperlink>
        </w:p>
        <w:p>
          <w:pPr>
            <w:pStyle w:val="Contents4"/>
            <w:tabs>
              <w:tab w:val="clear" w:pos="8176"/>
              <w:tab w:val="right" w:pos="9026" w:leader="dot"/>
            </w:tabs>
            <w:rPr/>
          </w:pPr>
          <w:hyperlink w:anchor="__RefHeading___Toc910536_774463916">
            <w:r>
              <w:rPr>
                <w:webHidden/>
                <w:rStyle w:val="IndexLink"/>
                <w:rtl w:val="true"/>
              </w:rPr>
              <w:t>حرمة الکذب فی الهزل و الجدّ</w:t>
            </w:r>
            <w:r>
              <w:rPr>
                <w:rStyle w:val="IndexLink"/>
                <w:rtl w:val="true"/>
              </w:rPr>
              <w:tab/>
            </w:r>
            <w:r>
              <w:rPr>
                <w:rStyle w:val="IndexLink"/>
              </w:rPr>
              <w:t>600</w:t>
            </w:r>
          </w:hyperlink>
        </w:p>
        <w:p>
          <w:pPr>
            <w:pStyle w:val="Contents4"/>
            <w:tabs>
              <w:tab w:val="clear" w:pos="8176"/>
              <w:tab w:val="right" w:pos="9026" w:leader="dot"/>
            </w:tabs>
            <w:rPr/>
          </w:pPr>
          <w:hyperlink w:anchor="__RefHeading___Toc910538_774463916">
            <w:r>
              <w:rPr>
                <w:webHidden/>
                <w:rStyle w:val="IndexLink"/>
                <w:rtl w:val="true"/>
              </w:rPr>
              <w:t>بیان حقیقة الوعد و أقسامه</w:t>
            </w:r>
            <w:r>
              <w:rPr>
                <w:rStyle w:val="IndexLink"/>
                <w:rtl w:val="true"/>
              </w:rPr>
              <w:tab/>
            </w:r>
            <w:r>
              <w:rPr>
                <w:rStyle w:val="IndexLink"/>
              </w:rPr>
              <w:t>601</w:t>
            </w:r>
          </w:hyperlink>
        </w:p>
        <w:p>
          <w:pPr>
            <w:pStyle w:val="Contents4"/>
            <w:tabs>
              <w:tab w:val="clear" w:pos="8176"/>
              <w:tab w:val="right" w:pos="9026" w:leader="dot"/>
            </w:tabs>
            <w:rPr/>
          </w:pPr>
          <w:hyperlink w:anchor="__RefHeading___Toc910540_774463916">
            <w:r>
              <w:rPr>
                <w:webHidden/>
                <w:rStyle w:val="IndexLink"/>
                <w:rtl w:val="true"/>
              </w:rPr>
              <w:t>خلف الوعد</w:t>
            </w:r>
            <w:r>
              <w:rPr>
                <w:rStyle w:val="IndexLink"/>
                <w:rtl w:val="true"/>
              </w:rPr>
              <w:tab/>
            </w:r>
            <w:r>
              <w:rPr>
                <w:rStyle w:val="IndexLink"/>
              </w:rPr>
              <w:t>603</w:t>
            </w:r>
          </w:hyperlink>
        </w:p>
        <w:p>
          <w:pPr>
            <w:pStyle w:val="Contents4"/>
            <w:tabs>
              <w:tab w:val="clear" w:pos="8176"/>
              <w:tab w:val="right" w:pos="9026" w:leader="dot"/>
            </w:tabs>
            <w:rPr/>
          </w:pPr>
          <w:hyperlink w:anchor="__RefHeading___Toc910542_774463916">
            <w:r>
              <w:rPr>
                <w:webHidden/>
                <w:rStyle w:val="IndexLink"/>
                <w:rtl w:val="true"/>
              </w:rPr>
              <w:t>خروج المبالغة عن الکذب موضوعا</w:t>
            </w:r>
            <w:r>
              <w:rPr>
                <w:rStyle w:val="IndexLink"/>
                <w:rtl w:val="true"/>
              </w:rPr>
              <w:tab/>
            </w:r>
            <w:r>
              <w:rPr>
                <w:rStyle w:val="IndexLink"/>
              </w:rPr>
              <w:t>607</w:t>
            </w:r>
          </w:hyperlink>
        </w:p>
        <w:p>
          <w:pPr>
            <w:pStyle w:val="Contents4"/>
            <w:tabs>
              <w:tab w:val="clear" w:pos="8176"/>
              <w:tab w:val="right" w:pos="9026" w:leader="dot"/>
            </w:tabs>
            <w:rPr/>
          </w:pPr>
          <w:hyperlink w:anchor="__RefHeading___Toc910544_774463916">
            <w:r>
              <w:rPr>
                <w:webHidden/>
                <w:rStyle w:val="IndexLink"/>
                <w:rtl w:val="true"/>
              </w:rPr>
              <w:t>خروج التوریة عن الکذب</w:t>
            </w:r>
            <w:r>
              <w:rPr>
                <w:rStyle w:val="IndexLink"/>
                <w:rtl w:val="true"/>
              </w:rPr>
              <w:tab/>
            </w:r>
            <w:r>
              <w:rPr>
                <w:rStyle w:val="IndexLink"/>
              </w:rPr>
              <w:t>609</w:t>
            </w:r>
          </w:hyperlink>
        </w:p>
        <w:p>
          <w:pPr>
            <w:pStyle w:val="Contents4"/>
            <w:tabs>
              <w:tab w:val="clear" w:pos="8176"/>
              <w:tab w:val="right" w:pos="9026" w:leader="dot"/>
            </w:tabs>
            <w:rPr/>
          </w:pPr>
          <w:hyperlink w:anchor="__RefHeading___Toc910546_774463916">
            <w:r>
              <w:rPr>
                <w:webHidden/>
                <w:rStyle w:val="IndexLink"/>
                <w:rtl w:val="true"/>
              </w:rPr>
              <w:t>رفع غشاوة</w:t>
            </w:r>
            <w:r>
              <w:rPr>
                <w:rStyle w:val="IndexLink"/>
                <w:rtl w:val="true"/>
              </w:rPr>
              <w:tab/>
            </w:r>
            <w:r>
              <w:rPr>
                <w:rStyle w:val="IndexLink"/>
              </w:rPr>
              <w:t>617</w:t>
            </w:r>
          </w:hyperlink>
        </w:p>
        <w:p>
          <w:pPr>
            <w:pStyle w:val="Contents4"/>
            <w:tabs>
              <w:tab w:val="clear" w:pos="8176"/>
              <w:tab w:val="right" w:pos="9026" w:leader="dot"/>
            </w:tabs>
            <w:rPr/>
          </w:pPr>
          <w:hyperlink w:anchor="__RefHeading___Toc910548_774463916">
            <w:r>
              <w:rPr>
                <w:webHidden/>
                <w:rStyle w:val="IndexLink"/>
                <w:rtl w:val="true"/>
              </w:rPr>
              <w:t>مسوغات الکذب</w:t>
            </w:r>
            <w:r>
              <w:rPr>
                <w:rStyle w:val="IndexLink"/>
                <w:rtl w:val="true"/>
              </w:rPr>
              <w:tab/>
            </w:r>
            <w:r>
              <w:rPr>
                <w:rStyle w:val="IndexLink"/>
              </w:rPr>
              <w:t>620</w:t>
            </w:r>
          </w:hyperlink>
        </w:p>
        <w:p>
          <w:pPr>
            <w:pStyle w:val="Contents5"/>
            <w:tabs>
              <w:tab w:val="clear" w:pos="7892"/>
              <w:tab w:val="right" w:pos="9026" w:leader="dot"/>
            </w:tabs>
            <w:rPr/>
          </w:pPr>
          <w:hyperlink w:anchor="__RefHeading___Toc910550_774463916">
            <w:r>
              <w:rPr>
                <w:webHidden/>
                <w:rStyle w:val="IndexLink"/>
                <w:rtl w:val="true"/>
              </w:rPr>
              <w:t>جواز الکذب لدفع الضرورة</w:t>
            </w:r>
            <w:r>
              <w:rPr>
                <w:rStyle w:val="IndexLink"/>
                <w:rtl w:val="true"/>
              </w:rPr>
              <w:tab/>
            </w:r>
            <w:r>
              <w:rPr>
                <w:rStyle w:val="IndexLink"/>
              </w:rPr>
              <w:t>620</w:t>
            </w:r>
          </w:hyperlink>
        </w:p>
        <w:p>
          <w:pPr>
            <w:pStyle w:val="Contents6"/>
            <w:tabs>
              <w:tab w:val="clear" w:pos="7609"/>
              <w:tab w:val="right" w:pos="9026" w:leader="dot"/>
            </w:tabs>
            <w:rPr/>
          </w:pPr>
          <w:hyperlink w:anchor="__RefHeading___Toc910552_774463916">
            <w:r>
              <w:rPr>
                <w:webHidden/>
                <w:rStyle w:val="IndexLink"/>
                <w:rtl w:val="true"/>
              </w:rPr>
              <w:t>اشارة</w:t>
            </w:r>
            <w:r>
              <w:rPr>
                <w:rStyle w:val="IndexLink"/>
                <w:rtl w:val="true"/>
              </w:rPr>
              <w:tab/>
            </w:r>
            <w:r>
              <w:rPr>
                <w:rStyle w:val="IndexLink"/>
              </w:rPr>
              <w:t>620</w:t>
            </w:r>
          </w:hyperlink>
        </w:p>
        <w:p>
          <w:pPr>
            <w:pStyle w:val="Contents6"/>
            <w:tabs>
              <w:tab w:val="clear" w:pos="7609"/>
              <w:tab w:val="right" w:pos="9026" w:leader="dot"/>
            </w:tabs>
            <w:rPr/>
          </w:pPr>
          <w:hyperlink w:anchor="__RefHeading___Toc910554_774463916">
            <w:r>
              <w:rPr>
                <w:webHidden/>
                <w:rStyle w:val="IndexLink"/>
                <w:rtl w:val="true"/>
              </w:rPr>
              <w:t>هل تجب التوریة فی حالة الضرورة لمن یتمکّن منها؟</w:t>
            </w:r>
            <w:r>
              <w:rPr>
                <w:rStyle w:val="IndexLink"/>
                <w:rtl w:val="true"/>
              </w:rPr>
              <w:tab/>
            </w:r>
            <w:r>
              <w:rPr>
                <w:rStyle w:val="IndexLink"/>
              </w:rPr>
              <w:t>622</w:t>
            </w:r>
          </w:hyperlink>
        </w:p>
        <w:p>
          <w:pPr>
            <w:pStyle w:val="Contents6"/>
            <w:tabs>
              <w:tab w:val="clear" w:pos="7609"/>
              <w:tab w:val="right" w:pos="9026" w:leader="dot"/>
            </w:tabs>
            <w:rPr/>
          </w:pPr>
          <w:hyperlink w:anchor="__RefHeading___Toc910556_774463916">
            <w:r>
              <w:rPr>
                <w:webHidden/>
                <w:rStyle w:val="IndexLink"/>
                <w:rtl w:val="true"/>
              </w:rPr>
              <w:t>الأقوال الصادرة عن الأئمّة</w:t>
            </w:r>
            <w:r>
              <w:rPr>
                <w:rStyle w:val="IndexLink"/>
                <w:rtl w:val="true"/>
              </w:rPr>
              <w:t>(</w:t>
            </w:r>
            <w:r>
              <w:rPr>
                <w:rStyle w:val="IndexLink"/>
                <w:rtl w:val="true"/>
              </w:rPr>
              <w:t>علیهم السّلام</w:t>
            </w:r>
            <w:r>
              <w:rPr>
                <w:rStyle w:val="IndexLink"/>
                <w:rtl w:val="true"/>
              </w:rPr>
              <w:t>)</w:t>
            </w:r>
            <w:r>
              <w:rPr>
                <w:rStyle w:val="IndexLink"/>
                <w:rtl w:val="true"/>
              </w:rPr>
              <w:t>تقیّة</w:t>
            </w:r>
            <w:r>
              <w:rPr>
                <w:rStyle w:val="IndexLink"/>
                <w:rtl w:val="true"/>
              </w:rPr>
              <w:tab/>
            </w:r>
            <w:r>
              <w:rPr>
                <w:rStyle w:val="IndexLink"/>
              </w:rPr>
              <w:t>633</w:t>
            </w:r>
          </w:hyperlink>
        </w:p>
        <w:p>
          <w:pPr>
            <w:pStyle w:val="Contents6"/>
            <w:tabs>
              <w:tab w:val="clear" w:pos="7609"/>
              <w:tab w:val="right" w:pos="9026" w:leader="dot"/>
            </w:tabs>
            <w:rPr/>
          </w:pPr>
          <w:hyperlink w:anchor="__RefHeading___Toc910558_774463916">
            <w:r>
              <w:rPr>
                <w:webHidden/>
                <w:rStyle w:val="IndexLink"/>
                <w:rtl w:val="true"/>
              </w:rPr>
              <w:t>دوران الأمر بین الحمل علی الوجوب تقیّة و الاستحباب</w:t>
            </w:r>
            <w:r>
              <w:rPr>
                <w:rStyle w:val="IndexLink"/>
                <w:rtl w:val="true"/>
              </w:rPr>
              <w:tab/>
            </w:r>
            <w:r>
              <w:rPr>
                <w:rStyle w:val="IndexLink"/>
              </w:rPr>
              <w:t>635</w:t>
            </w:r>
          </w:hyperlink>
        </w:p>
        <w:p>
          <w:pPr>
            <w:pStyle w:val="Contents5"/>
            <w:tabs>
              <w:tab w:val="clear" w:pos="7892"/>
              <w:tab w:val="right" w:pos="9026" w:leader="dot"/>
            </w:tabs>
            <w:rPr/>
          </w:pPr>
          <w:hyperlink w:anchor="__RefHeading___Toc910560_774463916">
            <w:r>
              <w:rPr>
                <w:webHidden/>
                <w:rStyle w:val="IndexLink"/>
                <w:rtl w:val="true"/>
              </w:rPr>
              <w:t>جواز الکذب لإرادة الإصلاح</w:t>
            </w:r>
            <w:r>
              <w:rPr>
                <w:rStyle w:val="IndexLink"/>
                <w:rtl w:val="true"/>
              </w:rPr>
              <w:tab/>
            </w:r>
            <w:r>
              <w:rPr>
                <w:rStyle w:val="IndexLink"/>
              </w:rPr>
              <w:t>637</w:t>
            </w:r>
          </w:hyperlink>
        </w:p>
        <w:p>
          <w:pPr>
            <w:pStyle w:val="Contents3"/>
            <w:tabs>
              <w:tab w:val="clear" w:pos="8459"/>
              <w:tab w:val="right" w:pos="9026" w:leader="dot"/>
            </w:tabs>
            <w:rPr/>
          </w:pPr>
          <w:hyperlink w:anchor="__RefHeading___Toc910562_774463916">
            <w:r>
              <w:rPr>
                <w:webHidden/>
                <w:rStyle w:val="IndexLink"/>
                <w:rtl w:val="true"/>
              </w:rPr>
              <w:t>حرمة الکهانة</w:t>
            </w:r>
            <w:r>
              <w:rPr>
                <w:rStyle w:val="IndexLink"/>
                <w:rtl w:val="true"/>
              </w:rPr>
              <w:tab/>
            </w:r>
            <w:r>
              <w:rPr>
                <w:rStyle w:val="IndexLink"/>
              </w:rPr>
              <w:t>640</w:t>
            </w:r>
          </w:hyperlink>
        </w:p>
        <w:p>
          <w:pPr>
            <w:pStyle w:val="Contents4"/>
            <w:tabs>
              <w:tab w:val="clear" w:pos="8176"/>
              <w:tab w:val="right" w:pos="9026" w:leader="dot"/>
            </w:tabs>
            <w:rPr/>
          </w:pPr>
          <w:hyperlink w:anchor="__RefHeading___Toc910564_774463916">
            <w:r>
              <w:rPr>
                <w:webHidden/>
                <w:rStyle w:val="IndexLink"/>
                <w:rtl w:val="true"/>
              </w:rPr>
              <w:t>اشارة</w:t>
            </w:r>
            <w:r>
              <w:rPr>
                <w:rStyle w:val="IndexLink"/>
                <w:rtl w:val="true"/>
              </w:rPr>
              <w:tab/>
            </w:r>
            <w:r>
              <w:rPr>
                <w:rStyle w:val="IndexLink"/>
              </w:rPr>
              <w:t>640</w:t>
            </w:r>
          </w:hyperlink>
        </w:p>
        <w:p>
          <w:pPr>
            <w:pStyle w:val="Contents4"/>
            <w:tabs>
              <w:tab w:val="clear" w:pos="8176"/>
              <w:tab w:val="right" w:pos="9026" w:leader="dot"/>
            </w:tabs>
            <w:rPr/>
          </w:pPr>
          <w:hyperlink w:anchor="__RefHeading___Toc910566_774463916">
            <w:r>
              <w:rPr>
                <w:webHidden/>
                <w:rStyle w:val="IndexLink"/>
                <w:rtl w:val="true"/>
              </w:rPr>
              <w:t>موضوع الکهانة و أقسامها</w:t>
            </w:r>
            <w:r>
              <w:rPr>
                <w:rStyle w:val="IndexLink"/>
                <w:rtl w:val="true"/>
              </w:rPr>
              <w:tab/>
            </w:r>
            <w:r>
              <w:rPr>
                <w:rStyle w:val="IndexLink"/>
              </w:rPr>
              <w:t>640</w:t>
            </w:r>
          </w:hyperlink>
        </w:p>
        <w:p>
          <w:pPr>
            <w:pStyle w:val="Contents4"/>
            <w:tabs>
              <w:tab w:val="clear" w:pos="8176"/>
              <w:tab w:val="right" w:pos="9026" w:leader="dot"/>
            </w:tabs>
            <w:rPr/>
          </w:pPr>
          <w:hyperlink w:anchor="__RefHeading___Toc910568_774463916">
            <w:r>
              <w:rPr>
                <w:webHidden/>
                <w:rStyle w:val="IndexLink"/>
                <w:rtl w:val="true"/>
              </w:rPr>
              <w:t>حرمة الرجوع إلی الکاهن</w:t>
            </w:r>
            <w:r>
              <w:rPr>
                <w:rStyle w:val="IndexLink"/>
                <w:rtl w:val="true"/>
              </w:rPr>
              <w:tab/>
            </w:r>
            <w:r>
              <w:rPr>
                <w:rStyle w:val="IndexLink"/>
              </w:rPr>
              <w:t>642</w:t>
            </w:r>
          </w:hyperlink>
        </w:p>
        <w:p>
          <w:pPr>
            <w:pStyle w:val="Contents4"/>
            <w:tabs>
              <w:tab w:val="clear" w:pos="8176"/>
              <w:tab w:val="right" w:pos="9026" w:leader="dot"/>
            </w:tabs>
            <w:rPr/>
          </w:pPr>
          <w:hyperlink w:anchor="__RefHeading___Toc910570_774463916">
            <w:r>
              <w:rPr>
                <w:webHidden/>
                <w:rStyle w:val="IndexLink"/>
                <w:rtl w:val="true"/>
              </w:rPr>
              <w:t>حکم الإخبار عن الامور المستقبلة</w:t>
            </w:r>
            <w:r>
              <w:rPr>
                <w:rStyle w:val="IndexLink"/>
                <w:rtl w:val="true"/>
              </w:rPr>
              <w:tab/>
            </w:r>
            <w:r>
              <w:rPr>
                <w:rStyle w:val="IndexLink"/>
              </w:rPr>
              <w:t>643</w:t>
            </w:r>
          </w:hyperlink>
        </w:p>
        <w:p>
          <w:pPr>
            <w:pStyle w:val="Contents3"/>
            <w:tabs>
              <w:tab w:val="clear" w:pos="8459"/>
              <w:tab w:val="right" w:pos="9026" w:leader="dot"/>
            </w:tabs>
            <w:rPr/>
          </w:pPr>
          <w:hyperlink w:anchor="__RefHeading___Toc910572_774463916">
            <w:r>
              <w:rPr>
                <w:webHidden/>
                <w:rStyle w:val="IndexLink"/>
                <w:rtl w:val="true"/>
              </w:rPr>
              <w:t>حرمة اللهو فی الجملة</w:t>
            </w:r>
            <w:r>
              <w:rPr>
                <w:rStyle w:val="IndexLink"/>
                <w:rtl w:val="true"/>
              </w:rPr>
              <w:tab/>
            </w:r>
            <w:r>
              <w:rPr>
                <w:rStyle w:val="IndexLink"/>
              </w:rPr>
              <w:t>646</w:t>
            </w:r>
          </w:hyperlink>
        </w:p>
        <w:p>
          <w:pPr>
            <w:pStyle w:val="Contents4"/>
            <w:tabs>
              <w:tab w:val="clear" w:pos="8176"/>
              <w:tab w:val="right" w:pos="9026" w:leader="dot"/>
            </w:tabs>
            <w:rPr/>
          </w:pPr>
          <w:hyperlink w:anchor="__RefHeading___Toc910574_774463916">
            <w:r>
              <w:rPr>
                <w:webHidden/>
                <w:rStyle w:val="IndexLink"/>
                <w:rtl w:val="true"/>
              </w:rPr>
              <w:t>اشارة</w:t>
            </w:r>
            <w:r>
              <w:rPr>
                <w:rStyle w:val="IndexLink"/>
                <w:rtl w:val="true"/>
              </w:rPr>
              <w:tab/>
            </w:r>
            <w:r>
              <w:rPr>
                <w:rStyle w:val="IndexLink"/>
              </w:rPr>
              <w:t>646</w:t>
            </w:r>
          </w:hyperlink>
        </w:p>
        <w:p>
          <w:pPr>
            <w:pStyle w:val="Contents4"/>
            <w:tabs>
              <w:tab w:val="clear" w:pos="8176"/>
              <w:tab w:val="right" w:pos="9026" w:leader="dot"/>
            </w:tabs>
            <w:rPr/>
          </w:pPr>
          <w:hyperlink w:anchor="__RefHeading___Toc910576_774463916">
            <w:r>
              <w:rPr>
                <w:webHidden/>
                <w:rStyle w:val="IndexLink"/>
                <w:rtl w:val="true"/>
              </w:rPr>
              <w:t>اللعب و اللغو</w:t>
            </w:r>
            <w:r>
              <w:rPr>
                <w:rStyle w:val="IndexLink"/>
                <w:rtl w:val="true"/>
              </w:rPr>
              <w:tab/>
            </w:r>
            <w:r>
              <w:rPr>
                <w:rStyle w:val="IndexLink"/>
              </w:rPr>
              <w:t>650</w:t>
            </w:r>
          </w:hyperlink>
        </w:p>
        <w:p>
          <w:pPr>
            <w:pStyle w:val="Contents3"/>
            <w:tabs>
              <w:tab w:val="clear" w:pos="8459"/>
              <w:tab w:val="right" w:pos="9026" w:leader="dot"/>
            </w:tabs>
            <w:rPr/>
          </w:pPr>
          <w:hyperlink w:anchor="__RefHeading___Toc910578_774463916">
            <w:r>
              <w:rPr>
                <w:webHidden/>
                <w:rStyle w:val="IndexLink"/>
                <w:rtl w:val="true"/>
              </w:rPr>
              <w:t>مدح من لا یستحقّ المدح</w:t>
            </w:r>
            <w:r>
              <w:rPr>
                <w:rStyle w:val="IndexLink"/>
                <w:rtl w:val="true"/>
              </w:rPr>
              <w:tab/>
            </w:r>
            <w:r>
              <w:rPr>
                <w:rStyle w:val="IndexLink"/>
              </w:rPr>
              <w:t>653</w:t>
            </w:r>
          </w:hyperlink>
        </w:p>
        <w:p>
          <w:pPr>
            <w:pStyle w:val="Contents4"/>
            <w:tabs>
              <w:tab w:val="clear" w:pos="8176"/>
              <w:tab w:val="right" w:pos="9026" w:leader="dot"/>
            </w:tabs>
            <w:rPr/>
          </w:pPr>
          <w:hyperlink w:anchor="__RefHeading___Toc910580_774463916">
            <w:r>
              <w:rPr>
                <w:webHidden/>
                <w:rStyle w:val="IndexLink"/>
                <w:rtl w:val="true"/>
              </w:rPr>
              <w:t>اشارة</w:t>
            </w:r>
            <w:r>
              <w:rPr>
                <w:rStyle w:val="IndexLink"/>
                <w:rtl w:val="true"/>
              </w:rPr>
              <w:tab/>
            </w:r>
            <w:r>
              <w:rPr>
                <w:rStyle w:val="IndexLink"/>
              </w:rPr>
              <w:t>653</w:t>
            </w:r>
          </w:hyperlink>
        </w:p>
        <w:p>
          <w:pPr>
            <w:pStyle w:val="Contents4"/>
            <w:tabs>
              <w:tab w:val="clear" w:pos="8176"/>
              <w:tab w:val="right" w:pos="9026" w:leader="dot"/>
            </w:tabs>
            <w:rPr/>
          </w:pPr>
          <w:hyperlink w:anchor="__RefHeading___Toc910582_774463916">
            <w:r>
              <w:rPr>
                <w:webHidden/>
                <w:rStyle w:val="IndexLink"/>
                <w:rtl w:val="true"/>
              </w:rPr>
              <w:t>حرمة معونة الظالمین</w:t>
            </w:r>
            <w:r>
              <w:rPr>
                <w:rStyle w:val="IndexLink"/>
                <w:rtl w:val="true"/>
              </w:rPr>
              <w:tab/>
            </w:r>
            <w:r>
              <w:rPr>
                <w:rStyle w:val="IndexLink"/>
              </w:rPr>
              <w:t>655</w:t>
            </w:r>
          </w:hyperlink>
        </w:p>
        <w:p>
          <w:pPr>
            <w:pStyle w:val="Contents4"/>
            <w:tabs>
              <w:tab w:val="clear" w:pos="8176"/>
              <w:tab w:val="right" w:pos="9026" w:leader="dot"/>
            </w:tabs>
            <w:rPr/>
          </w:pPr>
          <w:hyperlink w:anchor="__RefHeading___Toc910584_774463916">
            <w:r>
              <w:rPr>
                <w:webHidden/>
                <w:rStyle w:val="IndexLink"/>
                <w:rtl w:val="true"/>
              </w:rPr>
              <w:t>حرمة إعانة الظالمین فی غیر جهة ظلمهم</w:t>
            </w:r>
            <w:r>
              <w:rPr>
                <w:rStyle w:val="IndexLink"/>
                <w:rtl w:val="true"/>
              </w:rPr>
              <w:tab/>
            </w:r>
            <w:r>
              <w:rPr>
                <w:rStyle w:val="IndexLink"/>
              </w:rPr>
              <w:t>657</w:t>
            </w:r>
          </w:hyperlink>
        </w:p>
        <w:p>
          <w:pPr>
            <w:pStyle w:val="Contents3"/>
            <w:tabs>
              <w:tab w:val="clear" w:pos="8459"/>
              <w:tab w:val="right" w:pos="9026" w:leader="dot"/>
            </w:tabs>
            <w:rPr/>
          </w:pPr>
          <w:hyperlink w:anchor="__RefHeading___Toc910586_774463916">
            <w:r>
              <w:rPr>
                <w:webHidden/>
                <w:rStyle w:val="IndexLink"/>
                <w:rtl w:val="true"/>
              </w:rPr>
              <w:t>حرمة النجش</w:t>
            </w:r>
            <w:r>
              <w:rPr>
                <w:rStyle w:val="IndexLink"/>
                <w:rtl w:val="true"/>
              </w:rPr>
              <w:tab/>
            </w:r>
            <w:r>
              <w:rPr>
                <w:rStyle w:val="IndexLink"/>
              </w:rPr>
              <w:t>660</w:t>
            </w:r>
          </w:hyperlink>
        </w:p>
        <w:p>
          <w:pPr>
            <w:pStyle w:val="Contents3"/>
            <w:tabs>
              <w:tab w:val="clear" w:pos="8459"/>
              <w:tab w:val="right" w:pos="9026" w:leader="dot"/>
            </w:tabs>
            <w:rPr/>
          </w:pPr>
          <w:hyperlink w:anchor="__RefHeading___Toc910588_774463916">
            <w:r>
              <w:rPr>
                <w:webHidden/>
                <w:rStyle w:val="IndexLink"/>
                <w:rtl w:val="true"/>
              </w:rPr>
              <w:t>حرمة النمیمة</w:t>
            </w:r>
            <w:r>
              <w:rPr>
                <w:rStyle w:val="IndexLink"/>
                <w:rtl w:val="true"/>
              </w:rPr>
              <w:tab/>
            </w:r>
            <w:r>
              <w:rPr>
                <w:rStyle w:val="IndexLink"/>
              </w:rPr>
              <w:t>663</w:t>
            </w:r>
          </w:hyperlink>
        </w:p>
        <w:p>
          <w:pPr>
            <w:pStyle w:val="Contents3"/>
            <w:tabs>
              <w:tab w:val="clear" w:pos="8459"/>
              <w:tab w:val="right" w:pos="9026" w:leader="dot"/>
            </w:tabs>
            <w:rPr/>
          </w:pPr>
          <w:hyperlink w:anchor="__RefHeading___Toc910590_774463916">
            <w:r>
              <w:rPr>
                <w:webHidden/>
                <w:rStyle w:val="IndexLink"/>
                <w:rtl w:val="true"/>
              </w:rPr>
              <w:t>النیاحة</w:t>
            </w:r>
            <w:r>
              <w:rPr>
                <w:rStyle w:val="IndexLink"/>
                <w:rtl w:val="true"/>
              </w:rPr>
              <w:tab/>
            </w:r>
            <w:r>
              <w:rPr>
                <w:rStyle w:val="IndexLink"/>
              </w:rPr>
              <w:t>665</w:t>
            </w:r>
          </w:hyperlink>
        </w:p>
        <w:p>
          <w:pPr>
            <w:pStyle w:val="Contents4"/>
            <w:tabs>
              <w:tab w:val="clear" w:pos="8176"/>
              <w:tab w:val="right" w:pos="9026" w:leader="dot"/>
            </w:tabs>
            <w:rPr/>
          </w:pPr>
          <w:hyperlink w:anchor="__RefHeading___Toc910592_774463916">
            <w:r>
              <w:rPr>
                <w:webHidden/>
                <w:rStyle w:val="IndexLink"/>
                <w:rtl w:val="true"/>
              </w:rPr>
              <w:t>اشارة</w:t>
            </w:r>
            <w:r>
              <w:rPr>
                <w:rStyle w:val="IndexLink"/>
                <w:rtl w:val="true"/>
              </w:rPr>
              <w:tab/>
            </w:r>
            <w:r>
              <w:rPr>
                <w:rStyle w:val="IndexLink"/>
              </w:rPr>
              <w:t>665</w:t>
            </w:r>
          </w:hyperlink>
        </w:p>
        <w:p>
          <w:pPr>
            <w:pStyle w:val="Contents4"/>
            <w:tabs>
              <w:tab w:val="clear" w:pos="8176"/>
              <w:tab w:val="right" w:pos="9026" w:leader="dot"/>
            </w:tabs>
            <w:rPr/>
          </w:pPr>
          <w:hyperlink w:anchor="__RefHeading___Toc910594_774463916">
            <w:r>
              <w:rPr>
                <w:webHidden/>
                <w:rStyle w:val="IndexLink"/>
                <w:rtl w:val="true"/>
              </w:rPr>
              <w:t>کسب النائحة</w:t>
            </w:r>
            <w:r>
              <w:rPr>
                <w:rStyle w:val="IndexLink"/>
                <w:rtl w:val="true"/>
              </w:rPr>
              <w:tab/>
            </w:r>
            <w:r>
              <w:rPr>
                <w:rStyle w:val="IndexLink"/>
              </w:rPr>
              <w:t>668</w:t>
            </w:r>
          </w:hyperlink>
        </w:p>
        <w:p>
          <w:pPr>
            <w:pStyle w:val="Contents3"/>
            <w:tabs>
              <w:tab w:val="clear" w:pos="8459"/>
              <w:tab w:val="right" w:pos="9026" w:leader="dot"/>
            </w:tabs>
            <w:rPr/>
          </w:pPr>
          <w:hyperlink w:anchor="__RefHeading___Toc910596_774463916">
            <w:r>
              <w:rPr>
                <w:webHidden/>
                <w:rStyle w:val="IndexLink"/>
                <w:rtl w:val="true"/>
              </w:rPr>
              <w:t>حرمة الولایة من قبل الجائر</w:t>
            </w:r>
            <w:r>
              <w:rPr>
                <w:rStyle w:val="IndexLink"/>
                <w:rtl w:val="true"/>
              </w:rPr>
              <w:tab/>
            </w:r>
            <w:r>
              <w:rPr>
                <w:rStyle w:val="IndexLink"/>
              </w:rPr>
              <w:t>669</w:t>
            </w:r>
          </w:hyperlink>
        </w:p>
        <w:p>
          <w:pPr>
            <w:pStyle w:val="Contents4"/>
            <w:tabs>
              <w:tab w:val="clear" w:pos="8176"/>
              <w:tab w:val="right" w:pos="9026" w:leader="dot"/>
            </w:tabs>
            <w:rPr/>
          </w:pPr>
          <w:hyperlink w:anchor="__RefHeading___Toc910598_774463916">
            <w:r>
              <w:rPr>
                <w:webHidden/>
                <w:rStyle w:val="IndexLink"/>
                <w:rtl w:val="true"/>
              </w:rPr>
              <w:t>اشارة</w:t>
            </w:r>
            <w:r>
              <w:rPr>
                <w:rStyle w:val="IndexLink"/>
                <w:rtl w:val="true"/>
              </w:rPr>
              <w:tab/>
            </w:r>
            <w:r>
              <w:rPr>
                <w:rStyle w:val="IndexLink"/>
              </w:rPr>
              <w:t>669</w:t>
            </w:r>
          </w:hyperlink>
        </w:p>
        <w:p>
          <w:pPr>
            <w:pStyle w:val="Contents4"/>
            <w:tabs>
              <w:tab w:val="clear" w:pos="8176"/>
              <w:tab w:val="right" w:pos="9026" w:leader="dot"/>
            </w:tabs>
            <w:rPr/>
          </w:pPr>
          <w:hyperlink w:anchor="__RefHeading___Toc910600_774463916">
            <w:r>
              <w:rPr>
                <w:webHidden/>
                <w:rStyle w:val="IndexLink"/>
                <w:rtl w:val="true"/>
              </w:rPr>
              <w:t>ما استثنی من حرمة الولایة</w:t>
            </w:r>
            <w:r>
              <w:rPr>
                <w:rStyle w:val="IndexLink"/>
                <w:rtl w:val="true"/>
              </w:rPr>
              <w:tab/>
            </w:r>
            <w:r>
              <w:rPr>
                <w:rStyle w:val="IndexLink"/>
              </w:rPr>
              <w:t>671</w:t>
            </w:r>
          </w:hyperlink>
        </w:p>
        <w:p>
          <w:pPr>
            <w:pStyle w:val="Contents5"/>
            <w:tabs>
              <w:tab w:val="clear" w:pos="7892"/>
              <w:tab w:val="right" w:pos="9026" w:leader="dot"/>
            </w:tabs>
            <w:rPr/>
          </w:pPr>
          <w:hyperlink w:anchor="__RefHeading___Toc910602_774463916">
            <w:r>
              <w:rPr>
                <w:webHidden/>
                <w:rStyle w:val="IndexLink"/>
                <w:rtl w:val="true"/>
              </w:rPr>
              <w:t>أخذها للقیام بمصالح العباد</w:t>
            </w:r>
            <w:r>
              <w:rPr>
                <w:rStyle w:val="IndexLink"/>
                <w:rtl w:val="true"/>
              </w:rPr>
              <w:tab/>
            </w:r>
            <w:r>
              <w:rPr>
                <w:rStyle w:val="IndexLink"/>
              </w:rPr>
              <w:t>671</w:t>
            </w:r>
          </w:hyperlink>
        </w:p>
        <w:p>
          <w:pPr>
            <w:pStyle w:val="Contents6"/>
            <w:tabs>
              <w:tab w:val="clear" w:pos="7609"/>
              <w:tab w:val="right" w:pos="9026" w:leader="dot"/>
            </w:tabs>
            <w:rPr/>
          </w:pPr>
          <w:hyperlink w:anchor="__RefHeading___Toc910604_774463916">
            <w:r>
              <w:rPr>
                <w:webHidden/>
                <w:rStyle w:val="IndexLink"/>
                <w:rtl w:val="true"/>
              </w:rPr>
              <w:t>اشارة</w:t>
            </w:r>
            <w:r>
              <w:rPr>
                <w:rStyle w:val="IndexLink"/>
                <w:rtl w:val="true"/>
              </w:rPr>
              <w:tab/>
            </w:r>
            <w:r>
              <w:rPr>
                <w:rStyle w:val="IndexLink"/>
              </w:rPr>
              <w:t>671</w:t>
            </w:r>
          </w:hyperlink>
        </w:p>
        <w:p>
          <w:pPr>
            <w:pStyle w:val="Contents6"/>
            <w:tabs>
              <w:tab w:val="clear" w:pos="7609"/>
              <w:tab w:val="right" w:pos="9026" w:leader="dot"/>
            </w:tabs>
            <w:rPr/>
          </w:pPr>
          <w:hyperlink w:anchor="__RefHeading___Toc910606_774463916">
            <w:r>
              <w:rPr>
                <w:webHidden/>
                <w:rStyle w:val="IndexLink"/>
                <w:rtl w:val="true"/>
              </w:rPr>
              <w:t>أقسام الولایة من قبل الجائر</w:t>
            </w:r>
            <w:r>
              <w:rPr>
                <w:rStyle w:val="IndexLink"/>
                <w:rtl w:val="true"/>
              </w:rPr>
              <w:tab/>
            </w:r>
            <w:r>
              <w:rPr>
                <w:rStyle w:val="IndexLink"/>
              </w:rPr>
              <w:t>673</w:t>
            </w:r>
          </w:hyperlink>
        </w:p>
        <w:p>
          <w:pPr>
            <w:pStyle w:val="Contents5"/>
            <w:tabs>
              <w:tab w:val="clear" w:pos="7892"/>
              <w:tab w:val="right" w:pos="9026" w:leader="dot"/>
            </w:tabs>
            <w:rPr/>
          </w:pPr>
          <w:hyperlink w:anchor="__RefHeading___Toc910608_774463916">
            <w:r>
              <w:rPr>
                <w:webHidden/>
                <w:rStyle w:val="IndexLink"/>
                <w:rtl w:val="true"/>
              </w:rPr>
              <w:t>قبول الولایة من قبل الجائر مکرها</w:t>
            </w:r>
            <w:r>
              <w:rPr>
                <w:rStyle w:val="IndexLink"/>
                <w:rtl w:val="true"/>
              </w:rPr>
              <w:tab/>
            </w:r>
            <w:r>
              <w:rPr>
                <w:rStyle w:val="IndexLink"/>
              </w:rPr>
              <w:t>679</w:t>
            </w:r>
          </w:hyperlink>
        </w:p>
        <w:p>
          <w:pPr>
            <w:pStyle w:val="Contents4"/>
            <w:tabs>
              <w:tab w:val="clear" w:pos="8176"/>
              <w:tab w:val="right" w:pos="9026" w:leader="dot"/>
            </w:tabs>
            <w:rPr/>
          </w:pPr>
          <w:hyperlink w:anchor="__RefHeading___Toc910610_774463916">
            <w:r>
              <w:rPr>
                <w:webHidden/>
                <w:rStyle w:val="IndexLink"/>
                <w:rtl w:val="true"/>
              </w:rPr>
              <w:t>تنبیهات</w:t>
            </w:r>
            <w:r>
              <w:rPr>
                <w:rStyle w:val="IndexLink"/>
                <w:rtl w:val="true"/>
              </w:rPr>
              <w:tab/>
            </w:r>
            <w:r>
              <w:rPr>
                <w:rStyle w:val="IndexLink"/>
              </w:rPr>
              <w:t>680</w:t>
            </w:r>
          </w:hyperlink>
        </w:p>
        <w:p>
          <w:pPr>
            <w:pStyle w:val="Contents5"/>
            <w:tabs>
              <w:tab w:val="clear" w:pos="7892"/>
              <w:tab w:val="right" w:pos="9026" w:leader="dot"/>
            </w:tabs>
            <w:rPr/>
          </w:pPr>
          <w:hyperlink w:anchor="__RefHeading___Toc910612_774463916">
            <w:r>
              <w:rPr>
                <w:webHidden/>
                <w:rStyle w:val="IndexLink"/>
                <w:rtl w:val="true"/>
              </w:rPr>
              <w:t>حکم الإضرار بالناس مع الإکراه</w:t>
            </w:r>
            <w:r>
              <w:rPr>
                <w:rStyle w:val="IndexLink"/>
                <w:rtl w:val="true"/>
              </w:rPr>
              <w:tab/>
            </w:r>
            <w:r>
              <w:rPr>
                <w:rStyle w:val="IndexLink"/>
              </w:rPr>
              <w:t>680</w:t>
            </w:r>
          </w:hyperlink>
        </w:p>
        <w:p>
          <w:pPr>
            <w:pStyle w:val="Contents5"/>
            <w:tabs>
              <w:tab w:val="clear" w:pos="7892"/>
              <w:tab w:val="right" w:pos="9026" w:leader="dot"/>
            </w:tabs>
            <w:rPr/>
          </w:pPr>
          <w:hyperlink w:anchor="__RefHeading___Toc910614_774463916">
            <w:r>
              <w:rPr>
                <w:webHidden/>
                <w:rStyle w:val="IndexLink"/>
                <w:rtl w:val="true"/>
              </w:rPr>
              <w:t>جواز قبول الولایة من الجائر لدفع الضرر عن الغیر</w:t>
            </w:r>
            <w:r>
              <w:rPr>
                <w:rStyle w:val="IndexLink"/>
                <w:rtl w:val="true"/>
              </w:rPr>
              <w:tab/>
            </w:r>
            <w:r>
              <w:rPr>
                <w:rStyle w:val="IndexLink"/>
              </w:rPr>
              <w:t>685</w:t>
            </w:r>
          </w:hyperlink>
        </w:p>
        <w:p>
          <w:pPr>
            <w:pStyle w:val="Contents5"/>
            <w:tabs>
              <w:tab w:val="clear" w:pos="7892"/>
              <w:tab w:val="right" w:pos="9026" w:leader="dot"/>
            </w:tabs>
            <w:rPr/>
          </w:pPr>
          <w:hyperlink w:anchor="__RefHeading___Toc910616_774463916">
            <w:r>
              <w:rPr>
                <w:webHidden/>
                <w:rStyle w:val="IndexLink"/>
                <w:rtl w:val="true"/>
              </w:rPr>
              <w:t>حکم اعتبار العجز عن التفصّی فی الإکراه</w:t>
            </w:r>
            <w:r>
              <w:rPr>
                <w:rStyle w:val="IndexLink"/>
                <w:rtl w:val="true"/>
              </w:rPr>
              <w:tab/>
            </w:r>
            <w:r>
              <w:rPr>
                <w:rStyle w:val="IndexLink"/>
              </w:rPr>
              <w:t>689</w:t>
            </w:r>
          </w:hyperlink>
        </w:p>
        <w:p>
          <w:pPr>
            <w:pStyle w:val="Contents5"/>
            <w:tabs>
              <w:tab w:val="clear" w:pos="7892"/>
              <w:tab w:val="right" w:pos="9026" w:leader="dot"/>
            </w:tabs>
            <w:rPr/>
          </w:pPr>
          <w:hyperlink w:anchor="__RefHeading___Toc910618_774463916">
            <w:r>
              <w:rPr>
                <w:webHidden/>
                <w:rStyle w:val="IndexLink"/>
                <w:rtl w:val="true"/>
              </w:rPr>
              <w:t>جواز الولایة عن الجائر مع الضرر المالی رخصة لا عزیمة</w:t>
            </w:r>
            <w:r>
              <w:rPr>
                <w:rStyle w:val="IndexLink"/>
                <w:rtl w:val="true"/>
              </w:rPr>
              <w:tab/>
            </w:r>
            <w:r>
              <w:rPr>
                <w:rStyle w:val="IndexLink"/>
              </w:rPr>
              <w:t>691</w:t>
            </w:r>
          </w:hyperlink>
        </w:p>
        <w:p>
          <w:pPr>
            <w:pStyle w:val="Contents5"/>
            <w:tabs>
              <w:tab w:val="clear" w:pos="7892"/>
              <w:tab w:val="right" w:pos="9026" w:leader="dot"/>
            </w:tabs>
            <w:rPr/>
          </w:pPr>
          <w:hyperlink w:anchor="__RefHeading___Toc910620_774463916">
            <w:r>
              <w:rPr>
                <w:webHidden/>
                <w:rStyle w:val="IndexLink"/>
                <w:rtl w:val="true"/>
              </w:rPr>
              <w:t>حرمة قتل المؤمن بالإکراه أو بالتقیّة</w:t>
            </w:r>
            <w:r>
              <w:rPr>
                <w:rStyle w:val="IndexLink"/>
                <w:rtl w:val="true"/>
              </w:rPr>
              <w:tab/>
            </w:r>
            <w:r>
              <w:rPr>
                <w:rStyle w:val="IndexLink"/>
              </w:rPr>
              <w:t>692</w:t>
            </w:r>
          </w:hyperlink>
        </w:p>
        <w:p>
          <w:pPr>
            <w:pStyle w:val="Contents6"/>
            <w:tabs>
              <w:tab w:val="clear" w:pos="7609"/>
              <w:tab w:val="right" w:pos="9026" w:leader="dot"/>
            </w:tabs>
            <w:rPr/>
          </w:pPr>
          <w:hyperlink w:anchor="__RefHeading___Toc910622_774463916">
            <w:r>
              <w:rPr>
                <w:webHidden/>
                <w:rStyle w:val="IndexLink"/>
                <w:rtl w:val="true"/>
              </w:rPr>
              <w:t>اشارة</w:t>
            </w:r>
            <w:r>
              <w:rPr>
                <w:rStyle w:val="IndexLink"/>
                <w:rtl w:val="true"/>
              </w:rPr>
              <w:tab/>
            </w:r>
            <w:r>
              <w:rPr>
                <w:rStyle w:val="IndexLink"/>
              </w:rPr>
              <w:t>692</w:t>
            </w:r>
          </w:hyperlink>
        </w:p>
        <w:p>
          <w:pPr>
            <w:pStyle w:val="Contents6"/>
            <w:tabs>
              <w:tab w:val="clear" w:pos="7609"/>
              <w:tab w:val="right" w:pos="9026" w:leader="dot"/>
            </w:tabs>
            <w:rPr/>
          </w:pPr>
          <w:hyperlink w:anchor="__RefHeading___Toc910624_774463916">
            <w:r>
              <w:rPr>
                <w:webHidden/>
                <w:rStyle w:val="IndexLink"/>
                <w:rtl w:val="true"/>
              </w:rPr>
              <w:t>إنّ المستحقّ للقتل قصاصا محقون الدم</w:t>
            </w:r>
            <w:r>
              <w:rPr>
                <w:rStyle w:val="IndexLink"/>
                <w:rtl w:val="true"/>
              </w:rPr>
              <w:tab/>
            </w:r>
            <w:r>
              <w:rPr>
                <w:rStyle w:val="IndexLink"/>
              </w:rPr>
              <w:t>696</w:t>
            </w:r>
          </w:hyperlink>
        </w:p>
        <w:p>
          <w:pPr>
            <w:pStyle w:val="Contents6"/>
            <w:tabs>
              <w:tab w:val="clear" w:pos="7609"/>
              <w:tab w:val="right" w:pos="9026" w:leader="dot"/>
            </w:tabs>
            <w:rPr/>
          </w:pPr>
          <w:hyperlink w:anchor="__RefHeading___Toc910626_774463916">
            <w:r>
              <w:rPr>
                <w:webHidden/>
                <w:rStyle w:val="IndexLink"/>
                <w:rtl w:val="true"/>
              </w:rPr>
              <w:t>حکم التقیّة و الإکراه فی قتل المخالفین</w:t>
            </w:r>
            <w:r>
              <w:rPr>
                <w:rStyle w:val="IndexLink"/>
                <w:rtl w:val="true"/>
              </w:rPr>
              <w:tab/>
            </w:r>
            <w:r>
              <w:rPr>
                <w:rStyle w:val="IndexLink"/>
              </w:rPr>
              <w:t>697</w:t>
            </w:r>
          </w:hyperlink>
        </w:p>
        <w:p>
          <w:pPr>
            <w:pStyle w:val="Contents3"/>
            <w:tabs>
              <w:tab w:val="clear" w:pos="8459"/>
              <w:tab w:val="right" w:pos="9026" w:leader="dot"/>
            </w:tabs>
            <w:rPr/>
          </w:pPr>
          <w:hyperlink w:anchor="__RefHeading___Toc910628_774463916">
            <w:r>
              <w:rPr>
                <w:webHidden/>
                <w:rStyle w:val="IndexLink"/>
                <w:rtl w:val="true"/>
              </w:rPr>
              <w:t>حرمة هجاء المؤمن</w:t>
            </w:r>
            <w:r>
              <w:rPr>
                <w:rStyle w:val="IndexLink"/>
                <w:rtl w:val="true"/>
              </w:rPr>
              <w:tab/>
            </w:r>
            <w:r>
              <w:rPr>
                <w:rStyle w:val="IndexLink"/>
              </w:rPr>
              <w:t>698</w:t>
            </w:r>
          </w:hyperlink>
        </w:p>
        <w:p>
          <w:pPr>
            <w:pStyle w:val="Contents3"/>
            <w:tabs>
              <w:tab w:val="clear" w:pos="8459"/>
              <w:tab w:val="right" w:pos="9026" w:leader="dot"/>
            </w:tabs>
            <w:rPr/>
          </w:pPr>
          <w:hyperlink w:anchor="__RefHeading___Toc910630_774463916">
            <w:r>
              <w:rPr>
                <w:webHidden/>
                <w:rStyle w:val="IndexLink"/>
                <w:rtl w:val="true"/>
              </w:rPr>
              <w:t>حرمة الهجر</w:t>
            </w:r>
            <w:r>
              <w:rPr>
                <w:rStyle w:val="IndexLink"/>
                <w:rtl w:val="true"/>
              </w:rPr>
              <w:tab/>
            </w:r>
            <w:r>
              <w:rPr>
                <w:rStyle w:val="IndexLink"/>
              </w:rPr>
              <w:t>701</w:t>
            </w:r>
          </w:hyperlink>
        </w:p>
        <w:p>
          <w:pPr>
            <w:pStyle w:val="Contents2"/>
            <w:tabs>
              <w:tab w:val="clear" w:pos="8743"/>
              <w:tab w:val="right" w:pos="9026" w:leader="dot"/>
            </w:tabs>
            <w:rPr/>
          </w:pPr>
          <w:hyperlink w:anchor="__RefHeading___Toc910632_774463916">
            <w:r>
              <w:rPr>
                <w:webHidden/>
                <w:rStyle w:val="IndexLink"/>
                <w:rtl w:val="true"/>
              </w:rPr>
              <w:t>النوع الخامس</w:t>
            </w:r>
            <w:r>
              <w:rPr>
                <w:rStyle w:val="IndexLink"/>
                <w:rtl w:val="true"/>
              </w:rPr>
              <w:t>:</w:t>
            </w:r>
            <w:r>
              <w:rPr>
                <w:rStyle w:val="IndexLink"/>
                <w:rtl w:val="true"/>
              </w:rPr>
              <w:t>ما یجب علی الإنسان فعله</w:t>
            </w:r>
            <w:r>
              <w:rPr>
                <w:rStyle w:val="IndexLink"/>
                <w:rtl w:val="true"/>
              </w:rPr>
              <w:tab/>
            </w:r>
            <w:r>
              <w:rPr>
                <w:rStyle w:val="IndexLink"/>
              </w:rPr>
              <w:t>703</w:t>
            </w:r>
          </w:hyperlink>
        </w:p>
        <w:p>
          <w:pPr>
            <w:pStyle w:val="Contents3"/>
            <w:tabs>
              <w:tab w:val="clear" w:pos="8459"/>
              <w:tab w:val="right" w:pos="9026" w:leader="dot"/>
            </w:tabs>
            <w:rPr/>
          </w:pPr>
          <w:hyperlink w:anchor="__RefHeading___Toc910634_774463916">
            <w:r>
              <w:rPr>
                <w:webHidden/>
                <w:rStyle w:val="IndexLink"/>
                <w:rtl w:val="true"/>
              </w:rPr>
              <w:t>أخذ الاجرة علی الواجبات</w:t>
            </w:r>
            <w:r>
              <w:rPr>
                <w:rStyle w:val="IndexLink"/>
                <w:rtl w:val="true"/>
              </w:rPr>
              <w:tab/>
            </w:r>
            <w:r>
              <w:rPr>
                <w:rStyle w:val="IndexLink"/>
              </w:rPr>
              <w:t>703</w:t>
            </w:r>
          </w:hyperlink>
        </w:p>
        <w:p>
          <w:pPr>
            <w:pStyle w:val="Contents4"/>
            <w:tabs>
              <w:tab w:val="clear" w:pos="8176"/>
              <w:tab w:val="right" w:pos="9026" w:leader="dot"/>
            </w:tabs>
            <w:rPr/>
          </w:pPr>
          <w:hyperlink w:anchor="__RefHeading___Toc910636_774463916">
            <w:r>
              <w:rPr>
                <w:webHidden/>
                <w:rStyle w:val="IndexLink"/>
                <w:rtl w:val="true"/>
              </w:rPr>
              <w:t>اشارة</w:t>
            </w:r>
            <w:r>
              <w:rPr>
                <w:rStyle w:val="IndexLink"/>
                <w:rtl w:val="true"/>
              </w:rPr>
              <w:tab/>
            </w:r>
            <w:r>
              <w:rPr>
                <w:rStyle w:val="IndexLink"/>
              </w:rPr>
              <w:t>703</w:t>
            </w:r>
          </w:hyperlink>
        </w:p>
        <w:p>
          <w:pPr>
            <w:pStyle w:val="Contents4"/>
            <w:tabs>
              <w:tab w:val="clear" w:pos="8176"/>
              <w:tab w:val="right" w:pos="9026" w:leader="dot"/>
            </w:tabs>
            <w:rPr/>
          </w:pPr>
          <w:hyperlink w:anchor="__RefHeading___Toc910638_774463916">
            <w:r>
              <w:rPr>
                <w:webHidden/>
                <w:rStyle w:val="IndexLink"/>
                <w:rtl w:val="true"/>
              </w:rPr>
              <w:t>مقدّمة نافعة فی بیان موضوع أخذ الاجرة علی الواجب</w:t>
            </w:r>
            <w:r>
              <w:rPr>
                <w:rStyle w:val="IndexLink"/>
                <w:rtl w:val="true"/>
              </w:rPr>
              <w:tab/>
            </w:r>
            <w:r>
              <w:rPr>
                <w:rStyle w:val="IndexLink"/>
              </w:rPr>
              <w:t>705</w:t>
            </w:r>
          </w:hyperlink>
        </w:p>
        <w:p>
          <w:pPr>
            <w:pStyle w:val="Contents4"/>
            <w:tabs>
              <w:tab w:val="clear" w:pos="8176"/>
              <w:tab w:val="right" w:pos="9026" w:leader="dot"/>
            </w:tabs>
            <w:rPr/>
          </w:pPr>
          <w:hyperlink w:anchor="__RefHeading___Toc910640_774463916">
            <w:r>
              <w:rPr>
                <w:webHidden/>
                <w:rStyle w:val="IndexLink"/>
                <w:rtl w:val="true"/>
              </w:rPr>
              <w:t>إنّ صفة العبادیة لا تنافی الإجارة</w:t>
            </w:r>
            <w:r>
              <w:rPr>
                <w:rStyle w:val="IndexLink"/>
                <w:rtl w:val="true"/>
              </w:rPr>
              <w:tab/>
            </w:r>
            <w:r>
              <w:rPr>
                <w:rStyle w:val="IndexLink"/>
              </w:rPr>
              <w:t>707</w:t>
            </w:r>
          </w:hyperlink>
        </w:p>
        <w:p>
          <w:pPr>
            <w:pStyle w:val="Contents4"/>
            <w:tabs>
              <w:tab w:val="clear" w:pos="8176"/>
              <w:tab w:val="right" w:pos="9026" w:leader="dot"/>
            </w:tabs>
            <w:rPr/>
          </w:pPr>
          <w:hyperlink w:anchor="__RefHeading___Toc910642_774463916">
            <w:r>
              <w:rPr>
                <w:webHidden/>
                <w:rStyle w:val="IndexLink"/>
                <w:rtl w:val="true"/>
              </w:rPr>
              <w:t>أدلّة صحّة الإجارة علی العبادة</w:t>
            </w:r>
            <w:r>
              <w:rPr>
                <w:rStyle w:val="IndexLink"/>
                <w:rtl w:val="true"/>
              </w:rPr>
              <w:tab/>
            </w:r>
            <w:r>
              <w:rPr>
                <w:rStyle w:val="IndexLink"/>
              </w:rPr>
              <w:t>713</w:t>
            </w:r>
          </w:hyperlink>
        </w:p>
        <w:p>
          <w:pPr>
            <w:pStyle w:val="Contents4"/>
            <w:tabs>
              <w:tab w:val="clear" w:pos="8176"/>
              <w:tab w:val="right" w:pos="9026" w:leader="dot"/>
            </w:tabs>
            <w:rPr/>
          </w:pPr>
          <w:hyperlink w:anchor="__RefHeading___Toc910644_774463916">
            <w:r>
              <w:rPr>
                <w:webHidden/>
                <w:rStyle w:val="IndexLink"/>
                <w:rtl w:val="true"/>
              </w:rPr>
              <w:t>إنّ صفة الوجوب لا تنافی الإجارة</w:t>
            </w:r>
            <w:r>
              <w:rPr>
                <w:rStyle w:val="IndexLink"/>
                <w:rtl w:val="true"/>
              </w:rPr>
              <w:tab/>
            </w:r>
            <w:r>
              <w:rPr>
                <w:rStyle w:val="IndexLink"/>
              </w:rPr>
              <w:t>716</w:t>
            </w:r>
          </w:hyperlink>
        </w:p>
        <w:p>
          <w:pPr>
            <w:pStyle w:val="Contents4"/>
            <w:tabs>
              <w:tab w:val="clear" w:pos="8176"/>
              <w:tab w:val="right" w:pos="9026" w:leader="dot"/>
            </w:tabs>
            <w:rPr/>
          </w:pPr>
          <w:hyperlink w:anchor="__RefHeading___Toc910646_774463916">
            <w:r>
              <w:rPr>
                <w:webHidden/>
                <w:rStyle w:val="IndexLink"/>
                <w:rtl w:val="true"/>
              </w:rPr>
              <w:t>حقیقة النیابة فی العبادات</w:t>
            </w:r>
            <w:r>
              <w:rPr>
                <w:rStyle w:val="IndexLink"/>
                <w:rtl w:val="true"/>
              </w:rPr>
              <w:tab/>
            </w:r>
            <w:r>
              <w:rPr>
                <w:rStyle w:val="IndexLink"/>
              </w:rPr>
              <w:t>724</w:t>
            </w:r>
          </w:hyperlink>
        </w:p>
        <w:p>
          <w:pPr>
            <w:pStyle w:val="Contents4"/>
            <w:tabs>
              <w:tab w:val="clear" w:pos="8176"/>
              <w:tab w:val="right" w:pos="9026" w:leader="dot"/>
            </w:tabs>
            <w:rPr/>
          </w:pPr>
          <w:hyperlink w:anchor="__RefHeading___Toc910648_774463916">
            <w:r>
              <w:rPr>
                <w:webHidden/>
                <w:rStyle w:val="IndexLink"/>
                <w:rtl w:val="true"/>
              </w:rPr>
              <w:t>جواز أخذ الاجرة علی المستحبّات</w:t>
            </w:r>
            <w:r>
              <w:rPr>
                <w:rStyle w:val="IndexLink"/>
                <w:rtl w:val="true"/>
              </w:rPr>
              <w:tab/>
            </w:r>
            <w:r>
              <w:rPr>
                <w:rStyle w:val="IndexLink"/>
              </w:rPr>
              <w:t>728</w:t>
            </w:r>
          </w:hyperlink>
        </w:p>
        <w:p>
          <w:pPr>
            <w:pStyle w:val="Contents4"/>
            <w:tabs>
              <w:tab w:val="clear" w:pos="8176"/>
              <w:tab w:val="right" w:pos="9026" w:leader="dot"/>
            </w:tabs>
            <w:rPr/>
          </w:pPr>
          <w:hyperlink w:anchor="__RefHeading___Toc910650_774463916">
            <w:r>
              <w:rPr>
                <w:webHidden/>
                <w:rStyle w:val="IndexLink"/>
                <w:rtl w:val="true"/>
              </w:rPr>
              <w:t>من کان أجیرا لغیره فی الطواف</w:t>
            </w:r>
            <w:r>
              <w:rPr>
                <w:rStyle w:val="IndexLink"/>
                <w:rtl w:val="true"/>
              </w:rPr>
              <w:tab/>
            </w:r>
            <w:r>
              <w:rPr>
                <w:rStyle w:val="IndexLink"/>
              </w:rPr>
              <w:t>729</w:t>
            </w:r>
          </w:hyperlink>
        </w:p>
        <w:p>
          <w:pPr>
            <w:pStyle w:val="Contents4"/>
            <w:tabs>
              <w:tab w:val="clear" w:pos="8176"/>
              <w:tab w:val="right" w:pos="9026" w:leader="dot"/>
            </w:tabs>
            <w:rPr/>
          </w:pPr>
          <w:hyperlink w:anchor="__RefHeading___Toc910652_774463916">
            <w:r>
              <w:rPr>
                <w:webHidden/>
                <w:rStyle w:val="IndexLink"/>
                <w:rtl w:val="true"/>
              </w:rPr>
              <w:t>حرمة أخذ الاجرة علی الأذان</w:t>
            </w:r>
            <w:r>
              <w:rPr>
                <w:rStyle w:val="IndexLink"/>
                <w:rtl w:val="true"/>
              </w:rPr>
              <w:tab/>
            </w:r>
            <w:r>
              <w:rPr>
                <w:rStyle w:val="IndexLink"/>
              </w:rPr>
              <w:t>732</w:t>
            </w:r>
          </w:hyperlink>
        </w:p>
        <w:p>
          <w:pPr>
            <w:pStyle w:val="Contents4"/>
            <w:tabs>
              <w:tab w:val="clear" w:pos="8176"/>
              <w:tab w:val="right" w:pos="9026" w:leader="dot"/>
            </w:tabs>
            <w:rPr/>
          </w:pPr>
          <w:hyperlink w:anchor="__RefHeading___Toc910654_774463916">
            <w:r>
              <w:rPr>
                <w:webHidden/>
                <w:rStyle w:val="IndexLink"/>
                <w:rtl w:val="true"/>
              </w:rPr>
              <w:t>أخذ الاجرة علی الشهادة</w:t>
            </w:r>
            <w:r>
              <w:rPr>
                <w:rStyle w:val="IndexLink"/>
                <w:rtl w:val="true"/>
              </w:rPr>
              <w:tab/>
            </w:r>
            <w:r>
              <w:rPr>
                <w:rStyle w:val="IndexLink"/>
              </w:rPr>
              <w:t>734</w:t>
            </w:r>
          </w:hyperlink>
        </w:p>
        <w:p>
          <w:pPr>
            <w:pStyle w:val="Contents4"/>
            <w:tabs>
              <w:tab w:val="clear" w:pos="8176"/>
              <w:tab w:val="right" w:pos="9026" w:leader="dot"/>
            </w:tabs>
            <w:rPr/>
          </w:pPr>
          <w:hyperlink w:anchor="__RefHeading___Toc910656_774463916">
            <w:r>
              <w:rPr>
                <w:webHidden/>
                <w:rStyle w:val="IndexLink"/>
                <w:rtl w:val="true"/>
              </w:rPr>
              <w:t>أخذ الاجرة علی القضاء</w:t>
            </w:r>
            <w:r>
              <w:rPr>
                <w:rStyle w:val="IndexLink"/>
                <w:rtl w:val="true"/>
              </w:rPr>
              <w:tab/>
            </w:r>
            <w:r>
              <w:rPr>
                <w:rStyle w:val="IndexLink"/>
              </w:rPr>
              <w:t>736</w:t>
            </w:r>
          </w:hyperlink>
        </w:p>
        <w:p>
          <w:pPr>
            <w:pStyle w:val="Contents4"/>
            <w:tabs>
              <w:tab w:val="clear" w:pos="8176"/>
              <w:tab w:val="right" w:pos="9026" w:leader="dot"/>
            </w:tabs>
            <w:rPr/>
          </w:pPr>
          <w:hyperlink w:anchor="__RefHeading___Toc910658_774463916">
            <w:r>
              <w:rPr>
                <w:webHidden/>
                <w:rStyle w:val="IndexLink"/>
                <w:rtl w:val="true"/>
              </w:rPr>
              <w:t>الارتزاق من بیت المال</w:t>
            </w:r>
            <w:r>
              <w:rPr>
                <w:rStyle w:val="IndexLink"/>
                <w:rtl w:val="true"/>
              </w:rPr>
              <w:tab/>
            </w:r>
            <w:r>
              <w:rPr>
                <w:rStyle w:val="IndexLink"/>
              </w:rPr>
              <w:t>736</w:t>
            </w:r>
          </w:hyperlink>
        </w:p>
        <w:p>
          <w:pPr>
            <w:pStyle w:val="Contents2"/>
            <w:tabs>
              <w:tab w:val="clear" w:pos="8743"/>
              <w:tab w:val="right" w:pos="9026" w:leader="dot"/>
            </w:tabs>
            <w:rPr/>
          </w:pPr>
          <w:hyperlink w:anchor="__RefHeading___Toc910660_774463916">
            <w:r>
              <w:rPr>
                <w:webHidden/>
                <w:rStyle w:val="IndexLink"/>
                <w:rtl w:val="true"/>
              </w:rPr>
              <w:t>خاتمة</w:t>
            </w:r>
            <w:r>
              <w:rPr>
                <w:rStyle w:val="IndexLink"/>
                <w:rtl w:val="true"/>
              </w:rPr>
              <w:t>:</w:t>
            </w:r>
            <w:r>
              <w:rPr>
                <w:rStyle w:val="IndexLink"/>
                <w:rtl w:val="true"/>
              </w:rPr>
              <w:t>تشتمل علی مسائل</w:t>
            </w:r>
            <w:r>
              <w:rPr>
                <w:rStyle w:val="IndexLink"/>
                <w:rtl w:val="true"/>
              </w:rPr>
              <w:tab/>
            </w:r>
            <w:r>
              <w:rPr>
                <w:rStyle w:val="IndexLink"/>
              </w:rPr>
              <w:t>738</w:t>
            </w:r>
          </w:hyperlink>
        </w:p>
        <w:p>
          <w:pPr>
            <w:pStyle w:val="Contents3"/>
            <w:tabs>
              <w:tab w:val="clear" w:pos="8459"/>
              <w:tab w:val="right" w:pos="9026" w:leader="dot"/>
            </w:tabs>
            <w:rPr/>
          </w:pPr>
          <w:hyperlink w:anchor="__RefHeading___Toc910662_774463916">
            <w:r>
              <w:rPr>
                <w:webHidden/>
                <w:rStyle w:val="IndexLink"/>
                <w:rtl w:val="true"/>
              </w:rPr>
              <w:t>بیع المصحف</w:t>
            </w:r>
            <w:r>
              <w:rPr>
                <w:rStyle w:val="IndexLink"/>
                <w:rtl w:val="true"/>
              </w:rPr>
              <w:tab/>
            </w:r>
            <w:r>
              <w:rPr>
                <w:rStyle w:val="IndexLink"/>
              </w:rPr>
              <w:t>738</w:t>
            </w:r>
          </w:hyperlink>
        </w:p>
        <w:p>
          <w:pPr>
            <w:pStyle w:val="Contents4"/>
            <w:tabs>
              <w:tab w:val="clear" w:pos="8176"/>
              <w:tab w:val="right" w:pos="9026" w:leader="dot"/>
            </w:tabs>
            <w:rPr/>
          </w:pPr>
          <w:hyperlink w:anchor="__RefHeading___Toc910664_774463916">
            <w:r>
              <w:rPr>
                <w:webHidden/>
                <w:rStyle w:val="IndexLink"/>
                <w:rtl w:val="true"/>
              </w:rPr>
              <w:t>اشارة</w:t>
            </w:r>
            <w:r>
              <w:rPr>
                <w:rStyle w:val="IndexLink"/>
                <w:rtl w:val="true"/>
              </w:rPr>
              <w:tab/>
            </w:r>
            <w:r>
              <w:rPr>
                <w:rStyle w:val="IndexLink"/>
              </w:rPr>
              <w:t>738</w:t>
            </w:r>
          </w:hyperlink>
        </w:p>
        <w:p>
          <w:pPr>
            <w:pStyle w:val="Contents4"/>
            <w:tabs>
              <w:tab w:val="clear" w:pos="8176"/>
              <w:tab w:val="right" w:pos="9026" w:leader="dot"/>
            </w:tabs>
            <w:rPr/>
          </w:pPr>
          <w:hyperlink w:anchor="__RefHeading___Toc910666_774463916">
            <w:r>
              <w:rPr>
                <w:webHidden/>
                <w:rStyle w:val="IndexLink"/>
                <w:rtl w:val="true"/>
              </w:rPr>
              <w:t>الروایات الواردة فی المقام و الجمع بینها</w:t>
            </w:r>
            <w:r>
              <w:rPr>
                <w:rStyle w:val="IndexLink"/>
                <w:rtl w:val="true"/>
              </w:rPr>
              <w:tab/>
            </w:r>
            <w:r>
              <w:rPr>
                <w:rStyle w:val="IndexLink"/>
              </w:rPr>
              <w:t>739</w:t>
            </w:r>
          </w:hyperlink>
        </w:p>
        <w:p>
          <w:pPr>
            <w:pStyle w:val="Contents4"/>
            <w:tabs>
              <w:tab w:val="clear" w:pos="8176"/>
              <w:tab w:val="right" w:pos="9026" w:leader="dot"/>
            </w:tabs>
            <w:rPr/>
          </w:pPr>
          <w:hyperlink w:anchor="__RefHeading___Toc910668_774463916">
            <w:r>
              <w:rPr>
                <w:webHidden/>
                <w:rStyle w:val="IndexLink"/>
                <w:rtl w:val="true"/>
              </w:rPr>
              <w:t>معنی حرمة بیع المصحف و شرائه</w:t>
            </w:r>
            <w:r>
              <w:rPr>
                <w:rStyle w:val="IndexLink"/>
                <w:rtl w:val="true"/>
              </w:rPr>
              <w:tab/>
            </w:r>
            <w:r>
              <w:rPr>
                <w:rStyle w:val="IndexLink"/>
              </w:rPr>
              <w:t>744</w:t>
            </w:r>
          </w:hyperlink>
        </w:p>
        <w:p>
          <w:pPr>
            <w:pStyle w:val="Contents4"/>
            <w:tabs>
              <w:tab w:val="clear" w:pos="8176"/>
              <w:tab w:val="right" w:pos="9026" w:leader="dot"/>
            </w:tabs>
            <w:rPr/>
          </w:pPr>
          <w:hyperlink w:anchor="__RefHeading___Toc910670_774463916">
            <w:r>
              <w:rPr>
                <w:webHidden/>
                <w:rStyle w:val="IndexLink"/>
                <w:rtl w:val="true"/>
              </w:rPr>
              <w:t>حکم بیع أبعاض المصحف</w:t>
            </w:r>
            <w:r>
              <w:rPr>
                <w:rStyle w:val="IndexLink"/>
                <w:rtl w:val="true"/>
              </w:rPr>
              <w:tab/>
            </w:r>
            <w:r>
              <w:rPr>
                <w:rStyle w:val="IndexLink"/>
              </w:rPr>
              <w:t>747</w:t>
            </w:r>
          </w:hyperlink>
        </w:p>
        <w:p>
          <w:pPr>
            <w:pStyle w:val="Contents4"/>
            <w:tabs>
              <w:tab w:val="clear" w:pos="8176"/>
              <w:tab w:val="right" w:pos="9026" w:leader="dot"/>
            </w:tabs>
            <w:rPr/>
          </w:pPr>
          <w:hyperlink w:anchor="__RefHeading___Toc910672_774463916">
            <w:r>
              <w:rPr>
                <w:webHidden/>
                <w:rStyle w:val="IndexLink"/>
                <w:rtl w:val="true"/>
              </w:rPr>
              <w:t>بیع المصحف من الکافر</w:t>
            </w:r>
            <w:r>
              <w:rPr>
                <w:rStyle w:val="IndexLink"/>
                <w:rtl w:val="true"/>
              </w:rPr>
              <w:tab/>
            </w:r>
            <w:r>
              <w:rPr>
                <w:rStyle w:val="IndexLink"/>
              </w:rPr>
              <w:t>748</w:t>
            </w:r>
          </w:hyperlink>
        </w:p>
        <w:p>
          <w:pPr>
            <w:pStyle w:val="Contents3"/>
            <w:tabs>
              <w:tab w:val="clear" w:pos="8459"/>
              <w:tab w:val="right" w:pos="9026" w:leader="dot"/>
            </w:tabs>
            <w:rPr/>
          </w:pPr>
          <w:hyperlink w:anchor="__RefHeading___Toc910674_774463916">
            <w:r>
              <w:rPr>
                <w:webHidden/>
                <w:rStyle w:val="IndexLink"/>
                <w:rtl w:val="true"/>
              </w:rPr>
              <w:t>جوائز السلطان</w:t>
            </w:r>
            <w:r>
              <w:rPr>
                <w:rStyle w:val="IndexLink"/>
                <w:rtl w:val="true"/>
              </w:rPr>
              <w:tab/>
            </w:r>
            <w:r>
              <w:rPr>
                <w:rStyle w:val="IndexLink"/>
              </w:rPr>
              <w:t>751</w:t>
            </w:r>
          </w:hyperlink>
        </w:p>
        <w:p>
          <w:pPr>
            <w:pStyle w:val="Contents4"/>
            <w:tabs>
              <w:tab w:val="clear" w:pos="8176"/>
              <w:tab w:val="right" w:pos="9026" w:leader="dot"/>
            </w:tabs>
            <w:rPr/>
          </w:pPr>
          <w:hyperlink w:anchor="__RefHeading___Toc910676_774463916">
            <w:r>
              <w:rPr>
                <w:webHidden/>
                <w:rStyle w:val="IndexLink"/>
                <w:rtl w:val="true"/>
              </w:rPr>
              <w:t>جواز أخذ المال منه مع الشکّ فی وجود الحرام فی أمواله</w:t>
            </w:r>
            <w:r>
              <w:rPr>
                <w:rStyle w:val="IndexLink"/>
                <w:rtl w:val="true"/>
              </w:rPr>
              <w:tab/>
            </w:r>
            <w:r>
              <w:rPr>
                <w:rStyle w:val="IndexLink"/>
              </w:rPr>
              <w:t>751</w:t>
            </w:r>
          </w:hyperlink>
        </w:p>
        <w:p>
          <w:pPr>
            <w:pStyle w:val="Contents5"/>
            <w:tabs>
              <w:tab w:val="clear" w:pos="7892"/>
              <w:tab w:val="right" w:pos="9026" w:leader="dot"/>
            </w:tabs>
            <w:rPr/>
          </w:pPr>
          <w:hyperlink w:anchor="__RefHeading___Toc910678_774463916">
            <w:r>
              <w:rPr>
                <w:webHidden/>
                <w:rStyle w:val="IndexLink"/>
                <w:rtl w:val="true"/>
              </w:rPr>
              <w:t>اشارة</w:t>
            </w:r>
            <w:r>
              <w:rPr>
                <w:rStyle w:val="IndexLink"/>
                <w:rtl w:val="true"/>
              </w:rPr>
              <w:tab/>
            </w:r>
            <w:r>
              <w:rPr>
                <w:rStyle w:val="IndexLink"/>
              </w:rPr>
              <w:t>751</w:t>
            </w:r>
          </w:hyperlink>
        </w:p>
        <w:p>
          <w:pPr>
            <w:pStyle w:val="Contents5"/>
            <w:tabs>
              <w:tab w:val="clear" w:pos="7892"/>
              <w:tab w:val="right" w:pos="9026" w:leader="dot"/>
            </w:tabs>
            <w:rPr/>
          </w:pPr>
          <w:hyperlink w:anchor="__RefHeading___Toc910680_774463916">
            <w:r>
              <w:rPr>
                <w:webHidden/>
                <w:rStyle w:val="IndexLink"/>
                <w:rtl w:val="true"/>
              </w:rPr>
              <w:t>أقسام المال المأخوذ من الجائر</w:t>
            </w:r>
            <w:r>
              <w:rPr>
                <w:rStyle w:val="IndexLink"/>
                <w:rtl w:val="true"/>
              </w:rPr>
              <w:tab/>
            </w:r>
            <w:r>
              <w:rPr>
                <w:rStyle w:val="IndexLink"/>
              </w:rPr>
              <w:t>752</w:t>
            </w:r>
          </w:hyperlink>
        </w:p>
        <w:p>
          <w:pPr>
            <w:pStyle w:val="Contents4"/>
            <w:tabs>
              <w:tab w:val="clear" w:pos="8176"/>
              <w:tab w:val="right" w:pos="9026" w:leader="dot"/>
            </w:tabs>
            <w:rPr/>
          </w:pPr>
          <w:hyperlink w:anchor="__RefHeading___Toc910682_774463916">
            <w:r>
              <w:rPr>
                <w:webHidden/>
                <w:rStyle w:val="IndexLink"/>
                <w:rtl w:val="true"/>
              </w:rPr>
              <w:t>جواز أخذ المال من الجائر</w:t>
            </w:r>
            <w:r>
              <w:rPr>
                <w:rStyle w:val="IndexLink"/>
                <w:rtl w:val="true"/>
              </w:rPr>
              <w:tab/>
            </w:r>
            <w:r>
              <w:rPr>
                <w:rStyle w:val="IndexLink"/>
              </w:rPr>
              <w:t>754</w:t>
            </w:r>
          </w:hyperlink>
        </w:p>
        <w:p>
          <w:pPr>
            <w:pStyle w:val="Contents5"/>
            <w:tabs>
              <w:tab w:val="clear" w:pos="7892"/>
              <w:tab w:val="right" w:pos="9026" w:leader="dot"/>
            </w:tabs>
            <w:rPr/>
          </w:pPr>
          <w:hyperlink w:anchor="__RefHeading___Toc910684_774463916">
            <w:r>
              <w:rPr>
                <w:webHidden/>
                <w:rStyle w:val="IndexLink"/>
                <w:rtl w:val="true"/>
              </w:rPr>
              <w:t>اشارة</w:t>
            </w:r>
            <w:r>
              <w:rPr>
                <w:rStyle w:val="IndexLink"/>
                <w:rtl w:val="true"/>
              </w:rPr>
              <w:tab/>
            </w:r>
            <w:r>
              <w:rPr>
                <w:rStyle w:val="IndexLink"/>
              </w:rPr>
              <w:t>754</w:t>
            </w:r>
          </w:hyperlink>
        </w:p>
        <w:p>
          <w:pPr>
            <w:pStyle w:val="Contents5"/>
            <w:tabs>
              <w:tab w:val="clear" w:pos="7892"/>
              <w:tab w:val="right" w:pos="9026" w:leader="dot"/>
            </w:tabs>
            <w:rPr/>
          </w:pPr>
          <w:hyperlink w:anchor="__RefHeading___Toc910686_774463916">
            <w:r>
              <w:rPr>
                <w:webHidden/>
                <w:rStyle w:val="IndexLink"/>
                <w:rtl w:val="true"/>
              </w:rPr>
              <w:t>أ</w:t>
            </w:r>
            <w:r>
              <w:rPr>
                <w:rStyle w:val="IndexLink"/>
                <w:rtl w:val="true"/>
              </w:rPr>
              <w:t>-</w:t>
            </w:r>
            <w:r>
              <w:rPr>
                <w:rStyle w:val="IndexLink"/>
                <w:rtl w:val="true"/>
              </w:rPr>
              <w:t>فیما إذا لم تکن الاصول و الأمارات متعارضة فی أطراف العلم الإجمالی</w:t>
            </w:r>
            <w:r>
              <w:rPr>
                <w:rStyle w:val="IndexLink"/>
                <w:rtl w:val="true"/>
              </w:rPr>
              <w:tab/>
            </w:r>
            <w:r>
              <w:rPr>
                <w:rStyle w:val="IndexLink"/>
              </w:rPr>
              <w:t>755</w:t>
            </w:r>
          </w:hyperlink>
        </w:p>
        <w:p>
          <w:pPr>
            <w:pStyle w:val="Contents6"/>
            <w:tabs>
              <w:tab w:val="clear" w:pos="7609"/>
              <w:tab w:val="right" w:pos="9026" w:leader="dot"/>
            </w:tabs>
            <w:rPr/>
          </w:pPr>
          <w:hyperlink w:anchor="__RefHeading___Toc910688_774463916">
            <w:r>
              <w:rPr>
                <w:webHidden/>
                <w:rStyle w:val="IndexLink"/>
                <w:rtl w:val="true"/>
              </w:rPr>
              <w:t>اشارة</w:t>
            </w:r>
            <w:r>
              <w:rPr>
                <w:rStyle w:val="IndexLink"/>
                <w:rtl w:val="true"/>
              </w:rPr>
              <w:tab/>
            </w:r>
            <w:r>
              <w:rPr>
                <w:rStyle w:val="IndexLink"/>
              </w:rPr>
              <w:t>755</w:t>
            </w:r>
          </w:hyperlink>
        </w:p>
        <w:p>
          <w:pPr>
            <w:pStyle w:val="Contents6"/>
            <w:tabs>
              <w:tab w:val="clear" w:pos="7609"/>
              <w:tab w:val="right" w:pos="9026" w:leader="dot"/>
            </w:tabs>
            <w:rPr/>
          </w:pPr>
          <w:hyperlink w:anchor="__RefHeading___Toc910690_774463916">
            <w:r>
              <w:rPr>
                <w:webHidden/>
                <w:rStyle w:val="IndexLink"/>
                <w:rtl w:val="true"/>
              </w:rPr>
              <w:t>ما استدلّ به علی کراهة أخذ المال من الجائر</w:t>
            </w:r>
            <w:r>
              <w:rPr>
                <w:rStyle w:val="IndexLink"/>
                <w:rtl w:val="true"/>
              </w:rPr>
              <w:tab/>
            </w:r>
            <w:r>
              <w:rPr>
                <w:rStyle w:val="IndexLink"/>
              </w:rPr>
              <w:t>756</w:t>
            </w:r>
          </w:hyperlink>
        </w:p>
        <w:p>
          <w:pPr>
            <w:pStyle w:val="Contents6"/>
            <w:tabs>
              <w:tab w:val="clear" w:pos="7609"/>
              <w:tab w:val="right" w:pos="9026" w:leader="dot"/>
            </w:tabs>
            <w:rPr/>
          </w:pPr>
          <w:hyperlink w:anchor="__RefHeading___Toc910692_774463916">
            <w:r>
              <w:rPr>
                <w:webHidden/>
                <w:rStyle w:val="IndexLink"/>
                <w:rtl w:val="true"/>
              </w:rPr>
              <w:t>ما استدلّ به علی رفع الکراهة عن جوائز السلطان</w:t>
            </w:r>
            <w:r>
              <w:rPr>
                <w:rStyle w:val="IndexLink"/>
                <w:rtl w:val="true"/>
              </w:rPr>
              <w:tab/>
            </w:r>
            <w:r>
              <w:rPr>
                <w:rStyle w:val="IndexLink"/>
              </w:rPr>
              <w:t>760</w:t>
            </w:r>
          </w:hyperlink>
        </w:p>
        <w:p>
          <w:pPr>
            <w:pStyle w:val="Contents5"/>
            <w:tabs>
              <w:tab w:val="clear" w:pos="7892"/>
              <w:tab w:val="right" w:pos="9026" w:leader="dot"/>
            </w:tabs>
            <w:rPr/>
          </w:pPr>
          <w:hyperlink w:anchor="__RefHeading___Toc910694_774463916">
            <w:r>
              <w:rPr>
                <w:webHidden/>
                <w:rStyle w:val="IndexLink"/>
                <w:rtl w:val="true"/>
              </w:rPr>
              <w:t>ب</w:t>
            </w:r>
            <w:r>
              <w:rPr>
                <w:rStyle w:val="IndexLink"/>
                <w:rtl w:val="true"/>
              </w:rPr>
              <w:t>-</w:t>
            </w:r>
            <w:r>
              <w:rPr>
                <w:rStyle w:val="IndexLink"/>
                <w:rtl w:val="true"/>
              </w:rPr>
              <w:t>فیما إذا کانت الاصول و الأمارات متعارضة و مقتضی القواعد</w:t>
            </w:r>
            <w:r>
              <w:rPr>
                <w:rStyle w:val="IndexLink"/>
                <w:rtl w:val="true"/>
              </w:rPr>
              <w:tab/>
            </w:r>
            <w:r>
              <w:rPr>
                <w:rStyle w:val="IndexLink"/>
              </w:rPr>
              <w:t>764</w:t>
            </w:r>
          </w:hyperlink>
        </w:p>
        <w:p>
          <w:pPr>
            <w:pStyle w:val="Contents5"/>
            <w:tabs>
              <w:tab w:val="clear" w:pos="7892"/>
              <w:tab w:val="right" w:pos="9026" w:leader="dot"/>
            </w:tabs>
            <w:rPr/>
          </w:pPr>
          <w:hyperlink w:anchor="__RefHeading___Toc910696_774463916">
            <w:r>
              <w:rPr>
                <w:webHidden/>
                <w:rStyle w:val="IndexLink"/>
                <w:rtl w:val="true"/>
              </w:rPr>
              <w:t>مقتضی الروایات</w:t>
            </w:r>
            <w:r>
              <w:rPr>
                <w:rStyle w:val="IndexLink"/>
                <w:rtl w:val="true"/>
              </w:rPr>
              <w:tab/>
            </w:r>
            <w:r>
              <w:rPr>
                <w:rStyle w:val="IndexLink"/>
              </w:rPr>
              <w:t>767</w:t>
            </w:r>
          </w:hyperlink>
        </w:p>
        <w:p>
          <w:pPr>
            <w:pStyle w:val="Contents4"/>
            <w:tabs>
              <w:tab w:val="clear" w:pos="8176"/>
              <w:tab w:val="right" w:pos="9026" w:leader="dot"/>
            </w:tabs>
            <w:rPr/>
          </w:pPr>
          <w:hyperlink w:anchor="__RefHeading___Toc910698_774463916">
            <w:r>
              <w:rPr>
                <w:webHidden/>
                <w:rStyle w:val="IndexLink"/>
                <w:rtl w:val="true"/>
              </w:rPr>
              <w:t>فیما علم تفصیلا کون الجائزة محرّمة</w:t>
            </w:r>
            <w:r>
              <w:rPr>
                <w:rStyle w:val="IndexLink"/>
                <w:rtl w:val="true"/>
              </w:rPr>
              <w:tab/>
            </w:r>
            <w:r>
              <w:rPr>
                <w:rStyle w:val="IndexLink"/>
              </w:rPr>
              <w:t>771</w:t>
            </w:r>
          </w:hyperlink>
        </w:p>
        <w:p>
          <w:pPr>
            <w:pStyle w:val="Contents5"/>
            <w:tabs>
              <w:tab w:val="clear" w:pos="7892"/>
              <w:tab w:val="right" w:pos="9026" w:leader="dot"/>
            </w:tabs>
            <w:rPr/>
          </w:pPr>
          <w:hyperlink w:anchor="__RefHeading___Toc910700_774463916">
            <w:r>
              <w:rPr>
                <w:webHidden/>
                <w:rStyle w:val="IndexLink"/>
                <w:rtl w:val="true"/>
              </w:rPr>
              <w:t>اشارة</w:t>
            </w:r>
            <w:r>
              <w:rPr>
                <w:rStyle w:val="IndexLink"/>
                <w:rtl w:val="true"/>
              </w:rPr>
              <w:tab/>
            </w:r>
            <w:r>
              <w:rPr>
                <w:rStyle w:val="IndexLink"/>
              </w:rPr>
              <w:t>771</w:t>
            </w:r>
          </w:hyperlink>
        </w:p>
        <w:p>
          <w:pPr>
            <w:pStyle w:val="Contents5"/>
            <w:tabs>
              <w:tab w:val="clear" w:pos="7892"/>
              <w:tab w:val="right" w:pos="9026" w:leader="dot"/>
            </w:tabs>
            <w:rPr/>
          </w:pPr>
          <w:hyperlink w:anchor="__RefHeading___Toc910702_774463916">
            <w:r>
              <w:rPr>
                <w:webHidden/>
                <w:rStyle w:val="IndexLink"/>
                <w:rtl w:val="true"/>
              </w:rPr>
              <w:t>علم الآخذ تفصیلا بغصبیة المال</w:t>
            </w:r>
            <w:r>
              <w:rPr>
                <w:rStyle w:val="IndexLink"/>
                <w:rtl w:val="true"/>
              </w:rPr>
              <w:tab/>
            </w:r>
            <w:r>
              <w:rPr>
                <w:rStyle w:val="IndexLink"/>
              </w:rPr>
              <w:t>771</w:t>
            </w:r>
          </w:hyperlink>
        </w:p>
        <w:p>
          <w:pPr>
            <w:pStyle w:val="Contents5"/>
            <w:tabs>
              <w:tab w:val="clear" w:pos="7892"/>
              <w:tab w:val="right" w:pos="9026" w:leader="dot"/>
            </w:tabs>
            <w:rPr/>
          </w:pPr>
          <w:hyperlink w:anchor="__RefHeading___Toc910704_774463916">
            <w:r>
              <w:rPr>
                <w:webHidden/>
                <w:rStyle w:val="IndexLink"/>
                <w:rtl w:val="true"/>
              </w:rPr>
              <w:t>ردّ المأخوذ من الجائر إلی أهله</w:t>
            </w:r>
            <w:r>
              <w:rPr>
                <w:rStyle w:val="IndexLink"/>
                <w:rtl w:val="true"/>
              </w:rPr>
              <w:tab/>
            </w:r>
            <w:r>
              <w:rPr>
                <w:rStyle w:val="IndexLink"/>
              </w:rPr>
              <w:t>778</w:t>
            </w:r>
          </w:hyperlink>
        </w:p>
        <w:p>
          <w:pPr>
            <w:pStyle w:val="Contents6"/>
            <w:tabs>
              <w:tab w:val="clear" w:pos="7609"/>
              <w:tab w:val="right" w:pos="9026" w:leader="dot"/>
            </w:tabs>
            <w:rPr/>
          </w:pPr>
          <w:hyperlink w:anchor="__RefHeading___Toc910706_774463916">
            <w:r>
              <w:rPr>
                <w:webHidden/>
                <w:rStyle w:val="IndexLink"/>
                <w:rtl w:val="true"/>
              </w:rPr>
              <w:t>اشارة</w:t>
            </w:r>
            <w:r>
              <w:rPr>
                <w:rStyle w:val="IndexLink"/>
                <w:rtl w:val="true"/>
              </w:rPr>
              <w:tab/>
            </w:r>
            <w:r>
              <w:rPr>
                <w:rStyle w:val="IndexLink"/>
              </w:rPr>
              <w:t>778</w:t>
            </w:r>
          </w:hyperlink>
        </w:p>
        <w:p>
          <w:pPr>
            <w:pStyle w:val="Contents6"/>
            <w:tabs>
              <w:tab w:val="clear" w:pos="7609"/>
              <w:tab w:val="right" w:pos="9026" w:leader="dot"/>
            </w:tabs>
            <w:rPr/>
          </w:pPr>
          <w:hyperlink w:anchor="__RefHeading___Toc910708_774463916">
            <w:r>
              <w:rPr>
                <w:webHidden/>
                <w:rStyle w:val="IndexLink"/>
                <w:rtl w:val="true"/>
              </w:rPr>
              <w:t>أ</w:t>
            </w:r>
            <w:r>
              <w:rPr>
                <w:rStyle w:val="IndexLink"/>
                <w:rtl w:val="true"/>
              </w:rPr>
              <w:t>-</w:t>
            </w:r>
            <w:r>
              <w:rPr>
                <w:rStyle w:val="IndexLink"/>
                <w:rtl w:val="true"/>
              </w:rPr>
              <w:t>أن یکون المأخوذ معلوم المالک</w:t>
            </w:r>
            <w:r>
              <w:rPr>
                <w:rStyle w:val="IndexLink"/>
                <w:rtl w:val="true"/>
              </w:rPr>
              <w:tab/>
            </w:r>
            <w:r>
              <w:rPr>
                <w:rStyle w:val="IndexLink"/>
              </w:rPr>
              <w:t>778</w:t>
            </w:r>
          </w:hyperlink>
        </w:p>
        <w:p>
          <w:pPr>
            <w:pStyle w:val="Contents6"/>
            <w:tabs>
              <w:tab w:val="clear" w:pos="7609"/>
              <w:tab w:val="right" w:pos="9026" w:leader="dot"/>
            </w:tabs>
            <w:rPr/>
          </w:pPr>
          <w:hyperlink w:anchor="__RefHeading___Toc910710_774463916">
            <w:r>
              <w:rPr>
                <w:webHidden/>
                <w:rStyle w:val="IndexLink"/>
                <w:rtl w:val="true"/>
              </w:rPr>
              <w:t>ب</w:t>
            </w:r>
            <w:r>
              <w:rPr>
                <w:rStyle w:val="IndexLink"/>
                <w:rtl w:val="true"/>
              </w:rPr>
              <w:t>-</w:t>
            </w:r>
            <w:r>
              <w:rPr>
                <w:rStyle w:val="IndexLink"/>
                <w:rtl w:val="true"/>
              </w:rPr>
              <w:t>أن یکون المأخوذ مجهول المالک</w:t>
            </w:r>
            <w:r>
              <w:rPr>
                <w:rStyle w:val="IndexLink"/>
                <w:rtl w:val="true"/>
              </w:rPr>
              <w:tab/>
            </w:r>
            <w:r>
              <w:rPr>
                <w:rStyle w:val="IndexLink"/>
              </w:rPr>
              <w:t>779</w:t>
            </w:r>
          </w:hyperlink>
        </w:p>
        <w:p>
          <w:pPr>
            <w:pStyle w:val="Contents6"/>
            <w:tabs>
              <w:tab w:val="clear" w:pos="7609"/>
              <w:tab w:val="right" w:pos="9026" w:leader="dot"/>
            </w:tabs>
            <w:rPr/>
          </w:pPr>
          <w:hyperlink w:anchor="__RefHeading___Toc910712_774463916">
            <w:r>
              <w:rPr>
                <w:webHidden/>
                <w:rStyle w:val="IndexLink"/>
                <w:rtl w:val="true"/>
              </w:rPr>
              <w:t>اشارة</w:t>
            </w:r>
            <w:r>
              <w:rPr>
                <w:rStyle w:val="IndexLink"/>
                <w:rtl w:val="true"/>
              </w:rPr>
              <w:tab/>
            </w:r>
            <w:r>
              <w:rPr>
                <w:rStyle w:val="IndexLink"/>
              </w:rPr>
              <w:t>779</w:t>
            </w:r>
          </w:hyperlink>
        </w:p>
        <w:p>
          <w:pPr>
            <w:pStyle w:val="Contents6"/>
            <w:tabs>
              <w:tab w:val="clear" w:pos="7609"/>
              <w:tab w:val="right" w:pos="9026" w:leader="dot"/>
            </w:tabs>
            <w:rPr/>
          </w:pPr>
          <w:hyperlink w:anchor="__RefHeading___Toc910714_774463916">
            <w:r>
              <w:rPr>
                <w:webHidden/>
                <w:rStyle w:val="IndexLink"/>
                <w:rtl w:val="true"/>
              </w:rPr>
              <w:t>وجوب الفحص عن المالک</w:t>
            </w:r>
            <w:r>
              <w:rPr>
                <w:rStyle w:val="IndexLink"/>
                <w:rtl w:val="true"/>
              </w:rPr>
              <w:tab/>
            </w:r>
            <w:r>
              <w:rPr>
                <w:rStyle w:val="IndexLink"/>
              </w:rPr>
              <w:t>780</w:t>
            </w:r>
          </w:hyperlink>
        </w:p>
        <w:p>
          <w:pPr>
            <w:pStyle w:val="Contents6"/>
            <w:tabs>
              <w:tab w:val="clear" w:pos="7609"/>
              <w:tab w:val="right" w:pos="9026" w:leader="dot"/>
            </w:tabs>
            <w:rPr/>
          </w:pPr>
          <w:hyperlink w:anchor="__RefHeading___Toc910716_774463916">
            <w:r>
              <w:rPr>
                <w:webHidden/>
                <w:rStyle w:val="IndexLink"/>
                <w:rtl w:val="true"/>
              </w:rPr>
              <w:t>لا یجوز إعطاء مجهول المالک لمن یدّعیه</w:t>
            </w:r>
            <w:r>
              <w:rPr>
                <w:rStyle w:val="IndexLink"/>
                <w:rtl w:val="true"/>
              </w:rPr>
              <w:tab/>
            </w:r>
            <w:r>
              <w:rPr>
                <w:rStyle w:val="IndexLink"/>
              </w:rPr>
              <w:t>784</w:t>
            </w:r>
          </w:hyperlink>
        </w:p>
        <w:p>
          <w:pPr>
            <w:pStyle w:val="Contents6"/>
            <w:tabs>
              <w:tab w:val="clear" w:pos="7609"/>
              <w:tab w:val="right" w:pos="9026" w:leader="dot"/>
            </w:tabs>
            <w:rPr/>
          </w:pPr>
          <w:hyperlink w:anchor="__RefHeading___Toc910718_774463916">
            <w:r>
              <w:rPr>
                <w:webHidden/>
                <w:rStyle w:val="IndexLink"/>
                <w:rtl w:val="true"/>
              </w:rPr>
              <w:t>مقدار الفحص عن المالک و کیفیته</w:t>
            </w:r>
            <w:r>
              <w:rPr>
                <w:rStyle w:val="IndexLink"/>
                <w:rtl w:val="true"/>
              </w:rPr>
              <w:tab/>
            </w:r>
            <w:r>
              <w:rPr>
                <w:rStyle w:val="IndexLink"/>
              </w:rPr>
              <w:t>785</w:t>
            </w:r>
          </w:hyperlink>
        </w:p>
        <w:p>
          <w:pPr>
            <w:pStyle w:val="Contents6"/>
            <w:tabs>
              <w:tab w:val="clear" w:pos="7609"/>
              <w:tab w:val="right" w:pos="9026" w:leader="dot"/>
            </w:tabs>
            <w:rPr/>
          </w:pPr>
          <w:hyperlink w:anchor="__RefHeading___Toc910720_774463916">
            <w:r>
              <w:rPr>
                <w:webHidden/>
                <w:rStyle w:val="IndexLink"/>
                <w:rtl w:val="true"/>
              </w:rPr>
              <w:t>وجوب تعریف اللقطة سنة</w:t>
            </w:r>
            <w:r>
              <w:rPr>
                <w:rStyle w:val="IndexLink"/>
                <w:rtl w:val="true"/>
              </w:rPr>
              <w:tab/>
            </w:r>
            <w:r>
              <w:rPr>
                <w:rStyle w:val="IndexLink"/>
              </w:rPr>
              <w:t>786</w:t>
            </w:r>
          </w:hyperlink>
        </w:p>
        <w:p>
          <w:pPr>
            <w:pStyle w:val="Contents6"/>
            <w:tabs>
              <w:tab w:val="clear" w:pos="7609"/>
              <w:tab w:val="right" w:pos="9026" w:leader="dot"/>
            </w:tabs>
            <w:rPr/>
          </w:pPr>
          <w:hyperlink w:anchor="__RefHeading___Toc910722_774463916">
            <w:r>
              <w:rPr>
                <w:webHidden/>
                <w:rStyle w:val="IndexLink"/>
                <w:rtl w:val="true"/>
              </w:rPr>
              <w:t>إنّ اجرة الفحص عن المالک هل هی علی ذی الید</w:t>
            </w:r>
            <w:r>
              <w:rPr>
                <w:rStyle w:val="IndexLink"/>
                <w:rtl w:val="true"/>
              </w:rPr>
              <w:tab/>
            </w:r>
            <w:r>
              <w:rPr>
                <w:rStyle w:val="IndexLink"/>
              </w:rPr>
              <w:t>787</w:t>
            </w:r>
          </w:hyperlink>
        </w:p>
        <w:p>
          <w:pPr>
            <w:pStyle w:val="Contents6"/>
            <w:tabs>
              <w:tab w:val="clear" w:pos="7609"/>
              <w:tab w:val="right" w:pos="9026" w:leader="dot"/>
            </w:tabs>
            <w:rPr/>
          </w:pPr>
          <w:hyperlink w:anchor="__RefHeading___Toc910724_774463916">
            <w:r>
              <w:rPr>
                <w:webHidden/>
                <w:rStyle w:val="IndexLink"/>
                <w:rtl w:val="true"/>
              </w:rPr>
              <w:t>مصرف مجهول المالک</w:t>
            </w:r>
            <w:r>
              <w:rPr>
                <w:rStyle w:val="IndexLink"/>
                <w:rtl w:val="true"/>
              </w:rPr>
              <w:tab/>
            </w:r>
            <w:r>
              <w:rPr>
                <w:rStyle w:val="IndexLink"/>
              </w:rPr>
              <w:t>790</w:t>
            </w:r>
          </w:hyperlink>
        </w:p>
        <w:p>
          <w:pPr>
            <w:pStyle w:val="Contents6"/>
            <w:tabs>
              <w:tab w:val="clear" w:pos="7609"/>
              <w:tab w:val="right" w:pos="9026" w:leader="dot"/>
            </w:tabs>
            <w:rPr/>
          </w:pPr>
          <w:hyperlink w:anchor="__RefHeading___Toc910726_774463916">
            <w:r>
              <w:rPr>
                <w:webHidden/>
                <w:rStyle w:val="IndexLink"/>
                <w:rtl w:val="true"/>
              </w:rPr>
              <w:t>هل یجوز دفعه للهاشمی؟</w:t>
            </w:r>
            <w:r>
              <w:rPr>
                <w:rStyle w:val="IndexLink"/>
                <w:rtl w:val="true"/>
              </w:rPr>
              <w:tab/>
            </w:r>
            <w:r>
              <w:rPr>
                <w:rStyle w:val="IndexLink"/>
              </w:rPr>
              <w:t>797</w:t>
            </w:r>
          </w:hyperlink>
        </w:p>
        <w:p>
          <w:pPr>
            <w:pStyle w:val="Contents6"/>
            <w:tabs>
              <w:tab w:val="clear" w:pos="7609"/>
              <w:tab w:val="right" w:pos="9026" w:leader="dot"/>
            </w:tabs>
            <w:rPr/>
          </w:pPr>
          <w:hyperlink w:anchor="__RefHeading___Toc910728_774463916">
            <w:r>
              <w:rPr>
                <w:webHidden/>
                <w:rStyle w:val="IndexLink"/>
                <w:rtl w:val="true"/>
              </w:rPr>
              <w:t>التصدّق بمجهول المالک لا یوجب الضمان</w:t>
            </w:r>
            <w:r>
              <w:rPr>
                <w:rStyle w:val="IndexLink"/>
                <w:rtl w:val="true"/>
              </w:rPr>
              <w:tab/>
            </w:r>
            <w:r>
              <w:rPr>
                <w:rStyle w:val="IndexLink"/>
              </w:rPr>
              <w:t>798</w:t>
            </w:r>
          </w:hyperlink>
        </w:p>
        <w:p>
          <w:pPr>
            <w:pStyle w:val="Contents6"/>
            <w:tabs>
              <w:tab w:val="clear" w:pos="7609"/>
              <w:tab w:val="right" w:pos="9026" w:leader="dot"/>
            </w:tabs>
            <w:rPr/>
          </w:pPr>
          <w:hyperlink w:anchor="__RefHeading___Toc910730_774463916">
            <w:r>
              <w:rPr>
                <w:webHidden/>
                <w:rStyle w:val="IndexLink"/>
                <w:rtl w:val="true"/>
              </w:rPr>
              <w:t>الفرق بین مجهول المالک و اللقطة</w:t>
            </w:r>
            <w:r>
              <w:rPr>
                <w:rStyle w:val="IndexLink"/>
                <w:rtl w:val="true"/>
              </w:rPr>
              <w:tab/>
            </w:r>
            <w:r>
              <w:rPr>
                <w:rStyle w:val="IndexLink"/>
              </w:rPr>
              <w:t>798</w:t>
            </w:r>
          </w:hyperlink>
        </w:p>
        <w:p>
          <w:pPr>
            <w:pStyle w:val="Contents6"/>
            <w:tabs>
              <w:tab w:val="clear" w:pos="7609"/>
              <w:tab w:val="right" w:pos="9026" w:leader="dot"/>
            </w:tabs>
            <w:rPr/>
          </w:pPr>
          <w:hyperlink w:anchor="__RefHeading___Toc910732_774463916">
            <w:r>
              <w:rPr>
                <w:webHidden/>
                <w:rStyle w:val="IndexLink"/>
                <w:rtl w:val="true"/>
              </w:rPr>
              <w:t>حکم ما لو دفعه إلی الحاکم فتصدّق به بعد الیأس</w:t>
            </w:r>
            <w:r>
              <w:rPr>
                <w:rStyle w:val="IndexLink"/>
                <w:rtl w:val="true"/>
              </w:rPr>
              <w:tab/>
            </w:r>
            <w:r>
              <w:rPr>
                <w:rStyle w:val="IndexLink"/>
              </w:rPr>
              <w:t>803</w:t>
            </w:r>
          </w:hyperlink>
        </w:p>
        <w:p>
          <w:pPr>
            <w:pStyle w:val="Contents4"/>
            <w:tabs>
              <w:tab w:val="clear" w:pos="8176"/>
              <w:tab w:val="right" w:pos="9026" w:leader="dot"/>
            </w:tabs>
            <w:rPr/>
          </w:pPr>
          <w:hyperlink w:anchor="__RefHeading___Toc910734_774463916">
            <w:r>
              <w:rPr>
                <w:webHidden/>
                <w:rStyle w:val="IndexLink"/>
                <w:rtl w:val="true"/>
              </w:rPr>
              <w:t>فیما علم إجمالا اشتمال الجائزة علی الحرام</w:t>
            </w:r>
            <w:r>
              <w:rPr>
                <w:rStyle w:val="IndexLink"/>
                <w:rtl w:val="true"/>
              </w:rPr>
              <w:tab/>
            </w:r>
            <w:r>
              <w:rPr>
                <w:rStyle w:val="IndexLink"/>
              </w:rPr>
              <w:t>805</w:t>
            </w:r>
          </w:hyperlink>
        </w:p>
        <w:p>
          <w:pPr>
            <w:pStyle w:val="Contents5"/>
            <w:tabs>
              <w:tab w:val="clear" w:pos="7892"/>
              <w:tab w:val="right" w:pos="9026" w:leader="dot"/>
            </w:tabs>
            <w:rPr/>
          </w:pPr>
          <w:hyperlink w:anchor="__RefHeading___Toc910736_774463916">
            <w:r>
              <w:rPr>
                <w:webHidden/>
                <w:rStyle w:val="IndexLink"/>
                <w:rtl w:val="true"/>
              </w:rPr>
              <w:t>اشارة</w:t>
            </w:r>
            <w:r>
              <w:rPr>
                <w:rStyle w:val="IndexLink"/>
                <w:rtl w:val="true"/>
              </w:rPr>
              <w:tab/>
            </w:r>
            <w:r>
              <w:rPr>
                <w:rStyle w:val="IndexLink"/>
              </w:rPr>
              <w:t>805</w:t>
            </w:r>
          </w:hyperlink>
        </w:p>
        <w:p>
          <w:pPr>
            <w:pStyle w:val="Contents5"/>
            <w:tabs>
              <w:tab w:val="clear" w:pos="7892"/>
              <w:tab w:val="right" w:pos="9026" w:leader="dot"/>
            </w:tabs>
            <w:rPr/>
          </w:pPr>
          <w:hyperlink w:anchor="__RefHeading___Toc910738_774463916">
            <w:r>
              <w:rPr>
                <w:webHidden/>
                <w:rStyle w:val="IndexLink"/>
                <w:rtl w:val="true"/>
              </w:rPr>
              <w:t>أخذ المال من الجائر</w:t>
            </w:r>
            <w:r>
              <w:rPr>
                <w:rStyle w:val="IndexLink"/>
                <w:rtl w:val="true"/>
              </w:rPr>
              <w:tab/>
            </w:r>
            <w:r>
              <w:rPr>
                <w:rStyle w:val="IndexLink"/>
              </w:rPr>
              <w:t>808</w:t>
            </w:r>
          </w:hyperlink>
        </w:p>
        <w:p>
          <w:pPr>
            <w:pStyle w:val="Contents5"/>
            <w:tabs>
              <w:tab w:val="clear" w:pos="7892"/>
              <w:tab w:val="right" w:pos="9026" w:leader="dot"/>
            </w:tabs>
            <w:rPr/>
          </w:pPr>
          <w:hyperlink w:anchor="__RefHeading___Toc910740_774463916">
            <w:r>
              <w:rPr>
                <w:webHidden/>
                <w:rStyle w:val="IndexLink"/>
                <w:rtl w:val="true"/>
              </w:rPr>
              <w:t>وظیفة الجائر فی نفسه</w:t>
            </w:r>
            <w:r>
              <w:rPr>
                <w:rStyle w:val="IndexLink"/>
                <w:rtl w:val="true"/>
              </w:rPr>
              <w:tab/>
            </w:r>
            <w:r>
              <w:rPr>
                <w:rStyle w:val="IndexLink"/>
              </w:rPr>
              <w:t>809</w:t>
            </w:r>
          </w:hyperlink>
        </w:p>
        <w:p>
          <w:pPr>
            <w:pStyle w:val="Contents5"/>
            <w:tabs>
              <w:tab w:val="clear" w:pos="7892"/>
              <w:tab w:val="right" w:pos="9026" w:leader="dot"/>
            </w:tabs>
            <w:rPr/>
          </w:pPr>
          <w:hyperlink w:anchor="__RefHeading___Toc910742_774463916">
            <w:r>
              <w:rPr>
                <w:webHidden/>
                <w:rStyle w:val="IndexLink"/>
                <w:rtl w:val="true"/>
              </w:rPr>
              <w:t>ما یأخذه الجائر من الناس یجوز احتسابه من الزکاة</w:t>
            </w:r>
            <w:r>
              <w:rPr>
                <w:rStyle w:val="IndexLink"/>
                <w:rtl w:val="true"/>
              </w:rPr>
              <w:tab/>
            </w:r>
            <w:r>
              <w:rPr>
                <w:rStyle w:val="IndexLink"/>
              </w:rPr>
              <w:t>811</w:t>
            </w:r>
          </w:hyperlink>
        </w:p>
        <w:p>
          <w:pPr>
            <w:pStyle w:val="Contents5"/>
            <w:tabs>
              <w:tab w:val="clear" w:pos="7892"/>
              <w:tab w:val="right" w:pos="9026" w:leader="dot"/>
            </w:tabs>
            <w:rPr/>
          </w:pPr>
          <w:hyperlink w:anchor="__RefHeading___Toc910744_774463916">
            <w:r>
              <w:rPr>
                <w:webHidden/>
                <w:rStyle w:val="IndexLink"/>
                <w:rtl w:val="true"/>
              </w:rPr>
              <w:t>لا یجوز للجائر أخذ الصدقات و المقاسمات من الناس</w:t>
            </w:r>
            <w:r>
              <w:rPr>
                <w:rStyle w:val="IndexLink"/>
                <w:rtl w:val="true"/>
              </w:rPr>
              <w:tab/>
            </w:r>
            <w:r>
              <w:rPr>
                <w:rStyle w:val="IndexLink"/>
              </w:rPr>
              <w:t>812</w:t>
            </w:r>
          </w:hyperlink>
        </w:p>
        <w:p>
          <w:pPr>
            <w:pStyle w:val="Contents5"/>
            <w:tabs>
              <w:tab w:val="clear" w:pos="7892"/>
              <w:tab w:val="right" w:pos="9026" w:leader="dot"/>
            </w:tabs>
            <w:rPr/>
          </w:pPr>
          <w:hyperlink w:anchor="__RefHeading___Toc910746_774463916">
            <w:r>
              <w:rPr>
                <w:webHidden/>
                <w:rStyle w:val="IndexLink"/>
                <w:rtl w:val="true"/>
              </w:rPr>
              <w:t>جواز أخذ الصدقات و المقاسمات</w:t>
            </w:r>
            <w:r>
              <w:rPr>
                <w:rStyle w:val="IndexLink"/>
                <w:rtl w:val="true"/>
              </w:rPr>
              <w:tab/>
            </w:r>
            <w:r>
              <w:rPr>
                <w:rStyle w:val="IndexLink"/>
              </w:rPr>
              <w:t>814</w:t>
            </w:r>
          </w:hyperlink>
        </w:p>
        <w:p>
          <w:pPr>
            <w:pStyle w:val="Contents5"/>
            <w:tabs>
              <w:tab w:val="clear" w:pos="7892"/>
              <w:tab w:val="right" w:pos="9026" w:leader="dot"/>
            </w:tabs>
            <w:rPr/>
          </w:pPr>
          <w:hyperlink w:anchor="__RefHeading___Toc910748_774463916">
            <w:r>
              <w:rPr>
                <w:webHidden/>
                <w:rStyle w:val="IndexLink"/>
                <w:rtl w:val="true"/>
              </w:rPr>
              <w:t>لا یجوز للجائر إقطاع شخص خاصّ شیئا</w:t>
            </w:r>
            <w:r>
              <w:rPr>
                <w:rStyle w:val="IndexLink"/>
                <w:rtl w:val="true"/>
              </w:rPr>
              <w:tab/>
            </w:r>
            <w:r>
              <w:rPr>
                <w:rStyle w:val="IndexLink"/>
              </w:rPr>
              <w:t>821</w:t>
            </w:r>
          </w:hyperlink>
        </w:p>
        <w:p>
          <w:pPr>
            <w:pStyle w:val="Contents5"/>
            <w:tabs>
              <w:tab w:val="clear" w:pos="7892"/>
              <w:tab w:val="right" w:pos="9026" w:leader="dot"/>
            </w:tabs>
            <w:rPr/>
          </w:pPr>
          <w:hyperlink w:anchor="__RefHeading___Toc910750_774463916">
            <w:r>
              <w:rPr>
                <w:webHidden/>
                <w:rStyle w:val="IndexLink"/>
                <w:rtl w:val="true"/>
              </w:rPr>
              <w:t>شراء الصدقات من الجائر قبل أخذه إیّاها من الناس</w:t>
            </w:r>
            <w:r>
              <w:rPr>
                <w:rStyle w:val="IndexLink"/>
                <w:rtl w:val="true"/>
              </w:rPr>
              <w:tab/>
            </w:r>
            <w:r>
              <w:rPr>
                <w:rStyle w:val="IndexLink"/>
              </w:rPr>
              <w:t>821</w:t>
            </w:r>
          </w:hyperlink>
        </w:p>
        <w:p>
          <w:pPr>
            <w:pStyle w:val="Contents3"/>
            <w:tabs>
              <w:tab w:val="clear" w:pos="8459"/>
              <w:tab w:val="right" w:pos="9026" w:leader="dot"/>
            </w:tabs>
            <w:rPr/>
          </w:pPr>
          <w:hyperlink w:anchor="__RefHeading___Toc910752_774463916">
            <w:r>
              <w:rPr>
                <w:webHidden/>
                <w:rStyle w:val="IndexLink"/>
                <w:rtl w:val="true"/>
              </w:rPr>
              <w:t>حکم الأراضی الخراجیة حال الغیبة</w:t>
            </w:r>
            <w:r>
              <w:rPr>
                <w:rStyle w:val="IndexLink"/>
                <w:rtl w:val="true"/>
              </w:rPr>
              <w:tab/>
            </w:r>
            <w:r>
              <w:rPr>
                <w:rStyle w:val="IndexLink"/>
              </w:rPr>
              <w:t>823</w:t>
            </w:r>
          </w:hyperlink>
        </w:p>
        <w:p>
          <w:pPr>
            <w:pStyle w:val="Contents4"/>
            <w:tabs>
              <w:tab w:val="clear" w:pos="8176"/>
              <w:tab w:val="right" w:pos="9026" w:leader="dot"/>
            </w:tabs>
            <w:rPr/>
          </w:pPr>
          <w:hyperlink w:anchor="__RefHeading___Toc910754_774463916">
            <w:r>
              <w:rPr>
                <w:webHidden/>
                <w:rStyle w:val="IndexLink"/>
                <w:rtl w:val="true"/>
              </w:rPr>
              <w:t>اشارة</w:t>
            </w:r>
            <w:r>
              <w:rPr>
                <w:rStyle w:val="IndexLink"/>
                <w:rtl w:val="true"/>
              </w:rPr>
              <w:tab/>
            </w:r>
            <w:r>
              <w:rPr>
                <w:rStyle w:val="IndexLink"/>
              </w:rPr>
              <w:t>823</w:t>
            </w:r>
          </w:hyperlink>
        </w:p>
        <w:p>
          <w:pPr>
            <w:pStyle w:val="Contents4"/>
            <w:tabs>
              <w:tab w:val="clear" w:pos="8176"/>
              <w:tab w:val="right" w:pos="9026" w:leader="dot"/>
            </w:tabs>
            <w:rPr/>
          </w:pPr>
          <w:hyperlink w:anchor="__RefHeading___Toc910756_774463916">
            <w:r>
              <w:rPr>
                <w:webHidden/>
                <w:rStyle w:val="IndexLink"/>
                <w:rtl w:val="true"/>
              </w:rPr>
              <w:t>حکم شراء ما یأخذه الجائر من غیر الأراضی الخراجیة</w:t>
            </w:r>
            <w:r>
              <w:rPr>
                <w:rStyle w:val="IndexLink"/>
                <w:rtl w:val="true"/>
              </w:rPr>
              <w:tab/>
            </w:r>
            <w:r>
              <w:rPr>
                <w:rStyle w:val="IndexLink"/>
              </w:rPr>
              <w:t>824</w:t>
            </w:r>
          </w:hyperlink>
        </w:p>
        <w:p>
          <w:pPr>
            <w:pStyle w:val="Contents4"/>
            <w:tabs>
              <w:tab w:val="clear" w:pos="8176"/>
              <w:tab w:val="right" w:pos="9026" w:leader="dot"/>
            </w:tabs>
            <w:rPr/>
          </w:pPr>
          <w:hyperlink w:anchor="__RefHeading___Toc910758_774463916">
            <w:r>
              <w:rPr>
                <w:webHidden/>
                <w:rStyle w:val="IndexLink"/>
                <w:rtl w:val="true"/>
              </w:rPr>
              <w:t>اختصاص الحکم بالسلطان المدّعی للرئاسة العامّة</w:t>
            </w:r>
            <w:r>
              <w:rPr>
                <w:rStyle w:val="IndexLink"/>
                <w:rtl w:val="true"/>
              </w:rPr>
              <w:tab/>
            </w:r>
            <w:r>
              <w:rPr>
                <w:rStyle w:val="IndexLink"/>
              </w:rPr>
              <w:t>825</w:t>
            </w:r>
          </w:hyperlink>
        </w:p>
        <w:p>
          <w:pPr>
            <w:pStyle w:val="Contents4"/>
            <w:tabs>
              <w:tab w:val="clear" w:pos="8176"/>
              <w:tab w:val="right" w:pos="9026" w:leader="dot"/>
            </w:tabs>
            <w:rPr/>
          </w:pPr>
          <w:hyperlink w:anchor="__RefHeading___Toc910760_774463916">
            <w:r>
              <w:rPr>
                <w:webHidden/>
                <w:rStyle w:val="IndexLink"/>
                <w:rtl w:val="true"/>
              </w:rPr>
              <w:t>عدم اختصاص الحکم بمن یعتقد کون الجائر ولی الأمر</w:t>
            </w:r>
            <w:r>
              <w:rPr>
                <w:rStyle w:val="IndexLink"/>
                <w:rtl w:val="true"/>
              </w:rPr>
              <w:tab/>
            </w:r>
            <w:r>
              <w:rPr>
                <w:rStyle w:val="IndexLink"/>
              </w:rPr>
              <w:t>827</w:t>
            </w:r>
          </w:hyperlink>
        </w:p>
        <w:p>
          <w:pPr>
            <w:pStyle w:val="Contents4"/>
            <w:tabs>
              <w:tab w:val="clear" w:pos="8176"/>
              <w:tab w:val="right" w:pos="9026" w:leader="dot"/>
            </w:tabs>
            <w:rPr/>
          </w:pPr>
          <w:hyperlink w:anchor="__RefHeading___Toc910762_774463916">
            <w:r>
              <w:rPr>
                <w:webHidden/>
                <w:rStyle w:val="IndexLink"/>
                <w:rtl w:val="true"/>
              </w:rPr>
              <w:t>تقدیر الخراج منوط برضی المؤجر و المستأجر</w:t>
            </w:r>
            <w:r>
              <w:rPr>
                <w:rStyle w:val="IndexLink"/>
                <w:rtl w:val="true"/>
              </w:rPr>
              <w:tab/>
            </w:r>
            <w:r>
              <w:rPr>
                <w:rStyle w:val="IndexLink"/>
              </w:rPr>
              <w:t>827</w:t>
            </w:r>
          </w:hyperlink>
        </w:p>
        <w:p>
          <w:pPr>
            <w:pStyle w:val="Contents4"/>
            <w:tabs>
              <w:tab w:val="clear" w:pos="8176"/>
              <w:tab w:val="right" w:pos="9026" w:leader="dot"/>
            </w:tabs>
            <w:rPr/>
          </w:pPr>
          <w:hyperlink w:anchor="__RefHeading___Toc910764_774463916">
            <w:r>
              <w:rPr>
                <w:webHidden/>
                <w:rStyle w:val="IndexLink"/>
                <w:rtl w:val="true"/>
              </w:rPr>
              <w:t>شراء الصدقة من الجائر علی وجه الإطلاق</w:t>
            </w:r>
            <w:r>
              <w:rPr>
                <w:rStyle w:val="IndexLink"/>
                <w:rtl w:val="true"/>
              </w:rPr>
              <w:tab/>
            </w:r>
            <w:r>
              <w:rPr>
                <w:rStyle w:val="IndexLink"/>
              </w:rPr>
              <w:t>828</w:t>
            </w:r>
          </w:hyperlink>
        </w:p>
        <w:p>
          <w:pPr>
            <w:pStyle w:val="Contents4"/>
            <w:tabs>
              <w:tab w:val="clear" w:pos="8176"/>
              <w:tab w:val="right" w:pos="9026" w:leader="dot"/>
            </w:tabs>
            <w:rPr/>
          </w:pPr>
          <w:hyperlink w:anchor="__RefHeading___Toc910766_774463916">
            <w:r>
              <w:rPr>
                <w:webHidden/>
                <w:rStyle w:val="IndexLink"/>
                <w:rtl w:val="true"/>
              </w:rPr>
              <w:t>شرائط الأراضی الخراجیة</w:t>
            </w:r>
            <w:r>
              <w:rPr>
                <w:rStyle w:val="IndexLink"/>
                <w:rtl w:val="true"/>
              </w:rPr>
              <w:tab/>
            </w:r>
            <w:r>
              <w:rPr>
                <w:rStyle w:val="IndexLink"/>
              </w:rPr>
              <w:t>829</w:t>
            </w:r>
          </w:hyperlink>
        </w:p>
        <w:p>
          <w:pPr>
            <w:pStyle w:val="Contents5"/>
            <w:tabs>
              <w:tab w:val="clear" w:pos="7892"/>
              <w:tab w:val="right" w:pos="9026" w:leader="dot"/>
            </w:tabs>
            <w:rPr/>
          </w:pPr>
          <w:hyperlink w:anchor="__RefHeading___Toc910768_774463916">
            <w:r>
              <w:rPr>
                <w:webHidden/>
                <w:rStyle w:val="IndexLink"/>
                <w:rtl w:val="true"/>
              </w:rPr>
              <w:t>اشارة</w:t>
            </w:r>
            <w:r>
              <w:rPr>
                <w:rStyle w:val="IndexLink"/>
                <w:rtl w:val="true"/>
              </w:rPr>
              <w:tab/>
            </w:r>
            <w:r>
              <w:rPr>
                <w:rStyle w:val="IndexLink"/>
              </w:rPr>
              <w:t>829</w:t>
            </w:r>
          </w:hyperlink>
        </w:p>
        <w:p>
          <w:pPr>
            <w:pStyle w:val="Contents5"/>
            <w:tabs>
              <w:tab w:val="clear" w:pos="7892"/>
              <w:tab w:val="right" w:pos="9026" w:leader="dot"/>
            </w:tabs>
            <w:rPr/>
          </w:pPr>
          <w:hyperlink w:anchor="__RefHeading___Toc910770_774463916">
            <w:r>
              <w:rPr>
                <w:webHidden/>
                <w:rStyle w:val="IndexLink"/>
                <w:rtl w:val="true"/>
              </w:rPr>
              <w:t>الأول</w:t>
            </w:r>
            <w:r>
              <w:rPr>
                <w:rStyle w:val="IndexLink"/>
                <w:rtl w:val="true"/>
              </w:rPr>
              <w:t>:</w:t>
            </w:r>
            <w:r>
              <w:rPr>
                <w:rStyle w:val="IndexLink"/>
                <w:rtl w:val="true"/>
              </w:rPr>
              <w:t>أن تکون الأرض مفتوحة عنوة أو صلحا</w:t>
            </w:r>
            <w:r>
              <w:rPr>
                <w:rStyle w:val="IndexLink"/>
                <w:rtl w:val="true"/>
              </w:rPr>
              <w:tab/>
            </w:r>
            <w:r>
              <w:rPr>
                <w:rStyle w:val="IndexLink"/>
              </w:rPr>
              <w:t>829</w:t>
            </w:r>
          </w:hyperlink>
        </w:p>
        <w:p>
          <w:pPr>
            <w:pStyle w:val="Contents6"/>
            <w:tabs>
              <w:tab w:val="clear" w:pos="7609"/>
              <w:tab w:val="right" w:pos="9026" w:leader="dot"/>
            </w:tabs>
            <w:rPr/>
          </w:pPr>
          <w:hyperlink w:anchor="__RefHeading___Toc910772_774463916">
            <w:r>
              <w:rPr>
                <w:webHidden/>
                <w:rStyle w:val="IndexLink"/>
                <w:rtl w:val="true"/>
              </w:rPr>
              <w:t>اشارة</w:t>
            </w:r>
            <w:r>
              <w:rPr>
                <w:rStyle w:val="IndexLink"/>
                <w:rtl w:val="true"/>
              </w:rPr>
              <w:tab/>
            </w:r>
            <w:r>
              <w:rPr>
                <w:rStyle w:val="IndexLink"/>
              </w:rPr>
              <w:t>829</w:t>
            </w:r>
          </w:hyperlink>
        </w:p>
        <w:p>
          <w:pPr>
            <w:pStyle w:val="Contents6"/>
            <w:tabs>
              <w:tab w:val="clear" w:pos="7609"/>
              <w:tab w:val="right" w:pos="9026" w:leader="dot"/>
            </w:tabs>
            <w:rPr/>
          </w:pPr>
          <w:hyperlink w:anchor="__RefHeading___Toc910774_774463916">
            <w:r>
              <w:rPr>
                <w:webHidden/>
                <w:rStyle w:val="IndexLink"/>
                <w:rtl w:val="true"/>
              </w:rPr>
              <w:t>طرق ثبوت الفتح عنوة</w:t>
            </w:r>
            <w:r>
              <w:rPr>
                <w:rStyle w:val="IndexLink"/>
                <w:rtl w:val="true"/>
              </w:rPr>
              <w:tab/>
            </w:r>
            <w:r>
              <w:rPr>
                <w:rStyle w:val="IndexLink"/>
              </w:rPr>
              <w:t>829</w:t>
            </w:r>
          </w:hyperlink>
        </w:p>
        <w:p>
          <w:pPr>
            <w:pStyle w:val="Contents5"/>
            <w:tabs>
              <w:tab w:val="clear" w:pos="7892"/>
              <w:tab w:val="right" w:pos="9026" w:leader="dot"/>
            </w:tabs>
            <w:rPr/>
          </w:pPr>
          <w:hyperlink w:anchor="__RefHeading___Toc910776_774463916">
            <w:r>
              <w:rPr>
                <w:webHidden/>
                <w:rStyle w:val="IndexLink"/>
                <w:rtl w:val="true"/>
              </w:rPr>
              <w:t>الثانی</w:t>
            </w:r>
            <w:r>
              <w:rPr>
                <w:rStyle w:val="IndexLink"/>
                <w:rtl w:val="true"/>
              </w:rPr>
              <w:t>:</w:t>
            </w:r>
            <w:r>
              <w:rPr>
                <w:rStyle w:val="IndexLink"/>
                <w:rtl w:val="true"/>
              </w:rPr>
              <w:t>أن یکون الفتح بإذن الإمام</w:t>
            </w:r>
            <w:r>
              <w:rPr>
                <w:rStyle w:val="IndexLink"/>
                <w:rtl w:val="true"/>
              </w:rPr>
              <w:t>(</w:t>
            </w:r>
            <w:r>
              <w:rPr>
                <w:rStyle w:val="IndexLink"/>
                <w:rtl w:val="true"/>
              </w:rPr>
              <w:t>علیه السّلام</w:t>
            </w:r>
            <w:r>
              <w:rPr>
                <w:rStyle w:val="IndexLink"/>
                <w:rtl w:val="true"/>
              </w:rPr>
              <w:t>)</w:t>
              <w:tab/>
            </w:r>
            <w:r>
              <w:rPr>
                <w:rStyle w:val="IndexLink"/>
              </w:rPr>
              <w:t>832</w:t>
            </w:r>
          </w:hyperlink>
        </w:p>
        <w:p>
          <w:pPr>
            <w:pStyle w:val="Contents6"/>
            <w:tabs>
              <w:tab w:val="clear" w:pos="7609"/>
              <w:tab w:val="right" w:pos="9026" w:leader="dot"/>
            </w:tabs>
            <w:rPr/>
          </w:pPr>
          <w:hyperlink w:anchor="__RefHeading___Toc910778_774463916">
            <w:r>
              <w:rPr>
                <w:webHidden/>
                <w:rStyle w:val="IndexLink"/>
                <w:rtl w:val="true"/>
              </w:rPr>
              <w:t>اشارة</w:t>
            </w:r>
            <w:r>
              <w:rPr>
                <w:rStyle w:val="IndexLink"/>
                <w:rtl w:val="true"/>
              </w:rPr>
              <w:tab/>
            </w:r>
            <w:r>
              <w:rPr>
                <w:rStyle w:val="IndexLink"/>
              </w:rPr>
              <w:t>832</w:t>
            </w:r>
          </w:hyperlink>
        </w:p>
        <w:p>
          <w:pPr>
            <w:pStyle w:val="Contents6"/>
            <w:tabs>
              <w:tab w:val="clear" w:pos="7609"/>
              <w:tab w:val="right" w:pos="9026" w:leader="dot"/>
            </w:tabs>
            <w:rPr/>
          </w:pPr>
          <w:hyperlink w:anchor="__RefHeading___Toc910780_774463916">
            <w:r>
              <w:rPr>
                <w:webHidden/>
                <w:rStyle w:val="IndexLink"/>
                <w:rtl w:val="true"/>
              </w:rPr>
              <w:t>ما إذا شکّ فی کون الفتح باذنه</w:t>
            </w:r>
            <w:r>
              <w:rPr>
                <w:rStyle w:val="IndexLink"/>
                <w:rtl w:val="true"/>
              </w:rPr>
              <w:t>(</w:t>
            </w:r>
            <w:r>
              <w:rPr>
                <w:rStyle w:val="IndexLink"/>
                <w:rtl w:val="true"/>
              </w:rPr>
              <w:t>علیه السّلام</w:t>
            </w:r>
            <w:r>
              <w:rPr>
                <w:rStyle w:val="IndexLink"/>
                <w:rtl w:val="true"/>
              </w:rPr>
              <w:t>)</w:t>
              <w:tab/>
            </w:r>
            <w:r>
              <w:rPr>
                <w:rStyle w:val="IndexLink"/>
              </w:rPr>
              <w:t>833</w:t>
            </w:r>
          </w:hyperlink>
        </w:p>
        <w:p>
          <w:pPr>
            <w:pStyle w:val="Contents5"/>
            <w:tabs>
              <w:tab w:val="clear" w:pos="7892"/>
              <w:tab w:val="right" w:pos="9026" w:leader="dot"/>
            </w:tabs>
            <w:rPr/>
          </w:pPr>
          <w:hyperlink w:anchor="__RefHeading___Toc910782_774463916">
            <w:r>
              <w:rPr>
                <w:webHidden/>
                <w:rStyle w:val="IndexLink"/>
                <w:rtl w:val="true"/>
              </w:rPr>
              <w:t>الثالث</w:t>
            </w:r>
            <w:r>
              <w:rPr>
                <w:rStyle w:val="IndexLink"/>
                <w:rtl w:val="true"/>
              </w:rPr>
              <w:t>:</w:t>
            </w:r>
            <w:r>
              <w:rPr>
                <w:rStyle w:val="IndexLink"/>
                <w:rtl w:val="true"/>
              </w:rPr>
              <w:t>أن تکون الأرض محیاة حال الفتح</w:t>
            </w:r>
            <w:r>
              <w:rPr>
                <w:rStyle w:val="IndexLink"/>
                <w:rtl w:val="true"/>
              </w:rPr>
              <w:tab/>
            </w:r>
            <w:r>
              <w:rPr>
                <w:rStyle w:val="IndexLink"/>
              </w:rPr>
              <w:t>835</w:t>
            </w:r>
          </w:hyperlink>
        </w:p>
        <w:p>
          <w:pPr>
            <w:pStyle w:val="Contents6"/>
            <w:tabs>
              <w:tab w:val="clear" w:pos="7609"/>
              <w:tab w:val="right" w:pos="9026" w:leader="dot"/>
            </w:tabs>
            <w:rPr/>
          </w:pPr>
          <w:hyperlink w:anchor="__RefHeading___Toc910784_774463916">
            <w:r>
              <w:rPr>
                <w:webHidden/>
                <w:rStyle w:val="IndexLink"/>
                <w:rtl w:val="true"/>
              </w:rPr>
              <w:t>اشارة</w:t>
            </w:r>
            <w:r>
              <w:rPr>
                <w:rStyle w:val="IndexLink"/>
                <w:rtl w:val="true"/>
              </w:rPr>
              <w:tab/>
            </w:r>
            <w:r>
              <w:rPr>
                <w:rStyle w:val="IndexLink"/>
              </w:rPr>
              <w:t>835</w:t>
            </w:r>
          </w:hyperlink>
        </w:p>
        <w:p>
          <w:pPr>
            <w:pStyle w:val="Contents6"/>
            <w:tabs>
              <w:tab w:val="clear" w:pos="7609"/>
              <w:tab w:val="right" w:pos="9026" w:leader="dot"/>
            </w:tabs>
            <w:rPr/>
          </w:pPr>
          <w:hyperlink w:anchor="__RefHeading___Toc910786_774463916">
            <w:r>
              <w:rPr>
                <w:webHidden/>
                <w:rStyle w:val="IndexLink"/>
                <w:rtl w:val="true"/>
              </w:rPr>
              <w:t>حکم ما لو ماتت المحیاة حال الفتح</w:t>
            </w:r>
            <w:r>
              <w:rPr>
                <w:rStyle w:val="IndexLink"/>
                <w:rtl w:val="true"/>
              </w:rPr>
              <w:tab/>
            </w:r>
            <w:r>
              <w:rPr>
                <w:rStyle w:val="IndexLink"/>
              </w:rPr>
              <w:t>836</w:t>
            </w:r>
          </w:hyperlink>
        </w:p>
        <w:p>
          <w:pPr>
            <w:pStyle w:val="Contents2"/>
            <w:tabs>
              <w:tab w:val="clear" w:pos="8743"/>
              <w:tab w:val="right" w:pos="9026" w:leader="dot"/>
            </w:tabs>
            <w:rPr/>
          </w:pPr>
          <w:hyperlink w:anchor="__RefHeading___Toc910788_774463916">
            <w:r>
              <w:rPr>
                <w:webHidden/>
                <w:rStyle w:val="IndexLink"/>
                <w:rtl w:val="true"/>
              </w:rPr>
              <w:t>فهرس الموضوعات</w:t>
            </w:r>
            <w:r>
              <w:rPr>
                <w:rStyle w:val="IndexLink"/>
                <w:rtl w:val="true"/>
              </w:rPr>
              <w:tab/>
            </w:r>
            <w:r>
              <w:rPr>
                <w:rStyle w:val="IndexLink"/>
              </w:rPr>
              <w:t>839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64_65107"/>
      <w:bookmarkStart w:id="1" w:name="pg5064_65107"/>
      <w:bookmarkEnd w:id="1"/>
    </w:p>
    <w:p>
      <w:pPr>
        <w:pStyle w:val="Heading2"/>
        <w:numPr>
          <w:ilvl w:val="1"/>
          <w:numId w:val="1"/>
        </w:numPr>
        <w:rPr/>
      </w:pPr>
      <w:bookmarkStart w:id="2" w:name="pg5064_65107"/>
      <w:bookmarkStart w:id="3" w:name="__RefHeading___Toc909934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سید‌ابوالقاسم،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مصباح‌الفقاهة فی‌المعاملات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ابوالقاسم‌الموسوی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محمدعلی‌التوحیدی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احیاءآثارالامام الخوئی،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7336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نویسی بر اساس جلد سی و پنجم،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مصابح‌الفقاهه فی‌المعاملات‌المکاسب‌المحرمه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مصابح‌الفقاهه فی‌المعاملات‌المکاسب‌المحرمه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 محمدعلی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احیاء آثار الامام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۱۱۴۷۷۷۹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9936_77446391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مصباح‌الفقاهة فی‌المعاملات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تقریرا لابحاث ابوالقاسم‌الموسوی الخوئی</w:t>
      </w:r>
      <w:bookmarkStart w:id="7" w:name="pg5064_65109"/>
    </w:p>
    <w:p>
      <w:pPr>
        <w:pStyle w:val="Heading2"/>
        <w:numPr>
          <w:ilvl w:val="1"/>
          <w:numId w:val="1"/>
        </w:numPr>
        <w:rPr/>
      </w:pPr>
      <w:bookmarkStart w:id="8" w:name="__RefHeading___Toc909938_774463916"/>
      <w:bookmarkStart w:id="9" w:name="_Toc3"/>
      <w:bookmarkEnd w:id="7"/>
      <w:bookmarkEnd w:id="8"/>
      <w:r>
        <w:rPr>
          <w:rtl w:val="true"/>
        </w:rPr>
        <w:t>کلمة المؤلّف</w:t>
      </w:r>
      <w:bookmarkEnd w:id="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هدانا إلی حقائق الإیمان،و أنار قلوبنا بأنوار العلم و العرفان و الصلوات الزاکیات علی سیدنا و نبینا محمد الصادع بالدین الحنیف،و الشرع المنیف،و علی آله الأطهار،الدعاة إلی اللّه،و الناشرین لأحکام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بعد،فلمّا کان کتاب المکاسب الذی هو من مصنّفات الشیخ الأعظم الصناع الفذّ و العلم الفرد المحقّق المؤسس شیخ مشایخنا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أعظم الکتب الفقهیة شأنا و أکثرها مادّة و أمتنها استدلالا و أجزلها عبارة،کان هو المعوّل علیه فی الدراسة الخارجیة عند البحث عن المعاملات،و قد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 مثواه بین دفّتی کتابه زبدة أفکار العلماء المتقدمین و خلاصة أنظارهم الدقیقة،و أضاف إلیها من فکرته الوقّادة و قریحته النقّادة تحقیقات أنیقة و تأمّلات رشیقة،و بذلک کان الکتاب صحیفة ناصعة تمثّل سداد الرأی و نتاج المجهود الفکری فی مراتبه الراقیة،و علماؤنا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أبدوا اهتماما خاصّا بهذا الکتاب و عنوا به عنایة فائقة و تعرّضوا إلیه و أوسعوه دراسة و شرحا و تعلیقا حسب اختلاف أذواقهم فی الشرح و التعلیق،و بذلک تکوّنت مجموعة نفیسة من الشروح</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یستغنی عنها الباحث و لا یتجاوزها المراجع المتأمّل،إلی أن ألقت العلوم الدینیة زعامتها و أسندت رئاستها إلی سیّدنا و استاذنا علم الأعلام آیة اللّه الملک العلاّم فقیه العصر،و فرید الدهر البحر اللجی،واسطة قلادة الفضل و التحقیق،محور دائرة الفهم و التدقیق،إمام أئمّة الاصول و زعیم أساتذة المعقول و المنقول،المبیّن لأحکام الدین،و المناضل عن شریعة جدّه سید المرسلین،قدوة العلماء الراسخین،اسوة الفقهاء العاملین،المولی الأعظم و الحبر المعظّم مولانا و ملاذنا الحاج السید أبو القاسم الموسوی الخوئی النجفی أدام اللّه أیّام إفاضاته و متّع اللّه المسلمین بطول بقائه،و هو أدامه اللّه قد تعرّض إلی الکتاب أثناء الدراسة الخارجیة فی الحوزة المقدّسة العلویة و أوسعه تهذیبا و تنقیحا،و کشف النقاب عن غوامضه و أبان الموارد المعضلة منه،و أخذ بتلک المسائل و الآراء التی قیلت أو یمکن أن تقال فصهرها فی بوتقة خیاله الواسع و فکره الجامع،و أفرغها فی قوالب رصینة و شیّدها علی اسس متینة،و کان النتاج درّة لمّاعة علی مفرق التشریع الإسلامی و الفقه الجعفری،و کنت ممّن وفّقه اللّه للاستفادة من محضره الشریف و الارتواء من منهله العذب،فجمعت فی هذا المختصر ما استفدته من تلک الأبحاث،ثم عرضت ذلک علی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فراجعه مراجعة کاملة و کرّر النظر فی أبحاثه و فصوله،و ها أنا ذا اقدّم کتابی هذا مصباح الفقاهة إلی أرباب العلم و الفضیلة،آملا أن یقع ذلک منهم موقع القبول،و جعلت عملی هذا خالصا لوجهه الکریم،سائلا منه أن یجعل ذلک ذخرا لیوم لا ینفع مال و لا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المؤلّفون القدماء کثیرا یقولون إنّ أسواق العلوم کاسدة و تجارتها غیر مربحة،و إنّ الناس قد رغبت عنها إلی ملاذ الدنیا و شهواتها و قصرت بأنظارها إلی الحطام العاجل و العرض الزائل،و إنّهم قد استأثروا الکسل علی الجدّ و النوم علی السهر و الراحة علی العمل،و إنّ الدنیا قد أدبرت عن ورثة الرسالة و أصحاب الأمانة</w:t>
      </w:r>
    </w:p>
    <w:p>
      <w:pPr>
        <w:pStyle w:val="BookText"/>
        <w:rPr/>
      </w:pPr>
      <w:r>
        <w:rPr>
          <w:rFonts w:ascii="IRNazanin" w:hAnsi="IRNazanin" w:eastAsia="IRNazanin"/>
          <w:color w:val="111111"/>
          <w:sz w:val="28"/>
          <w:sz w:val="28"/>
          <w:szCs w:val="28"/>
          <w:rtl w:val="true"/>
          <w:lang w:bidi="fa-IR"/>
        </w:rPr>
        <w:t xml:space="preserve">و أمثال هذه الکلمات صارت عنوانا لفواتح الکتب و مستهلاّت الخطب و الرسائل و أمّا نحن فلنا أن نفتخر بحمد اللّه و إفضاله علی هذا العهد الزاهی الذی ازدهرت فیه أنوار العلوم،و أشرقت فیه شموس المعارف،و أصبحت الامم من کل حدب و صوب یتّجهون إلی هذه المدینة المقدّسة مدینة سید العلماء علی الإطلاق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ازدحمت المدارس بطلاّبها و ضاقت بهم أرجاؤها،نحمده تعالی علی هذه الموهبة الجلیلة و النعمة الجسیمة،و نسأله أن یوفّقنا لخدمات الدین و إحیاء شریعة سید المرسلین،و أن یجعلنا من المشمولین لقوله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الَّذِینَ آمَنُوا مِنْکُمْ وَ الَّذِینَ أُوتُوا الْعِلْمَ دَرَجاتٍ و تمّت کلمة ربّک صدقا و عدلا لا مبدّل لکلماته و هو السمیع العلیم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التوحیدی</w:t>
      </w:r>
      <w:bookmarkStart w:id="10" w:name="pg5064_65112"/>
    </w:p>
    <w:p>
      <w:pPr>
        <w:pStyle w:val="Heading2"/>
        <w:numPr>
          <w:ilvl w:val="1"/>
          <w:numId w:val="1"/>
        </w:numPr>
        <w:rPr/>
      </w:pPr>
      <w:bookmarkStart w:id="11" w:name="__RefHeading___Toc909940_774463916"/>
      <w:bookmarkStart w:id="12" w:name="_Toc4"/>
      <w:bookmarkEnd w:id="10"/>
      <w:bookmarkEnd w:id="11"/>
      <w:r>
        <w:rPr>
          <w:rtl w:val="true"/>
        </w:rPr>
        <w:t>روایة تحف العقول</w:t>
      </w:r>
      <w:bookmarkEnd w:id="12"/>
    </w:p>
    <w:p>
      <w:pPr>
        <w:pStyle w:val="Heading3"/>
        <w:numPr>
          <w:ilvl w:val="2"/>
          <w:numId w:val="1"/>
        </w:numPr>
        <w:rPr/>
      </w:pPr>
      <w:bookmarkStart w:id="13" w:name="__RefHeading___Toc909942_774463916"/>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فیما یرجع إلی روایة تحف العقول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فی الوسائل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 فی تحف العقول </w:t>
      </w:r>
      <w:r>
        <w:rPr>
          <w:rStyle w:val="FootnoteAnchor"/>
          <w:rtl w:val="true"/>
        </w:rPr>
        <w:footnoteReference w:id="3"/>
      </w:r>
      <w:r>
        <w:rPr>
          <w:rFonts w:ascii="IRNazanin" w:hAnsi="IRNazanin" w:eastAsia="IRNazanin"/>
          <w:color w:val="111111"/>
          <w:sz w:val="28"/>
          <w:sz w:val="28"/>
          <w:szCs w:val="28"/>
          <w:rtl w:val="true"/>
          <w:lang w:bidi="fa-IR"/>
        </w:rPr>
        <w:t xml:space="preserve">و البحار </w:t>
      </w:r>
      <w:r>
        <w:rPr>
          <w:rStyle w:val="FootnoteAnchor"/>
          <w:rtl w:val="true"/>
        </w:rPr>
        <w:footnoteReference w:id="4"/>
      </w:r>
      <w:r>
        <w:rPr>
          <w:rFonts w:ascii="IRNazanin" w:hAnsi="IRNazanin" w:eastAsia="IRNazanin"/>
          <w:color w:val="111111"/>
          <w:sz w:val="28"/>
          <w:sz w:val="28"/>
          <w:szCs w:val="28"/>
          <w:rtl w:val="true"/>
          <w:lang w:bidi="fa-IR"/>
        </w:rPr>
        <w:t>یشتمل علی زیادات،و قد أسقطها المصنّف،و ربما یخلّ بالمقصود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حاشیة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من أنّه لا یتغیّر بها المعنی المراد،فیظهر لک ما فیه ممّا سیأتی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هذه الروایة و إن کانت حاویة للضوابط الکلّیة و القواعد الکبرویة الراجعة إلی إعاشة عالم البشریة،من حیث تدیّنهم بالأحکام الشرعیة،إلاّ أنّه لا یمکن تصدیر الکتاب بها لأجل أخذها مدرکا للأبحاث الآتیة و دلیلا لأحکام التجارة جزئیّها و کلّیها،بل لا بدّ فی کل مسألة من ملاحظة مدارکها بالخصوص،فإن کان فیها ما یدلّ علی المنع أخذ به،و إلاّ فالعمومات الدالّة علی صحّة المعاملات محکمة</w:t>
      </w:r>
      <w:r>
        <w:rPr>
          <w:rFonts w:eastAsia="IRNazanin" w:cs="IRNazanin"/>
          <w:color w:val="111111"/>
          <w:sz w:val="28"/>
          <w:szCs w:val="28"/>
          <w:rtl w:val="true"/>
          <w:lang w:bidi="fa-IR"/>
        </w:rPr>
        <w:t>.</w:t>
      </w:r>
      <w:bookmarkStart w:id="15" w:name="pg5064_65113"/>
    </w:p>
    <w:p>
      <w:pPr>
        <w:pStyle w:val="Heading3"/>
        <w:numPr>
          <w:ilvl w:val="2"/>
          <w:numId w:val="1"/>
        </w:numPr>
        <w:rPr/>
      </w:pPr>
      <w:bookmarkStart w:id="16" w:name="__RefHeading___Toc909944_774463916"/>
      <w:bookmarkStart w:id="17" w:name="_Toc6"/>
      <w:bookmarkEnd w:id="15"/>
      <w:bookmarkEnd w:id="16"/>
      <w:r>
        <w:rPr>
          <w:rtl w:val="true"/>
        </w:rPr>
        <w:t>الوجوه الدالّة علی عدم جواز التمسّک بها</w:t>
      </w:r>
      <w:bookmarkEnd w:id="17"/>
    </w:p>
    <w:p>
      <w:pPr>
        <w:pStyle w:val="BookText"/>
        <w:rPr/>
      </w:pPr>
      <w:r>
        <w:rPr>
          <w:rFonts w:ascii="IRNazanin" w:hAnsi="IRNazanin" w:eastAsia="IRNazanin"/>
          <w:color w:val="111111"/>
          <w:sz w:val="28"/>
          <w:sz w:val="28"/>
          <w:szCs w:val="28"/>
          <w:rtl w:val="true"/>
          <w:lang w:bidi="fa-IR"/>
        </w:rPr>
        <w:t>و إنّما لم یجز التمسّک بهذه الروایة لوجوه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قصورها من ناحیة السند و عدم استیفائها لشروط حجّیة أخبار الآحاد،فإنّ راویها أبو محمد الحسن بن علی بن الحسین بن شعبة الحرانی أو الحلبی و إن کان رجلا وجیها فاضلا جلیل القدر رفیع الشأن،و کان کتابه مشتملا علی الدرر و الیواقیت من مواعظ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اعتمد علیه جملة من الأصحاب </w:t>
      </w:r>
      <w:r>
        <w:rPr>
          <w:rStyle w:val="FootnoteAnchor"/>
          <w:rtl w:val="true"/>
        </w:rPr>
        <w:footnoteReference w:id="6"/>
      </w:r>
      <w:r>
        <w:rPr>
          <w:rFonts w:ascii="IRNazanin" w:hAnsi="IRNazanin" w:eastAsia="IRNazanin"/>
          <w:color w:val="111111"/>
          <w:sz w:val="28"/>
          <w:sz w:val="28"/>
          <w:szCs w:val="28"/>
          <w:rtl w:val="true"/>
          <w:lang w:bidi="fa-IR"/>
        </w:rPr>
        <w:t>إلاّ أنه لم یذکرها مسندة،بل أرسلها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 xml:space="preserve">تکون مشمولة لأدلّة حجّیة خبر الواحد،لاختصاصها بالخبر الموثوق بصدوره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قیام القرینة علی اعتبار رواتها المحذوفین جزافیة،لأنّ القرینة علی اعتبارهم إن کانت هی نقله عنهم فذلک ممنوع،لکون النقل أعم من الاعتبار فالالتزام بالأعم لا یدل علی الالتزام بالأخص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شیئا آخر غیر النقل فلم یصل إلینا ما یدلّ علی اعتبارهم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ذلک فإنه لا یفیدنا بوجه،بل حتی مع تصریحه باعتبارهم عنده،لأنّ ثبوت الاعتبار له لا یدل علی ثبوته لنا ما لم یذکر سببه من التوثیق لنلاحظه حتی یوجب ثبوته عندنا،فلعلّه یعتمد علی غیر خبر الثقة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و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یتوهّم انجبار ضعفها بعمل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مدفوع،لکونه فاسدا کبری و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فی منع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کون الشهرة فی نفسها حجّة،فکیف تکون موجبة لحجّیة الخبر و جابرة لضعف سنده،و إنما الشهرة بالنسبة إلی الخبر کوضع الحجر فی جنب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ملاحظة نفس الخبر،فإن کان جامعا لشرائط الحجیة عمل به،و إلاّ فإن ضم غیر حجة إلی مثله لا ینتج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المشهور بخبر کشف ذلک عن احتفافه بقرائن توجب الوثوق قد اطّلعوا علیها و لم تصل إلینا،فیکون الخبر موثوقا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إعراضهم عن الخبر الصحیح یوجب وهنه و سقوطه عن الاعتبار،و من هنا اشتهر فی الألسن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الخبر کلّما ازداد صحة ازداد باعراض المشهور عنه وهنا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 ذلک دعوی بلا برهان و رجما بالغیب و عملا بالظن الذی لا یغنی من الحق شیئا،أنّ المناط فی حجیة خبر الواحد هی وثاقة</w:t>
      </w:r>
    </w:p>
    <w:p>
      <w:pPr>
        <w:pStyle w:val="BookText"/>
        <w:rPr/>
      </w:pPr>
      <w:r>
        <w:rPr>
          <w:rFonts w:ascii="IRNazanin" w:hAnsi="IRNazanin" w:eastAsia="IRNazanin"/>
          <w:color w:val="111111"/>
          <w:sz w:val="28"/>
          <w:sz w:val="28"/>
          <w:szCs w:val="28"/>
          <w:rtl w:val="true"/>
          <w:lang w:bidi="fa-IR"/>
        </w:rPr>
        <w:t>الراوی،و یدل علی ذلک الموثّقة التی أرجع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السائل فیها إلی العمری و ابنه </w:t>
      </w:r>
      <w:r>
        <w:rPr>
          <w:rStyle w:val="FootnoteAnchor"/>
          <w:rtl w:val="true"/>
        </w:rPr>
        <w:footnoteReference w:id="8"/>
      </w:r>
      <w:r>
        <w:rPr>
          <w:rFonts w:ascii="IRNazanin" w:hAnsi="IRNazanin" w:eastAsia="IRNazanin"/>
          <w:color w:val="111111"/>
          <w:sz w:val="28"/>
          <w:sz w:val="28"/>
          <w:szCs w:val="28"/>
          <w:rtl w:val="true"/>
          <w:lang w:bidi="fa-IR"/>
        </w:rPr>
        <w:t>حیث علّل هذا الحکم فیها بأنهما ثقتان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أیضا الروایات المتواترة التی ارجع فیها إلی أشخاص موثّقین </w:t>
      </w:r>
      <w:r>
        <w:rPr>
          <w:rStyle w:val="FootnoteAnchor"/>
          <w:rtl w:val="true"/>
        </w:rPr>
        <w:footnoteReference w:id="9"/>
      </w:r>
      <w:r>
        <w:rPr>
          <w:rFonts w:ascii="IRNazanin" w:hAnsi="IRNazanin" w:eastAsia="IRNazanin"/>
          <w:color w:val="111111"/>
          <w:sz w:val="28"/>
          <w:sz w:val="28"/>
          <w:szCs w:val="28"/>
          <w:rtl w:val="true"/>
          <w:lang w:bidi="fa-IR"/>
        </w:rPr>
        <w:t>،فإنّ من المعلوم أنه لا خصوصیة لهؤلاء الرواة إلاّ من حیث کونهم موثّقین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فالمناط هو الوثاقة فی الراوی،و علی هذا فإن کان عمل المشهور راجعا إلی توثیق رواة الخبر و شهادتهم بذلک فبها،و إلاّ فلا یوجب انجبار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أنه بعد ثبوت صحة الخبر لا یضرّه إعراض المشهور عنه،إلاّ أن یرجع إلی تضعیف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الملاک فی حجیة أخبار الآحاد هو وثاقة رواتها،و المناط فی عدم حجیتها عدم وثاقتهم،و لأجل ذلک نهی عن الرجوع إلی من لا وثاقة له </w:t>
      </w:r>
      <w:r>
        <w:rPr>
          <w:rStyle w:val="FootnoteAnchor"/>
          <w:rtl w:val="true"/>
        </w:rPr>
        <w:footnoteReference w:id="10"/>
      </w:r>
      <w:r>
        <w:rPr>
          <w:rFonts w:ascii="IRNazanin" w:hAnsi="IRNazanin" w:eastAsia="IRNazanin"/>
          <w:color w:val="111111"/>
          <w:sz w:val="28"/>
          <w:sz w:val="28"/>
          <w:szCs w:val="28"/>
          <w:rtl w:val="true"/>
          <w:lang w:bidi="fa-IR"/>
        </w:rPr>
        <w:t xml:space="preserve">و تفصیل الکلام فی الاصول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فی منع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عدم ثبوت عمل المتقدّمین بها،و أمّا عمل المتأخّرین فهو علی تقدیر ثبوته غیر جابر لضعفها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استنادهم إلیها فی فتیاهم ممنوع جدّا کما سیأتی،فإنّ المظنون بل الموثوق به هو اعتمادهم فی الفتیا علی غیرها،و إنّما ذکروها فی بعض الموارد تأییدا للمرام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شرائط الحجیة و إن کانت غیر موجودة فیها إلاّ أنّ موافقتها فی المضمون للروایات الاخری الصحیحة أو الموثقة توجب حجیتها،علی أنّ آثار الصدق منها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تستوف الروایة شرائط الحجیة فمجرد موافقتها للحجّة فی المضمون لا تجعلها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آثار الصدق منها ظاهرة،فلا ندری ما ذا یرید هذا القائل من هذه الآثار،أهی غموض الروایة و اضطرابها،أم تکرار جملها و ألفاظها،أم کثرة ضمائرها و تعقیدها،أم اشتمالها علی أحکام لم یفت بها أحد من الأصحاب و من أهل السنّة،کحرمة بیع جلود السباع و الانتفاع بها و إمساکها و جمیع التقلّب و التصرّف فیها،مع أنّ الروایات المعتبرة إنما تمنع عن الصلاة فیها فقط لا عن مطلق الانتفاع بها،کموثقة سماعة و غیرها </w:t>
      </w:r>
      <w:r>
        <w:rPr>
          <w:rStyle w:val="FootnoteAnchor"/>
          <w:rtl w:val="true"/>
        </w:rPr>
        <w:footnoteReference w:id="12"/>
      </w:r>
      <w:r>
        <w:rPr>
          <w:rFonts w:ascii="IRNazanin" w:hAnsi="IRNazanin" w:eastAsia="IRNazanin"/>
          <w:color w:val="111111"/>
          <w:sz w:val="28"/>
          <w:sz w:val="28"/>
          <w:szCs w:val="28"/>
          <w:rtl w:val="true"/>
          <w:lang w:bidi="fa-IR"/>
        </w:rPr>
        <w:t xml:space="preserve">و کحرمة الانتفاع بالمیتة و لو کانت طاهرة،و سیأتی خلاف ذلک فی بیع المیتة </w:t>
      </w:r>
      <w:r>
        <w:rPr>
          <w:rStyle w:val="FootnoteAnchor"/>
          <w:rtl w:val="true"/>
        </w:rPr>
        <w:footnoteReference w:id="13"/>
      </w:r>
      <w:r>
        <w:rPr>
          <w:rFonts w:ascii="IRNazanin" w:hAnsi="IRNazanin" w:eastAsia="IRNazanin"/>
          <w:color w:val="111111"/>
          <w:sz w:val="28"/>
          <w:sz w:val="28"/>
          <w:szCs w:val="28"/>
          <w:rtl w:val="true"/>
          <w:lang w:bidi="fa-IR"/>
        </w:rPr>
        <w:t>و کحرمة التصرف و الامساک فیما یکون فیه وجه من وجوه الفساد،و سیظهر لک خلاف ذلک من المباحث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عدم انجبارها بالاجماع المنقول علی تقدیر حجّیته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فتاوی أکثر الفقهاء إن لم یکن کلّهم لا تطابق بعض جمل الروایة،فکیف ینجبر ضعفها بالشهرة الفتوائیة بینهم،فإنّ مقتضی بعض فقراتها حرمة بیع النجس مطلقا،مع أنّه لم یلتزم به إلاّ النادر من الفقهاء،بل فی بعض</w:t>
      </w:r>
    </w:p>
    <w:p>
      <w:pPr>
        <w:pStyle w:val="BookText"/>
        <w:rPr/>
      </w:pPr>
      <w:r>
        <w:rPr>
          <w:rFonts w:ascii="IRNazanin" w:hAnsi="IRNazanin" w:eastAsia="IRNazanin"/>
          <w:color w:val="111111"/>
          <w:sz w:val="28"/>
          <w:sz w:val="28"/>
          <w:szCs w:val="28"/>
          <w:rtl w:val="true"/>
          <w:lang w:bidi="fa-IR"/>
        </w:rPr>
        <w:t>فقراتها حرمة إمساکه و التقلّب فیه،و لم یفت بهذا أحد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ظاهر الروایة هو حرمة بیع الامور المذکورة تحریما تکلیفیا و یدل علی ذلک من الروایة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حرام بیعه و شراؤه و إمساکه و ملکه و هبته و عاریته و التقلّب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الإمساک و التقلّب یشمل جمیع أنواع التصرف حتی الخارجی منه،و لا معنی لحرمته وضعا،و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یلتزموا فی أکثر المذکورات بذلک،و إنما ذهبوا إلی الحرمة الوضعیة و استفادوا ذلک من النهی فی أبواب المعاملات،نظیر النهی عن البیع الغرری،فإنّ معناه الإرشاد إلی بطلان ذلک البیع کما یأتی فی محلّه </w:t>
      </w:r>
      <w:r>
        <w:rPr>
          <w:rStyle w:val="FootnoteAnchor"/>
          <w:rtl w:val="true"/>
        </w:rPr>
        <w:footnoteReference w:id="14"/>
      </w:r>
      <w:r>
        <w:rPr>
          <w:rFonts w:ascii="IRNazanin" w:hAnsi="IRNazanin" w:eastAsia="IRNazanin"/>
          <w:color w:val="111111"/>
          <w:sz w:val="28"/>
          <w:sz w:val="28"/>
          <w:szCs w:val="28"/>
          <w:rtl w:val="true"/>
          <w:lang w:bidi="fa-IR"/>
        </w:rPr>
        <w:t>إن شاء اللّه،نعم لو توجه النهی إلی ذات المعاملة مع إرادة ما یظهر منه من المولویة لتوجه الالتزام بالحرمة التکلیفیة،کالنهی عن بیع الخمر،و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التقسیم المذکور فیها لا یرجع إلی أمر محصّل،و ذلک یکشف عن اضطرابها،فإنّ تربیع أقسام المعاملة المعاشیة بجعل کل واحد من الولایات و الصناعات قسما مستقلا من تلک الأقسام فی قبال التجارات و الإجارات لا یسلم عن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علی قسمین،لأنها إمّا عامة ثبتت من اللّه کالنبوّة و الإمامة أو خاصة ثبتت من قبل ذوی الولایة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الولایة العامة فهی خارجة عن حدود الروایة،فإنّ التقسیم فیها باعتبار المعاملة المعاشیة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فالولایة العامة خارجة عنها تخصصا،و إنما هی من المناصب الإلهیة التی جعلت للعترة الطاهرة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الولایة الخاصة فمن حیث جواز ارتزاق الولاة من بیت المال تدخل</w:t>
      </w:r>
    </w:p>
    <w:p>
      <w:pPr>
        <w:pStyle w:val="BookText"/>
        <w:rPr/>
      </w:pPr>
      <w:r>
        <w:rPr>
          <w:rFonts w:ascii="IRNazanin" w:hAnsi="IRNazanin" w:eastAsia="IRNazanin"/>
          <w:color w:val="111111"/>
          <w:sz w:val="28"/>
          <w:sz w:val="28"/>
          <w:szCs w:val="28"/>
          <w:rtl w:val="true"/>
          <w:lang w:bidi="fa-IR"/>
        </w:rPr>
        <w:t>تحت الاجارة المذکورة فی الروایة،فلا تکون الولایة فی مقابل الاجارة قسما آخر،فإنّ المراد من الإجارة فیها لیس هی الاجارة المصطلحة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إدخال الجعالة تحتها و عدم ذکرها فی الروایة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الصناعات فإن کان المقصود منها الصناعات المصطلحة من البنایة و الخیاطة و النجارة و نحوها فمن الواضح أنّها لیست قسما من المعاملات المشرعة للإعاشة،و إنما هی موضوع من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النظر فیها إلی الطوارئ و العوارض من حیث إنّ من یتّصف بها إمّا أن یؤجر نفسه للغیر لأجل ما عنده من الصناعة،و إمّا أن یجعل ما یحصله منها ثمنا أو مثمنا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تدخل تحت الاجارة،و علی الثانی تحت التجارة،فلا تکون وجها آخر فی قبالهما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یراد منها نفس الحرفة و الصنعة مع تعمیم المقسم إلی کل ما یکون وسیلة إلی المعاش،فحینئذ یشملها المقسم لکونها من أعظم الوسائل إلی التعیّش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علیه لا یکون التقسیم المذکور فی الروایة حاصرا،لخروج کثیر من وسائل الإعاشة عن المقسم،کالحیازات و النتاجات و الاصطیاد و إحیاء الموات و إجراء القنوات و الضیافات و أخذ الخمس و الزکاة و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ردّ هذا الإشکال بأنّ الحصر فی الروایة 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الرد فاسد فإنه ناشئ من الاغترار بما اشتهر فی ألسنة الادباء من حسبان الحصر الإضافی قسما آخر یقابل الحصر الحقیقی،مع أنّ الحصر لا یکون إلاّ حقیقیا،بل الالتزام بالحصر فی مورد مع الالتزام بکونه إضافیا لا حقیقیا التزام بالمتناقضین کما هو واضح للناقد البصیر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یکون الحصر فی حصة خاصة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أعلم من فی النجف و قد یکون غیر مقیّد بحصة خاصة،فیسمّی الأول إضافیا و الثانی حقیقیا،و هذا</w:t>
      </w:r>
      <w:bookmarkStart w:id="18" w:name="pg5064_65119"/>
    </w:p>
    <w:p>
      <w:pPr>
        <w:pStyle w:val="BookText"/>
        <w:rPr/>
      </w:pPr>
      <w:bookmarkEnd w:id="18"/>
      <w:r>
        <w:rPr>
          <w:rFonts w:ascii="Amiri" w:hAnsi="Amiri" w:eastAsia="Amiri" w:cs="Amiri"/>
          <w:color w:val="111111"/>
          <w:sz w:val="28"/>
          <w:sz w:val="28"/>
          <w:szCs w:val="28"/>
          <w:rtl w:val="true"/>
          <w:lang w:bidi="ar-SA"/>
        </w:rPr>
        <w:t>غیر ما 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 بعضهم أنّ التقسیم فیها باعتبار المعاملات،و حینئذ فلا یوجب حصرها فی الأربع حصر کل طرق المعاش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التوهّم مما لا یصغی إلیه بعد القطع بأنّ المعاملات المنقسمة إلی الأقسام المذکورة لیست هی المعاملات المصطلحة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التقسیم فی الروایة بحسب المعاملات المعاشیة المعروفة کما یدل علی ذلک صدرها </w:t>
      </w:r>
      <w:r>
        <w:rPr>
          <w:rStyle w:val="FootnoteAnchor"/>
          <w:rtl w:val="true"/>
        </w:rPr>
        <w:footnoteReference w:id="15"/>
      </w:r>
      <w:r>
        <w:rPr>
          <w:rFonts w:ascii="IRNazanin" w:hAnsi="IRNazanin" w:eastAsia="IRNazanin"/>
          <w:color w:val="111111"/>
          <w:sz w:val="28"/>
          <w:sz w:val="28"/>
          <w:szCs w:val="28"/>
          <w:rtl w:val="true"/>
          <w:lang w:bidi="fa-IR"/>
        </w:rPr>
        <w:t>و قد أسقطه المصنّف تبعا لصاحب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مطاوی بعض ما ذکرنا عدم جواز الاستناد إلی شیء من روایات تحف العقول فی شیء من الأحکام الشرعیة،و مع ذلک لا ینقضی تعجّبی من الشیخ حسین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رضی القول بأنه کتاب لم یسمح الدهر بمثله </w:t>
      </w:r>
      <w:r>
        <w:rPr>
          <w:rStyle w:val="FootnoteAnchor"/>
          <w:rtl w:val="true"/>
        </w:rPr>
        <w:footnoteReference w:id="16"/>
      </w:r>
      <w:r>
        <w:rPr>
          <w:rFonts w:ascii="IRNazanin" w:hAnsi="IRNazanin" w:eastAsia="IRNazanin"/>
          <w:color w:val="111111"/>
          <w:sz w:val="28"/>
          <w:sz w:val="28"/>
          <w:szCs w:val="28"/>
          <w:rtl w:val="true"/>
          <w:lang w:bidi="fa-IR"/>
        </w:rPr>
        <w:t>،مع أنّ الکتب المعتمدة للشیعة نصب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 المناسب تقسیم معائش العباد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بالمعنی الأعم،و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الإعاشة العقلائیة لا تخلو منهما،و أمّا مثل التسوّل و نحوه فلیس من الطرق العقلائیة للإعاشة</w:t>
      </w:r>
      <w:r>
        <w:rPr>
          <w:rFonts w:eastAsia="IRNazanin" w:cs="IRNazanin"/>
          <w:color w:val="111111"/>
          <w:sz w:val="28"/>
          <w:szCs w:val="28"/>
          <w:rtl w:val="true"/>
          <w:lang w:bidi="fa-IR"/>
        </w:rPr>
        <w:t>.</w:t>
      </w:r>
    </w:p>
    <w:p>
      <w:pPr>
        <w:pStyle w:val="Heading3"/>
        <w:numPr>
          <w:ilvl w:val="2"/>
          <w:numId w:val="1"/>
        </w:numPr>
        <w:rPr/>
      </w:pPr>
      <w:bookmarkStart w:id="19" w:name="__RefHeading___Toc909946_774463916"/>
      <w:bookmarkStart w:id="20" w:name="_Toc7"/>
      <w:bookmarkEnd w:id="19"/>
      <w:r>
        <w:rPr>
          <w:rtl w:val="true"/>
        </w:rPr>
        <w:t>أنحاء الاضافة بین المال و مالکه</w:t>
      </w:r>
      <w:bookmarkEnd w:id="20"/>
    </w:p>
    <w:p>
      <w:pPr>
        <w:pStyle w:val="BookText"/>
        <w:rPr/>
      </w:pPr>
      <w:r>
        <w:rPr>
          <w:rFonts w:ascii="IRNazanin" w:hAnsi="IRNazanin" w:eastAsia="IRNazanin"/>
          <w:color w:val="111111"/>
          <w:sz w:val="28"/>
          <w:sz w:val="28"/>
          <w:szCs w:val="28"/>
          <w:rtl w:val="true"/>
          <w:lang w:bidi="fa-IR"/>
        </w:rPr>
        <w:t>کشف حقیقة و لطف قریحة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 الإضافات الموجودة بین المال و مالکه المسماة بالإضافات المالکیة تکون علی أنحاء،لأنّها فی دار تقرّرها إمّا إضافة ذاتیة تکوینیة،و إمّا إضافة عرضیة أی متکوّنة بواسطة الامور الخارجیة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الاولی فکالإضافات الموجودة بین الأشخاص و أعمالهم و أنفسهم و ذممهم</w:t>
      </w:r>
    </w:p>
    <w:p>
      <w:pPr>
        <w:pStyle w:val="BookText"/>
        <w:rPr/>
      </w:pPr>
      <w:r>
        <w:rPr>
          <w:rFonts w:ascii="IRNazanin" w:hAnsi="IRNazanin" w:eastAsia="IRNazanin"/>
          <w:color w:val="111111"/>
          <w:sz w:val="28"/>
          <w:sz w:val="28"/>
          <w:szCs w:val="28"/>
          <w:rtl w:val="true"/>
          <w:lang w:bidi="fa-IR"/>
        </w:rPr>
        <w:t>فإنّ أعمال کل شخص و نفسه و ذمّته مملوکة له ملکیة ذاتیة،و له واجدیة لها فوق مرتبة الواجدیة الاعتباریة و دون مرتبة الواجدیة الحقیقیة التی لمکوّن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لیس المراد من الذاتی هنا الذاتی فی باب البرهان،و هو المنتزع من مقام الذات المسمّی بخارج المحمول،و لا الذاتی فی باب الکلّیات الخمس،بل المقصود منه هنا ما لا یحتاج فی تقرّره و ظهوره فی صفحة الوجود إلی شیء آخر وراء نفسه من الاعتبارات الملکیة،و لا إلی إعدام موجود،و لا إلی إیجاد معدوم،و لا إلی ضم ضمیمة،و إنما شأنها شأن الذاتیات التی لا تحتاج إلاّ إلی علّة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معنی الملکیة هنا لیس إلاّ القدرة و السلطنة،بمعنی أنّ کل أحد مسلّط علی عمله و نفسه و ما فی ذمته،بأن یؤجر نفسه للغیر،أو یبیع ما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لذلک زیادة توضیح فی أول البیع </w:t>
      </w:r>
      <w:r>
        <w:rPr>
          <w:rStyle w:val="FootnoteAnchor"/>
          <w:rtl w:val="true"/>
        </w:rPr>
        <w:footnoteReference w:id="17"/>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یندفع ما ربما یتوهّم من أنّ عمل الإنسان لا یعد من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من الأموال بالإضافة الاعتباریة لا بالإضافة التکوینیة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الإضافة العرضیة فهی إمّا أن تکون إضافة أولیة و إمّا أن تکون إضافة ثانویة،و الأولیة إمّا أصلیة استقلالیة أو تبعیة غیریة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فالأولیة الأصلیة کالإضافة المالیة الحاصلة بالعمل أو بالحیازة أو بهما معا،فالأول کالأعمال التی یعملها الإنسان فیحصل منها المال،و الثانی کحیازة المباحات،و الثالث کمن یحوز أشجارا فیجعلها سریرا،فإنّ الصورة السریریة توجب تحقّق إضافة مالیة اخری فی المادّة الخشبیة وراء المالیة المتقوّمة بالخشبة،فتلک المالیة القائمة فی السریر حاصلة من العمل و الحیازة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 الأولیة علیها باعتبار عدم سبق إضافة ذلک المال إلی الغیر و الأصلیة باعتبار عدم تبعها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الإضافة الأولیة التبعیة فهی ما تکون بین المالک و بین نتاج أمواله کالنتاج التی تنتجه الحیوانات المملوکة،و البیوض التی تبیضها الطیور المملوکة و الثمار التی تثمرها الأشجار المملوکة،إلی غیر ذلک،فإنها تضاف إلی مالک الاصول إضافة أولیة 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إطلاق التبعیة فلکونها تابعة لما تحصل منه و أمّا إطلاق الأولیة فلعدم سبق إضافة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الإضافة الثانویة فالمراد بها ما قابل الاضافة الأولیة و إن کانت طارئة علی الأموال مرارا عدیدة،فهی نظیر المعقولات الثانویة فی مقابلتها للمعقولات الأولیة،و هی علی قسمین،لأنها تارة تکون قهریة و اخری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فکالإضافة التی تحصل بسبب الإرث أو الوقف بناء علی کونه من الإیقاعات کما اخترناه فی محلّه،و وجه کونها قهریة هو حصول المالکیة فی هذه الموارد للوارث و الموقوف علیه و الموصی له بالقهر،لا بالفعل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فکالإضافة الحاصلة من المعاملات،و منها ما یحصل من المکاسب التی نحن بصدد بحثها و تأسیس اصولها و مبانیها بعون اللّه و حسن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علی الناقد أنّ ما ذکرناه من تلک الإضافات علی أقسامها من البدیهیات التی لا تحتاج إلی المقدمات النظریة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فاعل مقابل البائع و لیس باسم مفعول لیکون المراد منه المبیع کما توهّم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یراد منه الحمل أی یحمل،أو الأخذ أی یأخذ،أو الوصف أی یوصف فی مقام الإیجار،و لیس بمعناه المعروف لیکون الشیء مفعولا أولا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 ثانیا کما</w:t>
      </w:r>
    </w:p>
    <w:p>
      <w:pPr>
        <w:pStyle w:val="BookText"/>
        <w:rPr/>
      </w:pPr>
      <w:r>
        <w:rPr>
          <w:rFonts w:ascii="IRNazanin" w:hAnsi="IRNazanin" w:eastAsia="IRNazanin"/>
          <w:color w:val="111111"/>
          <w:sz w:val="28"/>
          <w:sz w:val="28"/>
          <w:szCs w:val="28"/>
          <w:rtl w:val="true"/>
          <w:lang w:bidi="fa-IR"/>
        </w:rPr>
        <w:t xml:space="preserve">احتمله بعض الأعاظم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منصوبا علی الحالیة،و لا مجرورا لکونه وصفا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تخیّل،بل إنما هو مرفوع للخبریة فإنّ أصل النسخة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وجوه من وجوه الإجارات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المجمع </w:t>
      </w:r>
      <w:r>
        <w:rPr>
          <w:rStyle w:val="FootnoteAnchor"/>
          <w:rtl w:val="true"/>
        </w:rPr>
        <w:footnoteReference w:id="19"/>
      </w:r>
      <w:r>
        <w:rPr>
          <w:rFonts w:ascii="IRNazanin" w:hAnsi="IRNazanin" w:eastAsia="IRNazanin"/>
          <w:color w:val="111111"/>
          <w:sz w:val="28"/>
          <w:sz w:val="28"/>
          <w:szCs w:val="28"/>
          <w:rtl w:val="true"/>
          <w:lang w:bidi="fa-IR"/>
        </w:rPr>
        <w:t>السوقة بالضم الرعیة و من دون الملک،و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ملک و لا سوقة یصل إلی الحجّ إلاّ بمشقّة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عمل التصاویر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حمل التصاویر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فعطف الخنازیر و المیتة و الدم فی الروایة علی التصاویر لا یحتاج إلی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إجارة نفسه فیه أو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الأول هو الإیجار لنفس الشیء بأن یؤجر نفسه لصنع الخمر،و کإیجار نفسه فی هدم المساجد،و من الثانی الإیجار للمقدّمات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المراد من الأول إیجار نفسه فی المصنوع کحمل الخمر و من الثانی إیجار نفسه لصنعه،و لا أنّ المراد من الأول المباشریة و من الثانی التسبیبیة،و لا أنّ المراد من الأول الإیجار للمقدّمات و من الثانی الإیجار لنفس المحرّم،فإنّ کل ذلک خلاف الظاهر من الروایة،و من هنا ظهر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منه أو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المراد منهما جزء العمل و جزء المقدمات،و الضمائر الأربعة کلّها ترجع إلی الأمر المنهی عنه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المجمع </w:t>
      </w:r>
      <w:r>
        <w:rPr>
          <w:rStyle w:val="FootnoteAnchor"/>
          <w:rtl w:val="true"/>
        </w:rPr>
        <w:footnoteReference w:id="20"/>
      </w:r>
      <w:r>
        <w:rPr>
          <w:rFonts w:ascii="IRNazanin" w:hAnsi="IRNazanin" w:eastAsia="IRNazanin"/>
          <w:color w:val="111111"/>
          <w:sz w:val="28"/>
          <w:sz w:val="28"/>
          <w:szCs w:val="28"/>
          <w:rtl w:val="true"/>
          <w:lang w:bidi="fa-IR"/>
        </w:rPr>
        <w:t>نحی الشیء أزاله،و نحّ هذا</w:t>
      </w:r>
    </w:p>
    <w:p>
      <w:pPr>
        <w:pStyle w:val="BookText"/>
        <w:rPr/>
      </w:pPr>
      <w:r>
        <w:rPr>
          <w:rFonts w:ascii="Amiri" w:hAnsi="Amiri" w:eastAsia="Amiri" w:cs="Amiri"/>
          <w:color w:val="111111"/>
          <w:sz w:val="28"/>
          <w:sz w:val="28"/>
          <w:szCs w:val="28"/>
          <w:rtl w:val="true"/>
          <w:lang w:bidi="ar-SA"/>
        </w:rPr>
        <w:t>عنّی أی أزله و أبعده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حکاه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کتاب السید من روایة تحف العقول عین و لا أثر،و لم تذکر حتی بمضمونها فیه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ذکرت </w:t>
      </w:r>
      <w:r>
        <w:rPr>
          <w:rStyle w:val="FootnoteAnchor"/>
          <w:rtl w:val="true"/>
        </w:rPr>
        <w:footnoteReference w:id="21"/>
      </w:r>
      <w:r>
        <w:rPr>
          <w:rFonts w:ascii="IRNazanin" w:hAnsi="IRNazanin" w:eastAsia="IRNazanin"/>
          <w:color w:val="111111"/>
          <w:sz w:val="28"/>
          <w:sz w:val="28"/>
          <w:szCs w:val="28"/>
          <w:rtl w:val="true"/>
          <w:lang w:bidi="fa-IR"/>
        </w:rPr>
        <w:t>فیه معائش الخلق علی خمسة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الإمارة و وجه</w:t>
      </w:r>
      <w:bookmarkStart w:id="21" w:name="pg5064_65124"/>
    </w:p>
    <w:p>
      <w:pPr>
        <w:pStyle w:val="BookText"/>
        <w:rPr/>
      </w:pPr>
      <w:bookmarkEnd w:id="21"/>
      <w:r>
        <w:rPr>
          <w:rFonts w:ascii="IRNazanin" w:hAnsi="IRNazanin" w:eastAsia="IRNazanin"/>
          <w:color w:val="111111"/>
          <w:sz w:val="28"/>
          <w:sz w:val="28"/>
          <w:szCs w:val="28"/>
          <w:rtl w:val="true"/>
          <w:lang w:bidi="fa-IR"/>
        </w:rPr>
        <w:t>العمارة و وجه الإجارة و وجه التجارة و وجه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غیر مربوط بما فی تحف العقول سنخا و حکما،و لعلّ هذه الجملة صدرت من المصنّف إمّا من سهو القلم أو من جهة الاعتماد علی ما فی الوسائل،فإنه قال بعد نقل روایة 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المرتضی فی کتاب المحکم و المتشابه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کتاب المحکم و المتشابه هذا هو بعینه تفسیر النعمانی المعروف</w:t>
      </w:r>
      <w:r>
        <w:rPr>
          <w:rFonts w:eastAsia="IRNazanin" w:cs="IRNazanin"/>
          <w:color w:val="111111"/>
          <w:sz w:val="28"/>
          <w:szCs w:val="28"/>
          <w:rtl w:val="true"/>
          <w:lang w:bidi="fa-IR"/>
        </w:rPr>
        <w:t>.</w:t>
      </w:r>
    </w:p>
    <w:p>
      <w:pPr>
        <w:pStyle w:val="Heading2"/>
        <w:numPr>
          <w:ilvl w:val="1"/>
          <w:numId w:val="1"/>
        </w:numPr>
        <w:rPr/>
      </w:pPr>
      <w:bookmarkStart w:id="22" w:name="__RefHeading___Toc909948_774463916"/>
      <w:bookmarkStart w:id="23" w:name="_Toc8"/>
      <w:bookmarkEnd w:id="22"/>
      <w:r>
        <w:rPr>
          <w:rtl w:val="true"/>
        </w:rPr>
        <w:t>روایة الفقه الرضوی</w:t>
      </w:r>
      <w:bookmarkEnd w:id="23"/>
    </w:p>
    <w:p>
      <w:pPr>
        <w:pStyle w:val="Heading3"/>
        <w:numPr>
          <w:ilvl w:val="2"/>
          <w:numId w:val="1"/>
        </w:numPr>
        <w:rPr/>
      </w:pPr>
      <w:bookmarkStart w:id="24" w:name="__RefHeading___Toc909950_774463916"/>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الفقه المنسوب إلی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الکلام هنا یقع فی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نسبة هذا الکتاب</w:t>
      </w:r>
      <w:bookmarkStart w:id="26" w:name="pg5064_65125"/>
    </w:p>
    <w:p>
      <w:pPr>
        <w:pStyle w:val="BookText"/>
        <w:rPr/>
      </w:pPr>
      <w:bookmarkEnd w:id="26"/>
      <w:r>
        <w:rPr>
          <w:rFonts w:ascii="IRNazanin" w:hAnsi="IRNazanin" w:eastAsia="IRNazanin"/>
          <w:color w:val="111111"/>
          <w:sz w:val="28"/>
          <w:sz w:val="28"/>
          <w:szCs w:val="28"/>
          <w:rtl w:val="true"/>
          <w:lang w:bidi="fa-IR"/>
        </w:rPr>
        <w:t>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هذه الروایة علی مقصد المصنّف و عدم دلالتها</w:t>
      </w:r>
      <w:r>
        <w:rPr>
          <w:rFonts w:eastAsia="IRNazanin" w:cs="IRNazanin"/>
          <w:color w:val="111111"/>
          <w:sz w:val="28"/>
          <w:szCs w:val="28"/>
          <w:rtl w:val="true"/>
          <w:lang w:bidi="fa-IR"/>
        </w:rPr>
        <w:t>.</w:t>
      </w:r>
    </w:p>
    <w:p>
      <w:pPr>
        <w:pStyle w:val="Heading3"/>
        <w:numPr>
          <w:ilvl w:val="2"/>
          <w:numId w:val="1"/>
        </w:numPr>
        <w:rPr/>
      </w:pPr>
      <w:bookmarkStart w:id="27" w:name="__RefHeading___Toc909952_774463916"/>
      <w:bookmarkStart w:id="28" w:name="_Toc10"/>
      <w:bookmarkEnd w:id="27"/>
      <w:r>
        <w:rPr>
          <w:rtl w:val="true"/>
        </w:rPr>
        <w:t>البحث فی صحة نسبة الکتاب الی الامام الرضا علیه السلام</w:t>
      </w:r>
      <w:bookmarkEnd w:id="28"/>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تمسّک القائلون باعتباره بوجوه کثیرة،و لکنّها تؤول إلی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عمدة ما تمسّک به المثبتون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ظهوره و إن کان فی زمن المجلسی الأول،و لکن الذی أخبر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الثقة الفاضل و المحدّث الکامل القاضی السید أمیر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فإنّه أوّل من اطّلع علیه و استنسخه،و قد استنسخه المجلسی من نسخته،و هو ثقة فیصدّق فی قوله،لشمول أدلة الخبر الواحد لخبره،هذا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إخباره هذا إمّا أن یکون مستندا إلی القرائن التی أوجبت حصول العلم العادی له من الخطوط الموجودة فیه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الإجازات المدوّنة فیه للأعلام علی ما نقله المحدّث المتبحّر النوری فی المستدرک </w:t>
      </w:r>
      <w:r>
        <w:rPr>
          <w:rStyle w:val="FootnoteAnchor"/>
          <w:rtl w:val="true"/>
        </w:rPr>
        <w:footnoteReference w:id="23"/>
      </w:r>
      <w:r>
        <w:rPr>
          <w:rFonts w:ascii="IRNazanin" w:hAnsi="IRNazanin" w:eastAsia="IRNazanin"/>
          <w:color w:val="111111"/>
          <w:sz w:val="28"/>
          <w:sz w:val="28"/>
          <w:szCs w:val="28"/>
          <w:rtl w:val="true"/>
          <w:lang w:bidi="fa-IR"/>
        </w:rPr>
        <w:t>عن المجلسی الأول و إمّا أن یکون مستندا إلی إخبار ثقتین عدلین من أهل قم السید المذکور بکون الکتاب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المستدرک </w:t>
      </w:r>
      <w:r>
        <w:rPr>
          <w:rStyle w:val="FootnoteAnchor"/>
          <w:rtl w:val="true"/>
        </w:rPr>
        <w:footnoteReference w:id="24"/>
      </w:r>
      <w:r>
        <w:rPr>
          <w:rFonts w:ascii="IRNazanin" w:hAnsi="IRNazanin" w:eastAsia="IRNazanin"/>
          <w:color w:val="111111"/>
          <w:sz w:val="28"/>
          <w:sz w:val="28"/>
          <w:szCs w:val="28"/>
          <w:rtl w:val="true"/>
          <w:lang w:bidi="fa-IR"/>
        </w:rPr>
        <w:t>أیضا،حیث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السید الثقة الفاضل القاضی أمیر حسین أخبر بأنّ هذا الکتاب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أخبره بذلک أیضا ثقتان عدلان من أهل قم،و هذا خبر صحیح داخل فی عموم ما دل علی</w:t>
      </w:r>
    </w:p>
    <w:p>
      <w:pPr>
        <w:pStyle w:val="BookText"/>
        <w:rPr/>
      </w:pPr>
      <w:r>
        <w:rPr>
          <w:rFonts w:ascii="IRNazanin" w:hAnsi="IRNazanin" w:eastAsia="IRNazanin"/>
          <w:color w:val="111111"/>
          <w:sz w:val="28"/>
          <w:sz w:val="28"/>
          <w:szCs w:val="28"/>
          <w:rtl w:val="true"/>
          <w:lang w:bidi="fa-IR"/>
        </w:rPr>
        <w:t>حجیة 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فضعفه بیّن،لأنّ حصول العلم للسید الأمجد و السند الأوحد من تلک القرائن علی صحة النسبة لدیه لا یوجب حصول العلم لنا باعتباره و علمه بذلک لا یفید غیره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الغرائب أن یتمسک لحجیة خبره هذا بعموم أدلة أخبار الآحاد،فإنّ هذه العمومات لا تشمل الأخبار الحدسیة و لو کان المخبر بها من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أغرب منه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المتیقّن من الأخبار الحدسیة الخارجة عن هذه العمومات هی ما لا تعتمد علی مبادئ محسوسة یلزم من العلم بها العلم بمضمون الخبر،و أمّا لو اعتمد علی مبادئ محسوسة یلزم من العلم بها العلم بصدق الخبر کما فی الشجاعة و السخاوة و العدالة بناء علی تفسیرها بمعنی الملکة فلا یظن بأحد أن یتوقّف فی عموم أدلة خبر العدل لها،و إخبار السید باعتبار الفقه الرضوی من قبیل الثانی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الغرابة فی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الإخبار بالامور الحدسیة بواسطة أسبابها الحسّیة إنما یکون مشمولا لأدلة الحجیة إذا کان بین الأسباب و مسبّباتها ملازمة عادیة،بحیث یلزم من العلم بها العلم بالمسبّبات کما فی الأمثلة المذکورة،و أمّا إذا انتفت الملازمة العادیة فأدلة حجیة الخبر لا تشمله کما حقّق ذلک فی علم الاصول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الشرط مفقود فی موضوع البحث،فإنّ الامور التی استند إلیها السید فی إخباره قابلة للمنع،فإنه کیف یعلم أحد أنّ الخطوط فی النسخة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الإجازات للأعلام إلاّ من طریق الحدس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فإنّ الامور المذکورة حدسیة لا حسّیة،و أیضا فلا ملازمة بینها و بین العلم بالنتیجة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یصح إنکار ما یدل علی صدق نسبة الکتاب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فیه عبارات تنطق بکونه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قال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عبد اللّه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أهل البیت و أمرنی أبی،و جدّنا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أروی عن أبی العالم،إلی غیر ذلک من العبائر التی لا ینبغی صدورها إلاّ عن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المحدّث النوری جملة منها فی المستدرک </w:t>
      </w:r>
      <w:r>
        <w:rPr>
          <w:rStyle w:val="FootnoteAnchor"/>
          <w:rtl w:val="true"/>
        </w:rPr>
        <w:footnoteReference w:id="26"/>
      </w:r>
      <w:r>
        <w:rPr>
          <w:rFonts w:ascii="IRNazanin" w:hAnsi="IRNazanin" w:eastAsia="IRNazanin"/>
          <w:color w:val="111111"/>
          <w:sz w:val="28"/>
          <w:sz w:val="28"/>
          <w:szCs w:val="28"/>
          <w:rtl w:val="true"/>
          <w:lang w:bidi="fa-IR"/>
        </w:rPr>
        <w:t>هذا مضافا إلی القرائن التی اعتمد علیها السید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احتمال الکذب لا دافع له مع الجهل بمؤلّفه و انفتاح باب الجعل و الفریة من المشمّرین عن ساق الجد للکذب علی العترة الطاهرة،أفنسیت الأخبار المجعولة فی أمر الولایة کیف قامت،و أنّ لکل واحد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یدسّ علیه من الکذّابین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ظهر فساد توهّم الصدق فی نسبة الکتاب من جهة موافقة تاریخه لزمان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لنفرض أنّ الکتاب لیس من مجعولات الوضّاعین،فهل یصح أن نتمسّک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أهل البیت أو جدّنا أمیر المؤمنین،لتصحیح کون الکتاب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احتمال کون مؤلّفه رجلا علویا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استناد إخبار السید بصدق الکتاب إلی إخبار ثقتین بذلک من أهل قم،ففیه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محض اشتباه من المحدّث المتبحّر النوری،فإنه مع نقله کلام المجلسی الأول بطوله الذی هو الأصل فی السماع عن السید غفل عنه و سلک مسلکا آخر فقد قال المجلسی الأول کما فی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شیخین فاضلین</w:t>
      </w:r>
    </w:p>
    <w:p>
      <w:pPr>
        <w:pStyle w:val="BookText"/>
        <w:rPr/>
      </w:pPr>
      <w:r>
        <w:rPr>
          <w:rFonts w:ascii="IRNazanin" w:hAnsi="IRNazanin" w:eastAsia="IRNazanin"/>
          <w:color w:val="111111"/>
          <w:sz w:val="28"/>
          <w:sz w:val="28"/>
          <w:szCs w:val="28"/>
          <w:rtl w:val="true"/>
          <w:lang w:bidi="fa-IR"/>
        </w:rPr>
        <w:t>صالحین ثقتین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النسخة قد اتی بها من قم إلی مکة المشرّفة و علیها خطوط العلماء و إجازاتهم و خط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مواضع،قال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القاضی أمیر حسین قد أخذ من تلک النسخة و أتی بها إلی بلدنا،و إنّی استنسخت نسخة من کتابه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کما تری یعلن بمخالفته لما أفاده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ننقل الکلام إلی إخبار هذین العدلین،فإنّ غایة ما یحصل لنا من إخبارهما کون الفقه الرضوی من جملة الأخبار المرسلة،فیتوجّه علیه ما قدّمناه فی روایة 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یوهن حجیة خبر أمیر حسین بصدق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المجلسی الأول بعد کلامه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العمدة فی الاعتماد علی هذا الکتاب مطابقة فتاوی علی بن بابویه فی رسالته و فتاوی ولده الصدوق لما فیه من دون تغییر أو تغییر یسیر فی بعض المواضع،و من هذا الکتاب تبیّن عذر قدماء الأصحاب فیما أفتوا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إخبار السید بذلک جامعا لشرائط الحجیة فی الخبر الواحد فلا وجه لقول المجلسی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العمدة فی إثباته هی مطابقته لفتوی الصدوقین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یتحصّل لنا من الوجه المذکور ما یوجب اعتبار الکتاب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مما تمسک به المثبتون لنسبة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موافقته لرسالة علی بن بابویه إلی ولده الصدوق،و هی الکتاب المعروف بشرائع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استند إلی هذا الوجه بعض الأصحاب،و عرفت أنّ المجلسی الأول من هؤلاء،فقد جعل العمدة فی تصحیح الکتاب موافقته لفتوی الصدوقین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أن یکون الکتاب موجودا فی زمان الصدوق و معتمدا علیه عنده،و لذا نقل عنه و إن لم یسمّ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لا یوجب اعتبار الکتاب،لاحتمال أخذ مؤلّفه ذلک من الرسالة المذکورة،بل هذا هو الظاهر،إذ من المستبعد جدّا بل من المستحیل عادة أن یسند علی بن بابویه کتاب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نفسه من دون أن یشیر هو أو ابنه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کتب لأجله هذه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هذا الکتاب من تألیف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یرضی أحد أن ینسب مثل هذه السرقة إلی الصدوقین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و أن یکون الأمر بالعکس،بأن یکون هذا الکتاب مأخوذا من رسالة علی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الذی کتبه الرضا لأحمد بن السکّین الذی کان مقرّبا عنده،و هو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فی الطائف بمکّة المعظّمة فی جملة کتب السید علی خان،و علیه إجازات العلماء و خطوطهم،و هذه النسخة بالخطّ الکوفی،و تاریخها عام مائتین من الهجرة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نقل المحدّث النوری هذا الوجه عن الریاض قال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یتّضح أنّ من عدم الاطّلاع و من قلّة الخبرة أن یقال ظهور الکتاب إنما کان فی زمن أمیر حسین،أمّا قبل ذلک الزمان فلم یکن منه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ندّعی أنه لم یکن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آثار حتی ینقض علینا بما کتبه لأحمد بن سکّین،بل نقول إنه لا مدرک لنا لإثبات أنّ هذا الکتاب الذی عندنا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هو الذی کان موجودا فی مکتبة السید علی خان،خصوصا مع ملاحظة أنّ ظهوره کان من قم کما عرفت،و من هنا یعلم أنّ نقد النوری للقول بظهوره فی زمن أمیر حسین ناشئ من عدم التأمّل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مع الغضّ عن جمیع ما ذکرناه فإنّ فی الکتاب قرائن قطعیّة تدلّ علی عدم کونه لمثل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رسالة عملیة ذکرت فیها الفتاوی</w:t>
      </w:r>
    </w:p>
    <w:p>
      <w:pPr>
        <w:pStyle w:val="BookText"/>
        <w:rPr/>
      </w:pPr>
      <w:r>
        <w:rPr>
          <w:rFonts w:ascii="IRNazanin" w:hAnsi="IRNazanin" w:eastAsia="IRNazanin"/>
          <w:color w:val="111111"/>
          <w:sz w:val="28"/>
          <w:sz w:val="28"/>
          <w:szCs w:val="28"/>
          <w:rtl w:val="true"/>
          <w:lang w:bidi="fa-IR"/>
        </w:rPr>
        <w:t>و الروایات بعنوان الافتاء کما یظهر لمن یلاحظه،کیف و أکثر روایاته إمّا بعنوان روی و أروی و نحوهما،و إمّا نقل عن الرواة خصوصا فی آخر الکتاب،فإنه ینقل فیه کثیرا عن ابن أبی عمیر و زرارة و الحلبی و صفوان و محمد بن مسلم و منصور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فیه عبارات یقبح صدورها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جعلنی اللّه من السوء فداک </w:t>
      </w:r>
      <w:r>
        <w:rPr>
          <w:rStyle w:val="FootnoteAnchor"/>
          <w:rtl w:val="true"/>
        </w:rPr>
        <w:footnoteReference w:id="29"/>
      </w:r>
      <w:r>
        <w:rPr>
          <w:rFonts w:ascii="IRNazanin" w:hAnsi="IRNazanin" w:eastAsia="IRNazanin"/>
          <w:color w:val="111111"/>
          <w:sz w:val="28"/>
          <w:sz w:val="28"/>
          <w:szCs w:val="28"/>
          <w:rtl w:val="true"/>
          <w:lang w:bidi="fa-IR"/>
        </w:rPr>
        <w:t xml:space="preserve">،و قوله فی باب القدر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لی منزلتین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القول ظاهر فی جهل القائل،و هو مستحیل فی حق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نقل جملة منها فی المستدرک </w:t>
      </w:r>
      <w:r>
        <w:rPr>
          <w:rStyle w:val="FootnoteAnchor"/>
          <w:rtl w:val="true"/>
        </w:rPr>
        <w:footnoteReference w:id="31"/>
      </w:r>
      <w:r>
        <w:rPr>
          <w:rFonts w:ascii="IRNazanin" w:hAnsi="IRNazanin" w:eastAsia="IRNazanin"/>
          <w:color w:val="111111"/>
          <w:sz w:val="28"/>
          <w:sz w:val="28"/>
          <w:szCs w:val="28"/>
          <w:rtl w:val="true"/>
          <w:lang w:bidi="fa-IR"/>
        </w:rPr>
        <w:t xml:space="preserve">مع أنه ذکر فیه </w:t>
      </w:r>
      <w:r>
        <w:rPr>
          <w:rStyle w:val="FootnoteAnchor"/>
          <w:rtl w:val="true"/>
        </w:rPr>
        <w:footnoteReference w:id="32"/>
      </w:r>
      <w:r>
        <w:rPr>
          <w:rFonts w:ascii="IRNazanin" w:hAnsi="IRNazanin" w:eastAsia="IRNazanin"/>
          <w:color w:val="111111"/>
          <w:sz w:val="28"/>
          <w:sz w:val="28"/>
          <w:szCs w:val="28"/>
          <w:rtl w:val="true"/>
          <w:lang w:bidi="fa-IR"/>
        </w:rPr>
        <w:t>من الأحکام المتناقضة و ما یخالف مذهب الشیعة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علی التقیة بدیهی الفساد،لما ورد فی هذا الکتاب أیضا ممّا یخالفها،بل تکذیبهم و الازراء علیهم </w:t>
      </w:r>
      <w:r>
        <w:rPr>
          <w:rStyle w:val="FootnoteAnchor"/>
          <w:rtl w:val="true"/>
        </w:rPr>
        <w:footnoteReference w:id="33"/>
      </w:r>
      <w:r>
        <w:rPr>
          <w:rFonts w:ascii="IRNazanin" w:hAnsi="IRNazanin" w:eastAsia="IRNazanin"/>
          <w:color w:val="111111"/>
          <w:sz w:val="28"/>
          <w:sz w:val="28"/>
          <w:szCs w:val="28"/>
          <w:rtl w:val="true"/>
          <w:lang w:bidi="fa-IR"/>
        </w:rPr>
        <w:t>،کما فی المتعة</w:t>
      </w:r>
      <w:r>
        <w:rPr>
          <w:rFonts w:eastAsia="IRNazanin" w:cs="IRNazanin"/>
          <w:color w:val="111111"/>
          <w:sz w:val="28"/>
          <w:szCs w:val="28"/>
          <w:rtl w:val="true"/>
          <w:lang w:bidi="fa-IR"/>
        </w:rPr>
        <w:t>.</w:t>
      </w:r>
      <w:bookmarkStart w:id="29" w:name="pg5064_65131"/>
    </w:p>
    <w:p>
      <w:pPr>
        <w:pStyle w:val="BookText"/>
        <w:rPr/>
      </w:pPr>
      <w:bookmarkEnd w:id="29"/>
      <w:r>
        <w:rPr>
          <w:rFonts w:ascii="IRNazanin" w:hAnsi="IRNazanin" w:eastAsia="IRNazanin"/>
          <w:color w:val="111111"/>
          <w:sz w:val="28"/>
          <w:sz w:val="28"/>
          <w:szCs w:val="28"/>
          <w:rtl w:val="true"/>
          <w:lang w:bidi="fa-IR"/>
        </w:rPr>
        <w:t xml:space="preserve">و الالتزام بالتفصیل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بأنّ بعض الکتاب إملاء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 الآخر لأحمد بن محمد بن عیسی الأشعری،و أنّ موارد التقیة فی الکتاب إنما هی فیما 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تکلّف فی تکلّف و قول بلا علم،هذا کلّه ما یرجع إلی نفس الکتاب،و قد أجاد صاحب الفصول فی بعض ما أفاده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هنا فلیراجع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فقد حق القول أنه لو انیطت الأحکام الشرعیة بمثل هذه المدارک فبین أیدینا البخاری و مسند أحمد و صحیح مسلم،و علی هذا فعلی الفقه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انجبار روایاته بالشهرة إذا قامت علی وفقها فقد عرفت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ما فیه فی روایة 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 اعتبار الکتاب لأجل عمل جملة من الأکابر به کالمجلسیین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فاسد،لأنهم قد استندوا فی عملهم هذا بما ذکر من الوجوه التی عرفت جوابها بما لا مزید علیه</w:t>
      </w:r>
      <w:r>
        <w:rPr>
          <w:rFonts w:eastAsia="IRNazanin" w:cs="IRNazanin"/>
          <w:color w:val="111111"/>
          <w:sz w:val="28"/>
          <w:szCs w:val="28"/>
          <w:rtl w:val="true"/>
          <w:lang w:bidi="fa-IR"/>
        </w:rPr>
        <w:t>.</w:t>
      </w:r>
    </w:p>
    <w:p>
      <w:pPr>
        <w:pStyle w:val="Heading3"/>
        <w:numPr>
          <w:ilvl w:val="2"/>
          <w:numId w:val="1"/>
        </w:numPr>
        <w:rPr/>
      </w:pPr>
      <w:bookmarkStart w:id="30" w:name="__RefHeading___Toc909954_774463916"/>
      <w:bookmarkStart w:id="31" w:name="_Toc11"/>
      <w:bookmarkEnd w:id="30"/>
      <w:r>
        <w:rPr>
          <w:rtl w:val="true"/>
        </w:rPr>
        <w:t>دلالة الروایة علی المطلوب</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الإغضاء عن جمیع ما ذکرناه و الالتزام باعتبار</w:t>
      </w:r>
    </w:p>
    <w:p>
      <w:pPr>
        <w:pStyle w:val="BookText"/>
        <w:rPr/>
      </w:pPr>
      <w:r>
        <w:rPr>
          <w:rFonts w:ascii="IRNazanin" w:hAnsi="IRNazanin" w:eastAsia="IRNazanin"/>
          <w:color w:val="111111"/>
          <w:sz w:val="28"/>
          <w:sz w:val="28"/>
          <w:szCs w:val="28"/>
          <w:rtl w:val="true"/>
          <w:lang w:bidi="fa-IR"/>
        </w:rPr>
        <w:t xml:space="preserve">الکتاب لا یمکن الاستناد إلی هذه الروایة </w:t>
      </w:r>
      <w:r>
        <w:rPr>
          <w:rStyle w:val="FootnoteAnchor"/>
          <w:rtl w:val="true"/>
        </w:rPr>
        <w:footnoteReference w:id="34"/>
      </w:r>
      <w:r>
        <w:rPr>
          <w:rFonts w:ascii="IRNazanin" w:hAnsi="IRNazanin" w:eastAsia="IRNazanin"/>
          <w:color w:val="111111"/>
          <w:sz w:val="28"/>
          <w:sz w:val="28"/>
          <w:szCs w:val="28"/>
          <w:rtl w:val="true"/>
          <w:lang w:bidi="fa-IR"/>
        </w:rPr>
        <w:t>التی نقلها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من المباحث،و 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وجدان فتوی من فتاوی أعاظم الأصحاب علی طبقها،فإنّ الروایة صریحة بحرمة استعمال ما نهی عنه مما فیه الفساد بجمیع الاستعمالات حتی الإمساک،مع أنه لم یفت به أحد فیما نعلم،و کیف یتفوّه فقیه أو متفقّه بحرمة إمساک الدم و المیتة و لحوم السباع کما أنّ ذلک مقتضی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یمکن الفتوی علی طبقها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فحرام ضارّ للجسم و فساد للنفس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الضابطة فی تحریم هذه الامور المذکورة فی الروایة هو إضرارها للجسم،کما أنّ المناط فی جوازها عدم إضرارها له،مع أنّ جلّها لیس بضارّ للجسم،کالملابس و المناکح و أکثر المشارب و المآکل إن لم یکن کلّها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تسلیم ذلک فلا نسلّم انضباط القاعدة،فإنه لا شبهة أنّ کثیرا من هذه الاستعمالات للأشیاء المحرّمة لا تکون مضرّة قطعا،کوضع الید علیها مثلا أو الأکل منها قلیلا أو شدّ الید بجلد المیتة و شعر الخنزیر،و إنما المضرّ هی مرتبة خاصة من الاستعمال بحسب الأشخاص</w:t>
      </w:r>
      <w:bookmarkStart w:id="32" w:name="pg5064_65133"/>
    </w:p>
    <w:p>
      <w:pPr>
        <w:pStyle w:val="BookText"/>
        <w:rPr/>
      </w:pPr>
      <w:bookmarkEnd w:id="32"/>
      <w:r>
        <w:rPr>
          <w:rFonts w:ascii="IRNazanin" w:hAnsi="IRNazanin" w:eastAsia="IRNazanin"/>
          <w:color w:val="111111"/>
          <w:sz w:val="28"/>
          <w:sz w:val="28"/>
          <w:szCs w:val="28"/>
          <w:rtl w:val="true"/>
          <w:lang w:bidi="fa-IR"/>
        </w:rPr>
        <w:t>و الأزمان و الأمکنة و الکمیة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ذلک موجبا لحرمة جمیع الاستعمالات بجمیع مراتبها فتکون نظیر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أسکر کثیره فقلیله حرام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للزم من ذلک القول بحرمة جمیع ما خلق اللّه فی الأرض من المباحات فإنّ کل واحد من هذه المباحات لا بدّ و أن یکون مضرا فی الجملة و لو باستعمال الشیء الکثیر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الأحکام الشرعیة بناء علی مسلک العدلیة تدور مدار ملاکاتها الواقعیة من المصالح و المفاسد،و أمّا المنافع و المضار فهی خارجة عن حدودها،نعم ربما یکون الضرر أو النفع موضوعا للأحکام،إلاّ أنّ ذلک غیر مربوط بباب ملاکات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الروایة هو حرمة بیع الامور المذکورة تحریما تکلیفیا،کما تقدّم </w:t>
      </w:r>
      <w:r>
        <w:rPr>
          <w:rStyle w:val="FootnoteAnchor"/>
          <w:rtl w:val="true"/>
        </w:rPr>
        <w:footnoteReference w:id="36"/>
      </w:r>
      <w:r>
        <w:rPr>
          <w:rFonts w:ascii="IRNazanin" w:hAnsi="IRNazanin" w:eastAsia="IRNazanin"/>
          <w:color w:val="111111"/>
          <w:sz w:val="28"/>
          <w:sz w:val="28"/>
          <w:szCs w:val="28"/>
          <w:rtl w:val="true"/>
          <w:lang w:bidi="fa-IR"/>
        </w:rPr>
        <w:t>نظیر ذلک فی روایة تحف العقول،و کلامنا فی الحرمة الوضعیة</w:t>
      </w:r>
      <w:r>
        <w:rPr>
          <w:rFonts w:eastAsia="IRNazanin" w:cs="IRNazanin"/>
          <w:color w:val="111111"/>
          <w:sz w:val="28"/>
          <w:szCs w:val="28"/>
          <w:rtl w:val="true"/>
          <w:lang w:bidi="fa-IR"/>
        </w:rPr>
        <w:t>.</w:t>
      </w:r>
    </w:p>
    <w:p>
      <w:pPr>
        <w:pStyle w:val="Heading2"/>
        <w:numPr>
          <w:ilvl w:val="1"/>
          <w:numId w:val="1"/>
        </w:numPr>
        <w:rPr/>
      </w:pPr>
      <w:bookmarkStart w:id="33" w:name="__RefHeading___Toc909956_774463916"/>
      <w:bookmarkStart w:id="34" w:name="_Toc12"/>
      <w:bookmarkEnd w:id="33"/>
      <w:r>
        <w:rPr>
          <w:rtl w:val="true"/>
        </w:rPr>
        <w:t>روایة دعائم الاسلام</w:t>
      </w:r>
      <w:bookmarkEnd w:id="34"/>
    </w:p>
    <w:p>
      <w:pPr>
        <w:pStyle w:val="Heading3"/>
        <w:numPr>
          <w:ilvl w:val="2"/>
          <w:numId w:val="1"/>
        </w:numPr>
        <w:rPr/>
      </w:pPr>
      <w:bookmarkStart w:id="35" w:name="__RefHeading___Toc909958_774463916"/>
      <w:bookmarkStart w:id="36" w:name="_Toc13"/>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دعائم الإسلام</w:t>
      </w:r>
      <w:r>
        <w:rPr>
          <w:rFonts w:eastAsia="IRNazanin" w:cs="IRNazanin"/>
          <w:color w:val="111111"/>
          <w:sz w:val="28"/>
          <w:szCs w:val="28"/>
          <w:rtl w:val="true"/>
          <w:lang w:bidi="fa-IR"/>
        </w:rPr>
        <w:t>.</w:t>
      </w:r>
    </w:p>
    <w:p>
      <w:pPr>
        <w:pStyle w:val="Heading3"/>
        <w:numPr>
          <w:ilvl w:val="2"/>
          <w:numId w:val="1"/>
        </w:numPr>
        <w:rPr/>
      </w:pPr>
      <w:bookmarkStart w:id="37" w:name="__RefHeading___Toc909960_774463916"/>
      <w:bookmarkStart w:id="38" w:name="_Toc14"/>
      <w:bookmarkEnd w:id="37"/>
      <w:r>
        <w:rPr>
          <w:rtl w:val="true"/>
        </w:rPr>
        <w:t>البحث فی کتاب الدعائم و مؤلفه القاضی النعمان</w:t>
      </w:r>
      <w:bookmarkEnd w:id="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أقصی ما قیل أو یمکن أن یقال فی وجه اعتبار هذا الکتاب أنّ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حنیفة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رجلا إمامیا اثنی عشریا جلیلا فاضلا فقیها و من جملة النوابغ فی عصره،بل کان فریدا فی دهره کما یظهر من کتابه،کانت روایاته مشمولة لأدلة حجیة خبر العدل الإمامی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شبهة فی علو مکانة أبی حنیفة النعمان صاحب کتاب دعائم الإسلام و غیره من الکتب الکثیرة و نبوغه فی العلم و الفضل و الفقه و الحدیث علی ما نطقت به التواریخ و کتب الرجال و کتابه هذا،کما لا شبهة فی کونه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إمامیا فی الجملة،فإنه کان مالکی الأصل فتبصّر و صار شیعیا إمامیا کما اتّفقت علیه کلمات أکثر المترجمین الذین تعرّضوا لترجمته و تاریخه کالبحار </w:t>
      </w:r>
      <w:r>
        <w:rPr>
          <w:rStyle w:val="FootnoteAnchor"/>
          <w:rtl w:val="true"/>
        </w:rPr>
        <w:footnoteReference w:id="37"/>
      </w:r>
      <w:r>
        <w:rPr>
          <w:rFonts w:ascii="IRNazanin" w:hAnsi="IRNazanin" w:eastAsia="IRNazanin"/>
          <w:color w:val="111111"/>
          <w:sz w:val="28"/>
          <w:sz w:val="28"/>
          <w:szCs w:val="28"/>
          <w:rtl w:val="true"/>
          <w:lang w:bidi="fa-IR"/>
        </w:rPr>
        <w:t xml:space="preserve">و تنقیح المقال للمامقانی </w:t>
      </w:r>
      <w:r>
        <w:rPr>
          <w:rStyle w:val="FootnoteAnchor"/>
          <w:rtl w:val="true"/>
        </w:rPr>
        <w:footnoteReference w:id="38"/>
      </w:r>
      <w:r>
        <w:rPr>
          <w:rFonts w:ascii="IRNazanin" w:hAnsi="IRNazanin" w:eastAsia="IRNazanin"/>
          <w:color w:val="111111"/>
          <w:sz w:val="28"/>
          <w:sz w:val="28"/>
          <w:szCs w:val="28"/>
          <w:rtl w:val="true"/>
          <w:lang w:bidi="fa-IR"/>
        </w:rPr>
        <w:t xml:space="preserve">و سفینة البحار </w:t>
      </w:r>
      <w:r>
        <w:rPr>
          <w:rStyle w:val="FootnoteAnchor"/>
          <w:rtl w:val="true"/>
        </w:rPr>
        <w:footnoteReference w:id="39"/>
      </w:r>
      <w:r>
        <w:rPr>
          <w:rFonts w:ascii="IRNazanin" w:hAnsi="IRNazanin" w:eastAsia="IRNazanin"/>
          <w:color w:val="111111"/>
          <w:sz w:val="28"/>
          <w:sz w:val="28"/>
          <w:szCs w:val="28"/>
          <w:rtl w:val="true"/>
          <w:lang w:bidi="fa-IR"/>
        </w:rPr>
        <w:t xml:space="preserve">و المستدرک </w:t>
      </w:r>
      <w:r>
        <w:rPr>
          <w:rStyle w:val="FootnoteAnchor"/>
          <w:rtl w:val="true"/>
        </w:rPr>
        <w:footnoteReference w:id="40"/>
      </w:r>
      <w:r>
        <w:rPr>
          <w:rFonts w:ascii="IRNazanin" w:hAnsi="IRNazanin" w:eastAsia="IRNazanin"/>
          <w:color w:val="111111"/>
          <w:sz w:val="28"/>
          <w:sz w:val="28"/>
          <w:szCs w:val="28"/>
          <w:rtl w:val="true"/>
          <w:lang w:bidi="fa-IR"/>
        </w:rPr>
        <w:t xml:space="preserve">و تأسیس الشیعة للسید حسن الصدر </w:t>
      </w:r>
      <w:r>
        <w:rPr>
          <w:rStyle w:val="FootnoteAnchor"/>
          <w:rtl w:val="true"/>
        </w:rPr>
        <w:footnoteReference w:id="4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نقلوا عن أئمة التاریخ و الرجال کونه إمامیا،و علی هذا فلا</w:t>
      </w:r>
    </w:p>
    <w:p>
      <w:pPr>
        <w:pStyle w:val="BookText"/>
        <w:rPr/>
      </w:pPr>
      <w:r>
        <w:rPr>
          <w:rFonts w:ascii="IRNazanin" w:hAnsi="IRNazanin" w:eastAsia="IRNazanin"/>
          <w:color w:val="111111"/>
          <w:sz w:val="28"/>
          <w:sz w:val="28"/>
          <w:szCs w:val="28"/>
          <w:rtl w:val="true"/>
          <w:lang w:bidi="fa-IR"/>
        </w:rPr>
        <w:t>یصغی إلی قول ابن شهر آشوب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إمامیا،علی ما فی تنقیح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یقتضیه الإنصاف أنّا لم نجد بعد الفحص و البحث من یصرّح بکونه ثقة و لا اثنی عشریا،و إن کان المحدّث النوری قد أتعب نفسه فی إثباتهما و بالغ فی اعتبار الکتاب،و مع هذا الجهد و المبالغة لم یأت بشیء ترکن إلیه النفس و یطمئن به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کلام السید فی الروضات ینظر إلی ما ذکرناه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الظاهر عندی أنه لم یکن من الإمامیة الحقّة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فکیف یمکن إثبات حجیة روایاته بأدلة حجیة 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وثاقته و کونه إمامیا اثنی عشریا فلا یخرج بذلک ما احتواه کتابه عن سلک الأخبار المرسلة،فتسقط حجیته للإرسال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انجباره بالشهرة أو بموافقة أکثر روایاته لروایات الکتب المعتبرة فقد تقدّم </w:t>
      </w:r>
      <w:r>
        <w:rPr>
          <w:rStyle w:val="FootnoteAnchor"/>
          <w:rtl w:val="true"/>
        </w:rPr>
        <w:footnoteReference w:id="43"/>
      </w:r>
      <w:r>
        <w:rPr>
          <w:rFonts w:ascii="IRNazanin" w:hAnsi="IRNazanin" w:eastAsia="IRNazanin"/>
          <w:color w:val="111111"/>
          <w:sz w:val="28"/>
          <w:sz w:val="28"/>
          <w:szCs w:val="28"/>
          <w:rtl w:val="true"/>
          <w:lang w:bidi="fa-IR"/>
        </w:rPr>
        <w:t>جوابهما فی ذیل روایة 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سلّمنا وثاقة أبی حنیفة النعمان فلا مناص عن الالتزام بحجیة کتابه،لأنه قال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نقتصر فیه علی الثابت الصحیح مما رویناه عن الأئمة من 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کلامه هذا توثیقا إجمالیا لما أسقطه من الرواة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ثبوت الصحة عنده لا یوجب ثبوتها عندنا،لاحتمال اکتفائه فی تصحیح الروایة بما لا نکتفی به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فیه ما ذکره المجلسی فی</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روایاته تصلح للتأکید و التأیید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إزاحة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التجأ المحدّث النوری </w:t>
      </w:r>
      <w:r>
        <w:rPr>
          <w:rStyle w:val="FootnoteAnchor"/>
          <w:rtl w:val="true"/>
        </w:rPr>
        <w:footnoteReference w:id="45"/>
      </w:r>
      <w:r>
        <w:rPr>
          <w:rFonts w:ascii="IRNazanin" w:hAnsi="IRNazanin" w:eastAsia="IRNazanin"/>
          <w:color w:val="111111"/>
          <w:sz w:val="28"/>
          <w:sz w:val="28"/>
          <w:szCs w:val="28"/>
          <w:rtl w:val="true"/>
          <w:lang w:bidi="fa-IR"/>
        </w:rPr>
        <w:t>فی تنزیه أبی حنیفة النعمان عن اتّهامه بمذهب الإسماعیلیة و إثبات کونه ثقة اثنی عشریا إلی بیان نبذة من عقائد الإسماعیلیة الفاسدة،کقولهم بأنّ محمد بن إسماعیل حی لم یمت و یبعث برسالة و شرع جدید ینسخ به شریعة محمد،و أنه من اولی العزم و اولوا العزم عندهم سبعة،لأنّ السماوات سبع و الأرضین سبع و بدن الإنسان سبعة،و الأئمة سبعة و قلبهم محمد بن إسماعیل،إلی غیر ذلک من الخرافات التی تنزّه عنها النعمان 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صرّح فی کتابه بکفر الباطنیة و أثبت إمامة الأئمة الطاهرین،و کونهم مفترضی الطاعة،و لم یصرّح بإسماعیل و لا بابنه محمد،و مع ذلک کلّه فکیف یرضی المنصف بعدّه من الإسماعیلة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تنزّه النعمان من تلک الأقاویل الکاذبة و العقائد الفاسدة و تصریحه بکفر الباطنیة لا یستلزم عدم کونه من الإسماعیلیة،لأنّ الباطنیة قسم منهم،و لیس کل إسماعیلی من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عدم ذکره إسماعیل و ابنه فی عداد الأئمة لا یکشف عن عدم عقیدته بامامتهما،مع أنّ عقائد الإسماعیلیین لم تصل إلینا بحقیقتها حتی نلاحظها مع ما ذکره النعمان لیتّضح لنا أنه منهم أو لیس منهم،و لقد صادفت زعیما من زعمائهم فی الحضرة الشریفة فسألته عن ولی الأمر و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حی أو میت فقال هو لا حی و لا میت،بل یولد من امرأة قرشیة لا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 ذلک أنهم لا یرون ما تذهب إلیه الباطنیة فی محمد بن إسماعیل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ینقضی تعجّبی من المحدّث المتبحّر النوری حیث قال فی</w:t>
      </w:r>
      <w:bookmarkStart w:id="39" w:name="pg5064_65137"/>
    </w:p>
    <w:p>
      <w:pPr>
        <w:pStyle w:val="BookText"/>
        <w:rPr/>
      </w:pPr>
      <w:bookmarkEnd w:id="39"/>
      <w:r>
        <w:rPr>
          <w:rFonts w:ascii="IRNazanin" w:hAnsi="IRNazanin" w:eastAsia="IRNazanin"/>
          <w:color w:val="111111"/>
          <w:sz w:val="28"/>
          <w:sz w:val="28"/>
          <w:szCs w:val="28"/>
          <w:rtl w:val="true"/>
          <w:lang w:bidi="fa-IR"/>
        </w:rPr>
        <w:t xml:space="preserve">المستدرک </w:t>
      </w:r>
      <w:r>
        <w:rPr>
          <w:rStyle w:val="FootnoteAnchor"/>
          <w:rtl w:val="true"/>
        </w:rPr>
        <w:footnoteReference w:id="46"/>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الکتاب المذکور لم یخالف فی فرع غالبا إلاّ و معه موافق معروف من الشیعة إلاّ فی إنکار المتعة فلیس له موافق علیه،ثم حمل إنکاره هذا علی التقیة،و جعل القرینة علی ذلک ما ذکره فی باب الطلاق من عدم وقوع التحلیل بالمتعة للمطلّقة ثلاثا،و ما ذکره فی باب الحد فی الزنا من أنّ الإحصان لا یتحقق بالمتعة،فإنّ المتعة لو لم تکن جائزة عنده لکان ذکرها فی البابین بلا وجه،و تکون من قبیل ذکر الزنا فیهما،و لا معنی لأن یقول أحد إنّ الزنا لا یتحقق به التحلیل و الإحصان</w:t>
      </w:r>
      <w:r>
        <w:rPr>
          <w:rFonts w:eastAsia="IRNazanin" w:cs="IRNazanin"/>
          <w:color w:val="111111"/>
          <w:sz w:val="28"/>
          <w:szCs w:val="28"/>
          <w:rtl w:val="true"/>
          <w:lang w:bidi="fa-IR"/>
        </w:rPr>
        <w:t>.</w:t>
      </w:r>
    </w:p>
    <w:p>
      <w:pPr>
        <w:pStyle w:val="Heading3"/>
        <w:numPr>
          <w:ilvl w:val="2"/>
          <w:numId w:val="1"/>
        </w:numPr>
        <w:rPr/>
      </w:pPr>
      <w:bookmarkStart w:id="40" w:name="__RefHeading___Toc909962_774463916"/>
      <w:bookmarkStart w:id="41" w:name="_Toc15"/>
      <w:bookmarkEnd w:id="40"/>
      <w:r>
        <w:rPr>
          <w:rtl w:val="true"/>
        </w:rPr>
        <w:t>نقد لبعض ما ورد فی کتاب الدعائم</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العجب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الکتاب یشتمل علی فروع کثیرة تخالف مذهب الشیعة الاثنی عشریة،و لم یوافقه علیها أحد من علماء الشیعة،و قد ذکرنا فی الحاشیة إنموذجا من هذه المخالفات لتکون حجة علی منکرها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نقل روایتین فی الکتاب یظهر منهما جواز المتعة لا یدل علی التزامه بالجواز،و نسبة ذلک إلیه محتاجة إلی علم الغیب بأنه کان حینما نقلهما ملتفتا إلی ما یستفاد منهما من مشروعیة المتعة،فإنّ من المحتمل القریب أن یکون نظره فی الروایتین مقصورا علی نفی التحلیل و الإحصان بالمتعة کنفیهما بالشبهة،مع عدم التفاته إلی جهة اخری،لأنه لیس بمعصوم لا یمکن فی حقه مثل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المتعة بناء علی عدم جوازها کالزنا فیکون ذکرها فی البابین من قبیل ذکر الزنا و لا معنی له،فیدفعه أنّ ذکر المتعة یکون من قبیل ذکر الشبهة فی البابین و لا خفاء فیه،و لا معنی للتهویل به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أنّا لو قطعنا النظر عن جمیع ما ذکرناه فی عدم اعتبار</w:t>
      </w:r>
      <w:bookmarkStart w:id="42" w:name="pg5064_65139"/>
    </w:p>
    <w:p>
      <w:pPr>
        <w:pStyle w:val="BookText"/>
        <w:rPr/>
      </w:pPr>
      <w:bookmarkEnd w:id="42"/>
      <w:r>
        <w:rPr>
          <w:rFonts w:ascii="IRNazanin" w:hAnsi="IRNazanin" w:eastAsia="IRNazanin"/>
          <w:color w:val="111111"/>
          <w:sz w:val="28"/>
          <w:sz w:val="28"/>
          <w:szCs w:val="28"/>
          <w:rtl w:val="true"/>
          <w:lang w:bidi="fa-IR"/>
        </w:rPr>
        <w:t xml:space="preserve">الکتاب فالروایة التی ذکرها المصنّف </w:t>
      </w:r>
      <w:r>
        <w:rPr>
          <w:rStyle w:val="FootnoteAnchor"/>
          <w:rtl w:val="true"/>
        </w:rPr>
        <w:footnoteReference w:id="48"/>
      </w:r>
      <w:r>
        <w:rPr>
          <w:rFonts w:ascii="IRNazanin" w:hAnsi="IRNazanin" w:eastAsia="IRNazanin"/>
          <w:color w:val="111111"/>
          <w:sz w:val="28"/>
          <w:sz w:val="28"/>
          <w:szCs w:val="28"/>
          <w:rtl w:val="true"/>
          <w:lang w:bidi="fa-IR"/>
        </w:rPr>
        <w:t>هنا لا یمکن الاستناد إلیها بالخصوص،لأنّ 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محرّما أصله منهیّا عنه لم یجز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حرمة بیع الأشیاء التی تعلّق بها التحریم من جهة ما،مع أنه لیس بحرام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الظاهر منه هی الحرمة التکلیفیة،مع أنها منتفیة جزما فی کثیر من الموارد التی نهی عن بیعها و شرائها،و إنما المراد من الحرمة فی تلک الموارد هی الحرمة الوضعیة لیس إلاّ،فلا تکون الروایة معمولة بها</w:t>
      </w:r>
      <w:r>
        <w:rPr>
          <w:rFonts w:eastAsia="IRNazanin" w:cs="IRNazanin"/>
          <w:color w:val="111111"/>
          <w:sz w:val="28"/>
          <w:szCs w:val="28"/>
          <w:rtl w:val="true"/>
          <w:lang w:bidi="fa-IR"/>
        </w:rPr>
        <w:t>.</w:t>
      </w:r>
    </w:p>
    <w:p>
      <w:pPr>
        <w:pStyle w:val="Heading2"/>
        <w:numPr>
          <w:ilvl w:val="1"/>
          <w:numId w:val="1"/>
        </w:numPr>
        <w:rPr/>
      </w:pPr>
      <w:bookmarkStart w:id="43" w:name="__RefHeading___Toc909964_774463916"/>
      <w:bookmarkStart w:id="44" w:name="_Toc16"/>
      <w:bookmarkEnd w:id="43"/>
      <w:r>
        <w:rPr>
          <w:rtl w:val="true"/>
        </w:rPr>
        <w:t>النبوی المشهور</w:t>
      </w:r>
      <w:bookmarkEnd w:id="44"/>
    </w:p>
    <w:p>
      <w:pPr>
        <w:pStyle w:val="Heading3"/>
        <w:numPr>
          <w:ilvl w:val="2"/>
          <w:numId w:val="1"/>
        </w:numPr>
        <w:rPr/>
      </w:pPr>
      <w:bookmarkStart w:id="45" w:name="__RefHeading___Toc909966_774463916"/>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النبوی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الکلام فی صحة الحدیث و سقمه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سنده،و الثانی فی دلالته</w:t>
      </w:r>
      <w:r>
        <w:rPr>
          <w:rFonts w:eastAsia="IRNazanin" w:cs="IRNazanin"/>
          <w:color w:val="111111"/>
          <w:sz w:val="28"/>
          <w:szCs w:val="28"/>
          <w:rtl w:val="true"/>
          <w:lang w:bidi="fa-IR"/>
        </w:rPr>
        <w:t>.</w:t>
      </w:r>
    </w:p>
    <w:p>
      <w:pPr>
        <w:pStyle w:val="Heading3"/>
        <w:numPr>
          <w:ilvl w:val="2"/>
          <w:numId w:val="1"/>
        </w:numPr>
        <w:rPr/>
      </w:pPr>
      <w:bookmarkStart w:id="47" w:name="__RefHeading___Toc909968_774463916"/>
      <w:bookmarkStart w:id="48" w:name="_Toc18"/>
      <w:bookmarkEnd w:id="47"/>
      <w:r>
        <w:rPr>
          <w:rtl w:val="true"/>
        </w:rPr>
        <w:t>البحث فی سند النبوی</w:t>
      </w:r>
      <w:bookmarkEnd w:id="48"/>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فیه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فی حجیته عند العامة،و الثانیة فی حجیته عند الخاصة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النبوی لم یذکر فی اصول حدیثهم إلاّ فی قضیة الشحوم المحرّمة علی الیهود التی نقلت بطرق متعدّدة،کلّها عن ابن عباس إلاّ فی روایتین إحداهما عن جابر و الثانیة عن عمر،و قد ذکر فی ذیل بعض الروایات التی عن ابن عباس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علی قوم أکل شیء حرّم علیهم ثمنه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مع إضافة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غیر النبوی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فی مسند أحمد باسناده عن ابن عباس فی بعض روایات تلک القضیة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علی قوم شیئا حرّم علیهم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باسقاط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اصول حدیثهم کلها مطبقة علی ذکره،حتی ابن حنبل نفسه نقل ذلک فی موضع آخر من کتابه عن ابن عباس کما أشرنا إلی مصدره فی الحاشیة،نعم قد أورده الفقهاء من العامة </w:t>
      </w:r>
      <w:r>
        <w:rPr>
          <w:rStyle w:val="FootnoteAnchor"/>
          <w:rtl w:val="true"/>
        </w:rPr>
        <w:footnoteReference w:id="51"/>
      </w:r>
      <w:r>
        <w:rPr>
          <w:rFonts w:ascii="Amiri" w:hAnsi="Amiri" w:eastAsia="Amiri" w:cs="Amiri"/>
          <w:color w:val="111111"/>
          <w:sz w:val="28"/>
          <w:sz w:val="28"/>
          <w:szCs w:val="28"/>
          <w:rtl w:val="true"/>
          <w:lang w:bidi="ar-SA"/>
        </w:rPr>
        <w:t xml:space="preserve">و الخاصة </w:t>
      </w:r>
      <w:r>
        <w:rPr>
          <w:rStyle w:val="FootnoteAnchor"/>
          <w:rtl w:val="true"/>
        </w:rPr>
        <w:footnoteReference w:id="52"/>
      </w:r>
      <w:r>
        <w:rPr>
          <w:rFonts w:ascii="IRNazanin" w:hAnsi="IRNazanin" w:eastAsia="IRNazanin"/>
          <w:color w:val="111111"/>
          <w:sz w:val="28"/>
          <w:sz w:val="28"/>
          <w:szCs w:val="28"/>
          <w:rtl w:val="true"/>
          <w:lang w:bidi="fa-IR"/>
        </w:rPr>
        <w:t>فی کتبهم الاستدلالیة کثیرا مع إسقاط کلمة</w:t>
      </w:r>
      <w:bookmarkStart w:id="49" w:name="pg5064_65141"/>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تأییدا لمرامهم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اتّحاد القضیة فی جمیع روایاتها،و إطباق اصول حدیثهم علی ذکر لفظ الأکل،و اتّصال السند فیما یشتمل علیه و فیما لا یشتمل علیه إلی ابن عباس،و موافقة أحمد علی ذکر لفظ أکل فی مورد آخر،کلّها شواهد صدق علی اشتباه أحمد،و أنّ النبوی مشتمل علی کلمة 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فالنبوی و إن اشتهرت روایته فی ألسنة أصحابنا فی کتبهم قدیما و حدیثا متضمّنة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 بدونها اخری،إلاّ أنّ کلّهم مشترکون فی نقله مرسلا،و العذر فیه أنهم أخذوه من کتب العامة،لعدم وجوده فی اصولهم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أثبتنا فی الجهة الاولی أنّ الصحیح عندهم هو ما اشتمل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اللازم علینا ملاحظة ما ثبت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فلم یبق لنا وثوق بکون النبوی المشهور روایة،فکیف بانجبار ضعفه بعمل المشهور</w:t>
      </w:r>
      <w:r>
        <w:rPr>
          <w:rFonts w:eastAsia="IRNazanin" w:cs="IRNazanin"/>
          <w:color w:val="111111"/>
          <w:sz w:val="28"/>
          <w:szCs w:val="28"/>
          <w:rtl w:val="true"/>
          <w:lang w:bidi="fa-IR"/>
        </w:rPr>
        <w:t>.</w:t>
      </w:r>
    </w:p>
    <w:p>
      <w:pPr>
        <w:pStyle w:val="Heading3"/>
        <w:numPr>
          <w:ilvl w:val="2"/>
          <w:numId w:val="1"/>
        </w:numPr>
        <w:rPr/>
      </w:pPr>
      <w:bookmarkStart w:id="50" w:name="__RefHeading___Toc909970_774463916"/>
      <w:bookmarkStart w:id="51" w:name="_Toc19"/>
      <w:bookmarkEnd w:id="50"/>
      <w:r>
        <w:rPr>
          <w:rtl w:val="true"/>
        </w:rPr>
        <w:t>البحث فی دلالته</w:t>
      </w:r>
      <w:bookmarkEnd w:id="51"/>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ما عرفت أنّ الثابت عند العامة و الخاصة اشتمال الروایة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عمومه متروکا عند الفریقین،فإنّ کثیرا من الامور یحرم أکله و لا یحرم بیعه،و من هنا قال فی جوهر النقی حاشیة البیهقی </w:t>
      </w:r>
      <w:r>
        <w:rPr>
          <w:rStyle w:val="FootnoteAnchor"/>
          <w:rtl w:val="true"/>
        </w:rPr>
        <w:footnoteReference w:id="53"/>
      </w:r>
      <w:r>
        <w:rPr>
          <w:rFonts w:ascii="IRNazanin" w:hAnsi="IRNazanin" w:eastAsia="IRNazanin"/>
          <w:color w:val="111111"/>
          <w:sz w:val="28"/>
          <w:sz w:val="28"/>
          <w:szCs w:val="28"/>
          <w:rtl w:val="true"/>
          <w:lang w:bidi="fa-IR"/>
        </w:rPr>
        <w:t>فی ذیل الحدیث المشتمل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عموم هذا الحدیث متروک اتّفاقا،بجواز بیع الآدمی و الحمار و السنّور و نحوها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ثبوت النبوی علی النحو المعروف لم یجز العمل به أیضا للإرسال و عدم انجباره بالشهرة و غیرها،و ذلک لأنّ تحریم الشیء الذی</w:t>
      </w:r>
    </w:p>
    <w:p>
      <w:pPr>
        <w:pStyle w:val="BookText"/>
        <w:rPr/>
      </w:pPr>
      <w:r>
        <w:rPr>
          <w:rFonts w:ascii="IRNazanin" w:hAnsi="IRNazanin" w:eastAsia="IRNazanin"/>
          <w:color w:val="111111"/>
          <w:sz w:val="28"/>
          <w:sz w:val="28"/>
          <w:szCs w:val="28"/>
          <w:rtl w:val="true"/>
          <w:lang w:bidi="fa-IR"/>
        </w:rPr>
        <w:t>یستلزم تحریم ثمنه إمّا أن یراد به تحریم جمیع منافع ذلک الشیء،و إمّا تحریم منافعه الظاهرة،و إمّا تحریم منافعه النادرة و لو من بعض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الاحتمالین الأولین فالمعنی و إن کان وجیها و موافقا لمذهب الشیعة لقولهم بأنّ ما یحرم جمیع منافعه أو منافعه الظاهرة یحرم بیعه،إلاّ أنّ إثبات اعتمادهم فی فتیاهم بذلک علی النبوی مشکل،و ذلک للوثوق بأنّ مستندهم فی تلک الفتیا لیس هو النبوی،بل هو ما سیأتی </w:t>
      </w:r>
      <w:r>
        <w:rPr>
          <w:rStyle w:val="FootnoteAnchor"/>
          <w:rtl w:val="true"/>
        </w:rPr>
        <w:footnoteReference w:id="54"/>
      </w:r>
      <w:r>
        <w:rPr>
          <w:rFonts w:ascii="IRNazanin" w:hAnsi="IRNazanin" w:eastAsia="IRNazanin"/>
          <w:color w:val="111111"/>
          <w:sz w:val="28"/>
          <w:sz w:val="28"/>
          <w:szCs w:val="28"/>
          <w:rtl w:val="true"/>
          <w:lang w:bidi="fa-IR"/>
        </w:rPr>
        <w:t>فی البیع من اعتبار المالیة فی العوضین لأنّ مالیة الأشیاء إنما هی باعتبار المنافع الموجودة فیها الموجبة لرغبة العقلاء و تنافسهم فیها،فما یکون عدیما لجمیع المنافع أو للمنافع الظاهرة لا تکون له 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فلیست هنا شهرة فتوائیة مستندة إلی النبوی لتوجب انجباره،لأنه بناء علی انجبار ضعف الخبر بعمل الأصحاب إنما یکون فیما انحصر الدلیل لفتیاهم بذلک الخبر الضعیف،و لم یکن فی البین ما یصلح لاستنادهم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فالحرمة لا توجب فساد البیع عند المشهور لیحتمل انجبار النبوی بفتیاهم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شیء من الروایات العامة التی ذکرها المصنف دلیلا فی المسائل الآتیة،بل لا بدّ فی کل مسألة من ملاحظة مدارکها،فإن کان فیها ما یدل علی المنع اخذ به،و إلاّ فالعمومات الدالّة علی صحة العقود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Style w:val="FootnoteAnchor"/>
          <w:rtl w:val="true"/>
        </w:rPr>
        <w:footnoteReference w:id="55"/>
      </w:r>
      <w:r>
        <w:rPr>
          <w:rFonts w:ascii="Amiri" w:hAnsi="Amiri" w:eastAsia="Amiri" w:cs="Amiri"/>
          <w:color w:val="111111"/>
          <w:sz w:val="28"/>
          <w:sz w:val="28"/>
          <w:szCs w:val="28"/>
          <w:rtl w:val="true"/>
          <w:lang w:bidi="ar-SA"/>
        </w:rPr>
        <w:t xml:space="preserve">و أَوْفُوا بِالْعُقُودِ </w:t>
      </w:r>
      <w:r>
        <w:rPr>
          <w:rStyle w:val="FootnoteAnchor"/>
          <w:rtl w:val="true"/>
        </w:rPr>
        <w:footnoteReference w:id="56"/>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57"/>
      </w:r>
      <w:r>
        <w:rPr>
          <w:rFonts w:ascii="Amiri" w:hAnsi="Amiri" w:eastAsia="Amiri" w:cs="Amiri"/>
          <w:color w:val="111111"/>
          <w:sz w:val="28"/>
          <w:sz w:val="28"/>
          <w:szCs w:val="28"/>
          <w:rtl w:val="true"/>
          <w:lang w:bidi="ar-SA"/>
        </w:rPr>
        <w:t>محکّمة کما تقدّمت</w:t>
      </w:r>
      <w:bookmarkStart w:id="52" w:name="pg5064_65143"/>
    </w:p>
    <w:p>
      <w:pPr>
        <w:pStyle w:val="BookText"/>
        <w:rPr/>
      </w:pPr>
      <w:bookmarkEnd w:id="52"/>
      <w:r>
        <w:rPr>
          <w:rFonts w:ascii="IRNazanin" w:hAnsi="IRNazanin" w:eastAsia="IRNazanin"/>
          <w:color w:val="111111"/>
          <w:sz w:val="28"/>
          <w:sz w:val="28"/>
          <w:szCs w:val="28"/>
          <w:rtl w:val="true"/>
          <w:lang w:bidi="fa-IR"/>
        </w:rPr>
        <w:t>الإشارة إلی ذلک فی أول الکتاب</w:t>
      </w:r>
      <w:r>
        <w:rPr>
          <w:rFonts w:eastAsia="IRNazanin" w:cs="IRNazanin"/>
          <w:color w:val="111111"/>
          <w:sz w:val="28"/>
          <w:szCs w:val="28"/>
          <w:rtl w:val="true"/>
          <w:lang w:bidi="fa-IR"/>
        </w:rPr>
        <w:t>.</w:t>
      </w:r>
    </w:p>
    <w:p>
      <w:pPr>
        <w:pStyle w:val="Heading2"/>
        <w:numPr>
          <w:ilvl w:val="1"/>
          <w:numId w:val="1"/>
        </w:numPr>
        <w:rPr/>
      </w:pPr>
      <w:bookmarkStart w:id="53" w:name="__RefHeading___Toc909972_774463916"/>
      <w:bookmarkStart w:id="54" w:name="_Toc20"/>
      <w:bookmarkEnd w:id="53"/>
      <w:r>
        <w:rPr>
          <w:rtl w:val="true"/>
        </w:rPr>
        <w:t>بطلان المعاملة علی الأعمال المحرّمة</w:t>
      </w:r>
      <w:bookmarkEnd w:id="54"/>
    </w:p>
    <w:p>
      <w:pPr>
        <w:pStyle w:val="Heading3"/>
        <w:numPr>
          <w:ilvl w:val="2"/>
          <w:numId w:val="1"/>
        </w:numPr>
        <w:rPr/>
      </w:pPr>
      <w:bookmarkStart w:id="55" w:name="__RefHeading___Toc909974_774463916"/>
      <w:bookmarkStart w:id="56" w:name="_Toc21"/>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 محل کلامنا فی المسائل الآتیة إنما هو فی الأعیان المحرّمة من الخمر و الخنزیر و المیتة و نحوها،و أمّا الأعمال المحرّمة کالزنا و النمیمة و الکذب و الغیبة فیکفی فی فساد المعاملة علیها الأدلّة الدالّة علی تحریمها،لأنّ مقتضی وجوب الوفاء بالعقود هو وجوب الوفاء بالعقد الواقع علی الأعمال المحرّمة و مقتضی أدلّة تحریم تلک الأعمال هو وجوب صرف النفس عنها و إیقاف الحرکة نحوها،فاجتماعهما فی مرحلة الامتثال من المستحیلات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أقل التقادیر فإنّ أدلة صحة العقود و وجوب الوفاء بها مختصة بحکم العرف بما إذا کان العمل سائغا فی نفسه،فلا وجه لرفع الید بها عن دلیل حرمة العمل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أنّ الوجه فی فساد المعاملة علی الأعمال المحرّمة هو استحالة الجمع بین وجوب الوفاء بهذه المعاملة و بین حرمة هذه الأعمال،أو الحکومة العرفیة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کلام شیخنا الاستاذ فی حکم الاجرة علی الواجبات أنّ الوجه فی ذلک هو عدم کون الأعمال المحرّمة من الأموال أو عدم إمکان تسلیمها شرعا،حیث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العمل الذی یأخذ الأجیر أو العامل بازائه الاجرة و الجعل ملکا له،بأن لا یکون مسلوب الاختیار بایجاب أو تحریم شرعی علیه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بملاحظة ما تقدم یظهر لک ما فیه،فإنّک قد عرفت أنّ صحة المعاملة علیها</w:t>
      </w:r>
      <w:bookmarkStart w:id="57" w:name="pg5064_65144"/>
    </w:p>
    <w:p>
      <w:pPr>
        <w:pStyle w:val="BookText"/>
        <w:rPr/>
      </w:pPr>
      <w:bookmarkEnd w:id="57"/>
      <w:r>
        <w:rPr>
          <w:rFonts w:ascii="IRNazanin" w:hAnsi="IRNazanin" w:eastAsia="IRNazanin"/>
          <w:color w:val="111111"/>
          <w:sz w:val="28"/>
          <w:sz w:val="28"/>
          <w:szCs w:val="28"/>
          <w:rtl w:val="true"/>
          <w:lang w:bidi="fa-IR"/>
        </w:rPr>
        <w:t>و وجوب الوفاء بها لا یجتمعان مع الحرمة النفسیة،سواء اعتبرنا المالیة أو القدرة علی التسلیم فی صحة العقد أم لم نعتبر شیئا من ذلک</w:t>
      </w:r>
      <w:r>
        <w:rPr>
          <w:rFonts w:eastAsia="IRNazanin" w:cs="IRNazanin"/>
          <w:color w:val="111111"/>
          <w:sz w:val="28"/>
          <w:szCs w:val="28"/>
          <w:rtl w:val="true"/>
          <w:lang w:bidi="fa-IR"/>
        </w:rPr>
        <w:t>.</w:t>
      </w:r>
    </w:p>
    <w:p>
      <w:pPr>
        <w:pStyle w:val="Heading3"/>
        <w:numPr>
          <w:ilvl w:val="2"/>
          <w:numId w:val="1"/>
        </w:numPr>
        <w:rPr/>
      </w:pPr>
      <w:bookmarkStart w:id="58" w:name="__RefHeading___Toc909976_774463916"/>
      <w:bookmarkStart w:id="59" w:name="_Toc22"/>
      <w:bookmarkEnd w:id="58"/>
      <w:r>
        <w:rPr>
          <w:rtl w:val="true"/>
        </w:rPr>
        <w:t>تقسیم المکاسب إلی الثلاثة أو الخمسة</w:t>
      </w:r>
      <w:bookmarkEnd w:id="5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جرت عادة غیر واحد علی تقسیم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جمع مکسب،و هو مفعل من الکسب،إمّا مصدر میمی بمعنی الکسب أو التکسّب،أو اسم مکان من الکسب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ندب إلیه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أمر به بالأمر الاستحبابی،و قد أشار بذلک إلی الأخبار الواردة فی استحباب الرعی </w:t>
      </w:r>
      <w:r>
        <w:rPr>
          <w:rStyle w:val="FootnoteAnchor"/>
          <w:rtl w:val="true"/>
        </w:rPr>
        <w:footnoteReference w:id="59"/>
      </w:r>
      <w:r>
        <w:rPr>
          <w:rFonts w:ascii="IRNazanin" w:hAnsi="IRNazanin" w:eastAsia="IRNazanin"/>
          <w:color w:val="111111"/>
          <w:sz w:val="28"/>
          <w:sz w:val="28"/>
          <w:szCs w:val="28"/>
          <w:rtl w:val="true"/>
          <w:lang w:bidi="fa-IR"/>
        </w:rPr>
        <w:t xml:space="preserve">و الزرع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أنّ وجوب الصناعات لیس بعنوان التکسّب،بل لکون ترکها یؤدّی إلی اختلال النظام کما سنبیّنه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کالمحقق فی الشرائع </w:t>
      </w:r>
      <w:r>
        <w:rPr>
          <w:rStyle w:val="FootnoteAnchor"/>
          <w:rtl w:val="true"/>
        </w:rPr>
        <w:footnoteReference w:id="61"/>
      </w:r>
      <w:r>
        <w:rPr>
          <w:rFonts w:ascii="IRNazanin" w:hAnsi="IRNazanin" w:eastAsia="IRNazanin"/>
          <w:color w:val="111111"/>
          <w:sz w:val="28"/>
          <w:sz w:val="28"/>
          <w:szCs w:val="28"/>
          <w:rtl w:val="true"/>
          <w:lang w:bidi="fa-IR"/>
        </w:rPr>
        <w:t>و غیره فی کتبهم قسّموا المکاسب إلی محرّم کبیع الخمر،و مکروه کبیع الأکفان و مباح کبیع الأشیاء المباحة،و أهملوا ذکر الواجب و المستحب بناء علی عدم وجودهما فی المعاملات،مع أنه یمکن التمثیل للمستحب بمثل الزرع و الرعی</w:t>
      </w:r>
    </w:p>
    <w:p>
      <w:pPr>
        <w:pStyle w:val="BookText"/>
        <w:rPr/>
      </w:pPr>
      <w:r>
        <w:rPr>
          <w:rFonts w:ascii="IRNazanin" w:hAnsi="IRNazanin" w:eastAsia="IRNazanin"/>
          <w:color w:val="111111"/>
          <w:sz w:val="28"/>
          <w:sz w:val="28"/>
          <w:szCs w:val="28"/>
          <w:rtl w:val="true"/>
          <w:lang w:bidi="fa-IR"/>
        </w:rPr>
        <w:t>و للواجب بالصناعات الواجبة کفایة إذا وجد أکثر من واحد ممن یقوم بها،أو عینا إذا لم یوجد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الأمثلة المذکورة لا تدل علی شیء من مراده،أمّا الزراعة فاستحبابها إنما هو من جهة إیکال الأمر إلی اللّه و انتظار الفرج منه کما فی روایة العیاشی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الرعایة فاستحبابها لما فیها من استکمال النفس و تحصیل الأخلاق الحسنة و تمرین الطبع علی إدارة شؤون الرعیة و إزالة الأوصاف الرذیلة من السبعیة و البهیمیة،فإنّ من صرف برهة من الزمان فی تربیة الحیوان صار قابلا لإدارة الإنسان،و من هنا کان الأنبیاء قبل بعثتهم رعاة للأغنام کما فی روایة عقبة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قط حتی یسترعیه الغنم و یعلّمه بذلک رعیة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النبوی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نبی إلاّ و قد رعی الغنم،قیل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فالزراعة و الرعی مستحبّان فی أنفسهما بما أنهما فعلان صادران من المکلّف،لا بعنوان التکسّب بهما کما هو محل الکلام،فلا یصلحان مثلا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الصناعات بجمیع أقسامها فهی من الامور المباحة،و لا تتّصف بحسب أنفسها بالاستحباب فضلا عن الوجوب،فلا یکون التکسّب بها إلاّ مباحا؛نعم إنما یطرأ علیها الوجوب إذا کان ترکها یوجب إخلالا بالنظام،و حینئذ یکون التصدّی لها واجبا کفائیا أو عینیا،و هذا غیر کونها واجبة بعنوان التکسّب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إزالة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إنّ وجوب الصناعات من جهة أداء ترکها إلی اختلال</w:t>
      </w:r>
    </w:p>
    <w:p>
      <w:pPr>
        <w:pStyle w:val="BookText"/>
        <w:rPr/>
      </w:pPr>
      <w:r>
        <w:rPr>
          <w:rFonts w:ascii="IRNazanin" w:hAnsi="IRNazanin" w:eastAsia="IRNazanin"/>
          <w:color w:val="111111"/>
          <w:sz w:val="28"/>
          <w:sz w:val="28"/>
          <w:szCs w:val="28"/>
          <w:rtl w:val="true"/>
          <w:lang w:bidi="fa-IR"/>
        </w:rPr>
        <w:t>النظام یقتضی أن یکون التکسّب بها مجانیا،و لکن هذا یفضی إلی الإخلال بالنظام أیضا،و مقتضی الجمع بین الأمرین أن یلتزم بوجوبها مع الاجرة،و علی ذلک فتکون مثالا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لیس إلاّ التزاما بوجوبها لأجل حفظ النظام و علیه فلا یکون التکسّب بعنوانه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من الصناعات إنما هو الطبیعة المطلقة العاریة عن لحاظ المجانیة و غیرها،و ما یخلّ بالنظام إنما هو إیجاب العمل مجانا،لا ما هو الجامع بینه و بین غیره،و لا ملازمة بین عدم وجوب الصناعات مجانا و بین وجوب الجامع غیر المقیّد بحصّة خاصة من الطبیعة،و من هنا نقول یجب الإقدام علیها عینا أو کفایة من حیث هی صناعة یختلّ بترکها النظام،سواء کانت علیها اجرة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التقسیم إن کان باعتبار نفس التکسّب فلا محیص عن تثلیث الأقسام کما تقدّم،و إن کان بلحاظ فعل المکلّف و العناوین الثانویة الطارئة علیه فلا مانع من التخمیس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أنّه إذا کان التقسیم بحسب فعل المکلّف لا یختص المثال بالصناعات،بل یصح التمثیل بما وجب بالنذر أو الیمین أو العهد و بالکسب لقضاء الدین،أو الإنفاق علی العیال،و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الکافر عبدا مسلما وجب بیعه علیه،و یکون بیعه هذا من قبیل الاکتساب بالواجب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هنا فی الحقیقة هو إزالة ملکیة الکافر للمسلم،و بیع العبد المسلم إنما وجب لذلک،و یدلّنا علی ذلک أنه لو زال ملکه بغیر البیع کالعتق و الهبة أو بالقهر کموت الکافر لا یجب البیع</w:t>
      </w:r>
      <w:r>
        <w:rPr>
          <w:rFonts w:eastAsia="IRNazanin" w:cs="IRNazanin"/>
          <w:color w:val="111111"/>
          <w:sz w:val="28"/>
          <w:szCs w:val="28"/>
          <w:rtl w:val="true"/>
          <w:lang w:bidi="fa-IR"/>
        </w:rPr>
        <w:t>.</w:t>
      </w:r>
      <w:bookmarkStart w:id="60" w:name="pg5064_65148"/>
    </w:p>
    <w:p>
      <w:pPr>
        <w:pStyle w:val="Heading3"/>
        <w:numPr>
          <w:ilvl w:val="2"/>
          <w:numId w:val="1"/>
        </w:numPr>
        <w:rPr/>
      </w:pPr>
      <w:bookmarkStart w:id="61" w:name="__RefHeading___Toc909978_774463916"/>
      <w:bookmarkStart w:id="62" w:name="_Toc23"/>
      <w:bookmarkEnd w:id="60"/>
      <w:bookmarkEnd w:id="61"/>
      <w:r>
        <w:rPr>
          <w:rtl w:val="true"/>
        </w:rPr>
        <w:t>معنی حرمة الاکتساب تکلیفا</w:t>
      </w:r>
      <w:bookmarkEnd w:id="6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حرمة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المتعلّقة بالمعاملة إمّا أن تکون وضعیة و إمّا أن تکون تکلیفیة و بینهما عموم من وجه،فالبیع وقت النداء لصلاة الجمعة حرام تکلیفا،و البیع الغرری حرام وضعا،و بیع الخمر حرام وضعا و تکلیفا،و کلام المصنّف هنا مسوق لبیان خصوص الحرمة التکلیفیة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حرمة البیع تکلیفا تتصوّر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المحقّق الإیروانی فی حاشیته </w:t>
      </w:r>
      <w:r>
        <w:rPr>
          <w:rStyle w:val="FootnoteAnchor"/>
          <w:rtl w:val="true"/>
        </w:rPr>
        <w:footnoteReference w:id="63"/>
      </w:r>
      <w:r>
        <w:rPr>
          <w:rFonts w:ascii="IRNazanin" w:hAnsi="IRNazanin" w:eastAsia="IRNazanin"/>
          <w:color w:val="111111"/>
          <w:sz w:val="28"/>
          <w:sz w:val="28"/>
          <w:szCs w:val="28"/>
          <w:rtl w:val="true"/>
          <w:lang w:bidi="fa-IR"/>
        </w:rPr>
        <w:t>،و هو أنّ معنی حرمة الاکتساب هو إنشاء النقل و الانتقال بقصد ترتّب أثر المعاملة،أعنی التسلیم و التسلّم للمبیع و الثمن،فلو خلا عن هذا القصد لم یتّصف الانشاء الساذج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تقیید موضوع الحرمة بالتسلیم و التسلّم إنما یتم فی الجملة،لا فی جمیع البیوع المحرّمة،و 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النواهی المتعلّقة بالمعاملات علی ثلاثة أقسام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النهی عنها بلحاظ انطباق عنوان محرّم علیها کالنهی عن بیع السلاح لأعداء الدین عند حربهم مع المسلمین،فإنّ النهی عنه إنما هو لانطباق عنوان تقویة الکفر علیه،و یدل علی ذلک جواز بیع السلاح منهم إذا لم یفض ذلک</w:t>
      </w:r>
    </w:p>
    <w:p>
      <w:pPr>
        <w:pStyle w:val="BookText"/>
        <w:rPr/>
      </w:pPr>
      <w:r>
        <w:rPr>
          <w:rFonts w:ascii="IRNazanin" w:hAnsi="IRNazanin" w:eastAsia="IRNazanin"/>
          <w:color w:val="111111"/>
          <w:sz w:val="28"/>
          <w:sz w:val="28"/>
          <w:szCs w:val="28"/>
          <w:rtl w:val="true"/>
          <w:lang w:bidi="fa-IR"/>
        </w:rPr>
        <w:t>إلی تقویتهم علی المسلمین،و لهذا حرم نقل السلاح إلیهم بغیر البیع أیضا کإجارته علیهم و هبته لهم و إعارته إیّاهم إذا لزم منه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بین عنوان بیع السلاح منهم و بین عنوان تقویة الکفر و إعانته عموما من وجه،إذ قد یباع السلاح منهم و لا یلزم منه تقویتهم،کبیعه منهم حال الصلح مثلا،أو حال حربهم مع الکفّار الآخرین،أو مع المسلمین و لکن بشرط تأخیر التسلیم إلی ما بعد الحرب،أو بدون الشرط المذکور و لکن یؤخّر التسلیم قهرا علیهم،فإنّ هذه الموارد لا یلزم من البیع فیها إعانة الکفر علی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تقویة الکفر علی الإسلام بغیر البیع کإجارة السلاح علیهم أو هبته منهم،و قد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فتعلّق النهی بتقویة الکفر علی الإسلام لا یستلزم حرمة بیع السلاح لأعداء الدین إلاّ فی مادة الاجتماع،نعم لو کان بین العنوانین تلازم خارجا لتوجّه الالتزام بحرمة بیع السلاح منهم مطلقا،و لکنّک عرفت أنّ الأمر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یتوجّه النهی إلی المعاملة من جهة تعلّقها بشیء مبغوض،کالنهی عن بیع الخمر و الخنزیر و الصلیب و الصنم و آلات القمار و غیرها من الآلات المحرّمة فإنّ النهی عن بیع تلک الامور إنما هو لمبغوضیتها،لا بلحاظ عنوان طارئ علی المعاملة کما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النهی عن المعاملة باعتبار ذاتها،کالنهی عن البیع وقت النداء لصلاة الجمعة،و النهی عن بیع المصحف و المسلم من الکافر بناء علی حرمة بیعهما منه،فإنّ النهی عن البیع فی هذا القسم لیس بلحاظ العناوین الطارئة علیه و لا بلحاظ مبغوضیة متعلّقه،بل لأجل مبغوضیة نفسه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تلونا علیک ظهر لک أنّ تقیید موضوع حرمة البیع بالتسلیم و التسلّم المستلزم لتقیّد أدلة تحریمه إنما یتم فی القسم الأول فقط،دون الثانی و الثالث</w:t>
      </w:r>
    </w:p>
    <w:p>
      <w:pPr>
        <w:pStyle w:val="BookText"/>
        <w:rPr/>
      </w:pPr>
      <w:r>
        <w:rPr>
          <w:rFonts w:ascii="IRNazanin" w:hAnsi="IRNazanin" w:eastAsia="IRNazanin"/>
          <w:color w:val="111111"/>
          <w:sz w:val="28"/>
          <w:sz w:val="28"/>
          <w:szCs w:val="28"/>
          <w:rtl w:val="true"/>
          <w:lang w:bidi="fa-IR"/>
        </w:rPr>
        <w:t>فلا بدّ فیهما من الأخذ باطلاق أدلة التحریم،لعدم ثبوت ما یصلح لتقییدها،نعم لو کان دلیلنا علی التحریم هو عموم ما دل علی حرمة الإعانة علی الإثم أو الملازمة بین حرمة الشیء و حرمة مقدمته لجاز تقیید موضوع حرمة البیع بالتسلیم و التسلّم،فإنّ الإعانة علی الإثم و المقدّمیة إلی الحرام لا یتحقّقان إلاّ بالتسلیم و التسلّم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 حرمة البیع حرمة إیجاده بقصد ترتّب إمضاء العرف و الشرع علیه،بحیث لا یکفی مجرّد صدوره من البائع خالیا عن ذلک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لتقیید موضوع حرمة البیع بذلک أیضا،لما مرّ من إطلاق أدلة تحریم البیع مع عدم وجود ما یصلح لتقییدها،و من هنا لو باع أحد شیئا من الأعیان المحرّمة کالخمر مثلا مع علمه بکونه منهیا عنه فقد ارتکب فعلا محرّما و إن کان غافلا عن قصد ترتّب إمضاء الشرع و العرف علیه،فإنه لا دلیل علی دخالة قصد إمضائهما فی حرمة بیع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العلاّمة الأنصاری 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حرمة البیع حرمة النقل و الانتقال مقیّدة بقصد ترتّب الأثر المحرّم علیه،کبیع الخمر للشرب،و آلات القمار للعب،و الصلیب و الصنم للتعبّد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تقیید ما دل علی تحریم البیع بالقصد المذکور تقیید بلا موجب له،إذ البیع کغیره من الأفعال إذا حکم الشارع بحرمته وجب التمسک باطلاق دلیله حتی یثبت له المقیّد،نعم لو کان الدلیل علی حرمة البیع هو ما تقدّمت الإشارة إلیه من الملازمة بین حرمة الشیء و حرمة مقدّمته أو عموم ما دلّ علی تحریم الإعانة علی الإثم لتم ما ذکره فی الجملة،لکن الکلام أعم من ذلک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المتن من دعوی انصراف الأدلة إلی صورة قصد ترتّب الآثار المحرّمة فهی دعوی جزافیة،و نظیرها أن یدّعی انصراف أدلة تحریم الزنا مثلا إلی ذات البعل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الالتزام بمثل هذه الانصرافات یستدعی تأسیس فقه جدید،نعم</w:t>
      </w:r>
    </w:p>
    <w:p>
      <w:pPr>
        <w:pStyle w:val="BookText"/>
        <w:rPr/>
      </w:pPr>
      <w:r>
        <w:rPr>
          <w:rFonts w:ascii="IRNazanin" w:hAnsi="IRNazanin" w:eastAsia="IRNazanin"/>
          <w:color w:val="111111"/>
          <w:sz w:val="28"/>
          <w:sz w:val="28"/>
          <w:szCs w:val="28"/>
          <w:rtl w:val="true"/>
          <w:lang w:bidi="fa-IR"/>
        </w:rPr>
        <w:t xml:space="preserve">لدخالة قصد ترتّب الأثر المحرّم أو المحلّل فی حرمة البیع و حلّیته فی مثل بیع الصلیب و الصنم وجه کما سیأتی فی النوع الثانی مما یحرم التکسّب به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مناص عن تقیید حرمة البیع بقصد ترتّب الأثر المحرّم علیه فإنّ من الجائز قطعا إعطاء الدرهم للخمّار و أخذ خمره للإهراق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و إن کان جائزا إلاّ أنه لا یرتبط بأصل المعاملة،بل هو من أنحاء النهی عن المنکر و قطع مادّة الفساد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النظر الدقیق أنّ ما یکون موضوعا لحلّیة البیع بعینه یکون موضوعا لحرمته،بیان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لیس عبارة عن الإنشاء الساذج،سواء کان الإنشاء بمعنی إیجاد المعنی باللفظ کما هو المعروف بین الاصولیین أم کان بمعنی إظهار ما فی النفس من الاعتبار کما هو المختار عندنا،و إلاّ لزم تحقّق البیع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 عن القصد،و لا أنّ البیع عبارة عن مجرّد الاعتبار النفسانی من دون أن یکون له مظهر،و إلاّ لزم صدق البائع علی من اعتبر ملکیة ماله لشخص آخر فی مقابل الثمن و إن لم یظهرها بمظهر،کما یلزم حصول ملکیة ذلک المال للمشتری بذاک الاعتبار الساذج الخالی من المبرز،بل حقیقة البیع عبارة عن المجموع المرکّب من ذلک الاعتبار النفسانی مع إظهاره بمبرز خارجی،سواء تعلّق به الإمضاء من الشرع و العرف أم لم یتعلّق،بل سواء کان فی العالم شرع و عرف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فذلک المعنی هو الذی یکون موضوعا لحرمة البیع،و هو الذی یکون موضوعا لحلّیته،و هکذا الکلام فی سائر المعاملات کما حقّقناه فی الاصول </w:t>
      </w:r>
      <w:r>
        <w:rPr>
          <w:rStyle w:val="FootnoteAnchor"/>
          <w:rtl w:val="true"/>
        </w:rPr>
        <w:footnoteReference w:id="65"/>
      </w:r>
      <w:r>
        <w:rPr>
          <w:rFonts w:ascii="IRNazanin" w:hAnsi="IRNazanin" w:eastAsia="IRNazanin"/>
          <w:color w:val="111111"/>
          <w:sz w:val="28"/>
          <w:sz w:val="28"/>
          <w:szCs w:val="28"/>
          <w:rtl w:val="true"/>
          <w:lang w:bidi="fa-IR"/>
        </w:rPr>
        <w:t>و سیأتی</w:t>
      </w:r>
    </w:p>
    <w:p>
      <w:pPr>
        <w:pStyle w:val="BookText"/>
        <w:rPr/>
      </w:pPr>
      <w:r>
        <w:rPr>
          <w:rFonts w:ascii="Amiri" w:hAnsi="Amiri" w:eastAsia="Amiri" w:cs="Amiri"/>
          <w:color w:val="111111"/>
          <w:sz w:val="28"/>
          <w:sz w:val="28"/>
          <w:szCs w:val="28"/>
          <w:rtl w:val="true"/>
          <w:lang w:bidi="ar-SA"/>
        </w:rPr>
        <w:t xml:space="preserve">التعرّض له فی أوّل البیع </w:t>
      </w:r>
      <w:r>
        <w:rPr>
          <w:rStyle w:val="FootnoteAnchor"/>
          <w:rtl w:val="true"/>
        </w:rPr>
        <w:footnoteReference w:id="66"/>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متفرّع علی فساد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أثبتنا أنّ موضوع الحلّیة و الحرمة فی المعاملات شیء واحد و أنّ ترتّب الأثر علی المعاملة من النقل و الانتقال أو غیر ذلک خارج عن حقیقتها و بعد أن أوضحنا </w:t>
      </w:r>
      <w:r>
        <w:rPr>
          <w:rStyle w:val="FootnoteAnchor"/>
          <w:rtl w:val="true"/>
        </w:rPr>
        <w:footnoteReference w:id="67"/>
      </w:r>
      <w:r>
        <w:rPr>
          <w:rFonts w:ascii="IRNazanin" w:hAnsi="IRNazanin" w:eastAsia="IRNazanin"/>
          <w:color w:val="111111"/>
          <w:sz w:val="28"/>
          <w:sz w:val="28"/>
          <w:szCs w:val="28"/>
          <w:rtl w:val="true"/>
          <w:lang w:bidi="fa-IR"/>
        </w:rPr>
        <w:t xml:space="preserve">عند التکلّم فی الروایات العامة المتقدّمة أنّ الحرمة التکلیفیة لا تستلزم الحرمة الوضعیة ظهر لک بطلان ما ذهب إلیه المشهور من أنّ حرمة المعاملة تستلزم فسادها،کما ظهر بطلان ما نسب إلی أبی حنیفة </w:t>
      </w:r>
      <w:r>
        <w:rPr>
          <w:rStyle w:val="FootnoteAnchor"/>
          <w:rtl w:val="true"/>
        </w:rPr>
        <w:footnoteReference w:id="68"/>
      </w:r>
      <w:r>
        <w:rPr>
          <w:rFonts w:ascii="IRNazanin" w:hAnsi="IRNazanin" w:eastAsia="IRNazanin"/>
          <w:color w:val="111111"/>
          <w:sz w:val="28"/>
          <w:sz w:val="28"/>
          <w:szCs w:val="28"/>
          <w:rtl w:val="true"/>
          <w:lang w:bidi="fa-IR"/>
        </w:rPr>
        <w:t xml:space="preserve">من أنّ حرمة المعاملة تستلزم صحتها،و أنه لا بدّ فی إثبات صحتها و فسادها من التماس دلیل آخر غیر ما دل علی الحرمة التکلیفیة،و قد أوضحناه فی الاصول </w:t>
      </w:r>
      <w:r>
        <w:rPr>
          <w:rStyle w:val="FootnoteAnchor"/>
          <w:rtl w:val="true"/>
        </w:rPr>
        <w:footnoteReference w:id="69"/>
      </w:r>
      <w:r>
        <w:rPr>
          <w:rFonts w:ascii="IRNazanin" w:hAnsi="IRNazanin" w:eastAsia="IRNazanin"/>
          <w:color w:val="111111"/>
          <w:sz w:val="28"/>
          <w:sz w:val="28"/>
          <w:szCs w:val="28"/>
          <w:rtl w:val="true"/>
          <w:lang w:bidi="fa-IR"/>
        </w:rPr>
        <w:t>،و تترتّب علی ذلک ثمرات مهمّة فی المباحث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قصد الأثر المحلّل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أنّ البیع المحرّم لا یخرج بقصد الأثر المحلّل عن الحرمة المتعلّقة به بعنوان البیع،و أنّ قصد الأثر المحرّم لا یکون مأخوذا فی موضوع تحریم البیع،فلا مجال لدعوی أنه لو قصد الأثر المحلّل فلا دلیل علی تحریم المعاملة،نعم لو قصد حلّیته شرعا مع کونه محرّما لتوجّه علیه التحریم من جهة التشریع أیضا،کما أنّ الأمر کذلک فی سائر المحرّمات المعلومة إذا أتی بها بعنوان الإباحة</w:t>
      </w:r>
      <w:r>
        <w:rPr>
          <w:rFonts w:eastAsia="IRNazanin" w:cs="IRNazanin"/>
          <w:color w:val="111111"/>
          <w:sz w:val="28"/>
          <w:szCs w:val="28"/>
          <w:rtl w:val="true"/>
          <w:lang w:bidi="fa-IR"/>
        </w:rPr>
        <w:t>.</w:t>
      </w:r>
      <w:bookmarkStart w:id="63" w:name="pg5064_65153"/>
    </w:p>
    <w:p>
      <w:pPr>
        <w:pStyle w:val="Heading3"/>
        <w:numPr>
          <w:ilvl w:val="2"/>
          <w:numId w:val="1"/>
        </w:numPr>
        <w:rPr/>
      </w:pPr>
      <w:bookmarkStart w:id="64" w:name="__RefHeading___Toc909980_774463916"/>
      <w:bookmarkStart w:id="65" w:name="_Toc24"/>
      <w:bookmarkEnd w:id="63"/>
      <w:bookmarkEnd w:id="64"/>
      <w:r>
        <w:rPr>
          <w:rtl w:val="true"/>
        </w:rPr>
        <w:t>معنی حرمة الاکتساب وضعا</w:t>
      </w:r>
      <w:bookmarkEnd w:id="65"/>
    </w:p>
    <w:p>
      <w:pPr>
        <w:pStyle w:val="BookText"/>
        <w:rPr/>
      </w:pPr>
      <w:r>
        <w:rPr>
          <w:rFonts w:ascii="IRNazanin" w:hAnsi="IRNazanin" w:eastAsia="IRNazanin"/>
          <w:color w:val="111111"/>
          <w:sz w:val="28"/>
          <w:sz w:val="28"/>
          <w:szCs w:val="28"/>
          <w:rtl w:val="true"/>
          <w:lang w:bidi="fa-IR"/>
        </w:rPr>
        <w:t>لا یخفی علیک أنّ معنی الحرمة الوضعیة فی العقود عبارة عن فساد المعاملة و بطلانها بحیث لا یترتّب علیها أثر من الآثار،و أنّ الفاسد و الباطل عندنا و عند غیر الحنفیة بمعنی واحد،و هو ما اختلّ فی تلک المعاملة شیء من الشروط التی اعتبرها الشارع رکنا لها،بحیث یلزم من انتفائها انتفاء المشروط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الحنفیة فإنّ الباطل و الفاسد فی البیع مختلفان،فلکل واحد منهما معنی یغایر معنی الآخر،فالباطل هو ما اختلّ رکنه أو محلّه،و رکن العقد هو بالإیجاب و القبول کما تقدّم،فإذا اختلّ ذلک الرکن کأن صدر من مجنون أو صبی لا یعقل کان البیع باطلا غیر منعقد،و کذلک إذا اختلّ المحل و هو المبیع،کأن کان میتة أو دما أو خنزیرا،فإنّ البیع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الفاسد فهو ما اختلّ فیه غیر الرکن و المحل،کما إذا وقع خلل فی الثمن بأن کان خمرا،فإذا اشتری سلعة یصح بیعها و جعل ثمنها خمرا انعقد البیع فاسدا،ینفذ بقبض المبیع،و لکن علی المشتری أن یدفع قیمته غیر الخمر،و کذلک إذا وقع الخلل فیه من جهة کونه غیر مقدور التسلیم،کما إذا باع شیئا مغصوبا منه و لا یقدر علی تسلیمه،أو وقع الخلل فیه من جهة اشتراط شرط لا یقتضیه العقد کما سیأتی،فإنّ البیع فی کل هذه الأحوال یکون فاسدا لا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یعبّرون عن الباطل بما لم یکن مشروعا بأصله و وصفه،و یریدون بأصله رکنه و محلّه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یریدون بوصفه ما کان خارجا عن الرکن و المحل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البیع الفاسد أنه یفید الملک بالقبض،بخلاف البیع الباطل فإنّه لا یفید الملک أصلا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66" w:name="pg5064_65154"/>
    </w:p>
    <w:p>
      <w:pPr>
        <w:pStyle w:val="BookText"/>
        <w:rPr/>
      </w:pPr>
      <w:bookmarkEnd w:id="66"/>
      <w:r>
        <w:rPr>
          <w:rFonts w:ascii="IRNazanin" w:hAnsi="IRNazanin" w:eastAsia="IRNazanin"/>
          <w:color w:val="111111"/>
          <w:sz w:val="28"/>
          <w:sz w:val="28"/>
          <w:szCs w:val="28"/>
          <w:rtl w:val="true"/>
          <w:lang w:bidi="fa-IR"/>
        </w:rPr>
        <w:t>و قال ابن الهمام الحنفی فی شرح فتح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فإنه مأخوذ فی 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لازم له أنه مشروع بأصله لا وصفه،و فی الباطل غیر مشروع بأصله فبینهما تباین،فإنّ المشروع بأصله و غیر المشروع بأصله متباینان فکیف یتصادقان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أمثال تلک الأقاویل لا تبتنی علی أساس صحیح من العقل و الشرع و العرف و اللغة</w:t>
      </w:r>
      <w:r>
        <w:rPr>
          <w:rFonts w:eastAsia="IRNazanin" w:cs="IRNazanin"/>
          <w:color w:val="111111"/>
          <w:sz w:val="28"/>
          <w:szCs w:val="28"/>
          <w:rtl w:val="true"/>
          <w:lang w:bidi="fa-IR"/>
        </w:rPr>
        <w:t>.</w:t>
      </w:r>
    </w:p>
    <w:p>
      <w:pPr>
        <w:pStyle w:val="Heading2"/>
        <w:numPr>
          <w:ilvl w:val="1"/>
          <w:numId w:val="1"/>
        </w:numPr>
        <w:rPr/>
      </w:pPr>
      <w:bookmarkStart w:id="67" w:name="__RefHeading___Toc909982_774463916"/>
      <w:bookmarkStart w:id="68" w:name="_Toc25"/>
      <w:bookmarkEnd w:id="67"/>
      <w:r>
        <w:rPr>
          <w:rtl w:val="true"/>
        </w:rPr>
        <w:t>النوع الأول</w:t>
      </w:r>
      <w:r>
        <w:rPr>
          <w:rtl w:val="true"/>
        </w:rPr>
        <w:t>:</w:t>
      </w:r>
      <w:r>
        <w:rPr>
          <w:rtl w:val="true"/>
        </w:rPr>
        <w:t>الإکتساب بالأعیان النجسة</w:t>
      </w:r>
      <w:bookmarkEnd w:id="68"/>
    </w:p>
    <w:p>
      <w:pPr>
        <w:pStyle w:val="Heading3"/>
        <w:numPr>
          <w:ilvl w:val="2"/>
          <w:numId w:val="1"/>
        </w:numPr>
        <w:rPr/>
      </w:pPr>
      <w:bookmarkStart w:id="69" w:name="__RefHeading___Toc909984_774463916"/>
      <w:bookmarkStart w:id="70" w:name="_Toc26"/>
      <w:bookmarkEnd w:id="69"/>
      <w:r>
        <w:rPr>
          <w:rtl w:val="true"/>
        </w:rPr>
        <w:t>جواز المعاوضة علی أبوال ما لا یؤکل لحمه</w:t>
      </w:r>
      <w:bookmarkEnd w:id="70"/>
    </w:p>
    <w:p>
      <w:pPr>
        <w:pStyle w:val="Heading4"/>
        <w:numPr>
          <w:ilvl w:val="3"/>
          <w:numId w:val="1"/>
        </w:numPr>
        <w:rPr/>
      </w:pPr>
      <w:bookmarkStart w:id="71" w:name="__RefHeading___Toc909986_774463916"/>
      <w:bookmarkStart w:id="72" w:name="_Toc27"/>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المعاوضة علی بول </w:t>
      </w:r>
      <w:r>
        <w:rPr>
          <w:rStyle w:val="FootnoteAnchor"/>
          <w:rtl w:val="true"/>
        </w:rPr>
        <w:footnoteReference w:id="72"/>
      </w:r>
      <w:r>
        <w:rPr>
          <w:rFonts w:ascii="IRNazanin" w:hAnsi="IRNazanin" w:eastAsia="IRNazanin"/>
          <w:color w:val="111111"/>
          <w:sz w:val="28"/>
          <w:sz w:val="28"/>
          <w:szCs w:val="28"/>
          <w:rtl w:val="true"/>
          <w:lang w:bidi="fa-IR"/>
        </w:rPr>
        <w:t>غیر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العلاّمة الأنصاری هنا و فی المسائل الآتیة خلط بین الحرمة التکلیفیة و الحرمة الوضعیة،فقد جعل هنا کلا من النجاسة و الحرمة و عدم جواز الانتفاع بها دلیلا علیهما،مع أنّ الأولین دلیلان علی الحرمة التکلیفیة،و الثالث دلیل علی الحرمة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عدا بعض أفراده کبول الإبل الجلالة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الإیروانی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استثناء من صدر الکلام،أعنی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یحرم المعاوضة علی بول غیر مأکول اللحم،بتوهّم شمول الإجماع المنقول علی جواز بیع بول الإبل 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المصنّف لم یستثن بول الإبل الجلالة فیما یأتی من أبوال ما لا یؤکل لحمه،لا فی حرمة شربه و لا فی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الفارق بین بول الإبل الجلالة و بین أبوال ما لا یؤکل لحمه لیس إلاّ کون الأول نجسا بالعرض و کون الثانیة نجسة بالذات،و مجرد هذا لا یکون فارقا بینهما حتی یصح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لأبوال ما لا یؤکل لحمه نفع ظاهر إلاّ بول الإبل الجلالة،فإنه کبول الإبل غیر الجلالة لها منفعة ظاهرة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و 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اتّفقت کلمات الأصحاب علی حرمة بیع أبوال ما لا یؤکل لحمه،بل فی بعضها دعوی الإجماع بقسمیه علی ذلک،و فی المراسم حکم بحرمة بیع الأبوال مطلقا إلاّ بول الإبل </w:t>
      </w:r>
      <w:r>
        <w:rPr>
          <w:rStyle w:val="FootnoteAnchor"/>
          <w:rtl w:val="true"/>
        </w:rPr>
        <w:footnoteReference w:id="74"/>
      </w:r>
      <w:r>
        <w:rPr>
          <w:rFonts w:ascii="IRNazanin" w:hAnsi="IRNazanin" w:eastAsia="IRNazanin"/>
          <w:color w:val="111111"/>
          <w:sz w:val="28"/>
          <w:sz w:val="28"/>
          <w:szCs w:val="28"/>
          <w:rtl w:val="true"/>
          <w:lang w:bidi="fa-IR"/>
        </w:rPr>
        <w:t xml:space="preserve">،و فی الغنیة منع عن بیع کل نجس لا یمکن تطهیره </w:t>
      </w:r>
      <w:r>
        <w:rPr>
          <w:rStyle w:val="FootnoteAnchor"/>
          <w:rtl w:val="true"/>
        </w:rPr>
        <w:footnoteReference w:id="75"/>
      </w:r>
      <w:r>
        <w:rPr>
          <w:rFonts w:ascii="IRNazanin" w:hAnsi="IRNazanin" w:eastAsia="IRNazanin"/>
          <w:color w:val="111111"/>
          <w:sz w:val="28"/>
          <w:sz w:val="28"/>
          <w:szCs w:val="28"/>
          <w:rtl w:val="true"/>
          <w:lang w:bidi="fa-IR"/>
        </w:rPr>
        <w:t>و فی نهایة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جمیع النجاسات محرّم التصرف فیها و التکسّب بها علی اختلاف أجناسها من سائر أنواع العذرة و الأبوال و غیرهما </w:t>
      </w:r>
      <w:r>
        <w:rPr>
          <w:rStyle w:val="FootnoteAnchor"/>
          <w:rtl w:val="true"/>
        </w:rPr>
        <w:footnoteReference w:id="76"/>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نجس العین فلا یجوز بیعه کالبول </w:t>
      </w:r>
      <w:r>
        <w:rPr>
          <w:rStyle w:val="FootnoteAnchor"/>
          <w:rtl w:val="true"/>
        </w:rPr>
        <w:footnoteReference w:id="77"/>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عدم صحة بیع نجس العین</w:t>
      </w:r>
      <w:bookmarkStart w:id="73" w:name="pg5064_65156"/>
    </w:p>
    <w:p>
      <w:pPr>
        <w:pStyle w:val="BookText"/>
        <w:rPr/>
      </w:pPr>
      <w:bookmarkEnd w:id="73"/>
      <w:r>
        <w:rPr>
          <w:rFonts w:ascii="IRNazanin" w:hAnsi="IRNazanin" w:eastAsia="IRNazanin"/>
          <w:color w:val="111111"/>
          <w:sz w:val="28"/>
          <w:sz w:val="28"/>
          <w:szCs w:val="28"/>
          <w:rtl w:val="true"/>
          <w:lang w:bidi="fa-IR"/>
        </w:rPr>
        <w:t xml:space="preserve">مطلقا </w:t>
      </w:r>
      <w:r>
        <w:rPr>
          <w:rStyle w:val="FootnoteAnchor"/>
          <w:rtl w:val="true"/>
        </w:rPr>
        <w:footnoteReference w:id="78"/>
      </w: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بیع الأبوال مما لا یؤکل لحمه شرعا موضع وفاق </w:t>
      </w:r>
      <w:r>
        <w:rPr>
          <w:rStyle w:val="FootnoteAnchor"/>
          <w:rtl w:val="true"/>
        </w:rPr>
        <w:footnoteReference w:id="79"/>
      </w:r>
      <w:r>
        <w:rPr>
          <w:rFonts w:ascii="IRNazanin" w:hAnsi="IRNazanin" w:eastAsia="IRNazanin"/>
          <w:color w:val="111111"/>
          <w:sz w:val="28"/>
          <w:sz w:val="28"/>
          <w:szCs w:val="28"/>
          <w:rtl w:val="true"/>
          <w:lang w:bidi="fa-IR"/>
        </w:rPr>
        <w:t xml:space="preserve">و فی الجواهر </w:t>
      </w:r>
      <w:r>
        <w:rPr>
          <w:rStyle w:val="FootnoteAnchor"/>
          <w:rtl w:val="true"/>
        </w:rPr>
        <w:footnoteReference w:id="80"/>
      </w:r>
      <w:r>
        <w:rPr>
          <w:rFonts w:ascii="IRNazanin" w:hAnsi="IRNazanin" w:eastAsia="IRNazanin"/>
          <w:color w:val="111111"/>
          <w:sz w:val="28"/>
          <w:sz w:val="28"/>
          <w:szCs w:val="28"/>
          <w:rtl w:val="true"/>
          <w:lang w:bidi="fa-IR"/>
        </w:rPr>
        <w:t>ادّعی قیام الإجماع المحصّل علی الحرمة و أنّ نقل الإجماع بین الأصحاب مستفیض علیها،و علی هذا الضوء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الفقه علی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البیوع الباطلة بیع النجس </w:t>
      </w:r>
      <w:r>
        <w:rPr>
          <w:rStyle w:val="FootnoteAnchor"/>
          <w:rtl w:val="true"/>
        </w:rPr>
        <w:footnoteReference w:id="81"/>
      </w:r>
      <w:r>
        <w:rPr>
          <w:rFonts w:ascii="IRNazanin" w:hAnsi="IRNazanin" w:eastAsia="IRNazanin"/>
          <w:color w:val="111111"/>
          <w:sz w:val="28"/>
          <w:sz w:val="28"/>
          <w:szCs w:val="28"/>
          <w:rtl w:val="true"/>
          <w:lang w:bidi="fa-IR"/>
        </w:rPr>
        <w:t>،و فی شرح فتح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أحد العوضین أو کلاهما محرّما فالبیع فاسد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909988_774463916"/>
      <w:bookmarkStart w:id="75" w:name="_Toc28"/>
      <w:bookmarkEnd w:id="74"/>
      <w:r>
        <w:rPr>
          <w:rtl w:val="true"/>
        </w:rPr>
        <w:t>أدلة المصنف علی حرمة المعاوضة و مناقشتها</w:t>
      </w:r>
      <w:bookmarkEnd w:id="75"/>
    </w:p>
    <w:p>
      <w:pPr>
        <w:pStyle w:val="BookText"/>
        <w:rPr/>
      </w:pPr>
      <w:r>
        <w:rPr>
          <w:rFonts w:ascii="IRNazanin" w:hAnsi="IRNazanin" w:eastAsia="IRNazanin"/>
          <w:color w:val="111111"/>
          <w:sz w:val="28"/>
          <w:sz w:val="28"/>
          <w:szCs w:val="28"/>
          <w:rtl w:val="true"/>
          <w:lang w:bidi="fa-IR"/>
        </w:rPr>
        <w:t>ثم إنه قد استدل المصنّف علی حرمة بیع أبوال ما لا یؤکل لحمه وضعا و تکلیفا بالإجماع و الحرمة و النجاسة و عدم جواز الانتفاع بها،و جمیعها لا یصلح لإثبات الحرمة التکلیفیة و لا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الاجماع و إن نقله غیر واحد من أعاظم الأصحاب إلاّ أنّ إثبات الإجماع التعبّدی هنا مشکل جدّا،للاطمئنان بل العلم بأنّ مستند المجمعین إنما هو الروایات العامّة المتقدّمة </w:t>
      </w:r>
      <w:r>
        <w:rPr>
          <w:rStyle w:val="FootnoteAnchor"/>
          <w:rtl w:val="true"/>
        </w:rPr>
        <w:footnoteReference w:id="83"/>
      </w:r>
      <w:r>
        <w:rPr>
          <w:rFonts w:ascii="IRNazanin" w:hAnsi="IRNazanin" w:eastAsia="IRNazanin"/>
          <w:color w:val="111111"/>
          <w:sz w:val="28"/>
          <w:sz w:val="28"/>
          <w:szCs w:val="28"/>
          <w:rtl w:val="true"/>
          <w:lang w:bidi="fa-IR"/>
        </w:rPr>
        <w:t>،و الروایات الخاصة المذکورة فی بیع الأعیان النجسة،و الحکم بحرمة الانتفاع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المحصّل منه غیر حاصل،و المنقول منه غیر حجّة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الحرمة فإن أراد منها حرمة الأکل و الشرب فالکبری ممنوعة،لعدم الدلیل علی أنّ کل ما یحرم أکله أو شربه یحرم بیعه،و لو فرضنا وجود دلیل علی ذلک فلا بدّ من تخصیص أکثر أفراده،فإنّ کثیرا من الأشیاء یحرم أکلها و یجوز بیعها</w:t>
      </w:r>
    </w:p>
    <w:p>
      <w:pPr>
        <w:pStyle w:val="BookText"/>
        <w:rPr/>
      </w:pPr>
      <w:r>
        <w:rPr>
          <w:rFonts w:ascii="IRNazanin" w:hAnsi="IRNazanin" w:eastAsia="IRNazanin"/>
          <w:color w:val="111111"/>
          <w:sz w:val="28"/>
          <w:sz w:val="28"/>
          <w:szCs w:val="28"/>
          <w:rtl w:val="true"/>
          <w:lang w:bidi="fa-IR"/>
        </w:rPr>
        <w:t>و ذلک مستهجن یوجب سقوط الدلیل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منها حرمة الانتفاع بها بجمیع منافعها أو بالمنافع الظاهرة فهو و إن استلزم حرمة البیع کما تقدّم </w:t>
      </w:r>
      <w:r>
        <w:rPr>
          <w:rStyle w:val="FootnoteAnchor"/>
          <w:rtl w:val="true"/>
        </w:rPr>
        <w:footnoteReference w:id="84"/>
      </w:r>
      <w:r>
        <w:rPr>
          <w:rFonts w:ascii="IRNazanin" w:hAnsi="IRNazanin" w:eastAsia="IRNazanin"/>
          <w:color w:val="111111"/>
          <w:sz w:val="28"/>
          <w:sz w:val="28"/>
          <w:szCs w:val="28"/>
          <w:rtl w:val="true"/>
          <w:lang w:bidi="fa-IR"/>
        </w:rPr>
        <w:t xml:space="preserve">فی النبوی المشهور و لکن الصغری ممنوعة،لعدم الدلیل علی تحریم جمیع المنافع أو المنافع الظاهرة لتلک الأبوال،و سیأتی تفصیلها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النجاسة فإنّ روایة تحف العقول </w:t>
      </w:r>
      <w:r>
        <w:rPr>
          <w:rStyle w:val="FootnoteAnchor"/>
          <w:rtl w:val="true"/>
        </w:rPr>
        <w:footnoteReference w:id="86"/>
      </w:r>
      <w:r>
        <w:rPr>
          <w:rFonts w:ascii="IRNazanin" w:hAnsi="IRNazanin" w:eastAsia="IRNazanin"/>
          <w:color w:val="111111"/>
          <w:sz w:val="28"/>
          <w:sz w:val="28"/>
          <w:szCs w:val="28"/>
          <w:rtl w:val="true"/>
          <w:lang w:bidi="fa-IR"/>
        </w:rPr>
        <w:t>و إن دلّت علی حرمة بیع النجس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وجوه النجس فهذا کلّه حرام محرّم،لأنّ ذلک کلّه منهی عن أکله و شربه و لبسه و ملکه و إمساکه و التقلّب فیه،فجمیع تقلّبه فی ذلک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فیما تکون منافعه کلّها محرّمة کما هو مقتضی التعلیل المذکور فیها و أمّا إذا کان للنجس منفعة محلّلة فلا دلیل علی حرمة بیعه،و أبوال ما لا یؤکل لحمه مما له منفعة محلّلة،و مقتضی ذلک جواز بیعها،اللهمّ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نجس یحرم الانتفاع به بجمیع منافعه،فإذا کان کذلک حرم بیعه و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دعوی بلا دلیل هذا مضافا إلی ضعف سندها و عدم انجبارها بعمل الأصحاب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سلّمنا دلالة الحرمة و النجاسة علی حرمة البیع لدلّتا علی الحرمة التکلیفیة دون الوضعیة کما تقدم فی أول المسألة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ظهر أنّ المشهور لم یستندوا فی فتیاهم بحرمة بیع النجس إلی روایة تحف العقول،و لا إلی غیرها من الروایات العامة المتقدمة کروایة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کل ما یکون محرّما من جهة یحرم بیعه،و لو کان مستندهم ذلک لم یکن الحکم بحرمة البیع مختصا بالنجس،بل کان یعم سائر</w:t>
      </w:r>
    </w:p>
    <w:p>
      <w:pPr>
        <w:pStyle w:val="BookText"/>
        <w:rPr/>
      </w:pPr>
      <w:r>
        <w:rPr>
          <w:rFonts w:ascii="IRNazanin" w:hAnsi="IRNazanin" w:eastAsia="IRNazanin"/>
          <w:color w:val="111111"/>
          <w:sz w:val="28"/>
          <w:sz w:val="28"/>
          <w:szCs w:val="28"/>
          <w:rtl w:val="true"/>
          <w:lang w:bidi="fa-IR"/>
        </w:rPr>
        <w:t>المحرّمات و لو کانت من الأعیان الطاهرة کأبوال ما لا یؤکل لحمه بناء علی حرمة 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الانتفاع بها فربما قیل بأنه یستلزم فساد البیع و إن لم یقم دلیل علی حرمة ذلک البیع تکلیفا،لأنّ حرمة الانتفاع بها یستلزم نفی مالیتها التی لا بدّ منها فی تحقّق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اعتبار المالیة فی البیع،و إنما المناط صدق عنوان المعاوضة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عن المصباح </w:t>
      </w:r>
      <w:r>
        <w:rPr>
          <w:rStyle w:val="FootnoteAnchor"/>
          <w:rtl w:val="true"/>
        </w:rPr>
        <w:footnoteReference w:id="87"/>
      </w:r>
      <w:r>
        <w:rPr>
          <w:rFonts w:ascii="IRNazanin" w:hAnsi="IRNazanin" w:eastAsia="IRNazanin"/>
          <w:color w:val="111111"/>
          <w:sz w:val="28"/>
          <w:sz w:val="28"/>
          <w:szCs w:val="28"/>
          <w:rtl w:val="true"/>
          <w:lang w:bidi="fa-IR"/>
        </w:rPr>
        <w:t>من أنه مبادلة مال بمال،فلا یکون دلیلا علی ذلک،لعدم حجیة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سلّمنا اعتبار المالیة فی البیع فلا نسلّم أنّ أبوال ما لا یؤکل لحمه لیست بمال فی جمیع الأزمنة و الأمکنة،کیف و أنّ الانتفاع بها باستخراج الأدویة أو الغازات أو استعمالها فی العمارة عند قلّة الماء ممکن جدّا،فتکون مالا باعتبار تلک المنافع الظاهرة،و مثلها أکثر المباحات التی تختلف مالیتها بحسب الأزمنة و الأمکنة کالماء و الحطب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أنّ الشرب لیس من منافعها حتی یلزم من حرمته سقوط مالیتها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إنّ الشارع قد ألغی مالیتها بتحریم جمیع منافعها،و لکنّه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سلّمنا اعتبار المالیة فی البیع فیکفی أن یکون المبیع مالا بنظر المتبایعین إذا کان عقلائیا،و لا یجب کونه مالا فی نظر العقلاء أجمع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عدم کون الأبوال المذکورة مالا حتی فی نظر المتبایعین فإنّ غایة ما یلزم کون المعاملة علیها سفهیة،و لا دلیل علی بطلانها بعد شمول أدلة صحة البیع لها،و الفاسد شرعا إنما هو معاملة السفیه لا المعاملة السفهائیة،و الدلیل علی</w:t>
      </w:r>
      <w:bookmarkStart w:id="76" w:name="pg5064_65159"/>
    </w:p>
    <w:p>
      <w:pPr>
        <w:pStyle w:val="BookText"/>
        <w:rPr/>
      </w:pPr>
      <w:bookmarkEnd w:id="76"/>
      <w:r>
        <w:rPr>
          <w:rFonts w:ascii="IRNazanin" w:hAnsi="IRNazanin" w:eastAsia="IRNazanin"/>
          <w:color w:val="111111"/>
          <w:sz w:val="28"/>
          <w:sz w:val="28"/>
          <w:szCs w:val="28"/>
          <w:rtl w:val="true"/>
          <w:lang w:bidi="fa-IR"/>
        </w:rPr>
        <w:t>الفساد فیها أنّ السفیه محجور شرعا عن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مضافا إلی صحة المعاملة علیها بمقتضی آیة التجارة </w:t>
      </w:r>
      <w:r>
        <w:rPr>
          <w:rStyle w:val="FootnoteAnchor"/>
          <w:rtl w:val="true"/>
        </w:rPr>
        <w:footnoteReference w:id="88"/>
      </w:r>
      <w:r>
        <w:rPr>
          <w:rFonts w:ascii="IRNazanin" w:hAnsi="IRNazanin" w:eastAsia="IRNazanin"/>
          <w:color w:val="111111"/>
          <w:sz w:val="28"/>
          <w:sz w:val="28"/>
          <w:szCs w:val="28"/>
          <w:rtl w:val="true"/>
          <w:lang w:bidi="fa-IR"/>
        </w:rPr>
        <w:t>و إن لم یصدق علیها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مما قدّمناه جواز بیع أبوال ما لا یؤکل لحمه وضعا و تکلیفا،کما اتّضح جواز بیع أبوال ما یؤکل لحمه مطلقا،بل الجواز هنا بالأولویة،إبلا کان أو غیرها،جلالا کان أو غیره،قلنا بجواز شربه اختیارا أو لم نقل،لأنّ جواز الشرب لا یعد من منافع البول لیکون مالا باعتباره و یدور الحکم بجواز البیع مداره</w:t>
      </w:r>
      <w:r>
        <w:rPr>
          <w:rFonts w:eastAsia="IRNazanin" w:cs="IRNazanin"/>
          <w:color w:val="111111"/>
          <w:sz w:val="28"/>
          <w:szCs w:val="28"/>
          <w:rtl w:val="true"/>
          <w:lang w:bidi="fa-IR"/>
        </w:rPr>
        <w:t>.</w:t>
      </w:r>
    </w:p>
    <w:p>
      <w:pPr>
        <w:pStyle w:val="Heading4"/>
        <w:numPr>
          <w:ilvl w:val="3"/>
          <w:numId w:val="1"/>
        </w:numPr>
        <w:rPr/>
      </w:pPr>
      <w:bookmarkStart w:id="77" w:name="__RefHeading___Toc909990_774463916"/>
      <w:bookmarkStart w:id="78" w:name="_Toc29"/>
      <w:bookmarkEnd w:id="77"/>
      <w:r>
        <w:rPr>
          <w:rtl w:val="true"/>
        </w:rPr>
        <w:t>دلیل المحقق الایروانی و الجواب عنه</w:t>
      </w:r>
      <w:bookmarkEnd w:id="78"/>
    </w:p>
    <w:p>
      <w:p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المحقّق الإیروانی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علی فساد المعاملة علیها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علی أن یراد من الباطل ما یعم الباطل العرفی و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المستدل أنّ أخذ المال عوضا عن أبوال ما لا یؤکل لحمه أکل للمال بالباطل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دخول باء السببیة علی الباطل و مقابلته فی الآیة للتجارة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المراد بالتجارة هی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قرینتان علی کون الآیة ناظرة إلی فصل الأسباب الصحیحة للمعاملة عن الأسباب الباطلة کما نبّه علیه المستدل فی أول البیع </w:t>
      </w:r>
      <w:r>
        <w:rPr>
          <w:rStyle w:val="FootnoteAnchor"/>
          <w:rtl w:val="true"/>
        </w:rPr>
        <w:footnoteReference w:id="90"/>
      </w:r>
      <w:r>
        <w:rPr>
          <w:rFonts w:ascii="IRNazanin" w:hAnsi="IRNazanin" w:eastAsia="IRNazanin"/>
          <w:color w:val="111111"/>
          <w:sz w:val="28"/>
          <w:sz w:val="28"/>
          <w:szCs w:val="28"/>
          <w:rtl w:val="true"/>
          <w:lang w:bidi="fa-IR"/>
        </w:rPr>
        <w:t>و غیره،و علی ذلک فیکون الغرض من الباطل الأسباب الباطلة،فلا یکون لها تعلّق بما لا مالیة له من العوضین کما یرومه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المراد من الأکل فیها لیس هو الازدراد علی ما هو معناه الحقیقی،بل هو کنایة عن تملّک مال الغیر من غیر استحقاق و إن کان ذلک المال من غیر المأکولات کالدار و نحوها،و قد</w:t>
      </w:r>
    </w:p>
    <w:p>
      <w:pPr>
        <w:pStyle w:val="BookText"/>
        <w:rPr/>
      </w:pPr>
      <w:r>
        <w:rPr>
          <w:rFonts w:ascii="IRNazanin" w:hAnsi="IRNazanin" w:eastAsia="IRNazanin"/>
          <w:color w:val="111111"/>
          <w:sz w:val="28"/>
          <w:sz w:val="28"/>
          <w:szCs w:val="28"/>
          <w:rtl w:val="true"/>
          <w:lang w:bidi="fa-IR"/>
        </w:rPr>
        <w:t>تعارف استعماله بذلک فی القرآن و فی کلمات الفصحاء،بل و فی غیر العربیة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کان الاستثناء متصلا کما هو الظاهر و الموافق للقواعد العربیة فیکون مفاد الآیة نفی تملّک أموال الغیر بالأسباب الباطلة من القمار و الغصب و الغزو و بیع المنابذة و الحصاة و التقسیم بالأزلام و الأقداح،إلاّ بسبب یکون تجارة عن تراض،فتفید حصر الأسباب الصحیحة للمعاملات بالتجارة عن تراض</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الاستثناء منقطعا فظهور الآیة البدوی و إن کان هو بیان القاعدة الکلّیة لکل واحد من أکل المال بالباطل و التجارة عن تراض،و لا تعرض لها للحصر،و تظهر ثمرة ذلک فیما لا یعدّ فی العرف من الأسباب الباطلة و لا من التجارة عن تراض فیکون مهملا،إلاّ أنه تعالی حیث کان بصدد بیان الأسباب المشروعة للمعاملات و تمیّز صحیحها عن فاسدها و کان الإهمال مما یخل بالمقصود،فلا محالة یستفاد الحصر من الآیة بالقرینة المقامیة،و تکون النتیجة أنّ الآیة مسوقة لبیان حصر الأسباب الصحیحة بالتجارة عن تراض،سواء کان الاستثناء متصلا أم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یدل علی کون الآیة راجعة إلی أسباب المعاملات تطبیقها فی بعض الروایات علی القمار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کبول الإبل الجلالة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عرفت جواز الانتفاع بالأبوال مطلقا و جواز بیعها کذلک فلا وجه لهذا الاستثناء</w:t>
      </w:r>
      <w:r>
        <w:rPr>
          <w:rFonts w:eastAsia="IRNazanin" w:cs="IRNazanin"/>
          <w:color w:val="111111"/>
          <w:sz w:val="28"/>
          <w:szCs w:val="28"/>
          <w:rtl w:val="true"/>
          <w:lang w:bidi="fa-IR"/>
        </w:rPr>
        <w:t>.</w:t>
      </w:r>
      <w:bookmarkStart w:id="79" w:name="pg5064_65162"/>
    </w:p>
    <w:p>
      <w:pPr>
        <w:pStyle w:val="BookText"/>
        <w:rPr/>
      </w:pPr>
      <w:bookmarkEnd w:id="79"/>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بجواز شربها اختیارا کما علیه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تقدّم أنّ جواز الشرب أو حرمته لیسا مناطین فی جواز بیعها و حرمته،لعدم کون الشرب من المنافع الظاهرة لیدور الحکم علیه وجودا و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فرق بین أبوال ما یؤکل لحمه و ما لا یؤکل لحمه</w:t>
      </w:r>
      <w:r>
        <w:rPr>
          <w:rFonts w:eastAsia="IRNazanin" w:cs="IRNazanin"/>
          <w:color w:val="111111"/>
          <w:sz w:val="28"/>
          <w:szCs w:val="28"/>
          <w:rtl w:val="true"/>
          <w:lang w:bidi="fa-IR"/>
        </w:rPr>
        <w:t>.</w:t>
      </w:r>
    </w:p>
    <w:p>
      <w:pPr>
        <w:pStyle w:val="Heading4"/>
        <w:numPr>
          <w:ilvl w:val="3"/>
          <w:numId w:val="1"/>
        </w:numPr>
        <w:rPr/>
      </w:pPr>
      <w:bookmarkStart w:id="80" w:name="__RefHeading___Toc909992_774463916"/>
      <w:bookmarkStart w:id="81" w:name="_Toc30"/>
      <w:bookmarkEnd w:id="80"/>
      <w:r>
        <w:rPr>
          <w:rtl w:val="true"/>
        </w:rPr>
        <w:t>شرب أبوال ما یؤکل لحمه</w:t>
      </w:r>
      <w:bookmarkEnd w:id="8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وقع الخلاف بین أعاظم الأصحاب فی جواز شرب أبوال ما یؤکل لحمه حال الاختیار و عدم جوازه،و ذهب جمع کثیر إلی الجواز،و جماعة اخری إلی الحرمة،و هو الحق،لمفهوم موثّقة عمار </w:t>
      </w:r>
      <w:r>
        <w:rPr>
          <w:rStyle w:val="FootnoteAnchor"/>
          <w:rtl w:val="true"/>
        </w:rPr>
        <w:footnoteReference w:id="92"/>
      </w:r>
      <w:r>
        <w:rPr>
          <w:rFonts w:ascii="IRNazanin" w:hAnsi="IRNazanin" w:eastAsia="IRNazanin"/>
          <w:color w:val="111111"/>
          <w:sz w:val="28"/>
          <w:sz w:val="28"/>
          <w:szCs w:val="28"/>
          <w:rtl w:val="true"/>
          <w:lang w:bidi="fa-IR"/>
        </w:rPr>
        <w:t xml:space="preserve">فإنه یدل علی حرمة شربها لغیر التداوی،کما تدل علی ذلک أیضا عدّة روایات اخری من الخاصة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العامة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هناک روایتان إحداهما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قرب الإسناد،تدل علی جواز شرب</w:t>
      </w:r>
      <w:bookmarkStart w:id="82" w:name="pg5064_65164"/>
    </w:p>
    <w:p>
      <w:pPr>
        <w:pStyle w:val="BookText"/>
        <w:rPr/>
      </w:pPr>
      <w:bookmarkEnd w:id="82"/>
      <w:r>
        <w:rPr>
          <w:rFonts w:ascii="IRNazanin" w:hAnsi="IRNazanin" w:eastAsia="IRNazanin"/>
          <w:color w:val="111111"/>
          <w:sz w:val="28"/>
          <w:sz w:val="28"/>
          <w:szCs w:val="28"/>
          <w:rtl w:val="true"/>
          <w:lang w:bidi="fa-IR"/>
        </w:rPr>
        <w:t>أبوال مأکول اللحم علی وجه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الثانیة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الجعفری تدل علی جواز شرب بول الإبل مطلقا،و أنه خیر من لبنه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ضعف سندیهما،أنه لا بدّ من تقییدهما بمفهوم موثّقة عمار المتقدّمة،و حینئذ فیختص جواز شربها بالتداوی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روایة الجعفری لیست بصدد بیان الجواز التکلیفی،بل هی مسوقة إلی بیان الوجهة الطبیة و أنّ أبوال الإبل مما یتداوی بها الناس،و یدل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اللّه الشفاء فی ألبانها</w:t>
      </w:r>
      <w:r>
        <w:rPr>
          <w:rFonts w:eastAsia="IRNazanin" w:cs="IRNazanin"/>
          <w:color w:val="111111"/>
          <w:sz w:val="28"/>
          <w:szCs w:val="28"/>
          <w:rtl w:val="true"/>
          <w:lang w:bidi="fa-IR"/>
        </w:rPr>
        <w:t>».</w:t>
      </w:r>
    </w:p>
    <w:p>
      <w:pPr>
        <w:pStyle w:val="Heading4"/>
        <w:numPr>
          <w:ilvl w:val="3"/>
          <w:numId w:val="1"/>
        </w:numPr>
        <w:rPr/>
      </w:pPr>
      <w:bookmarkStart w:id="83" w:name="__RefHeading___Toc909994_774463916"/>
      <w:bookmarkStart w:id="84" w:name="_Toc31"/>
      <w:bookmarkEnd w:id="83"/>
      <w:r>
        <w:rPr>
          <w:rtl w:val="true"/>
        </w:rPr>
        <w:t>الاستدلال بآیة تحریم الخبائث و مناقشته</w:t>
      </w:r>
      <w:bookmarkEnd w:id="84"/>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استدل بعض الأعاظم </w:t>
      </w:r>
      <w:r>
        <w:rPr>
          <w:rStyle w:val="FootnoteAnchor"/>
          <w:rtl w:val="true"/>
        </w:rPr>
        <w:footnoteReference w:id="97"/>
      </w:r>
      <w:r>
        <w:rPr>
          <w:rFonts w:ascii="IRNazanin" w:hAnsi="IRNazanin" w:eastAsia="IRNazanin"/>
          <w:color w:val="111111"/>
          <w:sz w:val="28"/>
          <w:sz w:val="28"/>
          <w:szCs w:val="28"/>
          <w:rtl w:val="true"/>
          <w:lang w:bidi="fa-IR"/>
        </w:rPr>
        <w:t>علی حرمة شربها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یُحَرِّمُ عَلَیْهِمُ الْخَبائِثَ </w:t>
      </w:r>
      <w:r>
        <w:rPr>
          <w:rStyle w:val="FootnoteAnchor"/>
          <w:rtl w:val="true"/>
        </w:rPr>
        <w:footnoteReference w:id="98"/>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أنّ هذا القول هو الأقوی،و فی آیة تحریم الخبائث غنی و کفایة بعد القطع بکون البول مطلقا من الخبائث</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الخبائث کل ما فیه مفسدة و ردائة و لو کان من الأفعال المذمومة المعبّر عنه فی الفارسیة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إطلاق الخبیث علی العمل القبیح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نَجَّیْناهُ مِنَ الْقَرْیَةِ الَّتِی کانَتْ تَعْمَلُ الْخَبائِثَ </w:t>
      </w:r>
      <w:r>
        <w:rPr>
          <w:rStyle w:val="FootnoteAnchor"/>
          <w:rtl w:val="true"/>
        </w:rPr>
        <w:footnoteReference w:id="99"/>
      </w:r>
      <w:r>
        <w:rPr>
          <w:rFonts w:ascii="IRNazanin" w:hAnsi="IRNazanin" w:eastAsia="IRNazanin"/>
          <w:color w:val="111111"/>
          <w:sz w:val="28"/>
          <w:sz w:val="28"/>
          <w:szCs w:val="28"/>
          <w:rtl w:val="true"/>
          <w:lang w:bidi="fa-IR"/>
        </w:rPr>
        <w:t xml:space="preserve">و یساعده العرف و اللغة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فالآیة ناظرة إلی تحریم کل ما فیه مفسدة و لو من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الأعمال القبیحة،فلا تعمّ شرب الأبوال الطاهرة و نحوها مما تتنفّر عنها الطبائع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قیاسه علی الأدویة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بظاهره مما لا یترقّب صدوره من المصنّف،و ذلک لأنّ التداوی بها لبعض الأوجاع یجعلها مصداقا لعنوان الأدویة،فکما یجوز بیعها حتی إذا کانت نجسة فکذلک یجوز بیع الأبوال مطلقا لکونها مصداقا للأدویة،و انطباق الکلّی علی أفراده غیر مربوط بالقیاس،و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مالیة الأشیاء تدور علی رغبات الناس بلحاظ حاجاتهم إلیها علی حسب الحالات و الأزمنة و الأمکنة،و لا شبهة أنّ المرض من الحالات التی لأجلها یحتاج الإنسان إلی الأدویة و العقاقیر طاهرة کانت أم نجسة،و لأجل ذلک یجلبها الناس من أقاصی البلاد،فإذا کانت الأبوال عند العرف من الأدویة و تعدّ من الأموال فی غیر حال المرض کانت کسائر الأدویة التی یحتاج إلیها الناس فی حال المرض،و لا مجال لتفریقها عنها،اللهم إلاّ أن یکون مراد المصنّف سقوط مالیة الأبوال لکثرتها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 خلاف الظاهر من کلامه،و إلی منع کثرتها فی جمیع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الکثرة لا توجب سقوط مالیتها بعد إمکان الانتفاع بها فی بعض الأمکنة،و إلاّ لزم سلب المالیة عن أکثر المباحات،نعم لا یبعد الالتزام بسقوط مالیتها إذا لم ینتفع بها فی محلّها و لم یمکن نقلها إلی محل ینتفع بها فیه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علم أنّ التداوی بالأبوال من المنافع الظاهرة لها،فلا وجه لعدّها فیما لا نفع فیه،کما لا وجه للنقض علی ذلک بأنه لو کان التداوی بها موجبا لصحة بیعها لجاز بیع کل شیء من المحرّمات،لقوله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مما حرّم اللّه إلاّ و قد أحلّه لمن اضطر إلیه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ذلک لما بیّنا من أنّ المرض من الأحوال المتعارفة</w:t>
      </w:r>
    </w:p>
    <w:p>
      <w:pPr>
        <w:pStyle w:val="BookText"/>
        <w:rPr/>
      </w:pPr>
      <w:r>
        <w:rPr>
          <w:rFonts w:ascii="IRNazanin" w:hAnsi="IRNazanin" w:eastAsia="IRNazanin"/>
          <w:color w:val="111111"/>
          <w:sz w:val="28"/>
          <w:sz w:val="28"/>
          <w:szCs w:val="28"/>
          <w:rtl w:val="true"/>
          <w:lang w:bidi="fa-IR"/>
        </w:rPr>
        <w:t>للإنسان،فلا یقاس بالاضطرار الذی لا یتّفق فی العمر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الفرق بین الأبوال و بین المیتة و لحوم السباع و غیرهما من المحرّمات التی یحتاج إلیها الإنسان عند الاضطرار،و لذلک فلا یتّجر أحد بلحوم السباع و نحوها لاحتمال الحاجة إلیها،و هذا بخلاف الأدویة فإنّ بیعها و شراءها من التجارات المهمة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عند الضرورة المسوّغة للشرب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تعرض فی شیء من الروایات العامة و غیرها لتعلیق جواز بیع الأبوال الطاهرة غیر بول الإبل علی جواز 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ینتقض أیضا بالأدویة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الإضرار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للحرمة،و حاصل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الأبوال الطاهرة تکون بحکم الأدویة،فکما أنّ الأدویة محرّمة الاستعمال فی غیر حال المرض لإضرارها بالنفس،و مع ذلک یجوز بیعها و استعمالها عند المرض فی حال المرض،لأجل تبدّل عنوان الإضرار بعنوان النفع،و هذا بخلاف الأبوال فإنّ حلّیتها لیست إلاّ لأجل الضرورة،فالنقض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 أنّ ما أفاده المصنف نقضا و جوابا غیر تامّ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فلأنّا لا نجد فرقا بین الأبوال و سائر الأدویة،و إذا کان الاحتیاج إلی الأدویة موجبا لتبدّل عنوان الضرر إلی النفع فلیکن الاحتیاج إلی الأبوال فی حال المرض کذلک،مع أنّ الأمر لیس کذلک،فإنّ من الواضح جدا أنّ الاحتیاج إلی الأدویة و العقاقیر حال المرض لیس من قبیل تبدّل موضوع الضرر</w:t>
      </w:r>
    </w:p>
    <w:p>
      <w:pPr>
        <w:pStyle w:val="BookText"/>
        <w:rPr/>
      </w:pPr>
      <w:r>
        <w:rPr>
          <w:rFonts w:ascii="IRNazanin" w:hAnsi="IRNazanin" w:eastAsia="IRNazanin"/>
          <w:color w:val="111111"/>
          <w:sz w:val="28"/>
          <w:sz w:val="28"/>
          <w:szCs w:val="28"/>
          <w:rtl w:val="true"/>
          <w:lang w:bidi="fa-IR"/>
        </w:rPr>
        <w:t>بموضوع النفع کانتقال موضوع التمام إلی موضوع القصر،و إنما هو کالاحتیاج إلی سائر الأشیاء بحسب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أن تعلّل حرمة الأدویة فی غیر حال المرض بالإضرار،لأنه من العناوین الثانویة،فلا یمکن أن یکون علّة لثبوت الحرمة للشیء بعنوانه الأولی،و لو صح ذلک لم یوجد شیء یکون حلالا بعنوانه الأولی إلاّ نادرا،و ذلک لأنه لا بدّ من عروض عنوان الضرر علیه فی مرتبة من مراتب استعماله 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الإضرار لیس مما تکون الحرمة ثابتة علیه بالذات أو بعنوان غیر منفک عنه،لأنه لیس أمرا مضبوطا،بل یختلف بالإضافة إلی الأشخاص و الأزمنة و الأمکنة و المقدار،و ربما یکون الشیء مضرّا بالاضافة إلی شخص حارّ المزاج دون غیره،و بالنسبة إلی منطقة دون منطقة،أو بمقدار خاص دون الأقل منه،بل لو کان عنوان الإضرار موجبا لحرمة البیع لما جاز بیع شیء من المشروبات و المأکولات،إذ ما من شیء إلاّ و هو مضرّ للمزاج أزید من حدّه،نعم لو دل دلیل علی أنّ ما أضرّ کثیره فقلیله حرام کما ورد فی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أسکر کثیره فقلیله حرام</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لتوجّه ما ذکره من النقض</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تمسک بعض العامة بذلک عند بحثنا معه فی حرمة شرب التتن،و أجبنا عنه بأنه لو صح ما أضر کثیره فقلیله حرام للزم الالتزام بحرمة جمیع المباحات،فإنّ من الواضح أنه ما من شیء فی العالم إلاّ و تکون مرتبة خاصة منه مضرّة للمزاج</w:t>
      </w:r>
      <w:r>
        <w:rPr>
          <w:rFonts w:eastAsia="IRNazanin" w:cs="IRNazanin"/>
          <w:color w:val="111111"/>
          <w:sz w:val="28"/>
          <w:szCs w:val="28"/>
          <w:rtl w:val="true"/>
          <w:lang w:bidi="fa-IR"/>
        </w:rPr>
        <w:t>.</w:t>
      </w:r>
      <w:bookmarkStart w:id="85" w:name="pg5064_65169"/>
    </w:p>
    <w:p>
      <w:pPr>
        <w:pStyle w:val="Heading3"/>
        <w:numPr>
          <w:ilvl w:val="2"/>
          <w:numId w:val="1"/>
        </w:numPr>
        <w:rPr/>
      </w:pPr>
      <w:bookmarkStart w:id="86" w:name="__RefHeading___Toc909996_774463916"/>
      <w:bookmarkStart w:id="87" w:name="_Toc32"/>
      <w:bookmarkEnd w:id="85"/>
      <w:bookmarkEnd w:id="86"/>
      <w:r>
        <w:rPr>
          <w:rtl w:val="true"/>
        </w:rPr>
        <w:t>حرمة بیع شحوم ما لا یؤکل لحمه</w:t>
      </w:r>
      <w:bookmarkEnd w:id="8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الیهود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التنافی هو توهّم الملازمة بین حرمة الأکل و حرمة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عنه المصنّف بأنّ الظاهر أنّ الشحوم کانت محرّمة الانتفاع علی الیهود بجمیع الانتفاعات،لا کتحریم شحوم غیر مأکول اللحم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منشأ لهذا الظهور لا من الروایة و لا من غیرها،بل الظاهر منها حرمة أکلها فقط،کما هو المستفاد من الآیة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أیضا،فإنّ الظاهر من تحریم الشحوم فیها تحریم أکلها،لکونه منفعة ظاهرة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أنّک عرفت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فی البحث عن النبوی المشهور أنّ حرمة الأکل لا تستلزم حرمة البیع وضعا و تکلیفا باتّفاق من الشیعة و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 مع ضعفه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الإیروانی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النبوی ما حرم أکله من المأکولات</w:t>
      </w:r>
      <w:bookmarkStart w:id="88" w:name="pg5064_65170"/>
    </w:p>
    <w:p>
      <w:pPr>
        <w:pStyle w:val="BookText"/>
        <w:rPr/>
      </w:pPr>
      <w:bookmarkEnd w:id="88"/>
      <w:r>
        <w:rPr>
          <w:rFonts w:ascii="IRNazanin" w:hAnsi="IRNazanin" w:eastAsia="IRNazanin"/>
          <w:color w:val="111111"/>
          <w:sz w:val="28"/>
          <w:sz w:val="28"/>
          <w:szCs w:val="28"/>
          <w:rtl w:val="true"/>
          <w:lang w:bidi="fa-IR"/>
        </w:rPr>
        <w:t>أعنی ما یقصد للأکل،دون ما حرم أکله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لیخالف غرض المصنّف و یلزم تخصیص الأکثر حتی یضطر إلی تضعیفه سندا و دلالة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 حملا تبرّعیا،أنه یلزم تخصیص الأکثر أیضا،لجواز بیع المأکولات و المشروبات المحرّمة إذا کانت لها منافع 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الظاهر من ذیل کلامه استظهار ضعف الروایة من عبارة المصنّف من غیر جهة تخصیص الأکثر،إلاّ أنه ناشئ من غلط النسخة و من زیادة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فی حرمة بیع الشحوم هو حرمة أکلها،فیحرم بیعها لکونه إعانة علی الاثم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حرمة الإعانة علی الإثم لکان الظاهر من الروایة هو بیع الیهود شحومهم من غیرهم،و لم یعلم حرمته علی غیر الیهود،بل الظاهر من الآیة المبارکة اختصاص التحریم بهم،مع أنه لو قطع النظر عن هذا الظهور لکان تقیید الروایة بما إذا کان البیع للأکل بلا موجب</w:t>
      </w:r>
      <w:r>
        <w:rPr>
          <w:rFonts w:eastAsia="IRNazanin" w:cs="IRNazanin"/>
          <w:color w:val="111111"/>
          <w:sz w:val="28"/>
          <w:szCs w:val="28"/>
          <w:rtl w:val="true"/>
          <w:lang w:bidi="fa-IR"/>
        </w:rPr>
        <w:t>.</w:t>
      </w:r>
    </w:p>
    <w:p>
      <w:pPr>
        <w:pStyle w:val="Heading3"/>
        <w:numPr>
          <w:ilvl w:val="2"/>
          <w:numId w:val="1"/>
        </w:numPr>
        <w:rPr/>
      </w:pPr>
      <w:bookmarkStart w:id="89" w:name="__RefHeading___Toc909998_774463916"/>
      <w:bookmarkStart w:id="90" w:name="_Toc33"/>
      <w:bookmarkEnd w:id="89"/>
      <w:r>
        <w:rPr>
          <w:rtl w:val="true"/>
        </w:rPr>
        <w:t>جواز بیع العذرة</w:t>
      </w:r>
      <w:bookmarkEnd w:id="90"/>
    </w:p>
    <w:p>
      <w:pPr>
        <w:pStyle w:val="Heading4"/>
        <w:numPr>
          <w:ilvl w:val="3"/>
          <w:numId w:val="1"/>
        </w:numPr>
        <w:rPr/>
      </w:pPr>
      <w:bookmarkStart w:id="91" w:name="__RefHeading___Toc910000_774463916"/>
      <w:bookmarkStart w:id="92" w:name="_Toc34"/>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بیع العذرة النجسة من کل حیوان علی المشهور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بیع العذرة النجسة من کل حیوان،بل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بیع السرجین النجس إجماعا منّا </w:t>
      </w:r>
      <w:r>
        <w:rPr>
          <w:rStyle w:val="FootnoteAnchor"/>
          <w:rtl w:val="true"/>
        </w:rPr>
        <w:footnoteReference w:id="106"/>
      </w:r>
      <w:r>
        <w:rPr>
          <w:rFonts w:ascii="IRNazanin" w:hAnsi="IRNazanin" w:eastAsia="IRNazanin"/>
          <w:color w:val="111111"/>
          <w:sz w:val="28"/>
          <w:sz w:val="28"/>
          <w:szCs w:val="28"/>
          <w:rtl w:val="true"/>
          <w:lang w:bidi="fa-IR"/>
        </w:rPr>
        <w:t>،و فی</w:t>
      </w:r>
      <w:bookmarkStart w:id="93" w:name="pg5064_65171"/>
    </w:p>
    <w:p>
      <w:pPr>
        <w:pStyle w:val="BookText"/>
        <w:rPr/>
      </w:pPr>
      <w:bookmarkEnd w:id="93"/>
      <w:r>
        <w:rPr>
          <w:rFonts w:ascii="IRNazanin" w:hAnsi="IRNazanin" w:eastAsia="IRNazanin"/>
          <w:color w:val="111111"/>
          <w:sz w:val="28"/>
          <w:sz w:val="28"/>
          <w:szCs w:val="28"/>
          <w:rtl w:val="true"/>
          <w:lang w:bidi="fa-IR"/>
        </w:rPr>
        <w:t xml:space="preserve">الجواهر ادّعی الاجماع بقسمیه علی حرمة بیع أرواث ما لا یؤکل لحمه </w:t>
      </w:r>
      <w:r>
        <w:rPr>
          <w:rStyle w:val="FootnoteAnchor"/>
          <w:rtl w:val="true"/>
        </w:rPr>
        <w:footnoteReference w:id="107"/>
      </w:r>
      <w:r>
        <w:rPr>
          <w:rFonts w:ascii="IRNazanin" w:hAnsi="IRNazanin" w:eastAsia="IRNazanin"/>
          <w:color w:val="111111"/>
          <w:sz w:val="28"/>
          <w:sz w:val="28"/>
          <w:szCs w:val="28"/>
          <w:rtl w:val="true"/>
          <w:lang w:bidi="fa-IR"/>
        </w:rPr>
        <w:t xml:space="preserve">،و فی النهایة جعل بیع العذرة من المکاسب المحظورة </w:t>
      </w:r>
      <w:r>
        <w:rPr>
          <w:rStyle w:val="FootnoteAnchor"/>
          <w:rtl w:val="true"/>
        </w:rPr>
        <w:footnoteReference w:id="108"/>
      </w:r>
      <w:r>
        <w:rPr>
          <w:rFonts w:ascii="IRNazanin" w:hAnsi="IRNazanin" w:eastAsia="IRNazanin"/>
          <w:color w:val="111111"/>
          <w:sz w:val="28"/>
          <w:sz w:val="28"/>
          <w:szCs w:val="28"/>
          <w:rtl w:val="true"/>
          <w:lang w:bidi="fa-IR"/>
        </w:rPr>
        <w:t xml:space="preserve">،و فی الغنیة منع عن بیع سرقین ما لا یؤکل لحمه </w:t>
      </w:r>
      <w:r>
        <w:rPr>
          <w:rStyle w:val="FootnoteAnchor"/>
          <w:rtl w:val="true"/>
        </w:rPr>
        <w:footnoteReference w:id="109"/>
      </w:r>
      <w:r>
        <w:rPr>
          <w:rFonts w:ascii="IRNazanin" w:hAnsi="IRNazanin" w:eastAsia="IRNazanin"/>
          <w:color w:val="111111"/>
          <w:sz w:val="28"/>
          <w:sz w:val="28"/>
          <w:szCs w:val="28"/>
          <w:rtl w:val="true"/>
          <w:lang w:bidi="fa-IR"/>
        </w:rPr>
        <w:t xml:space="preserve">،و فی المراسم حکم بحرمة بیع العذرة </w:t>
      </w:r>
      <w:r>
        <w:rPr>
          <w:rStyle w:val="FootnoteAnchor"/>
          <w:rtl w:val="true"/>
        </w:rPr>
        <w:footnoteReference w:id="110"/>
      </w:r>
      <w:r>
        <w:rPr>
          <w:rFonts w:ascii="IRNazanin" w:hAnsi="IRNazanin" w:eastAsia="IRNazanin"/>
          <w:color w:val="111111"/>
          <w:sz w:val="28"/>
          <w:sz w:val="28"/>
          <w:szCs w:val="28"/>
          <w:rtl w:val="true"/>
          <w:lang w:bidi="fa-IR"/>
        </w:rPr>
        <w:t xml:space="preserve">،و فی المستند إنه موضع وفاق </w:t>
      </w:r>
      <w:r>
        <w:rPr>
          <w:rStyle w:val="FootnoteAnchor"/>
          <w:rtl w:val="true"/>
        </w:rPr>
        <w:footnoteReference w:id="111"/>
      </w:r>
      <w:r>
        <w:rPr>
          <w:rFonts w:ascii="IRNazanin" w:hAnsi="IRNazanin" w:eastAsia="IRNazanin"/>
          <w:color w:val="111111"/>
          <w:sz w:val="28"/>
          <w:sz w:val="28"/>
          <w:szCs w:val="28"/>
          <w:rtl w:val="true"/>
          <w:lang w:bidi="fa-IR"/>
        </w:rPr>
        <w:t xml:space="preserve">،و علی هذا اتّفاق المذاهب الأربعة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تحقیق هذه المسألة فی ضمن مقامین،الأول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القواعد و الإجماعات و الروایات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الروایات الخاصة الواردة فی خصوص هذه المسألة</w:t>
      </w:r>
      <w:r>
        <w:rPr>
          <w:rFonts w:eastAsia="IRNazanin" w:cs="IRNazanin"/>
          <w:color w:val="111111"/>
          <w:sz w:val="28"/>
          <w:szCs w:val="28"/>
          <w:rtl w:val="true"/>
          <w:lang w:bidi="fa-IR"/>
        </w:rPr>
        <w:t>.</w:t>
      </w:r>
    </w:p>
    <w:p>
      <w:pPr>
        <w:pStyle w:val="Heading4"/>
        <w:numPr>
          <w:ilvl w:val="3"/>
          <w:numId w:val="1"/>
        </w:numPr>
        <w:rPr/>
      </w:pPr>
      <w:bookmarkStart w:id="94" w:name="__RefHeading___Toc910002_774463916"/>
      <w:bookmarkStart w:id="95" w:name="_Toc35"/>
      <w:bookmarkEnd w:id="94"/>
      <w:r>
        <w:rPr>
          <w:rtl w:val="true"/>
        </w:rPr>
        <w:t>مقتضی القواعد و الاجماعات و الروایات العامة</w:t>
      </w:r>
      <w:bookmarkEnd w:id="95"/>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من المسألة السابقة و ما قبلها أنه لا یجوز الاستدلال بشیء من تلک الامور علی حرمة البیع و فساده</w:t>
      </w:r>
      <w:r>
        <w:rPr>
          <w:rFonts w:eastAsia="IRNazanin" w:cs="IRNazanin"/>
          <w:color w:val="111111"/>
          <w:sz w:val="28"/>
          <w:szCs w:val="28"/>
          <w:rtl w:val="true"/>
          <w:lang w:bidi="fa-IR"/>
        </w:rPr>
        <w:t>.</w:t>
      </w:r>
    </w:p>
    <w:p>
      <w:pPr>
        <w:pStyle w:val="Heading4"/>
        <w:numPr>
          <w:ilvl w:val="3"/>
          <w:numId w:val="1"/>
        </w:numPr>
        <w:rPr/>
      </w:pPr>
      <w:bookmarkStart w:id="96" w:name="__RefHeading___Toc910004_774463916"/>
      <w:bookmarkStart w:id="97" w:name="_Toc36"/>
      <w:bookmarkEnd w:id="96"/>
      <w:r>
        <w:rPr>
          <w:rtl w:val="true"/>
        </w:rPr>
        <w:t>مقتضی الروایات الخاصة</w:t>
      </w:r>
      <w:bookmarkEnd w:id="9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فالروایات الواردة هنا علی ثلاث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bookmarkStart w:id="98" w:name="pg5064_65172"/>
    </w:p>
    <w:p>
      <w:pPr>
        <w:pStyle w:val="BookText"/>
        <w:rPr/>
      </w:pPr>
      <w:bookmarkEnd w:id="98"/>
      <w:r>
        <w:rPr>
          <w:rFonts w:ascii="IRNazanin" w:hAnsi="IRNazanin" w:eastAsia="IRNazanin"/>
          <w:color w:val="111111"/>
          <w:sz w:val="28"/>
          <w:sz w:val="28"/>
          <w:szCs w:val="28"/>
          <w:rtl w:val="true"/>
          <w:lang w:bidi="fa-IR"/>
        </w:rPr>
        <w:t xml:space="preserve">یدل علی حرمة بیع العذرة و کون ثمنها سحتا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یدل علی جواز بیعها و هی روایة ابن مضارب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یدل علی جواز بیعها و حرمته معا،و هی روایة سماعة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910006_774463916"/>
      <w:bookmarkStart w:id="100" w:name="_Toc37"/>
      <w:bookmarkEnd w:id="99"/>
      <w:r>
        <w:rPr>
          <w:rtl w:val="true"/>
        </w:rPr>
        <w:t>وجوه الجمع بین الروایات</w:t>
      </w:r>
      <w:bookmarkEnd w:id="100"/>
    </w:p>
    <w:p>
      <w:pPr>
        <w:pStyle w:val="BookText"/>
        <w:rPr/>
      </w:pPr>
      <w:r>
        <w:rPr>
          <w:rFonts w:ascii="IRNazanin" w:hAnsi="IRNazanin" w:eastAsia="IRNazanin"/>
          <w:color w:val="111111"/>
          <w:sz w:val="28"/>
          <w:sz w:val="28"/>
          <w:szCs w:val="28"/>
          <w:rtl w:val="true"/>
          <w:lang w:bidi="fa-IR"/>
        </w:rPr>
        <w:t>و للجمع بینها وجوه للأعلام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روایة المنع علی عذرة الإنسان،و روایة الجواز علی عذرة البهائم مما یؤکل لحمه،و استشهد علی ذلک بروایة سماعة،قال فی التهذیب بعد ما نقل روایة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 ما رواه یعقوب بن شعیب،لأنّ هذا الخبر محمول علی عذرة الإنسان،و الأول محمول علی عذرة البهائم من الإبل و البقر و الغنم،و لا تنافی بین الخبرین،و الذی یکشف عمّا</w:t>
      </w:r>
    </w:p>
    <w:p>
      <w:pPr>
        <w:pStyle w:val="BookText"/>
        <w:rPr/>
      </w:pPr>
      <w:r>
        <w:rPr>
          <w:rFonts w:ascii="IRNazanin" w:hAnsi="IRNazanin" w:eastAsia="IRNazanin"/>
          <w:color w:val="111111"/>
          <w:sz w:val="28"/>
          <w:sz w:val="28"/>
          <w:szCs w:val="28"/>
          <w:rtl w:val="true"/>
          <w:lang w:bidi="fa-IR"/>
        </w:rPr>
        <w:t xml:space="preserve">ذکرناه روایة سماعة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117"/>
      </w:r>
      <w:r>
        <w:rPr>
          <w:rFonts w:ascii="IRNazanin" w:hAnsi="IRNazanin" w:eastAsia="IRNazanin"/>
          <w:color w:val="111111"/>
          <w:sz w:val="28"/>
          <w:sz w:val="28"/>
          <w:szCs w:val="28"/>
          <w:rtl w:val="true"/>
          <w:lang w:bidi="fa-IR"/>
        </w:rPr>
        <w:t xml:space="preserve">فلا یجوز بیع العذرة و السرجین مما لا یؤکل لحمه،و فی الخلاف </w:t>
      </w:r>
      <w:r>
        <w:rPr>
          <w:rStyle w:val="FootnoteAnchor"/>
          <w:rtl w:val="true"/>
        </w:rPr>
        <w:footnoteReference w:id="118"/>
      </w:r>
      <w:r>
        <w:rPr>
          <w:rFonts w:ascii="IRNazanin" w:hAnsi="IRNazanin" w:eastAsia="IRNazanin"/>
          <w:color w:val="111111"/>
          <w:sz w:val="28"/>
          <w:sz w:val="28"/>
          <w:szCs w:val="28"/>
          <w:rtl w:val="true"/>
          <w:lang w:bidi="fa-IR"/>
        </w:rPr>
        <w:t>فالسرجین النجس محرّم بالإجماع،فوجب أن یکون بیعه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مسلکه من کتبه الثلاثة فلا تغترّ باطلاق کلامه فی الاستبصار </w:t>
      </w:r>
      <w:r>
        <w:rPr>
          <w:rStyle w:val="FootnoteAnchor"/>
          <w:rtl w:val="true"/>
        </w:rPr>
        <w:footnoteReference w:id="119"/>
      </w:r>
      <w:r>
        <w:rPr>
          <w:rFonts w:ascii="IRNazanin" w:hAnsi="IRNazanin" w:eastAsia="IRNazanin"/>
          <w:color w:val="111111"/>
          <w:sz w:val="28"/>
          <w:sz w:val="28"/>
          <w:szCs w:val="28"/>
          <w:rtl w:val="true"/>
          <w:lang w:bidi="fa-IR"/>
        </w:rPr>
        <w:t>حیث حمل روایة الجواز علی عذرة غیر الآدمیین،و روایة المنع علی عذرة الناس ثم استشهد علیه بروایة سماعة،فإنّ مراده من غیر الآدمیین إنما هو ما یؤکل لحمه فقط،فلا یعم غیر المأکول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ثبت فی محلّه أنّ کون الدلیل نصّا فی مدلوله غیر کون بعض أفراده متیقّنا فی الإرادة من الخارج علی تقدیر صدور الحکم،فما هو الموجب لرفع الید عن الحکم هو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مثل الأمر بغسل الثوب من بول الخفّاش </w:t>
      </w:r>
      <w:r>
        <w:rPr>
          <w:rStyle w:val="FootnoteAnchor"/>
          <w:rtl w:val="true"/>
        </w:rPr>
        <w:footnoteReference w:id="120"/>
      </w:r>
      <w:r>
        <w:rPr>
          <w:rFonts w:ascii="IRNazanin" w:hAnsi="IRNazanin" w:eastAsia="IRNazanin"/>
          <w:color w:val="111111"/>
          <w:sz w:val="28"/>
          <w:sz w:val="28"/>
          <w:szCs w:val="28"/>
          <w:rtl w:val="true"/>
          <w:lang w:bidi="fa-IR"/>
        </w:rPr>
        <w:t xml:space="preserve">الصریح فی المحبوبیة و الظاهر فی الوجوب،و ما ورد من أنّ بول الخفّاش لا بأس به </w:t>
      </w:r>
      <w:r>
        <w:rPr>
          <w:rStyle w:val="FootnoteAnchor"/>
          <w:rtl w:val="true"/>
        </w:rPr>
        <w:footnoteReference w:id="121"/>
      </w:r>
      <w:r>
        <w:rPr>
          <w:rFonts w:ascii="IRNazanin" w:hAnsi="IRNazanin" w:eastAsia="IRNazanin"/>
          <w:color w:val="111111"/>
          <w:sz w:val="28"/>
          <w:sz w:val="28"/>
          <w:szCs w:val="28"/>
          <w:rtl w:val="true"/>
          <w:lang w:bidi="fa-IR"/>
        </w:rPr>
        <w:t>،الصریح فی جواز الترک و الظاهر فی الاباحة الخاصة،ترفع الید عن</w:t>
      </w:r>
    </w:p>
    <w:p>
      <w:pPr>
        <w:pStyle w:val="BookText"/>
        <w:rPr/>
      </w:pPr>
      <w:r>
        <w:rPr>
          <w:rFonts w:ascii="IRNazanin" w:hAnsi="IRNazanin" w:eastAsia="IRNazanin"/>
          <w:color w:val="111111"/>
          <w:sz w:val="28"/>
          <w:sz w:val="28"/>
          <w:szCs w:val="28"/>
          <w:rtl w:val="true"/>
          <w:lang w:bidi="fa-IR"/>
        </w:rPr>
        <w:t>ظهور کل منهما بصریح الآخر،فیثبت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أمثال المقام حیث لا صراحة للدلیل فی شیء،فلا موجب للجمع المذکور،فإنه تبرّعی محض و خارج عن صناعة الجمع الدلالی العرفی،فلا یوجب رفع التعارض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بدّ إمّا من طرحهما،و إمّا الرجوع إلی المرجّحات السندیة أو الخارجیة من موافقة الکتاب أو مخالفة العامة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العرفی بین الدلیلین بطرح ظهور کل منهما بنص الآخر إنما یجری فیما کانت لکل منهما قرینیة لرفع الید عن ظهور الآخر،کالجمع بین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الترخیص،بحمل الأول علی الاستحباب و الثانی علی الکراهة</w:t>
      </w:r>
    </w:p>
    <w:p>
      <w:pPr>
        <w:pStyle w:val="BookText"/>
        <w:rPr/>
      </w:pPr>
      <w:r>
        <w:rPr>
          <w:rFonts w:ascii="IRNazanin" w:hAnsi="IRNazanin" w:eastAsia="IRNazanin"/>
          <w:color w:val="111111"/>
          <w:sz w:val="28"/>
          <w:sz w:val="28"/>
          <w:szCs w:val="28"/>
          <w:rtl w:val="true"/>
          <w:lang w:bidi="fa-IR"/>
        </w:rPr>
        <w:t>و هذا بخلاف ما إذا ورد النفی و الإثبات علی مورد واحد کما فیما نحن فیه،فإنه من أوضح موارد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ذلک،إلاّ أنّ إطلاق العذرة علی مدفوعات ما یؤکل لحمه ممنوع جدّا،و إنما یطلق علیها لفظ الأرواث أو السرقین،و هذا واضح لمن کان له انس بالعرف و اللغة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جواز الإطلاق و صحته،إلاّ أنّ أخذ المتیقّن من الدلیلین المتنافیین لا یعدّ من الجموع العرفیة،لعدم ابتنائه علی أساس صحیح،بل لو جاز أخذ المتیقّن من الدلیل لانسدّ باب حجیة الظواهر و لم یجز التمسک بها،إذ ما من دلیل إلاّ و له متیقّن فی إرادة المتکلّم،إلاّ أن یقال بتخصیص ذلک بصورة التعارض و هو کما تری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ذلک أیضا،إلاّ أنّ أخذ المتیقّن من دلیلی الجواز و المنع لا ینحصر بما ذکر،بل یجوز أخذه منهما بوجه آخر أوجه منه،بأن تحمل روایة الجواز علی فرض کون العذرة المبیعة یسیرة و روایة المنع علی فرض کونها کثیرة،أو تحمل روایة الجواز علی بلاد تعارف فیها بیع العذرة لأجل التسمید و نحوه،و روایة المنع علی بلاد لم یتعارف فیها بیعها،أو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تحمل روایة الجواز علی بلاد ینتفع بها و روایة المنع علی بلاد لا ینتفع بها،و قد حکی المصنّف هذا الوجه عن المجلسی ثم استبعده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کونه جمعا تبرّعیا أنّ إمکان الانتفاع بها فی مکان یکفی فی صحة بیعها علی وجه الإطلاق،علی أنک عرفت </w:t>
      </w:r>
      <w:r>
        <w:rPr>
          <w:rStyle w:val="FootnoteAnchor"/>
          <w:rtl w:val="true"/>
        </w:rPr>
        <w:footnoteReference w:id="123"/>
      </w:r>
      <w:r>
        <w:rPr>
          <w:rFonts w:ascii="IRNazanin" w:hAnsi="IRNazanin" w:eastAsia="IRNazanin"/>
          <w:color w:val="111111"/>
          <w:sz w:val="28"/>
          <w:sz w:val="28"/>
          <w:szCs w:val="28"/>
          <w:rtl w:val="true"/>
          <w:lang w:bidi="fa-IR"/>
        </w:rPr>
        <w:t>فی بیع الأبوال أنّ غایة ما یلزم هو کون المعاملة علی أمثال تلک الخبائث سفهیة،و لم یقم دلیل علی بطلانها و صرف العمومات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الظاهر من قول السائل فی روایة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أبیع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بیّاع العذرة و أخذه ذلک شغلا لنفسه،و إنما سأل عن حکمه الشرعی،و هذا کالصریح فی کون بیع العذرة متعارفا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هذا الوجه و إن نسبه المصنّف إلی المجلسی و لکن لم نجده فی کتبه،بل الموجود فی مرآة العقول نفی البعد عن حمل روایة الجواز علی الکراهة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احتمله السبزواری </w:t>
      </w:r>
      <w:r>
        <w:rPr>
          <w:rStyle w:val="FootnoteAnchor"/>
          <w:rtl w:val="true"/>
        </w:rPr>
        <w:footnoteReference w:id="125"/>
      </w:r>
      <w:r>
        <w:rPr>
          <w:rFonts w:ascii="IRNazanin" w:hAnsi="IRNazanin" w:eastAsia="IRNazanin"/>
          <w:color w:val="111111"/>
          <w:sz w:val="28"/>
          <w:sz w:val="28"/>
          <w:szCs w:val="28"/>
          <w:rtl w:val="true"/>
          <w:lang w:bidi="fa-IR"/>
        </w:rPr>
        <w:t>من حمل روایة المنع علی الکراهة و روایة الجواز علی الترخیص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استبعده المصنّف أیضا،و لعل الوجه فیه هو أنّ استعمال لفظ السحت فی الکراهة غیر جار علی المنهج الصحیح،فإنّ السحت فی اللغة </w:t>
      </w:r>
      <w:r>
        <w:rPr>
          <w:rStyle w:val="FootnoteAnchor"/>
          <w:rtl w:val="true"/>
        </w:rPr>
        <w:footnoteReference w:id="126"/>
      </w:r>
      <w:r>
        <w:rPr>
          <w:rFonts w:ascii="IRNazanin" w:hAnsi="IRNazanin" w:eastAsia="IRNazanin"/>
          <w:color w:val="111111"/>
          <w:sz w:val="28"/>
          <w:sz w:val="28"/>
          <w:szCs w:val="28"/>
          <w:rtl w:val="true"/>
          <w:lang w:bidi="fa-IR"/>
        </w:rPr>
        <w:t>عبارة عن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فروایة المنع آبیة عن الحمل علیها</w:t>
      </w:r>
      <w:r>
        <w:rPr>
          <w:rFonts w:eastAsia="IRNazanin" w:cs="IRNazanin"/>
          <w:color w:val="111111"/>
          <w:sz w:val="28"/>
          <w:szCs w:val="28"/>
          <w:rtl w:val="true"/>
          <w:lang w:bidi="fa-IR"/>
        </w:rPr>
        <w:t>.</w:t>
      </w:r>
      <w:bookmarkStart w:id="101" w:name="pg5064_65177"/>
    </w:p>
    <w:p>
      <w:pPr>
        <w:pStyle w:val="Heading4"/>
        <w:numPr>
          <w:ilvl w:val="3"/>
          <w:numId w:val="1"/>
        </w:numPr>
        <w:rPr/>
      </w:pPr>
      <w:bookmarkStart w:id="102" w:name="__RefHeading___Toc910008_774463916"/>
      <w:bookmarkStart w:id="103" w:name="_Toc38"/>
      <w:bookmarkEnd w:id="101"/>
      <w:bookmarkEnd w:id="102"/>
      <w:r>
        <w:rPr>
          <w:rtl w:val="true"/>
        </w:rPr>
        <w:t>استعمال لفظ السحت فی الکراهة</w:t>
      </w:r>
      <w:bookmarkEnd w:id="10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لفظ السحت قد استعمل فی الکراهة فی عدّة من الروایات </w:t>
      </w:r>
      <w:r>
        <w:rPr>
          <w:rStyle w:val="FootnoteAnchor"/>
          <w:rtl w:val="true"/>
        </w:rPr>
        <w:footnoteReference w:id="127"/>
      </w:r>
      <w:r>
        <w:rPr>
          <w:rFonts w:ascii="IRNazanin" w:hAnsi="IRNazanin" w:eastAsia="IRNazanin"/>
          <w:color w:val="111111"/>
          <w:sz w:val="28"/>
          <w:sz w:val="28"/>
          <w:szCs w:val="28"/>
          <w:rtl w:val="true"/>
          <w:lang w:bidi="fa-IR"/>
        </w:rPr>
        <w:t>فإنه اطلق فیها علی ثمن جلود السباع،و کسب الحجّام،و اجرة المعلّمین الذین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یشارطون فی تعلیم القرآن،و قبول الهدیة مع قضاء الحاجة،و من الواضح جدا أنه لیس شیء منها بحرام قطعا،و إنما هی مکروهة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نص بصحة ذلک الاستعمال غیر واحد من أهل اللغة </w:t>
      </w:r>
      <w:r>
        <w:rPr>
          <w:rStyle w:val="FootnoteAnchor"/>
          <w:rtl w:val="true"/>
        </w:rPr>
        <w:footnoteReference w:id="128"/>
      </w:r>
      <w:r>
        <w:rPr>
          <w:rFonts w:ascii="IRNazanin" w:hAnsi="IRNazanin" w:eastAsia="IRNazanin"/>
          <w:color w:val="111111"/>
          <w:sz w:val="28"/>
          <w:sz w:val="28"/>
          <w:szCs w:val="28"/>
          <w:rtl w:val="true"/>
          <w:lang w:bidi="fa-IR"/>
        </w:rPr>
        <w:t xml:space="preserve">بل الروایات الکثیرة </w:t>
      </w:r>
      <w:r>
        <w:rPr>
          <w:rStyle w:val="FootnoteAnchor"/>
          <w:rtl w:val="true"/>
        </w:rPr>
        <w:footnoteReference w:id="129"/>
      </w:r>
      <w:r>
        <w:rPr>
          <w:rFonts w:ascii="IRNazanin" w:hAnsi="IRNazanin" w:eastAsia="IRNazanin"/>
          <w:color w:val="111111"/>
          <w:sz w:val="28"/>
          <w:sz w:val="28"/>
          <w:szCs w:val="28"/>
          <w:rtl w:val="true"/>
          <w:lang w:bidi="fa-IR"/>
        </w:rPr>
        <w:t>تصرّح بجواز بیع جلود</w:t>
      </w:r>
    </w:p>
    <w:p>
      <w:pPr>
        <w:pStyle w:val="BookText"/>
        <w:rPr/>
      </w:pPr>
      <w:r>
        <w:rPr>
          <w:rFonts w:ascii="IRNazanin" w:hAnsi="IRNazanin" w:eastAsia="IRNazanin"/>
          <w:color w:val="111111"/>
          <w:sz w:val="28"/>
          <w:sz w:val="28"/>
          <w:szCs w:val="28"/>
          <w:rtl w:val="true"/>
          <w:lang w:bidi="fa-IR"/>
        </w:rPr>
        <w:t xml:space="preserve">السباع و أخذ الاجرة للحجّام و تعلیم القرآن حتی مع الاشتراط،و الجمع العرفی یقتضی حمل المانعة علی الکراهة،و علیها فتاوی الأصحاب و إجماعهم،بل فتاوی أکثر العامة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وجه للتهویل علی السبزواری بأنّ کلمة السحت غیر مستعملة فی الکراهة الاصطلاحیة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حجیة قول اللغوی فغایة ما یترتّب علیه أنّ حمل لفظ السحت علی المکروه خلاف الظاهر،و لا بأس به إذا اقتضاه الجمع بین الدلیلین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صح إطلاق کلمة السحت علی الکراهة کصحة إطلاقها علی الحرام،إلاّ أنّ نسبته إلی الثمن صریحة فی الحرمة،فإنه لا معنی لکراهة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عنایة تعلّق الکراهة بالثمن لا تزید علی عنایة تعلّق الحرمة به فإرادة الثانی من کلمة السحت دون الأول مع صحة استعمالها فیهما تحتاج إلی قرینة معیّنة،و من هنا ذکر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 یرد فی الکلام علی المکروه مرّة و علی الحرام اخری،و یستدل علیه بالقرائن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أنه إذا تعلّقت الحرمة بالثمن فیستفاد من ذلک الحرمة الوضعیة،أعنی بها فساد البیع زائدا علی حرمة التصرف فی الثمن،بخلاف تعلّق الکراهة به،فإنه متمحّض فی الدلالة علی الحکم التکلیفی،کما فی ثمن جلود السباع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تحمل روایة الجواز علی الجواز التکلیفی لظهور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المنع علی الحرمة الوضعیة،فتصیر النتیجة أنّ بیع العذرة فاسد و غیر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 جمعا تبرّعیا أنّ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الجواز التکلیفی و مقابله فی البأس الوضعی من الغرابة بمکان کاد أن یلحق بالأغلاط،و لم نسمع إلی الآن نظیر ذلک الاستعمال،بل هما متمحّضان لبیان الحکم الوضعی،و إن کان یستفاد منهما الحکم التکلیفی أحیانا بالالتزام،و من هنا ترون أنّ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یتمسکون بالأمر بشیء و بالنهی عن شیء فی الصلاة لإثبات الجزئیة و المانعیة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بیعها و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الحرمة التکلیفیة لو لم یکن نصّا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لرفع الید عنها و حملها علی الحرمة الوضعیة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العلاّمة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عندی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الاستفهام الإنکاری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مراد المحدّث الکاشانی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یکون اللفظتان مختلفتین فی هیئة التلفّظ</w:t>
      </w:r>
      <w:bookmarkStart w:id="104" w:name="pg5064_65181"/>
    </w:p>
    <w:p>
      <w:pPr>
        <w:pStyle w:val="BookText"/>
        <w:rPr/>
      </w:pPr>
      <w:bookmarkEnd w:id="104"/>
      <w:r>
        <w:rPr>
          <w:rFonts w:ascii="IRNazanin" w:hAnsi="IRNazanin" w:eastAsia="IRNazanin"/>
          <w:color w:val="111111"/>
          <w:sz w:val="28"/>
          <w:sz w:val="28"/>
          <w:szCs w:val="28"/>
          <w:rtl w:val="true"/>
          <w:lang w:bidi="fa-IR"/>
        </w:rPr>
        <w:t xml:space="preserve">و إن کانتا واحدة فی الصورة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 محتاجا إلی علم الغیب،أنه خلاف الظاهر من الروایة،فلا یجوز المصیر إلیه بمجرد الاحتمال</w:t>
      </w:r>
      <w:r>
        <w:rPr>
          <w:rFonts w:eastAsia="IRNazanin" w:cs="IRNazanin"/>
          <w:color w:val="111111"/>
          <w:sz w:val="28"/>
          <w:szCs w:val="28"/>
          <w:rtl w:val="true"/>
          <w:lang w:bidi="fa-IR"/>
        </w:rPr>
        <w:t>.</w:t>
      </w:r>
    </w:p>
    <w:p>
      <w:pPr>
        <w:pStyle w:val="Heading4"/>
        <w:numPr>
          <w:ilvl w:val="3"/>
          <w:numId w:val="1"/>
        </w:numPr>
        <w:rPr/>
      </w:pPr>
      <w:bookmarkStart w:id="105" w:name="__RefHeading___Toc910010_774463916"/>
      <w:bookmarkStart w:id="106" w:name="_Toc39"/>
      <w:bookmarkEnd w:id="105"/>
      <w:r>
        <w:rPr>
          <w:rtl w:val="true"/>
        </w:rPr>
        <w:t>المختار فی علاج التعارض</w:t>
      </w:r>
      <w:bookmarkEnd w:id="106"/>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العمل بروایات المنع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استیفائها شرائط الحجیة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روایة ابن شعیب فلضعف سندها،لا للإرسال کما زعمه صاحب الجواهر </w:t>
      </w:r>
      <w:r>
        <w:rPr>
          <w:rStyle w:val="FootnoteAnchor"/>
          <w:rtl w:val="true"/>
        </w:rPr>
        <w:footnoteReference w:id="132"/>
      </w:r>
      <w:r>
        <w:rPr>
          <w:rFonts w:ascii="IRNazanin" w:hAnsi="IRNazanin" w:eastAsia="IRNazanin"/>
          <w:color w:val="111111"/>
          <w:sz w:val="28"/>
          <w:sz w:val="28"/>
          <w:szCs w:val="28"/>
          <w:rtl w:val="true"/>
          <w:lang w:bidi="fa-IR"/>
        </w:rPr>
        <w:t xml:space="preserve">اغترارا بإرسال العلاّمة فی المنتهی </w:t>
      </w:r>
      <w:r>
        <w:rPr>
          <w:rStyle w:val="FootnoteAnchor"/>
          <w:rtl w:val="true"/>
        </w:rPr>
        <w:footnoteReference w:id="133"/>
      </w:r>
      <w:r>
        <w:rPr>
          <w:rFonts w:ascii="IRNazanin" w:hAnsi="IRNazanin" w:eastAsia="IRNazanin"/>
          <w:color w:val="111111"/>
          <w:sz w:val="28"/>
          <w:sz w:val="28"/>
          <w:szCs w:val="28"/>
          <w:rtl w:val="true"/>
          <w:lang w:bidi="fa-IR"/>
        </w:rPr>
        <w:t>،بل لجهالة علی بن مسکین أو 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روایة 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انجبارهما بعمل المشهور توهّم فاسد،فإنه مضافا إلی فساد الکبری،أنّ الحکم غیر مختص بالعذرة،بل شامل لغیرها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سماعة فهی و إن کانت موثّقة،إلاّ أنه لا یجوز الاعتماد علیها،إمّا لإجمالها لمعارضة صدرها مع ذیلها إن کانت روایة واحدة،و إمّا للتعارض و التساقط لو کانت روایتین،و لکن یدل علی التعدّد من الروایة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اقتران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المظهر فیها موضع المضمر،فإنها لو کانت روایة واحدة لکان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ببیعها،بدل قوله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لو کانت روایة واحدة لکانت مجملة کما عرفت إذن فلزم للسائل أن یسأل عن بیع العذرة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فینکشف من تلک القرائن تعدّدها و أنّ سماعة لمّا نقل روایة المنع ألحقها بروایة الجواز تفهیما للمعارضة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فیحکم بالتساقط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السائل لمّا فهم مقصوده من القرائن الحالیة أو المقالیة و إن لم تصل إلینا ترک التعرّض للسؤال،فلا یلزم من ذلک تعدّد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أنه فهم المراد من القرائن و إن کان موجودا إلاّ أنّ أصالة عدم القرینة التی هی من الاصول المسلّمة عند العقلاء تدفع ذلک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صحّت روایة ابن مضارب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هی کذلک،و إن رماها المجلسی </w:t>
      </w:r>
      <w:r>
        <w:rPr>
          <w:rStyle w:val="FootnoteAnchor"/>
          <w:rtl w:val="true"/>
        </w:rPr>
        <w:footnoteReference w:id="134"/>
      </w:r>
      <w:r>
        <w:rPr>
          <w:rFonts w:ascii="IRNazanin" w:hAnsi="IRNazanin" w:eastAsia="IRNazanin"/>
          <w:color w:val="111111"/>
          <w:sz w:val="28"/>
          <w:sz w:val="28"/>
          <w:szCs w:val="28"/>
          <w:rtl w:val="true"/>
          <w:lang w:bidi="fa-IR"/>
        </w:rPr>
        <w:t>بضعف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لوجب الأخذ بها،و إلاّ فالمرجع فی الجواز التکلیفی هی أصالة الإباحة،و فی الجواز الوضعی هی العمومات من أَوْفُوا بِالْعُقُودِ </w:t>
      </w:r>
      <w:r>
        <w:rPr>
          <w:rStyle w:val="FootnoteAnchor"/>
          <w:rtl w:val="true"/>
        </w:rPr>
        <w:footnoteReference w:id="135"/>
      </w:r>
      <w:r>
        <w:rPr>
          <w:rFonts w:ascii="Amiri" w:hAnsi="Amiri" w:eastAsia="Amiri" w:cs="Amiri"/>
          <w:color w:val="111111"/>
          <w:sz w:val="28"/>
          <w:sz w:val="28"/>
          <w:szCs w:val="28"/>
          <w:rtl w:val="true"/>
          <w:lang w:bidi="ar-SA"/>
        </w:rPr>
        <w:t xml:space="preserve">و أَحَلَّ اللّهُ الْبَیْعَ </w:t>
      </w:r>
      <w:r>
        <w:rPr>
          <w:rStyle w:val="FootnoteAnchor"/>
          <w:rtl w:val="true"/>
        </w:rPr>
        <w:footnoteReference w:id="136"/>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بعد ما عرفت تعدّد روایة سماعة و کونها روایتین فتنحصر الروایات هنا فی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المانعة عن بیع العذرة و المجوّزة لبیعها،و علی هذا فإن أمکن الجمع بینهما بإحدی الوجوه المتقدّمة فنأخذ بهما،و إلاّ فلا بدّ من الرجوع إلی المرجّحات الخارجیة،لتساوی روایتی سماعة من حیث المرجّحات السندیة،و لما کان القول بحرمة بیع العذرة مذهب العامة </w:t>
      </w:r>
      <w:r>
        <w:rPr>
          <w:rStyle w:val="FootnoteAnchor"/>
          <w:rtl w:val="true"/>
        </w:rPr>
        <w:footnoteReference w:id="138"/>
      </w:r>
      <w:r>
        <w:rPr>
          <w:rFonts w:ascii="IRNazanin" w:hAnsi="IRNazanin" w:eastAsia="IRNazanin"/>
          <w:color w:val="111111"/>
          <w:sz w:val="28"/>
          <w:sz w:val="28"/>
          <w:szCs w:val="28"/>
          <w:rtl w:val="true"/>
          <w:lang w:bidi="fa-IR"/>
        </w:rPr>
        <w:t>بأجمعهم فنأخذ بالطائفة المجوّزة لبیعها و من هنا ظهر ما فی کلام المصنّف حیث استبعد حمل الطائفة المانعة عن بیعها علی التقیة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الفاضل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وجّه کلام المصنّف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مجرد کونه مذهب أکثر العامة لا یفید مع کون فتوی معاصر الإمام الذی صدر منه الحکم هو الجواز کما فیما نحن فیه،حیث إنّ الجواز فتوی أبی حنیفة المعاصر لمن صدر منه أخبار المنع و هو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فخبر الجواز أولی بالحمل علی التقیة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العجب أنّ أبا حنیفة قد أفتی بحرمة بیع العذرة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من ذلک ما نسبه إلیه العلاّمة فی التذکرة </w:t>
      </w:r>
      <w:r>
        <w:rPr>
          <w:rStyle w:val="FootnoteAnchor"/>
          <w:rtl w:val="true"/>
        </w:rPr>
        <w:footnoteReference w:id="140"/>
      </w:r>
      <w:r>
        <w:rPr>
          <w:rFonts w:ascii="IRNazanin" w:hAnsi="IRNazanin" w:eastAsia="IRNazanin"/>
          <w:color w:val="111111"/>
          <w:sz w:val="28"/>
          <w:sz w:val="28"/>
          <w:szCs w:val="28"/>
          <w:rtl w:val="true"/>
          <w:lang w:bidi="fa-IR"/>
        </w:rPr>
        <w:t>من تجویز بیع السرجین النجس لأنّ أهل الأمصار یتبایعونه لزروعهم من غیر نکیر،فإنه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اطّلاعه علی مذهب العامّة و آرائهم کیف خفی علیه مذهب أبی حنیفة فی هذه المسألة نعم لا ینکر تجویز أبی حنیفة </w:t>
      </w:r>
      <w:r>
        <w:rPr>
          <w:rStyle w:val="FootnoteAnchor"/>
          <w:rtl w:val="true"/>
        </w:rPr>
        <w:footnoteReference w:id="141"/>
      </w:r>
      <w:r>
        <w:rPr>
          <w:rFonts w:ascii="IRNazanin" w:hAnsi="IRNazanin" w:eastAsia="IRNazanin"/>
          <w:color w:val="111111"/>
          <w:sz w:val="28"/>
          <w:sz w:val="28"/>
          <w:szCs w:val="28"/>
          <w:rtl w:val="true"/>
          <w:lang w:bidi="fa-IR"/>
        </w:rPr>
        <w:t>بیع العذرة إذا اختلطت بالتراب،و بیع الزبل الذی یسمّی بالسرجین،و بیع البعر للانتفاع به و جعله وقودا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فروایة الجواز لا یجوز الأخذ بها من وجوه لا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الوجوه المشار إلیها فی کلامه هی الإجماعات المنقولة،و الشهرة الفتوائیة،و الروایات العامّة المتقدّمة </w:t>
      </w:r>
      <w:r>
        <w:rPr>
          <w:rStyle w:val="FootnoteAnchor"/>
          <w:rtl w:val="true"/>
        </w:rPr>
        <w:footnoteReference w:id="142"/>
      </w:r>
      <w:r>
        <w:rPr>
          <w:rFonts w:ascii="IRNazanin" w:hAnsi="IRNazanin" w:eastAsia="IRNazanin"/>
          <w:color w:val="111111"/>
          <w:sz w:val="28"/>
          <w:sz w:val="28"/>
          <w:szCs w:val="28"/>
          <w:rtl w:val="true"/>
          <w:lang w:bidi="fa-IR"/>
        </w:rPr>
        <w:t>،و ضعف سند ما یدل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مخدوشة بأجمعها،و لا یصلح شیء منها لترجیح ما یدل علی المنع</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الإجماعات المنقولة فلیست بتعبّدیة،بل مدرکها هی الوجوه المتقدّمة و لو کانت تعبّدیة لکانت حجّة مستقلّة،و ضمّها إلی روایة المنع لا یزید اعتبارها،بل هی بنفسها لو کانت حجّة لوجب الأخذ بها،و إلاّ فضمّ الإجماعات إلیها لا یوجب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الشهرة الفتوائیة فهی و إن کانت مسلّمة،إلاّ أنّ ابتناءها علی روایة المنع ممنوع جدّا،فإنّ تلک الشهرة غیر مختصّة ببیع العذرة،بل هی جاریة فی مطلق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ابتناءها علیها لا توجب انجبار ضعف سند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یوجب ترجیح إحدی الروایتین علی الاخری عند المعارضة هی الشهرة فی الروایة دون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العامّة فقد تقدّم الکلام فیها،علی أنّ النجاسة لم تذکر فی شیء منها إلاّ فی روایة تحف العقول،و الذی یستفاد منها لیس إلاّ حرمة الانتفاع بالنجس مطلقا،و هی و إن کانت مانعة عن البیع،إلاّ أنّه لم یقل بها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مانعیة النجاسة من حیث هی نجاسة فلا یستفاد من تلک الروایات و لا من غیرها،نعم لا شبهة فی حرمة الانتفاعات المتوقّفة علی الطهارة،و من هنا یظهر الجواب عمّن ذهب إلی حرمة الانتفاع بالعذرة فی التسمید و نحوه و تمسّک فی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یکون فیه وجه من وجوه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بدعوی أنّ التسمید و نحوه من التصرفات فیها من وجوه الفساد،بل قد ورد فی بعض الروایات جواز طرح العذرة فی المزارع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تخیّل ضعف روایة الجواز من ناحیة السند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محض اشتباه قد نشأ من خلط ابن مضارب بابن مصادف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توهّم أنّ الأول غیر موجود فی کتب الرجال فاسد،فإنه مضافا إلی کونه مذکورا فیها و منصوصا بحسنه </w:t>
      </w:r>
      <w:r>
        <w:rPr>
          <w:rStyle w:val="FootnoteAnchor"/>
          <w:rtl w:val="true"/>
        </w:rPr>
        <w:footnoteReference w:id="144"/>
      </w:r>
      <w:r>
        <w:rPr>
          <w:rFonts w:ascii="Amiri" w:hAnsi="Amiri" w:eastAsia="Amiri" w:cs="Amiri"/>
          <w:color w:val="111111"/>
          <w:sz w:val="28"/>
          <w:sz w:val="28"/>
          <w:szCs w:val="28"/>
          <w:rtl w:val="true"/>
          <w:lang w:bidi="ar-SA"/>
        </w:rPr>
        <w:t>قد اتّفقت</w:t>
      </w:r>
      <w:bookmarkStart w:id="107" w:name="pg5064_65185"/>
    </w:p>
    <w:p>
      <w:pPr>
        <w:pStyle w:val="BookText"/>
        <w:rPr/>
      </w:pPr>
      <w:bookmarkEnd w:id="107"/>
      <w:r>
        <w:rPr>
          <w:rFonts w:ascii="IRNazanin" w:hAnsi="IRNazanin" w:eastAsia="IRNazanin"/>
          <w:color w:val="111111"/>
          <w:sz w:val="28"/>
          <w:sz w:val="28"/>
          <w:szCs w:val="28"/>
          <w:rtl w:val="true"/>
          <w:lang w:bidi="fa-IR"/>
        </w:rPr>
        <w:t xml:space="preserve">اصول الحدیث </w:t>
      </w:r>
      <w:r>
        <w:rPr>
          <w:rStyle w:val="FootnoteAnchor"/>
          <w:rtl w:val="true"/>
        </w:rPr>
        <w:footnoteReference w:id="145"/>
      </w:r>
      <w:r>
        <w:rPr>
          <w:rFonts w:ascii="IRNazanin" w:hAnsi="IRNazanin" w:eastAsia="IRNazanin"/>
          <w:color w:val="111111"/>
          <w:sz w:val="28"/>
          <w:sz w:val="28"/>
          <w:szCs w:val="28"/>
          <w:rtl w:val="true"/>
          <w:lang w:bidi="fa-IR"/>
        </w:rPr>
        <w:t>علی نقل روایة الجواز عنه،و لم یحتمل فیها نقلها عن ابن مصادف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اقتصار الکلینی علی نقل روایة الجواز فقط دون غیرها یشیر إلی اعتبارها،کما هی کذلک،لکون رواتها بین ثقات و حسان</w:t>
      </w:r>
      <w:r>
        <w:rPr>
          <w:rFonts w:eastAsia="IRNazanin" w:cs="IRNazanin"/>
          <w:color w:val="111111"/>
          <w:sz w:val="28"/>
          <w:szCs w:val="28"/>
          <w:rtl w:val="true"/>
          <w:lang w:bidi="fa-IR"/>
        </w:rPr>
        <w:t>.</w:t>
      </w:r>
    </w:p>
    <w:p>
      <w:pPr>
        <w:pStyle w:val="Heading3"/>
        <w:numPr>
          <w:ilvl w:val="2"/>
          <w:numId w:val="1"/>
        </w:numPr>
        <w:rPr/>
      </w:pPr>
      <w:bookmarkStart w:id="108" w:name="__RefHeading___Toc910012_774463916"/>
      <w:bookmarkStart w:id="109" w:name="_Toc40"/>
      <w:bookmarkEnd w:id="108"/>
      <w:r>
        <w:rPr>
          <w:rtl w:val="true"/>
        </w:rPr>
        <w:t>جواز بیع الأرواث</w:t>
      </w:r>
      <w:bookmarkEnd w:id="10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الأقوی جواز بیع الأرواث الطاهرة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أصحابنا جواز بیع الأرواث الطاهرة،و فی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الاکتساب بها مطلقا وفاقا للأکثر،بل عن السید الإجماع علیه،لطهارتها و عظم الانتفاع بها،فیشملها الأصل و العمومات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سرجین ما یؤکل لحمه یجوز بیعه،دلیلنا علی جواز ذلک أنه طاهر عندنا،و من منع منه فإنّما منع لنجاسته و یدلّ علی ذلک بیع أهل الأمصار فی جمیع الأعصار لزروعهم و ثمارهم،و لم نجد أحدا کره ذلک،و لا خلاف فیه،فوجب أن یکون جائزا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حکم فی النهایة بحرمة بیع العذرة و الأبوال إلاّ بول الإبل خاصّة،فإنه لا بأس بشربه و الاستشفاء به عند الضرورة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المراسم حکم بحرمة التکسّب بالعذرة و البول إلاّ بول الإبل</w:t>
      </w:r>
    </w:p>
    <w:p>
      <w:pPr>
        <w:pStyle w:val="BookText"/>
        <w:rPr/>
      </w:pPr>
      <w:r>
        <w:rPr>
          <w:rFonts w:ascii="Amiri" w:hAnsi="Amiri" w:eastAsia="Amiri" w:cs="Amiri"/>
          <w:color w:val="111111"/>
          <w:sz w:val="28"/>
          <w:sz w:val="28"/>
          <w:szCs w:val="28"/>
          <w:rtl w:val="true"/>
          <w:lang w:bidi="ar-SA"/>
        </w:rPr>
        <w:t xml:space="preserve">خاصة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ذهبت الشافعیة </w:t>
      </w:r>
      <w:r>
        <w:rPr>
          <w:rStyle w:val="FootnoteAnchor"/>
          <w:rtl w:val="true"/>
        </w:rPr>
        <w:footnoteReference w:id="151"/>
      </w:r>
      <w:r>
        <w:rPr>
          <w:rFonts w:ascii="IRNazanin" w:hAnsi="IRNazanin" w:eastAsia="IRNazanin"/>
          <w:color w:val="111111"/>
          <w:sz w:val="28"/>
          <w:sz w:val="28"/>
          <w:szCs w:val="28"/>
          <w:rtl w:val="true"/>
          <w:lang w:bidi="fa-IR"/>
        </w:rPr>
        <w:t xml:space="preserve">إلی نجاسة فضلة مأکول اللحم بلا تفصیل بین الطیور و غیرها،مع ذهابهم </w:t>
      </w:r>
      <w:r>
        <w:rPr>
          <w:rStyle w:val="FootnoteAnchor"/>
          <w:rtl w:val="true"/>
        </w:rPr>
        <w:footnoteReference w:id="152"/>
      </w:r>
      <w:r>
        <w:rPr>
          <w:rFonts w:ascii="IRNazanin" w:hAnsi="IRNazanin" w:eastAsia="IRNazanin"/>
          <w:color w:val="111111"/>
          <w:sz w:val="28"/>
          <w:sz w:val="28"/>
          <w:szCs w:val="28"/>
          <w:rtl w:val="true"/>
          <w:lang w:bidi="fa-IR"/>
        </w:rPr>
        <w:t>إلی عدم صحة بیع کل نجس إلاّ إذا کان مخلوطا بشیء طاهر لا یمکن فصله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أنه لا فرق بین العذرة و الأرواث فی جواز البیع و عدمه من جهة مدرک الحکم إلاّ نجاسة الاولی و طهارة الثانیة،فإنّ الأخبار الخاصة الواردة فی حرمة بیع العذرة لم تتم کما عرفت </w:t>
      </w:r>
      <w:r>
        <w:rPr>
          <w:rStyle w:val="FootnoteAnchor"/>
          <w:rtl w:val="true"/>
        </w:rPr>
        <w:footnoteReference w:id="153"/>
      </w:r>
      <w:r>
        <w:rPr>
          <w:rFonts w:ascii="Amiri" w:hAnsi="Amiri" w:eastAsia="Amiri" w:cs="Amiri"/>
          <w:color w:val="111111"/>
          <w:sz w:val="28"/>
          <w:sz w:val="28"/>
          <w:szCs w:val="28"/>
          <w:rtl w:val="true"/>
          <w:lang w:bidi="ar-SA"/>
        </w:rPr>
        <w:t xml:space="preserve">،و الأخبار العامة المتقدّمة </w:t>
      </w:r>
      <w:r>
        <w:rPr>
          <w:rStyle w:val="FootnoteAnchor"/>
          <w:rtl w:val="true"/>
        </w:rPr>
        <w:footnoteReference w:id="154"/>
      </w:r>
      <w:r>
        <w:rPr>
          <w:rFonts w:ascii="IRNazanin" w:hAnsi="IRNazanin" w:eastAsia="IRNazanin"/>
          <w:color w:val="111111"/>
          <w:sz w:val="28"/>
          <w:sz w:val="28"/>
          <w:szCs w:val="28"/>
          <w:rtl w:val="true"/>
          <w:lang w:bidi="fa-IR"/>
        </w:rPr>
        <w:t>إنّما تدلّ علی حرمة بیع ما یکون منهیّا عن أکله،فتکون شاملة للأرواث و العذرة کلتیهما،و حیث عرفت أنّه لا یصلح شیء من ذلک لإثبات حرمة بیع العذرة فتعرف عدم جریانه فی الأرواث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فی روایة تحف العقول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وجوه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تدل علی مانعیة النجاسة عن البیع،لما عرفت فی بیع الأبوال </w:t>
      </w:r>
      <w:r>
        <w:rPr>
          <w:rStyle w:val="FootnoteAnchor"/>
          <w:rtl w:val="true"/>
        </w:rPr>
        <w:footnoteReference w:id="155"/>
      </w:r>
      <w:r>
        <w:rPr>
          <w:rFonts w:ascii="IRNazanin" w:hAnsi="IRNazanin" w:eastAsia="IRNazanin"/>
          <w:color w:val="111111"/>
          <w:sz w:val="28"/>
          <w:sz w:val="28"/>
          <w:szCs w:val="28"/>
          <w:rtl w:val="true"/>
          <w:lang w:bidi="fa-IR"/>
        </w:rPr>
        <w:t>أنّ مقتضی التعلیل المذکور فیها هو کون منافع النجس بأجمعها محرّمة،و أمّا إذا کانت له منفعة محلّلة فلا تدل الروایة علی حرمة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وجه لما التزم به شیخنا الأنصاری من التفریق بین العذرة و الأرواث</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الإجماع علی التفریق بینهما فهی دعوی جزافیة،للاطمئنان بأنّ مدرک المجمعین تلک الوجوه المذکورة لمنع بیع العذرة دون الأرواث،و إلاّ فالإجماع</w:t>
      </w:r>
    </w:p>
    <w:p>
      <w:pPr>
        <w:pStyle w:val="BookText"/>
        <w:rPr/>
      </w:pPr>
      <w:r>
        <w:rPr>
          <w:rFonts w:ascii="IRNazanin" w:hAnsi="IRNazanin" w:eastAsia="IRNazanin"/>
          <w:color w:val="111111"/>
          <w:sz w:val="28"/>
          <w:sz w:val="28"/>
          <w:szCs w:val="28"/>
          <w:rtl w:val="true"/>
          <w:lang w:bidi="fa-IR"/>
        </w:rPr>
        <w:t>التعبّدی الکاشف عن رأی الحجّة معلوم العدم،و قیام السیرة علی جواز الانتفاع و المعاوضة لا یختص بالأرواث،بل یعمّ العذرة أیضا،کشمول العمومات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الجواهر </w:t>
      </w:r>
      <w:r>
        <w:rPr>
          <w:rStyle w:val="FootnoteAnchor"/>
          <w:rtl w:val="true"/>
        </w:rPr>
        <w:footnoteReference w:id="156"/>
      </w:r>
      <w:r>
        <w:rPr>
          <w:rFonts w:ascii="IRNazanin" w:hAnsi="IRNazanin" w:eastAsia="IRNazanin"/>
          <w:color w:val="111111"/>
          <w:sz w:val="28"/>
          <w:sz w:val="28"/>
          <w:szCs w:val="28"/>
          <w:rtl w:val="true"/>
          <w:lang w:bidi="fa-IR"/>
        </w:rPr>
        <w:t xml:space="preserve">من الاستدلال علی جواز بیع الأرواث فقط بخبر ابن مضارب و بذیل روایة سماعة </w:t>
      </w:r>
      <w:r>
        <w:rPr>
          <w:rStyle w:val="FootnoteAnchor"/>
          <w:rtl w:val="true"/>
        </w:rPr>
        <w:footnoteReference w:id="157"/>
      </w:r>
      <w:r>
        <w:rPr>
          <w:rFonts w:ascii="IRNazanin" w:hAnsi="IRNazanin" w:eastAsia="IRNazanin"/>
          <w:color w:val="111111"/>
          <w:sz w:val="28"/>
          <w:sz w:val="28"/>
          <w:szCs w:val="28"/>
          <w:rtl w:val="true"/>
          <w:lang w:bidi="fa-IR"/>
        </w:rPr>
        <w:t xml:space="preserve">بعد ما حملهما علیها فاسد،لما عرفت من أنه لا یصح إطلاق العذرة علی الأرواث بوجه،و أنّ الأرواث فی اللغة </w:t>
      </w:r>
      <w:r>
        <w:rPr>
          <w:rStyle w:val="FootnoteAnchor"/>
          <w:rtl w:val="true"/>
        </w:rPr>
        <w:footnoteReference w:id="158"/>
      </w:r>
      <w:r>
        <w:rPr>
          <w:rFonts w:ascii="IRNazanin" w:hAnsi="IRNazanin" w:eastAsia="IRNazanin"/>
          <w:color w:val="111111"/>
          <w:sz w:val="28"/>
          <w:sz w:val="28"/>
          <w:szCs w:val="28"/>
          <w:rtl w:val="true"/>
          <w:lang w:bidi="fa-IR"/>
        </w:rPr>
        <w:t>لا تطلق إلاّ علی رجیع ذی الحافر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یتوهّم تحریم بیعها لآیة تحریم الخبائث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بدعوی أنّ عموم التحریم المستفاد من الجمع المحلّی باللام یشمل البیع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أجاب به المصنّف من أنّ المراد من تحریم الخبائث هو تحریم أکلها،لا مطلق الانتفاعات بها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تقدّم فی بیع الأبوال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أنّ الخبیث عبارة عن مطلق ما فیه نقص و دناءة و لو کان من قبیل الأفعال،و یرادف فی الفارسیة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الزنا</w:t>
      </w:r>
      <w:bookmarkStart w:id="110" w:name="pg5064_65188"/>
    </w:p>
    <w:p>
      <w:pPr>
        <w:pStyle w:val="BookText"/>
        <w:rPr/>
      </w:pPr>
      <w:bookmarkEnd w:id="110"/>
      <w:r>
        <w:rPr>
          <w:rFonts w:ascii="IRNazanin" w:hAnsi="IRNazanin" w:eastAsia="IRNazanin"/>
          <w:color w:val="111111"/>
          <w:sz w:val="28"/>
          <w:sz w:val="28"/>
          <w:szCs w:val="28"/>
          <w:rtl w:val="true"/>
          <w:lang w:bidi="fa-IR"/>
        </w:rPr>
        <w:t xml:space="preserve">و الافتراء و الغیبة و النمیمة و غیرها من الأفعال المحرّمة التی عبّر عنها فی قوله تعالی بالفواحش </w:t>
      </w:r>
      <w:r>
        <w:rPr>
          <w:rStyle w:val="FootnoteAnchor"/>
          <w:rtl w:val="true"/>
        </w:rPr>
        <w:footnoteReference w:id="159"/>
      </w:r>
      <w:r>
        <w:rPr>
          <w:rFonts w:ascii="IRNazanin" w:hAnsi="IRNazanin" w:eastAsia="IRNazanin"/>
          <w:color w:val="111111"/>
          <w:sz w:val="28"/>
          <w:sz w:val="28"/>
          <w:szCs w:val="28"/>
          <w:rtl w:val="true"/>
          <w:lang w:bidi="fa-IR"/>
        </w:rPr>
        <w:t>من الخبائث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فلیس المراد من تحریم الخبائث فی الآیة إلاّ بیان الکبری الکلّیة من تحریم ما فیه مفسدة،و أمّا تشخیص الصغری و بیان أنّ فی هذا مفسدة أو فی ذاک فخارج عن حدود الآیة،و إلاّ فیلزم التمسّک بالعام فی الشبهات المصداقیة،و هو لا یجوز کما نقّح فی الاصول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أبیت إلاّ عن اختصاصها بما یکون الطبع متنفّرا عنه،فندفعه بعدم الملازمة بین تحریم الأکل و حرمة البیع،کما سبق </w:t>
      </w:r>
      <w:r>
        <w:rPr>
          <w:rStyle w:val="FootnoteAnchor"/>
          <w:rtl w:val="true"/>
        </w:rPr>
        <w:footnoteReference w:id="161"/>
      </w:r>
      <w:r>
        <w:rPr>
          <w:rFonts w:ascii="IRNazanin" w:hAnsi="IRNazanin" w:eastAsia="IRNazanin"/>
          <w:color w:val="111111"/>
          <w:sz w:val="28"/>
          <w:sz w:val="28"/>
          <w:szCs w:val="28"/>
          <w:rtl w:val="true"/>
          <w:lang w:bidi="fa-IR"/>
        </w:rPr>
        <w:t>فی بیع الأبوال و غیره،إلاّ إذا کان الأکل من المنافع الظاهرة</w:t>
      </w:r>
      <w:r>
        <w:rPr>
          <w:rFonts w:eastAsia="IRNazanin" w:cs="IRNazanin"/>
          <w:color w:val="111111"/>
          <w:sz w:val="28"/>
          <w:szCs w:val="28"/>
          <w:rtl w:val="true"/>
          <w:lang w:bidi="fa-IR"/>
        </w:rPr>
        <w:t>.</w:t>
      </w:r>
    </w:p>
    <w:p>
      <w:pPr>
        <w:pStyle w:val="Heading3"/>
        <w:numPr>
          <w:ilvl w:val="2"/>
          <w:numId w:val="1"/>
        </w:numPr>
        <w:rPr/>
      </w:pPr>
      <w:bookmarkStart w:id="111" w:name="__RefHeading___Toc910014_774463916"/>
      <w:bookmarkStart w:id="112" w:name="_Toc41"/>
      <w:bookmarkEnd w:id="111"/>
      <w:r>
        <w:rPr>
          <w:rtl w:val="true"/>
        </w:rPr>
        <w:t>جواز بیع الدم نجسا کان أم طاهرا</w:t>
      </w:r>
      <w:bookmarkEnd w:id="11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المعاوضة علی الدم بلا خلاف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بین أصحابنا شهرة عظیمة حرمة بیع الدم النجس،کما فی النهایة </w:t>
      </w:r>
      <w:r>
        <w:rPr>
          <w:rStyle w:val="FootnoteAnchor"/>
          <w:rtl w:val="true"/>
        </w:rPr>
        <w:footnoteReference w:id="163"/>
      </w:r>
      <w:r>
        <w:rPr>
          <w:rFonts w:ascii="IRNazanin" w:hAnsi="IRNazanin" w:eastAsia="IRNazanin"/>
          <w:color w:val="111111"/>
          <w:sz w:val="28"/>
          <w:sz w:val="28"/>
          <w:szCs w:val="28"/>
          <w:rtl w:val="true"/>
          <w:lang w:bidi="fa-IR"/>
        </w:rPr>
        <w:t xml:space="preserve">و المراسم </w:t>
      </w:r>
      <w:r>
        <w:rPr>
          <w:rStyle w:val="FootnoteAnchor"/>
          <w:rtl w:val="true"/>
        </w:rPr>
        <w:footnoteReference w:id="164"/>
      </w:r>
      <w:r>
        <w:rPr>
          <w:rFonts w:ascii="IRNazanin" w:hAnsi="IRNazanin" w:eastAsia="IRNazanin"/>
          <w:color w:val="111111"/>
          <w:sz w:val="28"/>
          <w:sz w:val="28"/>
          <w:szCs w:val="28"/>
          <w:rtl w:val="true"/>
          <w:lang w:bidi="fa-IR"/>
        </w:rPr>
        <w:t xml:space="preserve">و المبسوط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المعقود علیه الطهارة</w:t>
      </w:r>
    </w:p>
    <w:p>
      <w:pPr>
        <w:pStyle w:val="BookText"/>
        <w:rPr/>
      </w:pPr>
      <w:r>
        <w:rPr>
          <w:rFonts w:ascii="IRNazanin" w:hAnsi="IRNazanin" w:eastAsia="IRNazanin"/>
          <w:color w:val="111111"/>
          <w:sz w:val="28"/>
          <w:sz w:val="28"/>
          <w:szCs w:val="28"/>
          <w:rtl w:val="true"/>
          <w:lang w:bidi="fa-IR"/>
        </w:rPr>
        <w:t xml:space="preserve">الأصلیة،و لو باع نجس العین لم یصح إجماعا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المنهج ابن الهمام الحنفی فی شرح فتح القدیر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المالکیة </w:t>
      </w:r>
      <w:r>
        <w:rPr>
          <w:rStyle w:val="FootnoteAnchor"/>
          <w:rtl w:val="true"/>
        </w:rPr>
        <w:footnoteReference w:id="168"/>
      </w:r>
      <w:r>
        <w:rPr>
          <w:rFonts w:ascii="IRNazanin" w:hAnsi="IRNazanin" w:eastAsia="IRNazanin"/>
          <w:color w:val="111111"/>
          <w:sz w:val="28"/>
          <w:sz w:val="28"/>
          <w:szCs w:val="28"/>
          <w:rtl w:val="true"/>
          <w:lang w:bidi="fa-IR"/>
        </w:rPr>
        <w:t>لا یصح بیع النجس،و عن الحنابلة لا یصح بیع النجس کالدم،و عن الشافعیة لا یصح بیع کل نجس،و عن الحنفیة لا یصح بیع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أخبارهم أیضا شهادة علی ذلک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ذلک فاعلم أنّ المصنّف قد فصّل بین الدم النجس فحکم بحرمة المعاوضة علیه للإجماع و الأخبار السابقة،أی الروایات العامّة </w:t>
      </w:r>
      <w:r>
        <w:rPr>
          <w:rStyle w:val="FootnoteAnchor"/>
          <w:rtl w:val="true"/>
        </w:rPr>
        <w:footnoteReference w:id="170"/>
      </w:r>
      <w:r>
        <w:rPr>
          <w:rFonts w:ascii="IRNazanin" w:hAnsi="IRNazanin" w:eastAsia="IRNazanin"/>
          <w:color w:val="111111"/>
          <w:sz w:val="28"/>
          <w:sz w:val="28"/>
          <w:szCs w:val="28"/>
          <w:rtl w:val="true"/>
          <w:lang w:bidi="fa-IR"/>
        </w:rPr>
        <w:t>،و بین الدم الطاهر فقد قوّی جواز المعاوضة علیه إذا فرضت له منفعة محلّلة کالصبغ و نحوه لکونه من الأعیان التی یجوز الانتفاع بها منفعة 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اشتراکهما فی حرمة الأکل و جواز الانتفاع بهما منفعة محلّلة کالصبغ و التسمید و نحوهما،فلا وجه للتفکیک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النجاسة فقد عرفت مرارا أنّه لا موضوعیة لها،فلا تکون فارقة بین الدم الطاهر و النجس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السابقة فمضافا إلی ضعف سندها أنّها شاملة لهما،فلو تمّت لدلّت علی حرمة بیعهما معا،و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المستفاد من روایة تحف العقول هو تحریم مطلق منافع النجس،و حینئذ فإن وقفنا علی ظاهرها فلازمه الإفتاء بما لم یفت به</w:t>
      </w:r>
    </w:p>
    <w:p>
      <w:pPr>
        <w:pStyle w:val="BookText"/>
        <w:rPr/>
      </w:pPr>
      <w:r>
        <w:rPr>
          <w:rFonts w:ascii="IRNazanin" w:hAnsi="IRNazanin" w:eastAsia="IRNazanin"/>
          <w:color w:val="111111"/>
          <w:sz w:val="28"/>
          <w:sz w:val="28"/>
          <w:szCs w:val="28"/>
          <w:rtl w:val="true"/>
          <w:lang w:bidi="fa-IR"/>
        </w:rPr>
        <w:t>أحد،و إن اقتصرنا علی خصوص تحریم البیع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فهو لا یختص بالمقام،و إنّما هو الذی ادّعی قیامه علی حرمة مطلق بیع النجس،و مدرکه هو الوجوه المذکورة لحرمة بیعه من الروایات العامة و غیرها،و إلاّ فلیس هنا إجماع تعبّدی لیکشف عن 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دلیل علی حرمة بیع الدم،سواء کان نجسا أم طاهرا،لا وضعا و لا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و 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استدلّ علی حرمة بیع الدم مطلقا بمرفوعة أبی یحیی الواسطی </w:t>
      </w:r>
      <w:r>
        <w:rPr>
          <w:rStyle w:val="FootnoteAnchor"/>
          <w:rtl w:val="true"/>
        </w:rPr>
        <w:footnoteReference w:id="171"/>
      </w:r>
      <w:r>
        <w:rPr>
          <w:rFonts w:ascii="IRNazanin" w:hAnsi="IRNazanin" w:eastAsia="IRNazanin"/>
          <w:color w:val="111111"/>
          <w:sz w:val="28"/>
          <w:sz w:val="28"/>
          <w:szCs w:val="28"/>
          <w:rtl w:val="true"/>
          <w:lang w:bidi="fa-IR"/>
        </w:rPr>
        <w:t>فإنّ فیها نهی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سبعة منها الدم،فتدلّ علی ذلک وضعا و تکلیفا بعد ملاحظة انجبارها بالشهرة،بل بعدم الخلاف بین الأصحاب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السند،و غیر منجبرة بعمل المشهور صغری و کبری</w:t>
      </w:r>
    </w:p>
    <w:p>
      <w:pPr>
        <w:pStyle w:val="BookText"/>
        <w:rPr/>
      </w:pPr>
      <w:r>
        <w:rPr>
          <w:rFonts w:ascii="IRNazanin" w:hAnsi="IRNazanin" w:eastAsia="IRNazanin"/>
          <w:color w:val="111111"/>
          <w:sz w:val="28"/>
          <w:sz w:val="28"/>
          <w:szCs w:val="28"/>
          <w:rtl w:val="true"/>
          <w:lang w:bidi="fa-IR"/>
        </w:rPr>
        <w:t xml:space="preserve">و الوجه فی ذلک هو ما تقدّم </w:t>
      </w:r>
      <w:r>
        <w:rPr>
          <w:rStyle w:val="FootnoteAnchor"/>
          <w:rtl w:val="true"/>
        </w:rPr>
        <w:footnoteReference w:id="172"/>
      </w:r>
      <w:r>
        <w:rPr>
          <w:rFonts w:ascii="IRNazanin" w:hAnsi="IRNazanin" w:eastAsia="IRNazanin"/>
          <w:color w:val="111111"/>
          <w:sz w:val="28"/>
          <w:sz w:val="28"/>
          <w:szCs w:val="28"/>
          <w:rtl w:val="true"/>
          <w:lang w:bidi="fa-IR"/>
        </w:rPr>
        <w:t>و لا أنّها منجبرة بعدم الخلاف و إن ذکره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فإنّه علی تقدیر عدم کونه حجّة فضمّها لغیر الحجّة لا یفید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الاستدلال بها علی حرمة بیع الامور المذکورة فیها،نعم إذا قلنا بشمول أدلّة التسامح فی السنن للمکروهات لا بأس من الالتزام بکراهة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الدم المذکور فی المرفوعة هو الدم النجس الذی تقذفه الذبیحة المسمّی بالمسفوح،لکثرته و مرسومیة أکله فی زمن الجاهلیة،دون الطاهر المتخلّف فیها،الذی یباع بتبع اللحوم کثیرا،فإنّه من القلّة بمکان لم یکن مورد الرغبة لأهل الجاهلیة لینجرّ ذلک إلی أن یمرّ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بالقصّابین و ینهاهم عن بیعه،و لعلّه لذلک لم یذکر اللّه تعالی فی القرآن إلاّ الدم المسفوح </w:t>
      </w:r>
      <w:r>
        <w:rPr>
          <w:rStyle w:val="FootnoteAnchor"/>
          <w:rtl w:val="true"/>
        </w:rPr>
        <w:footnoteReference w:id="174"/>
      </w:r>
      <w:r>
        <w:rPr>
          <w:rFonts w:ascii="IRNazanin" w:hAnsi="IRNazanin" w:eastAsia="IRNazanin"/>
          <w:color w:val="111111"/>
          <w:sz w:val="28"/>
          <w:sz w:val="28"/>
          <w:szCs w:val="28"/>
          <w:rtl w:val="true"/>
          <w:lang w:bidi="fa-IR"/>
        </w:rPr>
        <w:t>،إذن فالروایة لا تشمل الدم الطاهر،فلا تدل علی حرمة بیعه مطلقا،لکونها أخصّ من المدّعی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تعارف أکل الدم النجس و غلبته فی الخارج لا یوجب اختصاص المنع المذکور فی الروایة،بل یعمّ الدم الطاهر أیضا،و یدلّ علی ذلک من الروایة ذکر الطحال فیها،فإنّ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کونه من الدم،و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دم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مع ذلک لا نسلّم دلالة المرفوعة علی أزید من حرمة بیعه للأکل فقط تکلیفا،أو وضعا أیضا،کما نبّه علی ذلک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إرادة حرمة البیع للأکل،و لا شکّ فی تحریمه لما سیجیء من</w:t>
      </w:r>
    </w:p>
    <w:p>
      <w:pPr>
        <w:pStyle w:val="BookText"/>
        <w:rPr/>
      </w:pPr>
      <w:r>
        <w:rPr>
          <w:rFonts w:ascii="IRNazanin" w:hAnsi="IRNazanin" w:eastAsia="IRNazanin"/>
          <w:color w:val="111111"/>
          <w:sz w:val="28"/>
          <w:sz w:val="28"/>
          <w:szCs w:val="28"/>
          <w:rtl w:val="true"/>
          <w:lang w:bidi="fa-IR"/>
        </w:rPr>
        <w:t xml:space="preserve">أنّ قصد المنفعة المحرّمة فی المبیع موجب لحرمة البیع بل بطلانه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حرمة بیعه لغیر الأکل فلا دلالة علیه من الروایة لا وضعا و لا تکلیفا،و الشاهد لذلک أنه لا ریب فی جواز بیع الامور المذکورة فیها لغیر الأکل کإطعام الحیوان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یتوهّم أنّ بیع الدم لمّا کان إعانة علی الإثم فیکون محرّما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ما سیأتی </w:t>
      </w:r>
      <w:r>
        <w:rPr>
          <w:rStyle w:val="FootnoteAnchor"/>
          <w:rtl w:val="true"/>
        </w:rPr>
        <w:footnoteReference w:id="177"/>
      </w:r>
      <w:r>
        <w:rPr>
          <w:rFonts w:ascii="IRNazanin" w:hAnsi="IRNazanin" w:eastAsia="IRNazanin"/>
          <w:color w:val="111111"/>
          <w:sz w:val="28"/>
          <w:sz w:val="28"/>
          <w:szCs w:val="28"/>
          <w:rtl w:val="true"/>
          <w:lang w:bidi="fa-IR"/>
        </w:rPr>
        <w:t>من عدم الدلیل علی حرمتها،أنّ النسبة بینها و بین بیع الدم هو العموم من وجه،فإنّه قد یشتریه الإنسان لغیر الأکل کالصبغ و التسمید و نحوهما،فلا یلزم منه إعانة علی الإثم بوجه،و علی تقدیر کونه إعانة علی الإثم فالنهی إنّما تعلّق بعنوان خارج عن البیع،فلا یدل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استدلّ العلاّمة المامقانی </w:t>
      </w:r>
      <w:r>
        <w:rPr>
          <w:rStyle w:val="FootnoteAnchor"/>
          <w:rtl w:val="true"/>
        </w:rPr>
        <w:footnoteReference w:id="178"/>
      </w:r>
      <w:r>
        <w:rPr>
          <w:rFonts w:ascii="IRNazanin" w:hAnsi="IRNazanin" w:eastAsia="IRNazanin"/>
          <w:color w:val="111111"/>
          <w:sz w:val="28"/>
          <w:sz w:val="28"/>
          <w:szCs w:val="28"/>
          <w:rtl w:val="true"/>
          <w:lang w:bidi="fa-IR"/>
        </w:rPr>
        <w:t xml:space="preserve">علی حرمة بیعه بما دلّ من الکتاب </w:t>
      </w:r>
      <w:r>
        <w:rPr>
          <w:rStyle w:val="FootnoteAnchor"/>
          <w:rtl w:val="true"/>
        </w:rPr>
        <w:footnoteReference w:id="179"/>
      </w:r>
      <w:r>
        <w:rPr>
          <w:rFonts w:ascii="Amiri" w:hAnsi="Amiri" w:eastAsia="Amiri" w:cs="Amiri"/>
          <w:color w:val="111111"/>
          <w:sz w:val="28"/>
          <w:sz w:val="28"/>
          <w:szCs w:val="28"/>
          <w:rtl w:val="true"/>
          <w:lang w:bidi="ar-SA"/>
        </w:rPr>
        <w:t xml:space="preserve">و السنّة </w:t>
      </w:r>
      <w:r>
        <w:rPr>
          <w:rStyle w:val="FootnoteAnchor"/>
          <w:rtl w:val="true"/>
        </w:rPr>
        <w:footnoteReference w:id="180"/>
      </w:r>
      <w:r>
        <w:rPr>
          <w:rFonts w:ascii="IRNazanin" w:hAnsi="IRNazanin" w:eastAsia="IRNazanin"/>
          <w:color w:val="111111"/>
          <w:sz w:val="28"/>
          <w:sz w:val="28"/>
          <w:szCs w:val="28"/>
          <w:rtl w:val="true"/>
          <w:lang w:bidi="fa-IR"/>
        </w:rPr>
        <w:t>علی تحریم الدم بضمیمة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تقدّم فی النبوی،أنّ المراد من تحریم الدم فی الکتاب و السنّة إنّما هو تحریم أکله،و قد عرفت مرارا أنّه لا ملازمة بینه و بین حرمة الثمن</w:t>
      </w:r>
      <w:r>
        <w:rPr>
          <w:rFonts w:eastAsia="IRNazanin" w:cs="IRNazanin"/>
          <w:color w:val="111111"/>
          <w:sz w:val="28"/>
          <w:szCs w:val="28"/>
          <w:rtl w:val="true"/>
          <w:lang w:bidi="fa-IR"/>
        </w:rPr>
        <w:t>.</w:t>
      </w:r>
      <w:bookmarkStart w:id="113" w:name="pg5064_65193"/>
    </w:p>
    <w:p>
      <w:pPr>
        <w:pStyle w:val="Heading3"/>
        <w:numPr>
          <w:ilvl w:val="2"/>
          <w:numId w:val="1"/>
        </w:numPr>
        <w:rPr/>
      </w:pPr>
      <w:bookmarkStart w:id="114" w:name="__RefHeading___Toc910016_774463916"/>
      <w:bookmarkStart w:id="115" w:name="_Toc42"/>
      <w:bookmarkEnd w:id="113"/>
      <w:bookmarkEnd w:id="114"/>
      <w:r>
        <w:rPr>
          <w:rtl w:val="true"/>
        </w:rPr>
        <w:t>بیع المنی</w:t>
      </w:r>
      <w:bookmarkEnd w:id="115"/>
    </w:p>
    <w:p>
      <w:pPr>
        <w:pStyle w:val="Heading4"/>
        <w:numPr>
          <w:ilvl w:val="3"/>
          <w:numId w:val="1"/>
        </w:numPr>
        <w:rPr/>
      </w:pPr>
      <w:bookmarkStart w:id="116" w:name="__RefHeading___Toc910018_774463916"/>
      <w:bookmarkStart w:id="117" w:name="_Toc43"/>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حرمة بیع المنی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التعرّض لبیان جهات المسألة و أحکامها لا بدّ و أن یعلم أنّ المنی إنّما یطلق علی ما خرج من المخرج و اریق کما ذکره بعض أهل اللغة فی وجه تسمیته </w:t>
      </w:r>
      <w:r>
        <w:rPr>
          <w:rStyle w:val="FootnoteAnchor"/>
          <w:rtl w:val="true"/>
        </w:rPr>
        <w:footnoteReference w:id="182"/>
      </w:r>
      <w:r>
        <w:rPr>
          <w:rFonts w:ascii="IRNazanin" w:hAnsi="IRNazanin" w:eastAsia="IRNazanin"/>
          <w:color w:val="111111"/>
          <w:sz w:val="28"/>
          <w:sz w:val="28"/>
          <w:szCs w:val="28"/>
          <w:rtl w:val="true"/>
          <w:lang w:bidi="fa-IR"/>
        </w:rPr>
        <w:t>،و هذا بخلاف عسیب الفحل فإنّ له معانی عدیدة،و الذی یناسب منها المقام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الطروقة،و ماء الفحل فی الأصلاب،و اجرة الضراب،و إعطاء الکراء علی الضراب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ارید منه المعنیان الأخیران فیکون ذلک بنفسه موردا للنهی فی الروایات الناهیة عنه،و إن ارید المعنیان الأوّلان فیکون الذی فی الحدیث بتقدیر المضاف،فالتقدیر فی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عسیب الفحل أنه نهی عن بیعه أو عن کرائه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نصّ علی ذلک کثیر من اللغویین </w:t>
      </w:r>
      <w:r>
        <w:rPr>
          <w:rStyle w:val="FootnoteAnchor"/>
          <w:rtl w:val="true"/>
        </w:rPr>
        <w:footnoteReference w:id="183"/>
      </w:r>
      <w:r>
        <w:rPr>
          <w:rFonts w:ascii="IRNazanin" w:hAnsi="IRNazanin" w:eastAsia="IRNazanin"/>
          <w:color w:val="111111"/>
          <w:sz w:val="28"/>
          <w:sz w:val="28"/>
          <w:szCs w:val="28"/>
          <w:rtl w:val="true"/>
          <w:lang w:bidi="fa-IR"/>
        </w:rPr>
        <w:t>و لکنّ الغرض فیما</w:t>
      </w:r>
      <w:bookmarkStart w:id="118" w:name="pg5064_65194"/>
    </w:p>
    <w:p>
      <w:pPr>
        <w:pStyle w:val="BookText"/>
        <w:rPr/>
      </w:pPr>
      <w:bookmarkEnd w:id="118"/>
      <w:r>
        <w:rPr>
          <w:rFonts w:ascii="IRNazanin" w:hAnsi="IRNazanin" w:eastAsia="IRNazanin"/>
          <w:color w:val="111111"/>
          <w:sz w:val="28"/>
          <w:sz w:val="28"/>
          <w:szCs w:val="28"/>
          <w:rtl w:val="true"/>
          <w:lang w:bidi="fa-IR"/>
        </w:rPr>
        <w:t>نحن فیه هو الکسب کما اشیر إلیه فی النبوی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فی إفراد المصنّف و بعض آخر عسیب الفحل عن المنی هو الفرق المذکور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تحقیق الکلام فی هذه المسألة یقع فی ثلاث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المنی إذا وقع فی خارج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بیعه بعد وقوعه فیه،و یسمّی بالملاقیح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ماء الفحول فی أصلابها،و یسمّی بعسیب الفحل</w:t>
      </w:r>
      <w:r>
        <w:rPr>
          <w:rFonts w:eastAsia="IRNazanin" w:cs="IRNazanin"/>
          <w:color w:val="111111"/>
          <w:sz w:val="28"/>
          <w:szCs w:val="28"/>
          <w:rtl w:val="true"/>
          <w:lang w:bidi="fa-IR"/>
        </w:rPr>
        <w:t>.</w:t>
      </w:r>
    </w:p>
    <w:p>
      <w:pPr>
        <w:pStyle w:val="Heading4"/>
        <w:numPr>
          <w:ilvl w:val="3"/>
          <w:numId w:val="1"/>
        </w:numPr>
        <w:rPr/>
      </w:pPr>
      <w:bookmarkStart w:id="119" w:name="__RefHeading___Toc910020_774463916"/>
      <w:bookmarkStart w:id="120" w:name="_Toc44"/>
      <w:bookmarkEnd w:id="119"/>
      <w:r>
        <w:rPr>
          <w:rtl w:val="true"/>
        </w:rPr>
        <w:t>الدلیل علی حرمة بیعه اذا وقع خارج الرحم</w:t>
      </w:r>
      <w:bookmarkEnd w:id="12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فحکم المصنّف بحرمة بیعه،لنجاسته و عدم الانتفاع به إذا وقع فی خارج الرحم،و کذلک یحرم بیعه عند کل من یری النجاسة مانعة عن البیع و منهم المالکیة و الحنابلة </w:t>
      </w:r>
      <w:r>
        <w:rPr>
          <w:rStyle w:val="FootnoteAnchor"/>
          <w:rtl w:val="true"/>
        </w:rPr>
        <w:footnoteReference w:id="184"/>
      </w:r>
      <w:r>
        <w:rPr>
          <w:rFonts w:ascii="IRNazanin" w:hAnsi="IRNazanin" w:eastAsia="IRNazanin"/>
          <w:color w:val="111111"/>
          <w:sz w:val="28"/>
          <w:sz w:val="28"/>
          <w:szCs w:val="28"/>
          <w:rtl w:val="true"/>
          <w:lang w:bidi="fa-IR"/>
        </w:rPr>
        <w:t xml:space="preserve">غیر الشافعیة فإنّهم و إن ذهبوا إلی مانعیة النجاسة عن البیع إلاّ أنّهم یرون طهارة المنی فی بعض الصور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121" w:name="pg5064_65195"/>
    </w:p>
    <w:p>
      <w:pPr>
        <w:pStyle w:val="BookText"/>
        <w:rPr/>
      </w:pPr>
      <w:bookmarkEnd w:id="121"/>
      <w:r>
        <w:rPr>
          <w:rFonts w:ascii="IRNazanin" w:hAnsi="IRNazanin" w:eastAsia="IRNazanin"/>
          <w:color w:val="111111"/>
          <w:sz w:val="28"/>
          <w:sz w:val="28"/>
          <w:szCs w:val="28"/>
          <w:rtl w:val="true"/>
          <w:lang w:bidi="fa-IR"/>
        </w:rPr>
        <w:t xml:space="preserve">أمّا النجاسة فظهر ما فی ما نعیتها عن البیع من المسائل المتقدّمة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عدم الانتفاع به فمانعیته عنه تتوقّف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حرمة الانتفاع به إذا وقع فی خارج الرحم،و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المالیة فی البیع،فبانتفاء أحدهما یثبت جواز بیعه،و حیث عرفت </w:t>
      </w:r>
      <w:r>
        <w:rPr>
          <w:rStyle w:val="FootnoteAnchor"/>
          <w:rtl w:val="true"/>
        </w:rPr>
        <w:footnoteReference w:id="187"/>
      </w:r>
      <w:r>
        <w:rPr>
          <w:rFonts w:ascii="IRNazanin" w:hAnsi="IRNazanin" w:eastAsia="IRNazanin"/>
          <w:color w:val="111111"/>
          <w:sz w:val="28"/>
          <w:sz w:val="28"/>
          <w:szCs w:val="28"/>
          <w:rtl w:val="true"/>
          <w:lang w:bidi="fa-IR"/>
        </w:rPr>
        <w:t xml:space="preserve">و ستعرف </w:t>
      </w:r>
      <w:r>
        <w:rPr>
          <w:rStyle w:val="FootnoteAnchor"/>
          <w:rtl w:val="true"/>
        </w:rPr>
        <w:footnoteReference w:id="188"/>
      </w:r>
      <w:r>
        <w:rPr>
          <w:rFonts w:ascii="IRNazanin" w:hAnsi="IRNazanin" w:eastAsia="IRNazanin"/>
          <w:color w:val="111111"/>
          <w:sz w:val="28"/>
          <w:sz w:val="28"/>
          <w:szCs w:val="28"/>
          <w:rtl w:val="true"/>
          <w:lang w:bidi="fa-IR"/>
        </w:rPr>
        <w:t>عدم اعتبار المالیة فیه فیحکم بجواز بیعه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لو تمّ ذلک لمنع عن بیعه وضعا فقط کما هو واضح</w:t>
      </w:r>
      <w:r>
        <w:rPr>
          <w:rFonts w:eastAsia="IRNazanin" w:cs="IRNazanin"/>
          <w:color w:val="111111"/>
          <w:sz w:val="28"/>
          <w:szCs w:val="28"/>
          <w:rtl w:val="true"/>
          <w:lang w:bidi="fa-IR"/>
        </w:rPr>
        <w:t>.</w:t>
      </w:r>
    </w:p>
    <w:p>
      <w:pPr>
        <w:pStyle w:val="Heading4"/>
        <w:numPr>
          <w:ilvl w:val="3"/>
          <w:numId w:val="1"/>
        </w:numPr>
        <w:rPr/>
      </w:pPr>
      <w:bookmarkStart w:id="122" w:name="__RefHeading___Toc910022_774463916"/>
      <w:bookmarkStart w:id="123" w:name="_Toc45"/>
      <w:bookmarkEnd w:id="122"/>
      <w:r>
        <w:rPr>
          <w:rtl w:val="true"/>
        </w:rPr>
        <w:t>بیعه بعد وقوعه فی الرحم</w:t>
      </w:r>
      <w:bookmarkEnd w:id="123"/>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نعرف خلافا بین العلماء فی فساد بیع الملاقیح،للجهالة و عدم القدرة علی التسلیم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قلنا بتبعیة النماء للحیوان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فبمجرد وقوع المنی فی الرحم یصیر ملکا لمالک الحیوان بالتبعیة،لکونه جزءا منه کما کان قبل ذلک جزءا من الفحل و ملکا لمالکه بالتبع،و علی هذا فلا یجوز بیعه لا من صاحب الانثی و لا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بعدم الجزئیة و التبعیة،بل بکونه کالبذر المغروس فی أرض الغیر،فالظاهر جواز بیعه مطلقا،سواء کان من صاحب الانثی أو من غیره،حتّی بناء علی اعتبار المالیة فی العوضین،لکونه مالا فی هذه الصورة</w:t>
      </w:r>
    </w:p>
    <w:p>
      <w:pPr>
        <w:pStyle w:val="BookText"/>
        <w:rPr/>
      </w:pPr>
      <w:r>
        <w:rPr>
          <w:rFonts w:ascii="IRNazanin" w:hAnsi="IRNazanin" w:eastAsia="IRNazanin"/>
          <w:color w:val="111111"/>
          <w:sz w:val="28"/>
          <w:sz w:val="28"/>
          <w:szCs w:val="28"/>
          <w:rtl w:val="true"/>
          <w:lang w:bidi="fa-IR"/>
        </w:rPr>
        <w:t>فتجوز المعاوضة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جواز بیعه حینئذ لنجاسته کما فی المتن فمن العجائب،کیف فإنّها منتفیة قطعا إذا خرج من الباطن إلی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أنّها لو کانت مانعة لمنعت عن بیعه لأجل المنافع التی تتوقّف علی عدمها لا مطلقا،علی أنّک عرفت </w:t>
      </w:r>
      <w:r>
        <w:rPr>
          <w:rStyle w:val="FootnoteAnchor"/>
          <w:rtl w:val="true"/>
        </w:rPr>
        <w:footnoteReference w:id="190"/>
      </w:r>
      <w:r>
        <w:rPr>
          <w:rFonts w:ascii="IRNazanin" w:hAnsi="IRNazanin" w:eastAsia="IRNazanin"/>
          <w:color w:val="111111"/>
          <w:sz w:val="28"/>
          <w:sz w:val="28"/>
          <w:szCs w:val="28"/>
          <w:rtl w:val="true"/>
          <w:lang w:bidi="fa-IR"/>
        </w:rPr>
        <w:t xml:space="preserve">عدم مانعیتها عن البیع،و ستعرف </w:t>
      </w:r>
      <w:r>
        <w:rPr>
          <w:rStyle w:val="FootnoteAnchor"/>
          <w:rtl w:val="true"/>
        </w:rPr>
        <w:footnoteReference w:id="191"/>
      </w:r>
      <w:r>
        <w:rPr>
          <w:rFonts w:ascii="IRNazanin" w:hAnsi="IRNazanin" w:eastAsia="IRNazanin"/>
          <w:color w:val="111111"/>
          <w:sz w:val="28"/>
          <w:sz w:val="28"/>
          <w:szCs w:val="28"/>
          <w:rtl w:val="true"/>
          <w:lang w:bidi="fa-IR"/>
        </w:rPr>
        <w:t>اعتراف المصنّف بذلک فی بیع المیتة،فإنّه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فمجرد النجاسة لا تصلح علّة لمنع البیع لو لا الإجماع علی حرمة بیع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الجهالة و عدم القدرة علی التسلیم فلا تکونان مانعتین عن بیع الملاقیح لأنّها لا تختلف قیمتها باختلاف الکم و الکیف،و أنّ تسلیم کل شیء بحسب حاله و هو فی المنی وقوعه فی الرحم،فهو حاصل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الجهالة و عدم القدرة علی التسلیم إنّما تمنعان عن البیع لأجل الغرر المنهی عنه فی البیع کما یأتی فی البیع الغرری </w:t>
      </w:r>
      <w:r>
        <w:rPr>
          <w:rStyle w:val="FootnoteAnchor"/>
          <w:rtl w:val="true"/>
        </w:rPr>
        <w:footnoteReference w:id="192"/>
      </w:r>
      <w:r>
        <w:rPr>
          <w:rFonts w:ascii="IRNazanin" w:hAnsi="IRNazanin" w:eastAsia="IRNazanin"/>
          <w:color w:val="111111"/>
          <w:sz w:val="28"/>
          <w:sz w:val="28"/>
          <w:szCs w:val="28"/>
          <w:rtl w:val="true"/>
          <w:lang w:bidi="fa-IR"/>
        </w:rPr>
        <w:t>،ففی بیع الملاقیح لیس غرر لا من ناحیة الجهالة و لا من ناحیة عدم القدرة علی التسلیم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الذی یسهل الخطب أنّ السیرة القطعیة من العقلاء و المتشرّعة قائمة علی تبعیة النتاج للامّهات فی الحیوانات،و قد أمضاها الشارع،فلا یمکن التخطّی عنها،کما أنّ الولد للفراش فی الإنسان بالنصّ </w:t>
      </w:r>
      <w:r>
        <w:rPr>
          <w:rStyle w:val="FootnoteAnchor"/>
          <w:rtl w:val="true"/>
        </w:rPr>
        <w:footnoteReference w:id="193"/>
      </w:r>
      <w:r>
        <w:rPr>
          <w:rFonts w:ascii="IRNazanin" w:hAnsi="IRNazanin" w:eastAsia="IRNazanin"/>
          <w:color w:val="111111"/>
          <w:sz w:val="28"/>
          <w:sz w:val="28"/>
          <w:szCs w:val="28"/>
          <w:rtl w:val="true"/>
          <w:lang w:bidi="fa-IR"/>
        </w:rPr>
        <w:t>و الإجماع القطعیین،و من هنا یعاملون مع نتاج الحیوانات معاملة الملک حتّی مع العلم بأنّ اللقاح حصل من فحل شخص آخر،و إلاّ فکان اللازم علیهم إمّا ردّ النتاج إلی صاحب الفحل إن کان</w:t>
      </w:r>
      <w:bookmarkStart w:id="124" w:name="pg5064_65197"/>
    </w:p>
    <w:p>
      <w:pPr>
        <w:pStyle w:val="BookText"/>
        <w:rPr/>
      </w:pPr>
      <w:bookmarkEnd w:id="124"/>
      <w:r>
        <w:rPr>
          <w:rFonts w:ascii="IRNazanin" w:hAnsi="IRNazanin" w:eastAsia="IRNazanin"/>
          <w:color w:val="111111"/>
          <w:sz w:val="28"/>
          <w:sz w:val="28"/>
          <w:szCs w:val="28"/>
          <w:rtl w:val="true"/>
          <w:lang w:bidi="fa-IR"/>
        </w:rPr>
        <w:t>معلوما،أو المعاملة معه معاملة مجهول المالک إن کان المالک مجهولا،و هذا شیء لا یتفوّه به ذو مسکة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 الإجماع التعبّدی علی البطلان فدعوی جزافیة بعد العلم و لا أقل من الاحتمال بکونه مستندا إلی الوجوه المذکورة لبطلان بیع الملاقیح و قیاس ذلک بالبذر المغروس فی أرض الغیر باطل بعد قیام الدلیل علی الفرق</w:t>
      </w:r>
      <w:r>
        <w:rPr>
          <w:rFonts w:eastAsia="IRNazanin" w:cs="IRNazanin"/>
          <w:color w:val="111111"/>
          <w:sz w:val="28"/>
          <w:szCs w:val="28"/>
          <w:rtl w:val="true"/>
          <w:lang w:bidi="fa-IR"/>
        </w:rPr>
        <w:t>.</w:t>
      </w:r>
    </w:p>
    <w:p>
      <w:pPr>
        <w:pStyle w:val="Heading4"/>
        <w:numPr>
          <w:ilvl w:val="3"/>
          <w:numId w:val="1"/>
        </w:numPr>
        <w:rPr/>
      </w:pPr>
      <w:bookmarkStart w:id="125" w:name="__RefHeading___Toc910024_774463916"/>
      <w:bookmarkStart w:id="126" w:name="_Toc46"/>
      <w:bookmarkEnd w:id="125"/>
      <w:r>
        <w:rPr>
          <w:rtl w:val="true"/>
        </w:rPr>
        <w:t>بیعه و هو فی أصلاب الفحول</w:t>
      </w:r>
      <w:bookmarkEnd w:id="1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 الخلاف بین الفقهاء فی حرمة بیع عسیب الفحل قال فی التذکرة بعد کلامه المتقدّم فی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بیع عسیب الفحل و هو نطفته لأنّه غیر متقوّم و لا معلوم و لا مقدور علیه،و لا نعلم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الخلاف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إجارة الفحل للضراب مکروه و لیس بمحظور،و عقد الإجارة علیه غیر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ادّعی الإجماع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المستند حکم بکراهة اجرة الضراب،و حمل علیها الأخبار الناهیة عنها،للإجماع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وقع الخلاف فی ذلک بین العامّة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تحقیق هذه الجهة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القواعد،و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علی بطلان المعاملة علی عسیب الفحل بالبیع أو بالإجارة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یرد نص و لا انعقد إجماع علی اعتبار العلم بعوضی المعاملة لیلزم من جهالتهما بطلانها،بل إنّما نعتبر ذلک فیها من جهة الغرر المرتفع بالعلم بالطروقة و الاجتماع،فإنّ الغرض من المعاملة علی عسیب الفحل هو ذلک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القدرة علی التسلیم،بدعوی أنّ إحبال الحیوان غیر مقدور علیه،فلا تصح الإجارة علیه،لأنّ ذلک لیس فی 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 فی أصلاب الفحول أیضا غیر مقدور علی تسلیمه،فلا یصح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ذلک فی المعاملة أیضا من جهة الغرر،فحیث کان النظر فی ذلک إلی الطروقة و الاجتماع فیترفع الغرر عنها،فإنّ تسلیم کل شیء بحسبه کما عرفت فی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کون ما فی أصلاب الفحول مالا،لکونه ماء مهینا لا قیمة له فیکون العقد علیه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اعتبار المالیة فی عوضی المعاملة أنّ قوامها إنّما هو باعتبار العقلاء و رغبتهم،فلا شبهة فی ترتّب الغرض المهم علی ما فی أصلاب الفحول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تم شیء من تلک الوجوه لدلّ علی الحرمة الوضعیة دون التکلیفیة و أمّا توهّم مانعیة النجاسة عنها هنا لتکون دلیلا علی الحرمة التکلیفیة فممّا لا یصغی إلیه،فإنّه مع تسلیم مانعیتها عن المعاملة فلا دلیل علی نجاسة ما فی الأصلاب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فالروایات الواردة هنا علی طائفتین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علی حرمة بیع عسیب الدابة و إکرائها علی الضراب،و أنّ ثمن ذلک سحت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بعض الروایات من طرق العامّة أیضا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علی جواز إکراء التیوس و نفی البأس عن أخذ اجورها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الجمع بینهما هو حمل الطائفة الاولی المانعة علی الکراهة،و لا یمنع عن ذلک إطلاق السحت علی ثمن عسیب الفحل فی روایة الجعفریات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،فإنّک قد عرفت فی بیع العذرة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إطلاقه علی الکراهة الاصطلاحیة فی مواضع شتّی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النبوی و روایة الجعفریات بنفسهما ظاهرتان فی الکراهة المصطلحة،لاشتمالهما علی ما لیس بمحرّم قطعا،فإنّه ذکر المنع فی الجعفریات عن بیع جلود السباع و أجر القاری مع أنّهما لیسا بمحرّمین جزما،و فی النبوی نهی عن لبس ثیاب ینسج بالشام مع عدم ثبوت حرمته،علی أنّ النبوی کمرسلة الصدوق</w:t>
      </w:r>
      <w:bookmarkStart w:id="127" w:name="pg5064_65201"/>
    </w:p>
    <w:p>
      <w:pPr>
        <w:pStyle w:val="BookText"/>
        <w:rPr/>
      </w:pPr>
      <w:bookmarkEnd w:id="127"/>
      <w:r>
        <w:rPr>
          <w:rFonts w:ascii="IRNazanin" w:hAnsi="IRNazanin" w:eastAsia="IRNazanin"/>
          <w:color w:val="111111"/>
          <w:sz w:val="28"/>
          <w:sz w:val="28"/>
          <w:szCs w:val="28"/>
          <w:rtl w:val="true"/>
          <w:lang w:bidi="fa-IR"/>
        </w:rPr>
        <w:t>و دعائم الإسلام و المنقول من طرق العامّة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ثبوت الترخیص فی بعض الامور المذکورة فیهما بدلیل خارجی لا یوجب ثبوته فی غیره،کیف و قد ثبت فی الشریعة المقدّسة استحباب بعض الأغسال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کغسل الجمعة و العیدین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أنّها ذکرت فی جملة من الروایات </w:t>
      </w:r>
      <w:r>
        <w:rPr>
          <w:rStyle w:val="FootnoteAnchor"/>
          <w:rtl w:val="true"/>
        </w:rPr>
        <w:footnoteReference w:id="198"/>
      </w:r>
      <w:r>
        <w:rPr>
          <w:rFonts w:ascii="IRNazanin" w:hAnsi="IRNazanin" w:eastAsia="IRNazanin"/>
          <w:color w:val="111111"/>
          <w:sz w:val="28"/>
          <w:sz w:val="28"/>
          <w:szCs w:val="28"/>
          <w:rtl w:val="true"/>
          <w:lang w:bidi="fa-IR"/>
        </w:rPr>
        <w:t>فی عداد الأغسال الواجبة کغسل الجنابة و المیّت و مسّ المیّت،نعم لم تثبت من تلک الروایات المانعة إلاّ وثاقة روایة الجعفریات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النهی عن بیع عسیب الفحل فی النبوی لا یوجب حرمة المعاملة وضعا،بل التکسّب به حرام تکلیفا،و الشاهد علی ذلک أنّ فی الروایة نهیا عمّا هو حرام بذاته مثل ثمن الکلب و ما هو حرام بالعرض مثل خاتم الذهب،فإنّه لیس بذاته من المحرّمات،بل لبسه و التختّم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وجه لحمل الطائفة المانعة علی التقیّة،لما عرفت من کون المسألة محل الخلاف بین العامّة أیضا</w:t>
      </w:r>
      <w:r>
        <w:rPr>
          <w:rFonts w:eastAsia="IRNazanin" w:cs="IRNazanin"/>
          <w:color w:val="111111"/>
          <w:sz w:val="28"/>
          <w:szCs w:val="28"/>
          <w:rtl w:val="true"/>
          <w:lang w:bidi="fa-IR"/>
        </w:rPr>
        <w:t>.</w:t>
      </w:r>
    </w:p>
    <w:p>
      <w:pPr>
        <w:pStyle w:val="Heading3"/>
        <w:numPr>
          <w:ilvl w:val="2"/>
          <w:numId w:val="1"/>
        </w:numPr>
        <w:rPr/>
      </w:pPr>
      <w:bookmarkStart w:id="128" w:name="__RefHeading___Toc910026_774463916"/>
      <w:bookmarkStart w:id="129" w:name="_Toc47"/>
      <w:bookmarkEnd w:id="128"/>
      <w:r>
        <w:rPr>
          <w:rtl w:val="true"/>
        </w:rPr>
        <w:t>جواز الانتفاع بالمیتة و حرمة بیعها</w:t>
      </w:r>
      <w:bookmarkEnd w:id="129"/>
    </w:p>
    <w:p>
      <w:pPr>
        <w:pStyle w:val="Heading4"/>
        <w:numPr>
          <w:ilvl w:val="3"/>
          <w:numId w:val="1"/>
        </w:numPr>
        <w:rPr/>
      </w:pPr>
      <w:bookmarkStart w:id="130" w:name="__RefHeading___Toc910028_774463916"/>
      <w:bookmarkStart w:id="131" w:name="_Toc48"/>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تحرم المعاوضة علی المیتة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هذه المسألة فی مقامین،و قد خلط المصنّف بینهما،الأول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الانتفاع بالمیتة،و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بیعها،و تقدیم الأول للبحث عنه أولی من</w:t>
      </w:r>
      <w:bookmarkStart w:id="132" w:name="pg5064_65202"/>
    </w:p>
    <w:p>
      <w:pPr>
        <w:pStyle w:val="BookText"/>
        <w:rPr/>
      </w:pPr>
      <w:bookmarkEnd w:id="132"/>
      <w:r>
        <w:rPr>
          <w:rFonts w:ascii="IRNazanin" w:hAnsi="IRNazanin" w:eastAsia="IRNazanin"/>
          <w:color w:val="111111"/>
          <w:sz w:val="28"/>
          <w:sz w:val="28"/>
          <w:szCs w:val="28"/>
          <w:rtl w:val="true"/>
          <w:lang w:bidi="fa-IR"/>
        </w:rPr>
        <w:t>تقدیم الثانی و إن عکسه المصنّف</w:t>
      </w:r>
      <w:r>
        <w:rPr>
          <w:rFonts w:eastAsia="IRNazanin" w:cs="IRNazanin"/>
          <w:color w:val="111111"/>
          <w:sz w:val="28"/>
          <w:szCs w:val="28"/>
          <w:rtl w:val="true"/>
          <w:lang w:bidi="fa-IR"/>
        </w:rPr>
        <w:t>.</w:t>
      </w:r>
    </w:p>
    <w:p>
      <w:pPr>
        <w:pStyle w:val="Heading4"/>
        <w:numPr>
          <w:ilvl w:val="3"/>
          <w:numId w:val="1"/>
        </w:numPr>
        <w:rPr/>
      </w:pPr>
      <w:bookmarkStart w:id="133" w:name="__RefHeading___Toc910030_774463916"/>
      <w:bookmarkStart w:id="134" w:name="_Toc49"/>
      <w:bookmarkEnd w:id="133"/>
      <w:r>
        <w:rPr>
          <w:rtl w:val="true"/>
        </w:rPr>
        <w:t>الانتفاع بها</w:t>
      </w:r>
      <w:bookmarkEnd w:id="134"/>
    </w:p>
    <w:p>
      <w:pPr>
        <w:pStyle w:val="Heading5"/>
        <w:numPr>
          <w:ilvl w:val="4"/>
          <w:numId w:val="1"/>
        </w:numPr>
        <w:rPr/>
      </w:pPr>
      <w:bookmarkStart w:id="135" w:name="__RefHeading___Toc910032_774463916"/>
      <w:bookmarkStart w:id="136" w:name="_Toc50"/>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مقتضی الأصل الأوّلی هو جواز الانتفاع بالمیتة إلاّ أنّ المشهور إنّما هو حرمة الانتفاع بها،ففی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المیتة و التصرف فیها و التکسّب بها حرام </w:t>
      </w:r>
      <w:r>
        <w:rPr>
          <w:rStyle w:val="FootnoteAnchor"/>
          <w:rtl w:val="true"/>
        </w:rPr>
        <w:footnoteReference w:id="200"/>
      </w:r>
      <w:r>
        <w:rPr>
          <w:rFonts w:ascii="IRNazanin" w:hAnsi="IRNazanin" w:eastAsia="IRNazanin"/>
          <w:color w:val="111111"/>
          <w:sz w:val="28"/>
          <w:sz w:val="28"/>
          <w:szCs w:val="28"/>
          <w:rtl w:val="true"/>
          <w:lang w:bidi="fa-IR"/>
        </w:rPr>
        <w:t>،و فی المراسم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التصرّف فی المیتة ببیع و غیره حرام </w:t>
      </w:r>
      <w:r>
        <w:rPr>
          <w:rStyle w:val="FootnoteAnchor"/>
          <w:rtl w:val="true"/>
        </w:rPr>
        <w:footnoteReference w:id="201"/>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الانتفاع بشیء من المیتة ممّا تحلّه الحیاة فضلا عن التکسّب </w:t>
      </w:r>
      <w:r>
        <w:rPr>
          <w:rStyle w:val="FootnoteAnchor"/>
          <w:rtl w:val="true"/>
        </w:rPr>
        <w:footnoteReference w:id="202"/>
      </w:r>
      <w:r>
        <w:rPr>
          <w:rFonts w:ascii="IRNazanin" w:hAnsi="IRNazanin" w:eastAsia="IRNazanin"/>
          <w:color w:val="111111"/>
          <w:sz w:val="28"/>
          <w:sz w:val="28"/>
          <w:szCs w:val="28"/>
          <w:rtl w:val="true"/>
          <w:lang w:bidi="fa-IR"/>
        </w:rPr>
        <w:t xml:space="preserve">،و علیه فتاوی أکثر العامة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المهم هنا صرف عنان الکلام إلی الروایات الخاصّة الواردة فی ذلک و هی علی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تدلّ علی حرمة الانتفاع بالمیتة،و الثانیة علی جواز الانتفاع بها</w:t>
      </w:r>
      <w:r>
        <w:rPr>
          <w:rFonts w:eastAsia="IRNazanin" w:cs="IRNazanin"/>
          <w:color w:val="111111"/>
          <w:sz w:val="28"/>
          <w:szCs w:val="28"/>
          <w:rtl w:val="true"/>
          <w:lang w:bidi="fa-IR"/>
        </w:rPr>
        <w:t>.</w:t>
      </w:r>
    </w:p>
    <w:p>
      <w:pPr>
        <w:pStyle w:val="Heading5"/>
        <w:numPr>
          <w:ilvl w:val="4"/>
          <w:numId w:val="1"/>
        </w:numPr>
        <w:rPr/>
      </w:pPr>
      <w:bookmarkStart w:id="137" w:name="__RefHeading___Toc910034_774463916"/>
      <w:bookmarkStart w:id="138" w:name="_Toc51"/>
      <w:bookmarkEnd w:id="137"/>
      <w:r>
        <w:rPr>
          <w:rtl w:val="true"/>
        </w:rPr>
        <w:t>الروایات الدالة علی حرمة الانتفاع بها</w:t>
      </w:r>
      <w:bookmarkEnd w:id="13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الطائفة الاولی فهی متظافرة،منها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مکاتبة قاسم الصیقل </w:t>
      </w:r>
      <w:r>
        <w:rPr>
          <w:rStyle w:val="FootnoteAnchor"/>
          <w:rtl w:val="true"/>
        </w:rPr>
        <w:footnoteReference w:id="204"/>
      </w:r>
      <w:r>
        <w:rPr>
          <w:rFonts w:ascii="Amiri" w:hAnsi="Amiri" w:eastAsia="Amiri" w:cs="Amiri"/>
          <w:color w:val="111111"/>
          <w:sz w:val="28"/>
          <w:sz w:val="28"/>
          <w:szCs w:val="28"/>
          <w:rtl w:val="true"/>
          <w:lang w:bidi="ar-SA"/>
        </w:rPr>
        <w:t>فإنّه سأل</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جواز جعل أغماد السیوف من جلود الحمر المیتة،فکتب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 تعمل وحشیا ذکیّا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مفهومها یدلّ علی حرمة الانتفاع بجلود غیر الذکی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ضعف سندها،أنّ مناط المنع فیها عن عمل أغماد السیوف من جلود الحمر المیتة لیس إلاّ من جهة إصابتها الثوب الذی یصلّی فیه السائل و من هنا أمره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یتّخذ ثوبا لصلاته،و أمّا أصل الانتفاع بها بعمل الأغماد منها فهو مسکوت عنه،فیبقی تحت أصالة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تدلّ علی جواز الانتفاع بالمیتة،و ذلک لأنّ السؤال فیها إنّما وقع عن أمرین،أحدهما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الأغماد من جلود الحمر المیتة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إصابتها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الثانی دون الأول لیس إلاّ تقریرا لجواز الانتفاع بالمیتة،و إلاّ فکان سکوته عنه مع کونه فی مقام البیان مخلاّ بالمقصود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الوجه فی قول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 تعمل وحشیا ذکیّا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بدّ من جعلها من جملة ما یدلّ علی جواز الانتفاع بها دون العکس</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الوشاء </w:t>
      </w:r>
      <w:r>
        <w:rPr>
          <w:rStyle w:val="FootnoteAnchor"/>
          <w:rtl w:val="true"/>
        </w:rPr>
        <w:footnoteReference w:id="205"/>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منع فیها عن استصباح الألیات</w:t>
      </w:r>
    </w:p>
    <w:p>
      <w:pPr>
        <w:pStyle w:val="BookText"/>
        <w:rPr/>
      </w:pPr>
      <w:r>
        <w:rPr>
          <w:rFonts w:ascii="IRNazanin" w:hAnsi="IRNazanin" w:eastAsia="IRNazanin"/>
          <w:color w:val="111111"/>
          <w:sz w:val="28"/>
          <w:sz w:val="28"/>
          <w:szCs w:val="28"/>
          <w:rtl w:val="true"/>
          <w:lang w:bidi="fa-IR"/>
        </w:rPr>
        <w:t>المبانة من الغنم الحی،لأنّه یستلزم إصابتها الید و الثوب و 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لم یکن إصابة الید و الثوب للمیتة و سائر النجاسات بل تلویث تمام البدن بهما حراما قطعا،فلا بدّ إمّا من أخذ التحریم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إرشادا إلی النجاسة کما فی الحدائق </w:t>
      </w:r>
      <w:r>
        <w:rPr>
          <w:rStyle w:val="FootnoteAnchor"/>
          <w:rtl w:val="true"/>
        </w:rPr>
        <w:footnoteReference w:id="206"/>
      </w:r>
      <w:r>
        <w:rPr>
          <w:rFonts w:ascii="IRNazanin" w:hAnsi="IRNazanin" w:eastAsia="IRNazanin"/>
          <w:color w:val="111111"/>
          <w:sz w:val="28"/>
          <w:sz w:val="28"/>
          <w:szCs w:val="28"/>
          <w:rtl w:val="true"/>
          <w:lang w:bidi="fa-IR"/>
        </w:rPr>
        <w:t>أو إلی المانعیة عن الصلاة،أو إلی صورة المعاملة معها معاملة المذکّی،بل عدم تعرّضه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الانتفاع بها بالاستصباح المسؤول عنه،و تصدّیه لبیان نجاستها أو مانعیتها عن الصلاة أدل دلیل علی جواز الانتفاع بها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ذلک و لکن لا بدّ من الاقتصار فیها علی موردها أعنی صورة إصابتها الید و الثوب،إلاّ أن یتمسّک فی غیر موردها بعدم القول بالفصل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دلالة الروایات المرویة عن الکاهلی </w:t>
      </w:r>
      <w:r>
        <w:rPr>
          <w:rStyle w:val="FootnoteAnchor"/>
          <w:rtl w:val="true"/>
        </w:rPr>
        <w:footnoteReference w:id="207"/>
      </w:r>
      <w:r>
        <w:rPr>
          <w:rFonts w:ascii="IRNazanin" w:hAnsi="IRNazanin" w:eastAsia="IRNazanin"/>
          <w:color w:val="111111"/>
          <w:sz w:val="28"/>
          <w:sz w:val="28"/>
          <w:szCs w:val="28"/>
          <w:rtl w:val="true"/>
          <w:lang w:bidi="fa-IR"/>
        </w:rPr>
        <w:t xml:space="preserve">و علی بن المغیرة </w:t>
      </w:r>
      <w:r>
        <w:rPr>
          <w:rStyle w:val="FootnoteAnchor"/>
          <w:rtl w:val="true"/>
        </w:rPr>
        <w:footnoteReference w:id="208"/>
      </w:r>
      <w:r>
        <w:rPr>
          <w:rFonts w:ascii="IRNazanin" w:hAnsi="IRNazanin" w:eastAsia="IRNazanin"/>
          <w:color w:val="111111"/>
          <w:sz w:val="28"/>
          <w:sz w:val="28"/>
          <w:szCs w:val="28"/>
          <w:rtl w:val="true"/>
          <w:lang w:bidi="fa-IR"/>
        </w:rPr>
        <w:t xml:space="preserve">و الجرجانی </w:t>
      </w:r>
      <w:r>
        <w:rPr>
          <w:rStyle w:val="FootnoteAnchor"/>
          <w:rtl w:val="true"/>
        </w:rPr>
        <w:footnoteReference w:id="209"/>
      </w:r>
      <w:bookmarkStart w:id="139" w:name="pg5064_65205"/>
    </w:p>
    <w:p>
      <w:pPr>
        <w:pStyle w:val="BookText"/>
        <w:rPr/>
      </w:pPr>
      <w:bookmarkEnd w:id="139"/>
      <w:r>
        <w:rPr>
          <w:rFonts w:ascii="Amiri" w:hAnsi="Amiri" w:eastAsia="Amiri" w:cs="Amiri"/>
          <w:color w:val="111111"/>
          <w:sz w:val="28"/>
          <w:sz w:val="28"/>
          <w:szCs w:val="28"/>
          <w:rtl w:val="true"/>
          <w:lang w:bidi="ar-SA"/>
        </w:rPr>
        <w:t xml:space="preserve">و سماعة </w:t>
      </w:r>
      <w:r>
        <w:rPr>
          <w:rStyle w:val="FootnoteAnchor"/>
          <w:rtl w:val="true"/>
        </w:rPr>
        <w:footnoteReference w:id="210"/>
      </w:r>
      <w:r>
        <w:rPr>
          <w:rFonts w:ascii="IRNazanin" w:hAnsi="IRNazanin" w:eastAsia="IRNazanin"/>
          <w:color w:val="111111"/>
          <w:sz w:val="28"/>
          <w:sz w:val="28"/>
          <w:szCs w:val="28"/>
          <w:rtl w:val="true"/>
          <w:lang w:bidi="fa-IR"/>
        </w:rPr>
        <w:t xml:space="preserve">و غیرها </w:t>
      </w:r>
      <w:r>
        <w:rPr>
          <w:rStyle w:val="FootnoteAnchor"/>
          <w:rtl w:val="true"/>
        </w:rPr>
        <w:footnoteReference w:id="211"/>
      </w:r>
      <w:r>
        <w:rPr>
          <w:rFonts w:ascii="IRNazanin" w:hAnsi="IRNazanin" w:eastAsia="IRNazanin"/>
          <w:color w:val="111111"/>
          <w:sz w:val="28"/>
          <w:sz w:val="28"/>
          <w:szCs w:val="28"/>
          <w:rtl w:val="true"/>
          <w:lang w:bidi="fa-IR"/>
        </w:rPr>
        <w:t xml:space="preserve">علی حرمة الانتفاع بالمیتة غنی و کفایة،و قد ذکر ذلک فی أحادیث أهل السنّة </w:t>
      </w:r>
      <w:r>
        <w:rPr>
          <w:rStyle w:val="FootnoteAnchor"/>
          <w:rtl w:val="true"/>
        </w:rPr>
        <w:footnoteReference w:id="21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5"/>
        <w:numPr>
          <w:ilvl w:val="4"/>
          <w:numId w:val="1"/>
        </w:numPr>
        <w:rPr/>
      </w:pPr>
      <w:bookmarkStart w:id="140" w:name="__RefHeading___Toc910036_774463916"/>
      <w:bookmarkStart w:id="141" w:name="_Toc52"/>
      <w:bookmarkEnd w:id="140"/>
      <w:r>
        <w:rPr>
          <w:rtl w:val="true"/>
        </w:rPr>
        <w:t>الروایات الدالة علی جواز الانتفاع بها</w:t>
      </w:r>
      <w:bookmarkEnd w:id="14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أیضا کثیرة مستفیضة،منها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 الصیقل و الوشاء المتقدّمتان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أبی القاسم الصیقل و ولده </w:t>
      </w:r>
      <w:r>
        <w:rPr>
          <w:rStyle w:val="FootnoteAnchor"/>
          <w:rtl w:val="true"/>
        </w:rPr>
        <w:footnoteReference w:id="213"/>
      </w:r>
      <w:r>
        <w:rPr>
          <w:rFonts w:ascii="IRNazanin" w:hAnsi="IRNazanin" w:eastAsia="IRNazanin"/>
          <w:color w:val="111111"/>
          <w:sz w:val="28"/>
          <w:sz w:val="28"/>
          <w:szCs w:val="28"/>
          <w:rtl w:val="true"/>
          <w:lang w:bidi="fa-IR"/>
        </w:rPr>
        <w:t>،و قد ظهر وجه</w:t>
      </w:r>
    </w:p>
    <w:p>
      <w:pPr>
        <w:pStyle w:val="BookText"/>
        <w:rPr/>
      </w:pPr>
      <w:r>
        <w:rPr>
          <w:rFonts w:ascii="IRNazanin" w:hAnsi="IRNazanin" w:eastAsia="IRNazanin"/>
          <w:color w:val="111111"/>
          <w:sz w:val="28"/>
          <w:sz w:val="28"/>
          <w:szCs w:val="28"/>
          <w:rtl w:val="true"/>
          <w:lang w:bidi="fa-IR"/>
        </w:rPr>
        <w:t>الاستدلال بها من روایة الصیقل المتقدّمة،علی أنّ إصرار السائل فی هذه الروایة علی الجواب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محتاجون إلی جوابک فی هذه المسألة یا سیدنا لضرورتنا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 دلیل علی جواز الانتفاع بالمیتة،فإنّ سکوته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حکم المسألة مع إصرار السائل علی الجواب تقریر علی ذلک بلا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البزنطی </w:t>
      </w:r>
      <w:r>
        <w:rPr>
          <w:rStyle w:val="FootnoteAnchor"/>
          <w:rtl w:val="true"/>
        </w:rPr>
        <w:footnoteReference w:id="214"/>
      </w:r>
      <w:r>
        <w:rPr>
          <w:rFonts w:ascii="IRNazanin" w:hAnsi="IRNazanin" w:eastAsia="IRNazanin"/>
          <w:color w:val="111111"/>
          <w:sz w:val="28"/>
          <w:sz w:val="28"/>
          <w:szCs w:val="28"/>
          <w:rtl w:val="true"/>
          <w:lang w:bidi="fa-IR"/>
        </w:rPr>
        <w:t>التی تدل علی جواز الاستصباح بما قطع من ألیات الغنم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من أنّ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یلبس الفرو</w:t>
      </w:r>
    </w:p>
    <w:p>
      <w:pPr>
        <w:pStyle w:val="BookText"/>
        <w:rPr/>
      </w:pPr>
      <w:r>
        <w:rPr>
          <w:rFonts w:ascii="IRNazanin" w:hAnsi="IRNazanin" w:eastAsia="IRNazanin"/>
          <w:color w:val="111111"/>
          <w:sz w:val="28"/>
          <w:sz w:val="28"/>
          <w:szCs w:val="28"/>
          <w:rtl w:val="true"/>
          <w:lang w:bidi="fa-IR"/>
        </w:rPr>
        <w:t>المجلوب من العراق و ینزعه وقت الصلاة،ففعله هذا یدل علی جواز الانتفاع بالمیتة إلاّ فیما یکون مشروطا بالطهارة،و الوجه فی کون ذلک الفرو العراقی من جلود المیتة هو نزعه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فی مورد الأخذ من ید المسلم و معه یحکم بالتذکیة و عدم کون الجلد من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مانع من الصلاة فیه فضلا عن لبسه فی غیرها،فلا مناص من حمل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الاحتیاط من جهة عدم اقتران صلاته التی هی معراج المؤمن بلبس المیتة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تبقی للروایة دلالة علی جواز الانتفاع بالمیتة فی نفسها،إلاّ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الاحتیاط إنّما یجری فی حق من کان جاهلا بالأحکام الواقعیة و الموضوعات الخارجیة،و أمّا العالمون بالواقعیات بل بحقائق الأشیاء و الامور الکائنة و العوالم الکونیة،فلا یجری الاحتیاط فی حقّهم کالأئمّة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العمل بالاحتیاط یقتضی أن لا یلبسه فی غیر حال الصلاة أیضا،فإنّ الانتفاع بالمیتة لو کان حراما فإنّما هو حرام واقعی تکلیفی،فلا یختص بحال الصلاة فقط،نعم إنّ ما یختص بالصلاة هو الحرمة الوضعیة و أنّها تبطل إذا وقعت فی المیتة إلاّ أن یتوهّم أنّ عمدة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الاحتیاط هو انحفاظ صلاته عن احتمال البطلان،و أمّا الاحتیاط فی غیر حال الصلاة فلیس بمحط لنظره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bookmarkStart w:id="142" w:name="pg5064_65208"/>
    </w:p>
    <w:p>
      <w:pPr>
        <w:pStyle w:val="BookText"/>
        <w:rPr/>
      </w:pPr>
      <w:bookmarkEnd w:id="142"/>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ممّا لا یمکن التفوّه به فی حق الملتزم بالشرع من غیر المعصومین فکیف ممّن کان معدن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یسهّل الخطب أنّ الروایة ضعیفة السند فلا تکون قابلة للبحث عن دلالتها علی المطلوب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سماعة </w:t>
      </w:r>
      <w:r>
        <w:rPr>
          <w:rStyle w:val="FootnoteAnchor"/>
          <w:rtl w:val="true"/>
        </w:rPr>
        <w:footnoteReference w:id="216"/>
      </w:r>
      <w:r>
        <w:rPr>
          <w:rFonts w:ascii="IRNazanin" w:hAnsi="IRNazanin" w:eastAsia="IRNazanin"/>
          <w:color w:val="111111"/>
          <w:sz w:val="28"/>
          <w:sz w:val="28"/>
          <w:szCs w:val="28"/>
          <w:rtl w:val="true"/>
          <w:lang w:bidi="fa-IR"/>
        </w:rPr>
        <w:t>فإنّها تدلّ علی جواز الانتفاع بالکیمخت،و هو جلد المیتة إذا کان مملوحا</w:t>
      </w:r>
      <w:r>
        <w:rPr>
          <w:rFonts w:eastAsia="IRNazanin" w:cs="IRNazanin"/>
          <w:color w:val="111111"/>
          <w:sz w:val="28"/>
          <w:szCs w:val="28"/>
          <w:rtl w:val="true"/>
          <w:lang w:bidi="fa-IR"/>
        </w:rPr>
        <w:t>.</w:t>
      </w:r>
    </w:p>
    <w:p>
      <w:pPr>
        <w:pStyle w:val="Heading5"/>
        <w:numPr>
          <w:ilvl w:val="4"/>
          <w:numId w:val="1"/>
        </w:numPr>
        <w:rPr/>
      </w:pPr>
      <w:bookmarkStart w:id="143" w:name="__RefHeading___Toc910038_774463916"/>
      <w:bookmarkStart w:id="144" w:name="_Toc53"/>
      <w:bookmarkEnd w:id="143"/>
      <w:r>
        <w:rPr>
          <w:rtl w:val="true"/>
        </w:rPr>
        <w:t>مقتضی الجمع بین الروایات</w:t>
      </w:r>
      <w:bookmarkEnd w:id="144"/>
    </w:p>
    <w:p>
      <w:pPr>
        <w:pStyle w:val="BookText"/>
        <w:rPr/>
      </w:pPr>
      <w:r>
        <w:rPr>
          <w:rFonts w:ascii="IRNazanin" w:hAnsi="IRNazanin" w:eastAsia="IRNazanin"/>
          <w:color w:val="111111"/>
          <w:sz w:val="28"/>
          <w:sz w:val="28"/>
          <w:szCs w:val="28"/>
          <w:rtl w:val="true"/>
          <w:lang w:bidi="fa-IR"/>
        </w:rPr>
        <w:t>إذا عرفت هاتین الطائفتین المانعة عن جواز الانتفاع بالمیتة و المجوّزة له فتعرف وقوع المعارضة بینهما،و بما أنّ هذه الروایات المجوّزة لذلک صریحة فی جواز الانتفاع بها فی غیر ما اشترطت فیه التذکیة،فنرفع الید بها عن ظهور تلک الروایات المانعة،فتقیّد بغیر ذلک و بصورة الانتفاع بها مثل المذکّی،أو تحمل الطائفة المانعة علی الکراهة کما هو مقتضی الجمع العرفی بین الدلیلین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الوجه الأول من الطائفة المرخّصة خبر أبی القاسم الصیقل،فإنّ فیه قرّر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الانتفاع بجلود المیتة فی غیر الصلاة،حیث أمر السائل باتّخاذ الثوب لصلاته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 اختصاص موارد الطائفة المجوّزة بالجلود و الألیات فهی دعوی جزافیة،لعدم القول بالفصل فی أجزاء المیتة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توهّم بعضهم حملها علی التقیّة،لتخیّل ذهاب العامّة إلی جواز الانتفاع بها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عرفت فی أوّل المسألة تصریح بعضهم بذهاب أکثرهم إلی حرمة الانتفاع بالمیتة حتی بجلودها قبل الدبغ،و قد ورد ذلک فی أخبارهم أیضا کما عرفت</w:t>
      </w:r>
      <w:bookmarkStart w:id="145" w:name="pg5064_65209"/>
    </w:p>
    <w:p>
      <w:pPr>
        <w:pStyle w:val="BookText"/>
        <w:rPr/>
      </w:pPr>
      <w:bookmarkEnd w:id="145"/>
      <w:r>
        <w:rPr>
          <w:rFonts w:ascii="IRNazanin" w:hAnsi="IRNazanin" w:eastAsia="IRNazanin"/>
          <w:color w:val="111111"/>
          <w:sz w:val="28"/>
          <w:sz w:val="28"/>
          <w:szCs w:val="28"/>
          <w:rtl w:val="true"/>
          <w:lang w:bidi="fa-IR"/>
        </w:rPr>
        <w:t xml:space="preserve">عند التعرّض للطائفة المانعة،و من هنا منعوا عن بیع المیتة و جلودها قبل الدبغ و أیضا علّلوا </w:t>
      </w:r>
      <w:r>
        <w:rPr>
          <w:rStyle w:val="FootnoteAnchor"/>
          <w:rtl w:val="true"/>
        </w:rPr>
        <w:footnoteReference w:id="217"/>
      </w:r>
      <w:r>
        <w:rPr>
          <w:rFonts w:ascii="IRNazanin" w:hAnsi="IRNazanin" w:eastAsia="IRNazanin"/>
          <w:color w:val="111111"/>
          <w:sz w:val="28"/>
          <w:sz w:val="28"/>
          <w:szCs w:val="28"/>
          <w:rtl w:val="true"/>
          <w:lang w:bidi="fa-IR"/>
        </w:rPr>
        <w:t>حرمة بیع المیتة بانعدام رکن البیع فیه الذی هو مبادلة مال بمال بدعوی أنّها لا تعدّ مالا عند من له دین 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الانتفاع بها جائزا عندهم لما تفوّهوا بذلک التعلیل العلیل،لدوران مالیة الأشیاء وجودا و عدما مدار جواز الانتفاع بها 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تلویح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الإیروانی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أحسن جمع بینها و بین الطائفة المانعة عن الانتفاع حمل المانعة علی صورة التلویث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عند التکلّم فی روایة الوشاء أنّ تلویث الید بل تلویث جمیع البدن بالنجاسات لیس من المحرّمات،إذن فلا وجه لحمل الطائفة المانعة علی صورة التلویث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تخیّله بعضهم من تخصیص المجوّزة بالأجزاء التی لا تحلّها الحیاة کالصوف و القرن و الإنفحة و الناب و الحافر و غیرها من کل شیء یفصل من الشاة و الدابة،فهو ذکی،و حمل المانعة علی غیرها،فهو تخیّل فاسد،و ذلک لأنّ صدق المیتة علیها ممنوع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الجمع مناف لصراحة ما یدل علی جواز الانتفاع بها کما عرفت</w:t>
      </w:r>
      <w:r>
        <w:rPr>
          <w:rFonts w:eastAsia="IRNazanin" w:cs="IRNazanin"/>
          <w:color w:val="111111"/>
          <w:sz w:val="28"/>
          <w:szCs w:val="28"/>
          <w:rtl w:val="true"/>
          <w:lang w:bidi="fa-IR"/>
        </w:rPr>
        <w:t>.</w:t>
      </w:r>
    </w:p>
    <w:p>
      <w:pPr>
        <w:pStyle w:val="Heading4"/>
        <w:numPr>
          <w:ilvl w:val="3"/>
          <w:numId w:val="1"/>
        </w:numPr>
        <w:rPr/>
      </w:pPr>
      <w:bookmarkStart w:id="146" w:name="__RefHeading___Toc910040_774463916"/>
      <w:bookmarkStart w:id="147" w:name="_Toc54"/>
      <w:bookmarkEnd w:id="146"/>
      <w:r>
        <w:rPr>
          <w:rtl w:val="true"/>
        </w:rPr>
        <w:t>حرمة بیع المیتة</w:t>
      </w:r>
      <w:bookmarkEnd w:id="147"/>
    </w:p>
    <w:p>
      <w:pPr>
        <w:pStyle w:val="Heading5"/>
        <w:numPr>
          <w:ilvl w:val="4"/>
          <w:numId w:val="1"/>
        </w:numPr>
        <w:rPr/>
      </w:pPr>
      <w:bookmarkStart w:id="148" w:name="__RefHeading___Toc910042_774463916"/>
      <w:bookmarkStart w:id="149" w:name="_Toc55"/>
      <w:bookmarkEnd w:id="148"/>
      <w:r>
        <w:rPr>
          <w:rtl w:val="true"/>
        </w:rPr>
        <w:t>اشارة</w:t>
      </w:r>
      <w:bookmarkEnd w:id="14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بل المجمع علیه بین الخاصّة و العامّة هو حرمة بیع المیتة وضعا و تکلیفا،قال فی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بیعها و شرائها و التکسّب بها</w:t>
      </w:r>
      <w:bookmarkStart w:id="150" w:name="pg5064_65210"/>
    </w:p>
    <w:p>
      <w:pPr>
        <w:pStyle w:val="BookText"/>
        <w:rPr/>
      </w:pPr>
      <w:bookmarkEnd w:id="150"/>
      <w:r>
        <w:rPr>
          <w:rFonts w:ascii="IRNazanin" w:hAnsi="IRNazanin" w:eastAsia="IRNazanin"/>
          <w:color w:val="111111"/>
          <w:sz w:val="28"/>
          <w:sz w:val="28"/>
          <w:szCs w:val="28"/>
          <w:rtl w:val="true"/>
          <w:lang w:bidi="fa-IR"/>
        </w:rPr>
        <w:t xml:space="preserve">إجماعی </w:t>
      </w:r>
      <w:r>
        <w:rPr>
          <w:rStyle w:val="FootnoteAnchor"/>
          <w:rtl w:val="true"/>
        </w:rPr>
        <w:footnoteReference w:id="219"/>
      </w:r>
      <w:r>
        <w:rPr>
          <w:rFonts w:ascii="IRNazanin" w:hAnsi="IRNazanin" w:eastAsia="IRNazanin"/>
          <w:color w:val="111111"/>
          <w:sz w:val="28"/>
          <w:sz w:val="28"/>
          <w:szCs w:val="28"/>
          <w:rtl w:val="true"/>
          <w:lang w:bidi="fa-IR"/>
        </w:rPr>
        <w:t xml:space="preserve">و کذلک فی التذکرة </w:t>
      </w:r>
      <w:r>
        <w:rPr>
          <w:rStyle w:val="FootnoteAnchor"/>
          <w:rtl w:val="true"/>
        </w:rPr>
        <w:footnoteReference w:id="220"/>
      </w:r>
      <w:r>
        <w:rPr>
          <w:rFonts w:ascii="IRNazanin" w:hAnsi="IRNazanin" w:eastAsia="IRNazanin"/>
          <w:color w:val="111111"/>
          <w:sz w:val="28"/>
          <w:sz w:val="28"/>
          <w:szCs w:val="28"/>
          <w:rtl w:val="true"/>
          <w:lang w:bidi="fa-IR"/>
        </w:rPr>
        <w:t xml:space="preserve">بل فی رهن الخلاف أنّها لا تملک </w:t>
      </w:r>
      <w:r>
        <w:rPr>
          <w:rStyle w:val="FootnoteAnchor"/>
          <w:rtl w:val="true"/>
        </w:rPr>
        <w:footnoteReference w:id="221"/>
      </w:r>
      <w:r>
        <w:rPr>
          <w:rFonts w:ascii="IRNazanin" w:hAnsi="IRNazanin" w:eastAsia="IRNazanin"/>
          <w:color w:val="111111"/>
          <w:sz w:val="28"/>
          <w:sz w:val="28"/>
          <w:szCs w:val="28"/>
          <w:rtl w:val="true"/>
          <w:lang w:bidi="fa-IR"/>
        </w:rPr>
        <w:t>،و قد تقدّم فی المقام الأول تحریم بیعها من النهایة و المراسم و الجواهر و شرح فتح القدیر و سبل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الفقه علی المذاهب </w:t>
      </w:r>
      <w:r>
        <w:rPr>
          <w:rStyle w:val="FootnoteAnchor"/>
          <w:rtl w:val="true"/>
        </w:rPr>
        <w:footnoteReference w:id="222"/>
      </w:r>
      <w:r>
        <w:rPr>
          <w:rFonts w:ascii="IRNazanin" w:hAnsi="IRNazanin" w:eastAsia="IRNazanin"/>
          <w:color w:val="111111"/>
          <w:sz w:val="28"/>
          <w:sz w:val="28"/>
          <w:szCs w:val="28"/>
          <w:rtl w:val="true"/>
          <w:lang w:bidi="fa-IR"/>
        </w:rPr>
        <w:t>المالکیة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بیع النجس کعظم المیتة و جلدها و لو دبغ،لأنّه لا یطهر بالدبغ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الحنابلة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بیع المیتة و لا بیع شیء منها،و کذلک عند الشافعیة و الحنفیة</w:t>
      </w:r>
      <w:r>
        <w:rPr>
          <w:rFonts w:eastAsia="IRNazanin" w:cs="IRNazanin"/>
          <w:color w:val="111111"/>
          <w:sz w:val="28"/>
          <w:szCs w:val="28"/>
          <w:rtl w:val="true"/>
          <w:lang w:bidi="fa-IR"/>
        </w:rPr>
        <w:t>.</w:t>
      </w:r>
    </w:p>
    <w:p>
      <w:pPr>
        <w:pStyle w:val="Heading5"/>
        <w:numPr>
          <w:ilvl w:val="4"/>
          <w:numId w:val="1"/>
        </w:numPr>
        <w:rPr/>
      </w:pPr>
      <w:bookmarkStart w:id="151" w:name="__RefHeading___Toc910044_774463916"/>
      <w:bookmarkStart w:id="152" w:name="_Toc56"/>
      <w:bookmarkEnd w:id="151"/>
      <w:r>
        <w:rPr>
          <w:rtl w:val="true"/>
        </w:rPr>
        <w:t>أدلة حرمة بیعها</w:t>
      </w:r>
      <w:bookmarkEnd w:id="152"/>
    </w:p>
    <w:p>
      <w:pPr>
        <w:pStyle w:val="BookText"/>
        <w:rPr/>
      </w:pPr>
      <w:r>
        <w:rPr>
          <w:rFonts w:ascii="IRNazanin" w:hAnsi="IRNazanin" w:eastAsia="IRNazanin"/>
          <w:color w:val="111111"/>
          <w:sz w:val="28"/>
          <w:sz w:val="28"/>
          <w:szCs w:val="28"/>
          <w:rtl w:val="true"/>
          <w:lang w:bidi="fa-IR"/>
        </w:rPr>
        <w:t>و الذی استدل أو یمکن الاستدلال به علی هذا الرأی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الإجماع علی ذلک کما سمعته عن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قیام الإجماع المحصّل فی المقام أو حجّیة المنقول منه فلا نسلّم کونه تعبّدیا محضا و کاشفا عن رأی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دلیل معتبر،للاحتمال بل الاطمئنان بأنّ مدرک المجمعین هو الوجوه المذکورة لعدم جواز بیعها و بیع کل نجس کما عرفت فی المسائل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حرمة الانتفاع بها،فإنّها تستلزم سلب المالیة عنها المعتبرة فی العوضین بالإجماع،إذن فتدخل المعاملة علیها تحت عموم النهی عن أکل المال بالباطل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بعد ما أثبتنا فی المقام الأول جواز الانتفاع بها،و عرفت فی بیع الأبوال </w:t>
      </w:r>
      <w:r>
        <w:rPr>
          <w:rStyle w:val="FootnoteAnchor"/>
          <w:rtl w:val="true"/>
        </w:rPr>
        <w:footnoteReference w:id="223"/>
      </w:r>
      <w:r>
        <w:rPr>
          <w:rFonts w:ascii="IRNazanin" w:hAnsi="IRNazanin" w:eastAsia="IRNazanin"/>
          <w:color w:val="111111"/>
          <w:sz w:val="28"/>
          <w:sz w:val="28"/>
          <w:szCs w:val="28"/>
          <w:rtl w:val="true"/>
          <w:lang w:bidi="fa-IR"/>
        </w:rPr>
        <w:t xml:space="preserve">و ستعرف فی أوّل البیع </w:t>
      </w:r>
      <w:r>
        <w:rPr>
          <w:rStyle w:val="FootnoteAnchor"/>
          <w:rtl w:val="true"/>
        </w:rPr>
        <w:footnoteReference w:id="224"/>
      </w:r>
      <w:r>
        <w:rPr>
          <w:rFonts w:ascii="IRNazanin" w:hAnsi="IRNazanin" w:eastAsia="IRNazanin"/>
          <w:color w:val="111111"/>
          <w:sz w:val="28"/>
          <w:sz w:val="28"/>
          <w:szCs w:val="28"/>
          <w:rtl w:val="true"/>
          <w:lang w:bidi="fa-IR"/>
        </w:rPr>
        <w:t>عدم اعتبار المالیة فی العوضین،و کفایة</w:t>
      </w:r>
    </w:p>
    <w:p>
      <w:pPr>
        <w:pStyle w:val="BookText"/>
        <w:rPr/>
      </w:pPr>
      <w:r>
        <w:rPr>
          <w:rFonts w:ascii="IRNazanin" w:hAnsi="IRNazanin" w:eastAsia="IRNazanin"/>
          <w:color w:val="111111"/>
          <w:sz w:val="28"/>
          <w:sz w:val="28"/>
          <w:szCs w:val="28"/>
          <w:rtl w:val="true"/>
          <w:lang w:bidi="fa-IR"/>
        </w:rPr>
        <w:t>الأغراض الشخصیة العقلائیة فی صدق المالیة علی تقدیر اعتبارها،لکون تلک الأغراض موجبة لخروج المعاملة من السفهائیة،مع عدم الدلیل علی بطلانها،فلا وجه لهذا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عموم آیة النهی عن أکل المال بالباطل </w:t>
      </w:r>
      <w:r>
        <w:rPr>
          <w:rStyle w:val="FootnoteAnchor"/>
          <w:rtl w:val="true"/>
        </w:rPr>
        <w:footnoteReference w:id="225"/>
      </w:r>
      <w:r>
        <w:rPr>
          <w:rFonts w:ascii="IRNazanin" w:hAnsi="IRNazanin" w:eastAsia="IRNazanin"/>
          <w:color w:val="111111"/>
          <w:sz w:val="28"/>
          <w:sz w:val="28"/>
          <w:szCs w:val="28"/>
          <w:rtl w:val="true"/>
          <w:lang w:bidi="fa-IR"/>
        </w:rPr>
        <w:t xml:space="preserve">فغیر شامل لشرائط العوضین لکونها ناظرة إلی بیان أسباب التجارة کما تقدّم فی بیع الأبوال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قامت الضرورة من المسلمین علی نجاسة میتة ما له نفس سائلة و بیع النجس 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و إن ذکرت فی روایة تحف العقول </w:t>
      </w:r>
      <w:r>
        <w:rPr>
          <w:rStyle w:val="FootnoteAnchor"/>
          <w:rtl w:val="true"/>
        </w:rPr>
        <w:footnoteReference w:id="227"/>
      </w:r>
      <w:r>
        <w:rPr>
          <w:rFonts w:ascii="IRNazanin" w:hAnsi="IRNazanin" w:eastAsia="IRNazanin"/>
          <w:color w:val="111111"/>
          <w:sz w:val="28"/>
          <w:sz w:val="28"/>
          <w:szCs w:val="28"/>
          <w:rtl w:val="true"/>
          <w:lang w:bidi="fa-IR"/>
        </w:rPr>
        <w:t>،و لکن مضافا إلی ما تقدّم فیها من الوهن،أنّها لا تدل إلاّ علی حرمة بیع المیتة النجسة،و المدّعی أعمّ من ذلک و قد اعترف المصنّف هنا بعدم مانعیة النجاسة عن البیع علی خلاف ما تکرّر منه سابقا من جعلها مانعة عنه،و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فمجرد النجاسة لا تصلح علّة لمنع البیع لو لا الإجماع علی حرمة بیع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العامّة المتقدّمة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 إن کانت تدل علی حرمة بیعها،و لکنّها لمکان ضعف أسانیدها لا تفی بالمقصود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الخاصّة الواردة فی المسألة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البزنطی المذکورة فی المقام الأول </w:t>
      </w:r>
      <w:r>
        <w:rPr>
          <w:rStyle w:val="FootnoteAnchor"/>
          <w:rtl w:val="true"/>
        </w:rPr>
        <w:footnoteReference w:id="229"/>
      </w:r>
      <w:r>
        <w:rPr>
          <w:rFonts w:ascii="IRNazanin" w:hAnsi="IRNazanin" w:eastAsia="IRNazanin"/>
          <w:color w:val="111111"/>
          <w:sz w:val="28"/>
          <w:sz w:val="28"/>
          <w:szCs w:val="28"/>
          <w:rtl w:val="true"/>
          <w:lang w:bidi="fa-IR"/>
        </w:rPr>
        <w:t>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رخّص فیها الانتفاع بالمیتة،و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فیها أیضا عن بیعها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السکونی </w:t>
      </w:r>
      <w:r>
        <w:rPr>
          <w:rStyle w:val="FootnoteAnchor"/>
          <w:rtl w:val="true"/>
        </w:rPr>
        <w:footnoteReference w:id="230"/>
      </w:r>
      <w:r>
        <w:rPr>
          <w:rFonts w:ascii="IRNazanin" w:hAnsi="IRNazanin" w:eastAsia="IRNazanin"/>
          <w:color w:val="111111"/>
          <w:sz w:val="28"/>
          <w:sz w:val="28"/>
          <w:szCs w:val="28"/>
          <w:rtl w:val="true"/>
          <w:lang w:bidi="fa-IR"/>
        </w:rPr>
        <w:t xml:space="preserve">و الصدوق </w:t>
      </w:r>
      <w:r>
        <w:rPr>
          <w:rStyle w:val="FootnoteAnchor"/>
          <w:rtl w:val="true"/>
        </w:rPr>
        <w:footnoteReference w:id="231"/>
      </w:r>
      <w:r>
        <w:rPr>
          <w:rFonts w:ascii="IRNazanin" w:hAnsi="IRNazanin" w:eastAsia="IRNazanin"/>
          <w:color w:val="111111"/>
          <w:sz w:val="28"/>
          <w:sz w:val="28"/>
          <w:szCs w:val="28"/>
          <w:rtl w:val="true"/>
          <w:lang w:bidi="fa-IR"/>
        </w:rPr>
        <w:t xml:space="preserve">و الجعفریات </w:t>
      </w:r>
      <w:r>
        <w:rPr>
          <w:rStyle w:val="FootnoteAnchor"/>
          <w:rtl w:val="true"/>
        </w:rPr>
        <w:footnoteReference w:id="232"/>
      </w:r>
      <w:r>
        <w:rPr>
          <w:rFonts w:ascii="IRNazanin" w:hAnsi="IRNazanin" w:eastAsia="IRNazanin"/>
          <w:color w:val="111111"/>
          <w:sz w:val="28"/>
          <w:sz w:val="28"/>
          <w:szCs w:val="28"/>
          <w:rtl w:val="true"/>
          <w:lang w:bidi="fa-IR"/>
        </w:rPr>
        <w:t>فإنّ جمیعها تدل علی أنّ ثمن المیتة من السحت،فیکون بیعها فاسدا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علی بن جعفر </w:t>
      </w:r>
      <w:r>
        <w:rPr>
          <w:rStyle w:val="FootnoteAnchor"/>
          <w:rtl w:val="true"/>
        </w:rPr>
        <w:footnoteReference w:id="233"/>
      </w:r>
      <w:r>
        <w:rPr>
          <w:rFonts w:ascii="IRNazanin" w:hAnsi="IRNazanin" w:eastAsia="IRNazanin"/>
          <w:color w:val="111111"/>
          <w:sz w:val="28"/>
          <w:sz w:val="28"/>
          <w:szCs w:val="28"/>
          <w:rtl w:val="true"/>
          <w:lang w:bidi="fa-IR"/>
        </w:rPr>
        <w:t>حیث سأل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جلود میتة الماشیة و لبسها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لو لبسها فلا یصلّ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أنّ المنع فیها راجع إلی البیع و اللبس،و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المانعیة عن الصلاة</w:t>
      </w:r>
      <w:bookmarkStart w:id="153" w:name="pg5064_65213"/>
    </w:p>
    <w:p>
      <w:pPr>
        <w:pStyle w:val="BookText"/>
        <w:rPr/>
      </w:pPr>
      <w:bookmarkEnd w:id="153"/>
      <w:r>
        <w:rPr>
          <w:rFonts w:ascii="IRNazanin" w:hAnsi="IRNazanin" w:eastAsia="IRNazanin"/>
          <w:color w:val="111111"/>
          <w:sz w:val="28"/>
          <w:sz w:val="28"/>
          <w:szCs w:val="28"/>
          <w:rtl w:val="true"/>
          <w:lang w:bidi="fa-IR"/>
        </w:rPr>
        <w:t xml:space="preserve">زائدا علی المنع فی نفسه،و قد ورد النهی عن بیع المیتة فی بعض روایات العامّة </w:t>
      </w:r>
      <w:r>
        <w:rPr>
          <w:rStyle w:val="FootnoteAnchor"/>
          <w:rtl w:val="true"/>
        </w:rPr>
        <w:footnoteReference w:id="234"/>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و إن کانت ظاهرة فی المنع عن بیعها،و لکنّها معارضة مع ما هو صریح فی الجواز کمکاتبة الصیقل المتقدّمة،فإنّ فیها قرّر الإمام أسئلتهم عن جواز بیع المیتة من جلود الحمیر و البغال و شرائها و مسّها،فلولا جوازها لکان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الأسئلة و سکوته عن بیان حکمها إغراء بالجهل و تأخیرا للبیان عن وقت الحاجة،و بضمیمة عدم القول بالفصل بین مورد المکاتبة و غیره یتم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فعل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یبعث إلی العراق و یجلب الفرو منهم،فإنّ الظاهر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یأخذ ذلک منهم بالشراء،إلاّ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السوق و ید المسلم هو التذکیة</w:t>
      </w:r>
      <w:r>
        <w:rPr>
          <w:rFonts w:eastAsia="IRNazanin" w:cs="IRNazanin"/>
          <w:color w:val="111111"/>
          <w:sz w:val="28"/>
          <w:szCs w:val="28"/>
          <w:rtl w:val="true"/>
          <w:lang w:bidi="fa-IR"/>
        </w:rPr>
        <w:t>.</w:t>
      </w:r>
    </w:p>
    <w:p>
      <w:pPr>
        <w:pStyle w:val="Heading5"/>
        <w:numPr>
          <w:ilvl w:val="4"/>
          <w:numId w:val="1"/>
        </w:numPr>
        <w:rPr/>
      </w:pPr>
      <w:bookmarkStart w:id="154" w:name="__RefHeading___Toc910046_774463916"/>
      <w:bookmarkStart w:id="155" w:name="_Toc57"/>
      <w:bookmarkEnd w:id="154"/>
      <w:r>
        <w:rPr>
          <w:rtl w:val="true"/>
        </w:rPr>
        <w:t>الجمع بین أدلة الحرمة و الجواز</w:t>
      </w:r>
      <w:bookmarkEnd w:id="155"/>
    </w:p>
    <w:p>
      <w:pPr>
        <w:pStyle w:val="BookText"/>
        <w:rPr/>
      </w:pPr>
      <w:r>
        <w:rPr>
          <w:rFonts w:ascii="IRNazanin" w:hAnsi="IRNazanin" w:eastAsia="IRNazanin"/>
          <w:color w:val="111111"/>
          <w:sz w:val="28"/>
          <w:sz w:val="28"/>
          <w:szCs w:val="28"/>
          <w:rtl w:val="true"/>
          <w:lang w:bidi="fa-IR"/>
        </w:rPr>
        <w:t>و کیف کان،فلا بدّ فی رفع المعارضة بینهما إمّا من طرح المانعة لموافقتها مع العامّة،لاتّفاقهم علی بطلان بیع المیتة کما عرفت فی أوّل المسألة،و إمّا من حملها علی الکراهة برفع الید عن ظهورها بما هو صریح فی الجواز،أو علی صورة البیع لیعامل معها معاملة المذکّی إذا بیعت بغیر 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أبیت عن هذه المحامل کلّها فلا بدّ من الحکم إمّا بالتخییر فنختار ما یدلّ علی الجواز،و إمّا بالتساقط فیرجع إلی العمومات و الإطلاقات و یحکم بصحّة بیعها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تقریر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أسئلتهم عن الامور المذکورة و إن کان لا ینکر،إلاّ أنّه لأجل اضطرارهم إلی جعل أغماد السیوف من جلود المیتة من</w:t>
      </w:r>
    </w:p>
    <w:p>
      <w:pPr>
        <w:pStyle w:val="BookText"/>
        <w:rPr/>
      </w:pPr>
      <w:r>
        <w:rPr>
          <w:rFonts w:ascii="IRNazanin" w:hAnsi="IRNazanin" w:eastAsia="IRNazanin"/>
          <w:color w:val="111111"/>
          <w:sz w:val="28"/>
          <w:sz w:val="28"/>
          <w:szCs w:val="28"/>
          <w:rtl w:val="true"/>
          <w:lang w:bidi="fa-IR"/>
        </w:rPr>
        <w:t>الحمیر و البغال مع عدم وجود معیشة لهم من غیر ذلک العمل کما یصرّح بذلک ما فی سؤالهم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فی أعمالنا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الضرورات تبیح المحظورات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دلالة فی المکاتبة علی جواز بیعها فی غیر حال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منشأ لهذا الکلام إلاّ توهّم إرجاع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فی أعمالنا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جلود المیتة،و لکنّه فاسد،إذ لا خصوصیة لها حتّی لا یمکن جعل الأغماد من غیرها،بل مرجع الضمیر إنّما هی جلود الحمیر و البغال،سواء کانت من المیتة أم من الذکی،و یدلّ علی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القاسم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 تعمل وحشیا ذکیا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کانت لجلود الحمر المیتة خصوصیة فی جعل الأغماد منها لکان هذا الجواب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أشکل المصنّف علی الروایة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الجواب لا ظهور فیه فی الجواز إلاّ من حیث التقریر،غیر الظاهر فی الرضا،خصوصا فی المکاتبات المحتملة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 فی المکاتبات و إن کانت کثیرة لکونها معرضا لها من جهة البقاء،و لکنّها فی خصوص هذه الروایة غیر محتملة،لورودها علی غیر جهة التقیة،لذهاب أهل السنّة بأجمعهم إلی بطلان بیع المیتة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من ذلک تشکیکه فی کاشفیة التقریر عن الرضا،و فی کونه من الحجج الشرعیة،مع أنه کسائر الأمارات مشمول لأدلّة الحجّیة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فعلیة التقیة إنّما هی بفعلیة موضوعها،و أمّا مجرد الاحتمال فغیر قابل لأن یکون موضوعا لها و سببا لرفع الید عن الأدلّة الشرعیة،نعم إذا صارت فعلیة وجب رفع الید عمّا یخالفها،مکاتبة کان أم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السؤال فیها عمل السیوف و بیعها و شراؤها،لا خصوص الغلاف مستقلا و لا فی ضمن السیف علی أن یکون جزء من الثمن فی مقابل عین الجلد،فغایة ما یدل علیه جواز الانتفاع بجلد المیتة بجعله غمدا للسیف،و هو لا ینافی عدم جواز معاوضته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تبعه بعض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 احتمال کون المبیع هو السیف و الغلاف تابع له بنحو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من الغرائب،فإنّ منشأ ذلک حسبان أنّ الضمائر فی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 لنا عملها و شراؤها و بیعها و مسّها بأیدینا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فاسد،فإنّه لا وجه لأن یشتری السیّاف سیوفا من غیره،کما لا وجه لسؤاله عن مسّها و إصراره بالجواب عن کل ما سأله،بل هذه الضمائر إنّما ترجع إلی جلود الحمر و البغال،میتة کانت أم غیرها،کما یظهر ذلک لمن یلاحظ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من المستبعد جدّا بل من المستحیل عادة أن یجدوا جلود المیتة من الحمیر و البغال بمقدار یکون وافیا بشغلهم بلا شرائها من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مقتضی ذلک هو حرمة بیع الغلاف مستقلا،مع أنّه فاسد،إذ ربما تکون قیمة الغلاف أکثر من السیف،فکیف یحکم بالتبعیة دائما،نعم تبعیة مثل الجل و المسامیر للفرس و الجدران فی بیع الفرس و الدار من الوضوح بمکان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ترمی الروایة بالتقیة،لذهاب العامّة إلی جواز بیع جلود المیتة بعد الدبغ،لطهارتها به </w:t>
      </w:r>
      <w:r>
        <w:rPr>
          <w:rStyle w:val="FootnoteAnchor"/>
          <w:rtl w:val="true"/>
        </w:rPr>
        <w:footnoteReference w:id="235"/>
      </w:r>
      <w:r>
        <w:rPr>
          <w:rFonts w:ascii="IRNazanin" w:hAnsi="IRNazanin" w:eastAsia="IRNazanin"/>
          <w:color w:val="111111"/>
          <w:sz w:val="28"/>
          <w:sz w:val="28"/>
          <w:szCs w:val="28"/>
          <w:rtl w:val="true"/>
          <w:lang w:bidi="fa-IR"/>
        </w:rPr>
        <w:t>و أمّا قبل الدبغ فلا تصلح للأغماد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یجعلوا ثوبا لصلاتهم علی خلاف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الروایة موردا للتقیة لکان الألیق أن یجاب بحرمة البیع و الشراء،و یدفع محذور التقیة عند الابتلاء بها بإرادة حرمة بیعها قبل الدبغ،فإنّ فیه بیان الحکم الواقعی مع ملاحظة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خالیة عن کون البیع أو الشراء بعد الدبغ لتحمل علیه و مجرد عدم صلاحیة الجلود للغلاف قبل الدبغ لا یوجب تقییدها،لإمکان دبغها عند جعلها غمدا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فالروایة أیضا علی خلاف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أنّ الأخبار المانعة تشتمل علی کلمة السحت التی تأبی عن حملها علی الکراهة فهو توهّم فاسد،لما مرّ فی بیع العذرة </w:t>
      </w:r>
      <w:r>
        <w:rPr>
          <w:rStyle w:val="FootnoteAnchor"/>
          <w:rtl w:val="true"/>
        </w:rPr>
        <w:footnoteReference w:id="236"/>
      </w:r>
      <w:r>
        <w:rPr>
          <w:rFonts w:ascii="IRNazanin" w:hAnsi="IRNazanin" w:eastAsia="IRNazanin"/>
          <w:color w:val="111111"/>
          <w:sz w:val="28"/>
          <w:sz w:val="28"/>
          <w:szCs w:val="28"/>
          <w:rtl w:val="true"/>
          <w:lang w:bidi="fa-IR"/>
        </w:rPr>
        <w:t>من أنّ إطلاق السحت علی المکروه فی الروایات و اللغة کثیر جدّا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قصر النظر علی المکاتبة،و لکنّها ضعیفة السند،فلا تقاوم الروایات المانعة،لأنّ فیها روایة الجعفریات </w:t>
      </w:r>
      <w:r>
        <w:rPr>
          <w:rStyle w:val="FootnoteAnchor"/>
          <w:rtl w:val="true"/>
        </w:rPr>
        <w:footnoteReference w:id="237"/>
      </w:r>
      <w:r>
        <w:rPr>
          <w:rFonts w:ascii="IRNazanin" w:hAnsi="IRNazanin" w:eastAsia="IRNazanin"/>
          <w:color w:val="111111"/>
          <w:sz w:val="28"/>
          <w:sz w:val="28"/>
          <w:szCs w:val="28"/>
          <w:rtl w:val="true"/>
          <w:lang w:bidi="fa-IR"/>
        </w:rPr>
        <w:t>و هی 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فلا مناص من الحکم بحرمة بیع المیتة و أجزائها التی تحلّها الحیاة،إلاّ أن یتمسّک فی تجویز بیعها بحسنة الحلبی و صحیحته </w:t>
      </w:r>
      <w:r>
        <w:rPr>
          <w:rStyle w:val="FootnoteAnchor"/>
          <w:rtl w:val="true"/>
        </w:rPr>
        <w:footnoteReference w:id="238"/>
      </w:r>
      <w:r>
        <w:rPr>
          <w:rFonts w:ascii="IRNazanin" w:hAnsi="IRNazanin" w:eastAsia="IRNazanin"/>
          <w:color w:val="111111"/>
          <w:sz w:val="28"/>
          <w:sz w:val="28"/>
          <w:szCs w:val="28"/>
          <w:rtl w:val="true"/>
          <w:lang w:bidi="fa-IR"/>
        </w:rPr>
        <w:t>الواردتین فی بیع المیتة المختلطة بالمذکّی ممّن یستحلّها فإنّهما بعد إلغاء خصوصیتی الاختلاط و المستحل تدلاّن علی جواز بیعها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الجزم بذلک مشکل جدّا،فلا مناص من اختصاص جواز البیع بالمستحل کما سیأتی</w:t>
      </w:r>
      <w:r>
        <w:rPr>
          <w:rFonts w:eastAsia="IRNazanin" w:cs="IRNazanin"/>
          <w:color w:val="111111"/>
          <w:sz w:val="28"/>
          <w:szCs w:val="28"/>
          <w:rtl w:val="true"/>
          <w:lang w:bidi="fa-IR"/>
        </w:rPr>
        <w:t>.</w:t>
      </w:r>
      <w:bookmarkStart w:id="156" w:name="pg5064_65217"/>
    </w:p>
    <w:p>
      <w:pPr>
        <w:pStyle w:val="Heading4"/>
        <w:numPr>
          <w:ilvl w:val="3"/>
          <w:numId w:val="1"/>
        </w:numPr>
        <w:rPr/>
      </w:pPr>
      <w:bookmarkStart w:id="157" w:name="__RefHeading___Toc910048_774463916"/>
      <w:bookmarkStart w:id="158" w:name="_Toc58"/>
      <w:bookmarkEnd w:id="156"/>
      <w:bookmarkEnd w:id="157"/>
      <w:r>
        <w:rPr>
          <w:rtl w:val="true"/>
        </w:rPr>
        <w:t>حکم بیع المذکّی المختلط بالمیتة</w:t>
      </w:r>
      <w:bookmarkEnd w:id="158"/>
    </w:p>
    <w:p>
      <w:pPr>
        <w:pStyle w:val="Heading5"/>
        <w:numPr>
          <w:ilvl w:val="4"/>
          <w:numId w:val="1"/>
        </w:numPr>
        <w:rPr/>
      </w:pPr>
      <w:bookmarkStart w:id="159" w:name="__RefHeading___Toc910050_774463916"/>
      <w:bookmarkStart w:id="160" w:name="_Toc59"/>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لا یجوز بیع المیتة منفردة کذلک لا یجوز بیعها منضمّة إلی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تمتاز المیتة من المذکّی،و اخری لا تمتاز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جواز البیع و صحّته بالنسبة إلی غیر المیتة سواء کانت ممتازة عند المتبایعین أم عند المشتری فقط،لعدم ترتّب الأثر علی علم البائع و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إلی المیتة فیجری فیها جمیع ما تقدّم فی بیعها منفردة لأنّ انضمام المیتة إلی المذکّی لا یغیّر حکمها،نعم بناء علی حرمة بیعها یکون المقام من مصادیق بیع ما یجوز و ما لا یجوز،فیقسّط الثمن بالنسبة إلیهما،و یحکم بالصحة فیما یجوز و بالفساد فیما لا یجوز،و لا خیار للمشتری بالنسبة إلی ما یجوز لأجل تبعّض الصفقة،لعلمه بالحال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محل الکلام و مورد النقض و الإبرام،و تحقیقها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القواعد العامّة،و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الروایات الخاصّة الواردة فی خصوص ذلک</w:t>
      </w:r>
      <w:r>
        <w:rPr>
          <w:rFonts w:eastAsia="IRNazanin" w:cs="IRNazanin"/>
          <w:color w:val="111111"/>
          <w:sz w:val="28"/>
          <w:szCs w:val="28"/>
          <w:rtl w:val="true"/>
          <w:lang w:bidi="fa-IR"/>
        </w:rPr>
        <w:t>.</w:t>
      </w:r>
    </w:p>
    <w:p>
      <w:pPr>
        <w:pStyle w:val="Heading5"/>
        <w:numPr>
          <w:ilvl w:val="4"/>
          <w:numId w:val="1"/>
        </w:numPr>
        <w:rPr/>
      </w:pPr>
      <w:bookmarkStart w:id="161" w:name="__RefHeading___Toc910052_774463916"/>
      <w:bookmarkStart w:id="162" w:name="_Toc60"/>
      <w:bookmarkEnd w:id="161"/>
      <w:r>
        <w:rPr>
          <w:rtl w:val="true"/>
        </w:rPr>
        <w:t>القواعد العامة</w:t>
      </w:r>
      <w:bookmarkEnd w:id="162"/>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المدرک فی حرمة بیع المیتة منفردة هی النصوص و الإجماعات فلا شبهة فی أنّهما لا تشملان صورة الاختلاط،لأنّه لا یصدق بیع المیتة علی ذلک مع قصد المذکّی حتی مع تسلیمها إلی المشتری لکونه مقدّمة لإقباض المبیع،و علی هذا فلا وجه لما ذهب إلیه المصنّف من المنع علی الإطلاق بناء علی وجوب الاجتناب عن کلا المشتبهین،نعم لا یجوز أن ینتفع بهما فیما کان مشروطا بالطهارة و التذکیة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المدرک فی المنع هو حرمة الانتفاع بالمیتة لکونها فی نظر الشارع</w:t>
      </w:r>
    </w:p>
    <w:p>
      <w:pPr>
        <w:pStyle w:val="BookText"/>
        <w:rPr/>
      </w:pPr>
      <w:r>
        <w:rPr>
          <w:rFonts w:ascii="IRNazanin" w:hAnsi="IRNazanin" w:eastAsia="IRNazanin"/>
          <w:color w:val="111111"/>
          <w:sz w:val="28"/>
          <w:sz w:val="28"/>
          <w:szCs w:val="28"/>
          <w:rtl w:val="true"/>
          <w:lang w:bidi="fa-IR"/>
        </w:rPr>
        <w:t>مسلوب المالیة نظیر الخمر و الخنزیر،و قلنا بتنجیز العلم الإجمالی،فغایة ما یترتّب علیه هو عدم جواز بیعهما من شخص واحد،للعلم الإجمالی بوجود ما لا یجوز الانتفاع به فیهما،فإنّ العلم الإجمالی یوجب وجوب الاجتناب عن کلا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فیجری هنا ما جری فی المیتة المعلومة تفصیلا من الأحکام التکلیفیة و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بیعهما من شخصین فلا بأس فیه،لأنّ حرمة الانتفاع لم تثبت إلاّ علی المیتة المعلومة إمّا إجمالا أو تفصیلا علی سبیل منع الخلو،و إذا انتفی أحد العلمین انتفت حرمة الانتفاع أیضا،فلم یبق فی البین إلاّ الاحتمال فیندفع بالأصل،فإنّ هذا نظیر انعدام أحد المشتبهین أو خروجه عن محل الابتلاء الموجب لسقوط العلم الإجمالی عن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 المال بازائه أکل المال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ما فیه فی بیع الأبوال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 بعضهم البیع بقصد بیع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هذا هو الصحیح بناء علی أنّ المانع عن بیع المیتة هو الإجماع أو النص،فیبیعهما بقصد المذکّی ثم یسلّمهما إلی المشتری فینتفع بهما فی غیر ما یشترط فیه التذکیة،نعم لو کان المانع هی حرمة الانتفاع فیجری فیه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ارتکاب أحدهما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للقول بجواز ارتکاب أحدهما فی جواز البیع بقصد المذکّی فإنّه بناء علی هذا المنهج یجوز بیع أحدهما معیّنا أیضا لو کان المانع عن البیع عدم جواز انتفاع المشتری،إذ المفروض حینئذ جواز انتفاع کل شخص بما یشتریه،نعم</w:t>
      </w:r>
    </w:p>
    <w:p>
      <w:pPr>
        <w:pStyle w:val="BookText"/>
        <w:rPr/>
      </w:pPr>
      <w:r>
        <w:rPr>
          <w:rFonts w:ascii="IRNazanin" w:hAnsi="IRNazanin" w:eastAsia="IRNazanin"/>
          <w:color w:val="111111"/>
          <w:sz w:val="28"/>
          <w:sz w:val="28"/>
          <w:szCs w:val="28"/>
          <w:rtl w:val="true"/>
          <w:lang w:bidi="fa-IR"/>
        </w:rPr>
        <w:t>بناء علی کون المانع من بیع المیتة هو النصّ أو الإجماع لا یصح البیع إلاّ بقصد المذکّی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ینبغی القول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منع المصنّف عن جواز بیع أحد المختلطین حتی مع القول بأنّه یجوز ارتکاب أحد المشتبهین و عدم تنجیز العلم الإجمالی،و ذلک لأصالة عدم التذکیة الجاریة فی اللحوم،فإنّها أصل موضوعی حاکم علی سائر الاصول من أصالتی الحل 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عدم التذکیة لا تثبت المیتة التی هی أمر وجودی إلاّ علی القول بالاصول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المیتة عبارة عمّا لم تلحقه الذکاة کما فی القاموس </w:t>
      </w:r>
      <w:r>
        <w:rPr>
          <w:rStyle w:val="FootnoteAnchor"/>
          <w:rtl w:val="true"/>
        </w:rPr>
        <w:footnoteReference w:id="240"/>
      </w:r>
      <w:r>
        <w:rPr>
          <w:rFonts w:ascii="IRNazanin" w:hAnsi="IRNazanin" w:eastAsia="IRNazanin"/>
          <w:color w:val="111111"/>
          <w:sz w:val="28"/>
          <w:sz w:val="28"/>
          <w:szCs w:val="28"/>
          <w:rtl w:val="true"/>
          <w:lang w:bidi="fa-IR"/>
        </w:rPr>
        <w:t>،إذن فلا شبهة فی ثبوتها بالأصل بلا أن یلزم منه المحذور المذکور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الأصل المذکور و إن کان متکفّلا لإثبات ذلک العنوان،إلاّ أنّه أمر یغایر المیتة و یلازمها،و لیس متّحدا معها،لأنّها فی عرف الشرع و اللغة </w:t>
      </w:r>
      <w:r>
        <w:rPr>
          <w:rStyle w:val="FootnoteAnchor"/>
          <w:rtl w:val="true"/>
        </w:rPr>
        <w:footnoteReference w:id="241"/>
      </w:r>
      <w:r>
        <w:rPr>
          <w:rFonts w:ascii="IRNazanin" w:hAnsi="IRNazanin" w:eastAsia="IRNazanin"/>
          <w:color w:val="111111"/>
          <w:sz w:val="28"/>
          <w:sz w:val="28"/>
          <w:szCs w:val="28"/>
          <w:rtl w:val="true"/>
          <w:lang w:bidi="fa-IR"/>
        </w:rPr>
        <w:t>إمّا عبارة عمّا مات حتف أنفه،و إمّا عبارة عمّا فارقته الروح بغیر ذکاة شرعیة و علی هیئة غیر مشروعة إمّا فی الفاعل أو فی المفعول،فلا یثبت شیء منهما بأصالة عدم التذکیة إلاّ علی القول بحجیّة الأصل المثبت،فالمحذور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فی القاموس</w:t>
      </w:r>
      <w:bookmarkStart w:id="163" w:name="pg5064_65220"/>
    </w:p>
    <w:p>
      <w:pPr>
        <w:pStyle w:val="BookText"/>
        <w:rPr/>
      </w:pPr>
      <w:bookmarkEnd w:id="163"/>
      <w:r>
        <w:rPr>
          <w:rFonts w:ascii="IRNazanin" w:hAnsi="IRNazanin" w:eastAsia="IRNazanin"/>
          <w:color w:val="111111"/>
          <w:sz w:val="28"/>
          <w:sz w:val="28"/>
          <w:szCs w:val="28"/>
          <w:rtl w:val="true"/>
          <w:lang w:bidi="fa-IR"/>
        </w:rPr>
        <w:t>فأمر لم تثبت صحّته،و کذلک ما عن أبی عمرو من أنّها ما لم تدرک تذکیته</w:t>
      </w:r>
      <w:r>
        <w:rPr>
          <w:rFonts w:eastAsia="IRNazanin" w:cs="IRNazanin"/>
          <w:color w:val="111111"/>
          <w:sz w:val="28"/>
          <w:szCs w:val="28"/>
          <w:rtl w:val="true"/>
          <w:lang w:bidi="fa-IR"/>
        </w:rPr>
        <w:t>.</w:t>
      </w:r>
    </w:p>
    <w:p>
      <w:pPr>
        <w:pStyle w:val="Heading5"/>
        <w:numPr>
          <w:ilvl w:val="4"/>
          <w:numId w:val="1"/>
        </w:numPr>
        <w:rPr/>
      </w:pPr>
      <w:bookmarkStart w:id="164" w:name="__RefHeading___Toc910054_774463916"/>
      <w:bookmarkStart w:id="165" w:name="_Toc61"/>
      <w:bookmarkEnd w:id="164"/>
      <w:r>
        <w:rPr>
          <w:rtl w:val="true"/>
        </w:rPr>
        <w:t>الروایات الواردة فی المقام</w:t>
      </w:r>
      <w:bookmarkEnd w:id="165"/>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فالروایات الواردة هنا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فتدلّ علی حرمة بیع المذکّی المختلط بالمیتة،و حرمة الانتفاع بهما،بل یرمی بهما إلی الکلاب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الرمی بهما إلی الکلاب کنایة عن حرمة الانتفاع بهما علی نحو الانتفاع بالمذکّی،کما حملنا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الوشاء المتقدّمة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أنه یصیب الید و الثوب،و 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فلا مناص من الالتزام بالوجوب النفسی للرمی،و هو بدیهی البطلان،إذ عمدة ما یکون محطّ النظر و مورد الرغبة من المیتة هو جلدها،و لیس هذا ممّا تأکله الکلاب،و هذا نظیر ما سیأتی </w:t>
      </w:r>
      <w:r>
        <w:rPr>
          <w:rStyle w:val="FootnoteAnchor"/>
          <w:rtl w:val="true"/>
        </w:rPr>
        <w:footnoteReference w:id="244"/>
      </w:r>
      <w:r>
        <w:rPr>
          <w:rFonts w:ascii="IRNazanin" w:hAnsi="IRNazanin" w:eastAsia="IRNazanin"/>
          <w:color w:val="111111"/>
          <w:sz w:val="28"/>
          <w:sz w:val="28"/>
          <w:szCs w:val="28"/>
          <w:rtl w:val="true"/>
          <w:lang w:bidi="fa-IR"/>
        </w:rPr>
        <w:t>فی بیع الدراهم المغشوشة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درهم من طبقتین طبقة من نحاس و طبقة من فضّة،فإنّ المراد بذلک لیس إلاّ إعدام الهیئة الدرهمیة لئلاّ یعامل علیها معاملة الدراهم الرائجة،و إلاّ فکسر الدرهم المغشوش لیس من الواجبات النفسیة کالصوم و الصلاة،و من هذا القبیل أیضا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باراقة الإناءین المشتبهین،و باراقة المرق المتنجّس کما سیأتی </w:t>
      </w:r>
      <w:r>
        <w:rPr>
          <w:rStyle w:val="FootnoteAnchor"/>
          <w:rtl w:val="true"/>
        </w:rPr>
        <w:footnoteReference w:id="245"/>
      </w:r>
      <w:r>
        <w:rPr>
          <w:rFonts w:ascii="IRNazanin" w:hAnsi="IRNazanin" w:eastAsia="IRNazanin"/>
          <w:color w:val="111111"/>
          <w:sz w:val="28"/>
          <w:sz w:val="28"/>
          <w:szCs w:val="28"/>
          <w:rtl w:val="true"/>
          <w:lang w:bidi="fa-IR"/>
        </w:rPr>
        <w:t>فی الانتفاع بالمتنجّس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حرمة الانتفاع بهما بحسب أنفسهما لا ینافی جواز بیعهما ممّن هو فی حکم الکلب أو أضل سبیلا،و یؤیّده ما ورد فی بعض الروایات من إطعام المرق المتنجّس أهل الذمّة أو الکلاب </w:t>
      </w:r>
      <w:r>
        <w:rPr>
          <w:rStyle w:val="FootnoteAnchor"/>
          <w:rtl w:val="true"/>
        </w:rPr>
        <w:footnoteReference w:id="246"/>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سبیلهما واحدا،و أمّا غیر الذمی فهو مثله بل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أغمضنا عن جمیع ما ذکرناه فغایة ما یستفاد من الروایة لیس إلاّ حرمة الانتفاع بکلا المختلطین لوجود المیتة فیهما،فتکون ممّا تدلّ علی حرمة الانتفاع بهما،و قد تقدّم الکلام فی ذلک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تدلّ علی جواز بیع المذکّی المختلط بالمیتة ممّن یستحلّها </w:t>
      </w:r>
      <w:r>
        <w:rPr>
          <w:rStyle w:val="FootnoteAnchor"/>
          <w:rtl w:val="true"/>
        </w:rPr>
        <w:footnoteReference w:id="248"/>
      </w:r>
      <w:r>
        <w:rPr>
          <w:rFonts w:ascii="IRNazanin" w:hAnsi="IRNazanin" w:eastAsia="IRNazanin"/>
          <w:color w:val="111111"/>
          <w:sz w:val="28"/>
          <w:sz w:val="28"/>
          <w:szCs w:val="28"/>
          <w:rtl w:val="true"/>
          <w:lang w:bidi="fa-IR"/>
        </w:rPr>
        <w:t xml:space="preserve">و بهما </w:t>
      </w:r>
      <w:r>
        <w:rPr>
          <w:rStyle w:val="FootnoteAnchor"/>
          <w:rtl w:val="true"/>
        </w:rPr>
        <w:footnoteReference w:id="249"/>
      </w:r>
      <w:r>
        <w:rPr>
          <w:rFonts w:ascii="IRNazanin" w:hAnsi="IRNazanin" w:eastAsia="IRNazanin"/>
          <w:color w:val="111111"/>
          <w:sz w:val="28"/>
          <w:sz w:val="28"/>
          <w:szCs w:val="28"/>
          <w:rtl w:val="true"/>
          <w:lang w:bidi="fa-IR"/>
        </w:rPr>
        <w:t>نرفع الید عن ظاهر روایة الجعفریات لو سلّم لها ظهور فی</w:t>
      </w:r>
      <w:bookmarkStart w:id="166" w:name="pg5064_65222"/>
    </w:p>
    <w:p>
      <w:pPr>
        <w:pStyle w:val="BookText"/>
        <w:rPr/>
      </w:pPr>
      <w:bookmarkEnd w:id="166"/>
      <w:r>
        <w:rPr>
          <w:rFonts w:ascii="IRNazanin" w:hAnsi="IRNazanin" w:eastAsia="IRNazanin"/>
          <w:color w:val="111111"/>
          <w:sz w:val="28"/>
          <w:sz w:val="28"/>
          <w:szCs w:val="28"/>
          <w:rtl w:val="true"/>
          <w:lang w:bidi="fa-IR"/>
        </w:rPr>
        <w:t>حرمة البیع علی الإطلاق،بل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الحکم بالمستحل لیس إلاّ لعدم رغبة غیره إلیهما،فیکونان مسلوبی المالیة،خصوصا إذا لم یکن المراد بالمستحل إلاّ مستحل الأکل فقط کما هو الظاهر،دون مستحل البیع و إن کان یحرم أکله،و أمّا إذا وجد من یرغب إلیهما و ینتفع بهما فی غیر ما اعتبرت فیه التذکیة و الطهارة کمن یشتریهما لینتفع بهما فی مثل التسمید أو سد الساقیة،أو یصرفهما فی أکل السباع و الطیور،أو کان المشتری ممّن لا یبالی بأکل المیتة کفسّاق المسلمین فیجوز بیعهما من غیر المستحل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الجزم بذلک مشکل جدّا،فلا مناص من تخصیص جواز البیع بالمستحل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القول بجواز بیع المیتة منفردة و مع التمیّز من المستحل أیضا،ضرورة أنّ الاختلاط و الاشتباه لا دخل له فی الجواز و علیه فیخصّص بهاتین الروایتین ما دلّ علی حرمة بیع المیتة علی الإطلاق</w:t>
      </w:r>
      <w:r>
        <w:rPr>
          <w:rFonts w:eastAsia="IRNazanin" w:cs="IRNazanin"/>
          <w:color w:val="111111"/>
          <w:sz w:val="28"/>
          <w:szCs w:val="28"/>
          <w:rtl w:val="true"/>
          <w:lang w:bidi="fa-IR"/>
        </w:rPr>
        <w:t>.</w:t>
      </w:r>
    </w:p>
    <w:p>
      <w:pPr>
        <w:pStyle w:val="Heading5"/>
        <w:numPr>
          <w:ilvl w:val="4"/>
          <w:numId w:val="1"/>
        </w:numPr>
        <w:rPr/>
      </w:pPr>
      <w:bookmarkStart w:id="167" w:name="__RefHeading___Toc910056_774463916"/>
      <w:bookmarkStart w:id="168" w:name="_Toc62"/>
      <w:bookmarkEnd w:id="167"/>
      <w:r>
        <w:rPr>
          <w:rtl w:val="true"/>
        </w:rPr>
        <w:t>مقتضی الجمع بین الروایات</w:t>
      </w:r>
      <w:bookmarkEnd w:id="16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العلاّمة </w:t>
      </w:r>
      <w:r>
        <w:rPr>
          <w:rStyle w:val="FootnoteAnchor"/>
          <w:rtl w:val="true"/>
        </w:rPr>
        <w:footnoteReference w:id="250"/>
      </w:r>
      <w:r>
        <w:rPr>
          <w:rFonts w:ascii="IRNazanin" w:hAnsi="IRNazanin" w:eastAsia="IRNazanin"/>
          <w:color w:val="111111"/>
          <w:sz w:val="28"/>
          <w:sz w:val="28"/>
          <w:szCs w:val="28"/>
          <w:rtl w:val="true"/>
          <w:lang w:bidi="fa-IR"/>
        </w:rPr>
        <w:t>حمل الخبرین علی جواز استنقاذ مال المستحل للمیتة بذلک برضاه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بین الکافر المستحل و بین ما یجوز استنقاذ ماله عموم من وجه،فإنّه قد یکون المستحل ممّن لا یجوز استنقاذ ماله إلاّ بالأسباب الشرعیة کالذمّی،و قد یکون غیر المستحل ممّن یجوز استنقاذ ماله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فی مکان صدور تلک الأخبار و زمانه کافر حربی یجوز استنقاذ ماله،فإنّها إنّما صدرت من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الکوفة،و کانت هی و نواحیها فی ذلک الوقت خالیة عن الحربیین،لدخول غیر المسلمین فیها بأجمعهم تحت الذمّة و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حملهما علی صورة قصد البائع المسلم أجزاءها التی لا تحلّها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هذا الرأی إنّما نشأ من عدم ملاحظة الروایتین،فإنه مضافا إلی إطلاقهما و عدم وجود ما یصلح لتقییدهما،أنّ الحسنة إنّما اشتملت علی اختلاط المذکّی بالمیتة من الغنم و البقر،و بدیهی أنه لیس فی البقر من الأجزاء التی لا تحلّها الحیاة شیء لیمکن الانتفاع به حتی یتوهّم حمل الروایتین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w:t>
      </w:r>
      <w:r>
        <w:rPr>
          <w:rStyle w:val="FootnoteAnchor"/>
          <w:rtl w:val="true"/>
        </w:rPr>
        <w:footnoteReference w:id="251"/>
      </w:r>
      <w:r>
        <w:rPr>
          <w:rFonts w:ascii="Amiri" w:hAnsi="Amiri" w:eastAsia="Amiri" w:cs="Amiri"/>
          <w:color w:val="111111"/>
          <w:sz w:val="28"/>
          <w:sz w:val="28"/>
          <w:szCs w:val="28"/>
          <w:rtl w:val="true"/>
          <w:lang w:bidi="ar-SA"/>
        </w:rPr>
        <w:t>شاذّة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شذوذها بحجّیتها بعد فرض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المحصّل علی حرمة التصرف فی المیتة غیر ثابت،و المنقول منه مع تصریح جماعة من الفقهاء بالجواز غیر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دعوی معارضتها بما دلّ علی المنع فقد عرفت الحال فیها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عموم ما دل علی المنع عن الانتفاع بالمیتة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حمل الروایات المانعة علی صورة الانتفاع بها کالمذکّی بقرینة الروایات المجوّزة،أو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إزاحة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یتخیّل الغافل أنه بناء علی تکلیف الکفّار بالفروع کتکلیفهم بالاصول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 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بیع المذکّی المختلط بالمیتة إعانة علی الإثم و هی محرّمة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منع کون المقام من صغریات الإعانة علی الإثم،و منع قیام الدلیل علی حرمتها لو کان منها،و إنّما هو کبیع العنب و التمر و عصیرهما ممّن یعلم أنّه</w:t>
      </w:r>
    </w:p>
    <w:p>
      <w:pPr>
        <w:pStyle w:val="BookText"/>
        <w:rPr/>
      </w:pPr>
      <w:r>
        <w:rPr>
          <w:rFonts w:ascii="IRNazanin" w:hAnsi="IRNazanin" w:eastAsia="IRNazanin"/>
          <w:color w:val="111111"/>
          <w:sz w:val="28"/>
          <w:sz w:val="28"/>
          <w:szCs w:val="28"/>
          <w:rtl w:val="true"/>
          <w:lang w:bidi="fa-IR"/>
        </w:rPr>
        <w:t xml:space="preserve">یجعلها خمرا،الذی لا شبهة فی جوازه کما سیأتی </w:t>
      </w:r>
      <w:r>
        <w:rPr>
          <w:rStyle w:val="FootnoteAnchor"/>
          <w:rtl w:val="true"/>
        </w:rPr>
        <w:footnoteReference w:id="253"/>
      </w:r>
      <w:r>
        <w:rPr>
          <w:rFonts w:ascii="IRNazanin" w:hAnsi="IRNazanin" w:eastAsia="IRNazanin"/>
          <w:color w:val="111111"/>
          <w:sz w:val="28"/>
          <w:sz w:val="28"/>
          <w:szCs w:val="28"/>
          <w:rtl w:val="true"/>
          <w:lang w:bidi="fa-IR"/>
        </w:rPr>
        <w:t xml:space="preserve">أنّه لا ریب فی جواز مثل هذا النحو من الإعانة علی الإثم،و إلاّ لم یجز سقی الکافر أیضا،لتنجّس الماء بمجرد مباشرته إیّاه ببشرته،فیحرم علیه شربه،فیکون سقیه إعانة علیه،مع أنّه لم یقل أحد بحرمته من جهة الإعانة علی الإثم،کیف و قد ورد جواز إبراد الکبد الحری و جواز تصدّق غیر النسک و الزکاة علی أهل الذمّة،و جواز سقی النصرانی </w:t>
      </w:r>
      <w:r>
        <w:rPr>
          <w:rStyle w:val="FootnoteAnchor"/>
          <w:rtl w:val="true"/>
        </w:rPr>
        <w:footnoteReference w:id="254"/>
      </w:r>
      <w:r>
        <w:rPr>
          <w:rFonts w:ascii="IRNazanin" w:hAnsi="IRNazanin" w:eastAsia="IRNazanin"/>
          <w:color w:val="111111"/>
          <w:sz w:val="28"/>
          <w:sz w:val="28"/>
          <w:szCs w:val="28"/>
          <w:rtl w:val="true"/>
          <w:lang w:bidi="fa-IR"/>
        </w:rPr>
        <w:t>و أیضا مقتضی ذلک التوهّم تحریم بیع المأکولات و المشروبات 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تکلیف الکفّار بالاجتناب عن المأکولات و المشروبات لتنجّسها بالمباشرة تکلیف بما لا یطاق،فإنّ الامتناع بالاختیار لا ینافی الاختیار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بداهة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أوّل الشهیدین فی الدروس </w:t>
      </w:r>
      <w:r>
        <w:rPr>
          <w:rStyle w:val="FootnoteAnchor"/>
          <w:rtl w:val="true"/>
        </w:rPr>
        <w:footnoteReference w:id="255"/>
      </w:r>
      <w:r>
        <w:rPr>
          <w:rFonts w:ascii="IRNazanin" w:hAnsi="IRNazanin" w:eastAsia="IRNazanin"/>
          <w:color w:val="111111"/>
          <w:sz w:val="28"/>
          <w:sz w:val="28"/>
          <w:szCs w:val="28"/>
          <w:rtl w:val="true"/>
          <w:lang w:bidi="fa-IR"/>
        </w:rPr>
        <w:t>احتمال الرجوع فی المقام إلی ما ورد فی اللحم غیر المعلوم کونه ذکیا أو میتا،من أنّه یطرح علی النار،فکل ما</w:t>
      </w:r>
      <w:bookmarkStart w:id="169" w:name="pg5064_65225"/>
    </w:p>
    <w:p>
      <w:pPr>
        <w:pStyle w:val="BookText"/>
        <w:rPr/>
      </w:pPr>
      <w:bookmarkEnd w:id="169"/>
      <w:r>
        <w:rPr>
          <w:rFonts w:ascii="IRNazanin" w:hAnsi="IRNazanin" w:eastAsia="IRNazanin"/>
          <w:color w:val="111111"/>
          <w:sz w:val="28"/>
          <w:sz w:val="28"/>
          <w:szCs w:val="28"/>
          <w:rtl w:val="true"/>
          <w:lang w:bidi="fa-IR"/>
        </w:rPr>
        <w:t xml:space="preserve">انقبض فهو ذکی،و کل ما انبسط فهو میّت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ضعف السند فیه،أنّ ذلک علی خلاف البداهة من الوجدان فإنّ من المقطوع أنّه لا تأثیر لانقباض اللحم و لا لانبساطه إذا طرح علی النار فی وقوع الذکاة علیه و عدم وقوعها،إذن فردّ علمه إلی أهله طریق الاحتیاط و سبیل النجاة،و إن ادّعی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الشهرة القریبة من الإجماع علی العمل به فی مورده</w:t>
      </w:r>
      <w:r>
        <w:rPr>
          <w:rFonts w:eastAsia="IRNazanin" w:cs="IRNazanin"/>
          <w:color w:val="111111"/>
          <w:sz w:val="28"/>
          <w:szCs w:val="28"/>
          <w:rtl w:val="true"/>
          <w:lang w:bidi="fa-IR"/>
        </w:rPr>
        <w:t>.</w:t>
      </w:r>
    </w:p>
    <w:p>
      <w:pPr>
        <w:pStyle w:val="Heading4"/>
        <w:numPr>
          <w:ilvl w:val="3"/>
          <w:numId w:val="1"/>
        </w:numPr>
        <w:rPr/>
      </w:pPr>
      <w:bookmarkStart w:id="170" w:name="__RefHeading___Toc910058_774463916"/>
      <w:bookmarkStart w:id="171" w:name="_Toc63"/>
      <w:bookmarkEnd w:id="170"/>
      <w:r>
        <w:rPr>
          <w:rtl w:val="true"/>
        </w:rPr>
        <w:t>جواز بیع میتة ما لیس له دم سائل</w:t>
      </w:r>
      <w:bookmarkEnd w:id="17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المیتة من غیر ذی النفس السائلة یجوز المعاوضة علیها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بین الأصحاب شهرة عظیمة،بل الإجماع علی جواز المعاوضة علی میتة غیر ذی النفس السائلة،و قد ذهب إلی ذلک أکثر العامة و إن کان قد یظهر من بعضهم الآخر خلافه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ذهب إلیه المشهور هو الوجیه،فإنّ</w:t>
      </w:r>
      <w:bookmarkStart w:id="172" w:name="pg5064_65226"/>
    </w:p>
    <w:p>
      <w:pPr>
        <w:pStyle w:val="BookText"/>
        <w:rPr/>
      </w:pPr>
      <w:bookmarkEnd w:id="172"/>
      <w:r>
        <w:rPr>
          <w:rFonts w:ascii="IRNazanin" w:hAnsi="IRNazanin" w:eastAsia="IRNazanin"/>
          <w:color w:val="111111"/>
          <w:sz w:val="28"/>
          <w:sz w:val="28"/>
          <w:szCs w:val="28"/>
          <w:rtl w:val="true"/>
          <w:lang w:bidi="fa-IR"/>
        </w:rPr>
        <w:t>المقتضی لجواز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الانتفاع بها بالمنافع المحلّلة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موجود،خصوصا فی بعض أقسامها کالسمک،فإنّ دهنه من المنافع المهمّة المقصودة للعقلاء،و المانع عنه مفقود لعدم ما یصلح للمانعیة عن المعاوضة علی المیتة الطاهرة وضعا و تکلیفا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مانع من التمسّک بالعمومات لإثبات صحتها،بل یمکن التمسّک بها حتی مع الشک فی وجود المنافع فیها،لما عرفته مرارا و ستعرفه من عدم اعتبار المالیة فی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أنّ بیعها ممّن یعلم البائع أنّه یأکلها إعانة علی الإثم فیکون حراما توهّم فاسد،فإنّها کبیع التمر و العنب و العصیر ممّن یجعلها خمرا،و سیأتی </w:t>
      </w:r>
      <w:r>
        <w:rPr>
          <w:rStyle w:val="FootnoteAnchor"/>
          <w:rtl w:val="true"/>
        </w:rPr>
        <w:footnoteReference w:id="258"/>
      </w:r>
      <w:r>
        <w:rPr>
          <w:rFonts w:ascii="IRNazanin" w:hAnsi="IRNazanin" w:eastAsia="IRNazanin"/>
          <w:color w:val="111111"/>
          <w:sz w:val="28"/>
          <w:sz w:val="28"/>
          <w:szCs w:val="28"/>
          <w:rtl w:val="true"/>
          <w:lang w:bidi="fa-IR"/>
        </w:rPr>
        <w:t>جوازه و ورود الأخبار علیه و إن صدق علیه عنوان الإعانة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الروایات الخاصّة التی تدلّ علی حرمة بیع المیتة فلا ریب فی ظهورها بل صراحة بعضها فی المیتة النجسة،و أمّا الروایات العامة المتقدّمة </w:t>
      </w:r>
      <w:r>
        <w:rPr>
          <w:rStyle w:val="FootnoteAnchor"/>
          <w:rtl w:val="true"/>
        </w:rPr>
        <w:footnoteReference w:id="259"/>
      </w:r>
      <w:r>
        <w:rPr>
          <w:rFonts w:ascii="IRNazanin" w:hAnsi="IRNazanin" w:eastAsia="IRNazanin"/>
          <w:color w:val="111111"/>
          <w:sz w:val="28"/>
          <w:sz w:val="28"/>
          <w:szCs w:val="28"/>
          <w:rtl w:val="true"/>
          <w:lang w:bidi="fa-IR"/>
        </w:rPr>
        <w:t>فمضافا إلی ما تقدّم فیها،أنّ الشهرة بل الإجماع علی خلافها هنا،فلا یکون ضعفها منجبرا بعمل الأصحاب</w:t>
      </w:r>
      <w:r>
        <w:rPr>
          <w:rFonts w:eastAsia="IRNazanin" w:cs="IRNazanin"/>
          <w:color w:val="111111"/>
          <w:sz w:val="28"/>
          <w:szCs w:val="28"/>
          <w:rtl w:val="true"/>
          <w:lang w:bidi="fa-IR"/>
        </w:rPr>
        <w:t>.</w:t>
      </w:r>
    </w:p>
    <w:p>
      <w:pPr>
        <w:pStyle w:val="Heading3"/>
        <w:numPr>
          <w:ilvl w:val="2"/>
          <w:numId w:val="1"/>
        </w:numPr>
        <w:rPr/>
      </w:pPr>
      <w:bookmarkStart w:id="173" w:name="__RefHeading___Toc910060_774463916"/>
      <w:bookmarkStart w:id="174" w:name="_Toc64"/>
      <w:bookmarkEnd w:id="173"/>
      <w:r>
        <w:rPr>
          <w:rtl w:val="true"/>
        </w:rPr>
        <w:t>حرمة التکسّب بالکلب الهراش</w:t>
      </w:r>
      <w:bookmarkEnd w:id="17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التکسّب بالکلب الهراش و الخنزیر البریین إجماعا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التقیید بالبریین هو أنّ المشهور و المختار عنده طهارة البحریین</w:t>
      </w:r>
    </w:p>
    <w:p>
      <w:pPr>
        <w:pStyle w:val="BookText"/>
        <w:rPr/>
      </w:pPr>
      <w:r>
        <w:rPr>
          <w:rFonts w:ascii="IRNazanin" w:hAnsi="IRNazanin" w:eastAsia="IRNazanin"/>
          <w:color w:val="111111"/>
          <w:sz w:val="28"/>
          <w:sz w:val="28"/>
          <w:szCs w:val="28"/>
          <w:rtl w:val="true"/>
          <w:lang w:bidi="fa-IR"/>
        </w:rPr>
        <w:t xml:space="preserve">منهما،و استدلّ علی ذلک فی کتاب الطهارة فی مسألة نجاسة الکلب </w:t>
      </w:r>
      <w:r>
        <w:rPr>
          <w:rStyle w:val="FootnoteAnchor"/>
          <w:rtl w:val="true"/>
        </w:rPr>
        <w:footnoteReference w:id="260"/>
      </w:r>
      <w:r>
        <w:rPr>
          <w:rFonts w:ascii="IRNazanin" w:hAnsi="IRNazanin" w:eastAsia="IRNazanin"/>
          <w:color w:val="111111"/>
          <w:sz w:val="28"/>
          <w:sz w:val="28"/>
          <w:szCs w:val="28"/>
          <w:rtl w:val="true"/>
          <w:lang w:bidi="fa-IR"/>
        </w:rPr>
        <w:t xml:space="preserve">بصحیحة ابن الحجّاج </w:t>
      </w:r>
      <w:r>
        <w:rPr>
          <w:rStyle w:val="FootnoteAnchor"/>
          <w:rtl w:val="true"/>
        </w:rPr>
        <w:footnoteReference w:id="261"/>
      </w:r>
      <w:r>
        <w:rPr>
          <w:rFonts w:ascii="IRNazanin" w:hAnsi="IRNazanin" w:eastAsia="IRNazanin"/>
          <w:color w:val="111111"/>
          <w:sz w:val="28"/>
          <w:sz w:val="28"/>
          <w:szCs w:val="28"/>
          <w:rtl w:val="true"/>
          <w:lang w:bidi="fa-IR"/>
        </w:rPr>
        <w:t>بل الظاهر أنّهما من أقسام السمک غیر المأکول،فیکونان خارجین عمّا نحن فیه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تحریر البحث هنا یقع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بیع الکلب الهراش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بل المجمع علیه بین أصحابنا حرمة بیعه و کون ثمنه سحتا،قال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الکلب إن کان عقورا حرم بیعه عند علمائنا </w:t>
      </w:r>
      <w:r>
        <w:rPr>
          <w:rStyle w:val="FootnoteAnchor"/>
          <w:rtl w:val="true"/>
        </w:rPr>
        <w:footnoteReference w:id="263"/>
      </w:r>
      <w:r>
        <w:rPr>
          <w:rFonts w:ascii="IRNazanin" w:hAnsi="IRNazanin" w:eastAsia="IRNazanin"/>
          <w:color w:val="111111"/>
          <w:sz w:val="28"/>
          <w:sz w:val="28"/>
          <w:szCs w:val="28"/>
          <w:rtl w:val="true"/>
          <w:lang w:bidi="fa-IR"/>
        </w:rPr>
        <w:t xml:space="preserve">،بل عند أکثر العامة لا یصح بیع الکلب مطلقا و لو کان کلب صید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تدل علی حرمة بیعه الروایات المتظافرة </w:t>
      </w:r>
      <w:r>
        <w:rPr>
          <w:rStyle w:val="FootnoteAnchor"/>
          <w:rtl w:val="true"/>
        </w:rPr>
        <w:footnoteReference w:id="265"/>
      </w:r>
      <w:r>
        <w:rPr>
          <w:rFonts w:ascii="IRNazanin" w:hAnsi="IRNazanin" w:eastAsia="IRNazanin"/>
          <w:color w:val="111111"/>
          <w:sz w:val="28"/>
          <w:sz w:val="28"/>
          <w:szCs w:val="28"/>
          <w:rtl w:val="true"/>
          <w:lang w:bidi="fa-IR"/>
        </w:rPr>
        <w:t>إلاّ أنّ أکثرها ضعیفة السند</w:t>
      </w:r>
    </w:p>
    <w:p>
      <w:pPr>
        <w:pStyle w:val="BookText"/>
        <w:rPr/>
      </w:pPr>
      <w:r>
        <w:rPr>
          <w:rFonts w:ascii="IRNazanin" w:hAnsi="IRNazanin" w:eastAsia="IRNazanin"/>
          <w:color w:val="111111"/>
          <w:sz w:val="28"/>
          <w:sz w:val="28"/>
          <w:szCs w:val="28"/>
          <w:rtl w:val="true"/>
          <w:lang w:bidi="fa-IR"/>
        </w:rPr>
        <w:t xml:space="preserve">و جملة منها و إن کانت مطلقة تشمل جمیع أقسام الکلاب و لکنّها مقیّدة بالأخبار الآتیة فی جواز بیع کلب الصید التی هی صریحة فی جواز بیع الصیود منها،و علی هذا المنوال روایات العامّة </w:t>
      </w:r>
      <w:r>
        <w:rPr>
          <w:rStyle w:val="FootnoteAnchor"/>
          <w:rtl w:val="true"/>
        </w:rPr>
        <w:footnoteReference w:id="266"/>
      </w:r>
      <w:r>
        <w:rPr>
          <w:rFonts w:ascii="IRNazanin" w:hAnsi="IRNazanin" w:eastAsia="IRNazanin"/>
          <w:color w:val="111111"/>
          <w:sz w:val="28"/>
          <w:sz w:val="28"/>
          <w:szCs w:val="28"/>
          <w:rtl w:val="true"/>
          <w:lang w:bidi="fa-IR"/>
        </w:rPr>
        <w:t>علی کثرتها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فدعوی الإجماع التعبّدی علی حرمة بیعه فی غیر محلّه،لأنّه إن کان المراد بالحرمة هی الحرمة الوضعیة فهی و إن کانت مسلّمة و لکن المدرک لها لیس إلاّ تلک الأخبار المتکثّرة،فیحکم بفساد بیعها لأجلها،لا للإجماع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bookmarkStart w:id="175" w:name="pg5064_65229"/>
    </w:p>
    <w:p>
      <w:pPr>
        <w:pStyle w:val="BookText"/>
        <w:rPr/>
      </w:pPr>
      <w:bookmarkEnd w:id="175"/>
      <w:r>
        <w:rPr>
          <w:rFonts w:ascii="IRNazanin" w:hAnsi="IRNazanin" w:eastAsia="IRNazanin"/>
          <w:color w:val="111111"/>
          <w:sz w:val="28"/>
          <w:sz w:val="28"/>
          <w:szCs w:val="28"/>
          <w:rtl w:val="true"/>
          <w:lang w:bidi="fa-IR"/>
        </w:rPr>
        <w:t>المراد بها هی الحرمة التکلیفیة،ففیه أنّ الظاهر هو انحصار معقد الإجماع بالحرمة الوضعیة،بل یکفینا الشک فی ذلک،لکونه دلیلا لبّیا لا یؤخذ منه إلاّ المقدار المتیقّن</w:t>
      </w:r>
      <w:r>
        <w:rPr>
          <w:rFonts w:eastAsia="IRNazanin" w:cs="IRNazanin"/>
          <w:color w:val="111111"/>
          <w:sz w:val="28"/>
          <w:szCs w:val="28"/>
          <w:rtl w:val="true"/>
          <w:lang w:bidi="fa-IR"/>
        </w:rPr>
        <w:t>.</w:t>
      </w:r>
    </w:p>
    <w:p>
      <w:pPr>
        <w:pStyle w:val="Heading3"/>
        <w:numPr>
          <w:ilvl w:val="2"/>
          <w:numId w:val="1"/>
        </w:numPr>
        <w:rPr/>
      </w:pPr>
      <w:bookmarkStart w:id="176" w:name="__RefHeading___Toc910062_774463916"/>
      <w:bookmarkStart w:id="177" w:name="_Toc65"/>
      <w:bookmarkEnd w:id="176"/>
      <w:r>
        <w:rPr>
          <w:rtl w:val="true"/>
        </w:rPr>
        <w:t>حرمة التکسّب بالخنزیر</w:t>
      </w:r>
      <w:bookmarkEnd w:id="177"/>
    </w:p>
    <w:p>
      <w:pPr>
        <w:pStyle w:val="Heading4"/>
        <w:numPr>
          <w:ilvl w:val="3"/>
          <w:numId w:val="1"/>
        </w:numPr>
        <w:rPr/>
      </w:pPr>
      <w:bookmarkStart w:id="178" w:name="__RefHeading___Toc910064_774463916"/>
      <w:bookmarkStart w:id="179" w:name="_Toc66"/>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و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بل المجمع علیه بین الخاصة و العامّة </w:t>
      </w:r>
      <w:r>
        <w:rPr>
          <w:rStyle w:val="FootnoteAnchor"/>
          <w:rtl w:val="true"/>
        </w:rPr>
        <w:footnoteReference w:id="267"/>
      </w:r>
      <w:r>
        <w:rPr>
          <w:rFonts w:ascii="IRNazanin" w:hAnsi="IRNazanin" w:eastAsia="IRNazanin"/>
          <w:color w:val="111111"/>
          <w:sz w:val="28"/>
          <w:sz w:val="28"/>
          <w:szCs w:val="28"/>
          <w:rtl w:val="true"/>
          <w:lang w:bidi="fa-IR"/>
        </w:rPr>
        <w:t>هو عدم جواز بیعه،قال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باع نجس العین کالخنزیر لم یصح إجماعا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الروایات الواردة فی هذه المسألة علی طائفتین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حرمة بیعه وضعا و تکلیفا،منها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قرب الإسناد </w:t>
      </w:r>
      <w:r>
        <w:rPr>
          <w:rStyle w:val="FootnoteAnchor"/>
          <w:rtl w:val="true"/>
        </w:rPr>
        <w:footnoteReference w:id="269"/>
      </w:r>
      <w:r>
        <w:rPr>
          <w:rFonts w:ascii="IRNazanin" w:hAnsi="IRNazanin" w:eastAsia="IRNazanin"/>
          <w:color w:val="111111"/>
          <w:sz w:val="28"/>
          <w:sz w:val="28"/>
          <w:szCs w:val="28"/>
          <w:rtl w:val="true"/>
          <w:lang w:bidi="fa-IR"/>
        </w:rPr>
        <w:t>فی نصرانیین باع أحدهما الخنزیر إلی أجل ثم أسلما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له الثمن،فلا بأس أن 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مفهومه أنّ غیر أخذ الثمن لا یجوز له بعد الإسلام و علیه فیستفاد من الروایة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بیع الخنزیر بعد الإسلام،و إلاّ لکان الحصر فیها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المعاملة علیه قبل الإسلام،و إلاّ لکان أخذ ثمنه بعد الإسلام حراما و أکلا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روایتا الجعفریات و دعائم الإسلام </w:t>
      </w:r>
      <w:r>
        <w:rPr>
          <w:rStyle w:val="FootnoteAnchor"/>
          <w:rtl w:val="true"/>
        </w:rPr>
        <w:footnoteReference w:id="270"/>
      </w:r>
      <w:r>
        <w:rPr>
          <w:rFonts w:ascii="IRNazanin" w:hAnsi="IRNazanin" w:eastAsia="IRNazanin"/>
          <w:color w:val="111111"/>
          <w:sz w:val="28"/>
          <w:sz w:val="28"/>
          <w:szCs w:val="28"/>
          <w:rtl w:val="true"/>
          <w:lang w:bidi="fa-IR"/>
        </w:rPr>
        <w:t>حیث جعل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الخنزیر فیهما من السحت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من الروایات الدالّة علی حرمة بیعه </w:t>
      </w:r>
      <w:r>
        <w:rPr>
          <w:rStyle w:val="FootnoteAnchor"/>
          <w:rtl w:val="true"/>
        </w:rPr>
        <w:footnoteReference w:id="271"/>
      </w:r>
      <w:r>
        <w:rPr>
          <w:rFonts w:ascii="IRNazanin" w:hAnsi="IRNazanin" w:eastAsia="IRNazanin"/>
          <w:color w:val="111111"/>
          <w:sz w:val="28"/>
          <w:sz w:val="28"/>
          <w:szCs w:val="28"/>
          <w:rtl w:val="true"/>
          <w:lang w:bidi="fa-IR"/>
        </w:rPr>
        <w:t>،بل فی بعضها نهی عن إمساکه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ذلک فی أحادیث أهل السنّة أیضا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صحّة بیع الخنزیر وضعا </w:t>
      </w:r>
      <w:r>
        <w:rPr>
          <w:rStyle w:val="FootnoteAnchor"/>
          <w:rtl w:val="true"/>
        </w:rPr>
        <w:footnoteReference w:id="273"/>
      </w:r>
      <w:r>
        <w:rPr>
          <w:rFonts w:ascii="IRNazanin" w:hAnsi="IRNazanin" w:eastAsia="IRNazanin"/>
          <w:color w:val="111111"/>
          <w:sz w:val="28"/>
          <w:sz w:val="28"/>
          <w:szCs w:val="28"/>
          <w:rtl w:val="true"/>
          <w:lang w:bidi="fa-IR"/>
        </w:rPr>
        <w:t>،بدعوی أنّها صریحة فی</w:t>
      </w:r>
      <w:bookmarkStart w:id="180" w:name="pg5064_65231"/>
    </w:p>
    <w:p>
      <w:pPr>
        <w:pStyle w:val="BookText"/>
        <w:rPr/>
      </w:pPr>
      <w:bookmarkEnd w:id="180"/>
      <w:r>
        <w:rPr>
          <w:rFonts w:ascii="IRNazanin" w:hAnsi="IRNazanin" w:eastAsia="IRNazanin"/>
          <w:color w:val="111111"/>
          <w:sz w:val="28"/>
          <w:sz w:val="28"/>
          <w:szCs w:val="28"/>
          <w:rtl w:val="true"/>
          <w:lang w:bidi="fa-IR"/>
        </w:rPr>
        <w:t>جواز استیفاء الدین من ثمن الخنزیر،فلازم ذلک هو نفوذ بیعه وضعا و إن کان للبائع حراما تکلیفا،و إلاّ فیلزم استیفاء الدین من مال الغیر و هو حرام لکونه أکلا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الوجه فی 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للمقتضی فحلال،و أمّا للبائع فحرام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صحة بیع الخنزیر وضعا و حرمته تکلیفا</w:t>
      </w:r>
      <w:r>
        <w:rPr>
          <w:rFonts w:eastAsia="IRNazanin" w:cs="IRNazanin"/>
          <w:color w:val="111111"/>
          <w:sz w:val="28"/>
          <w:szCs w:val="28"/>
          <w:rtl w:val="true"/>
          <w:lang w:bidi="fa-IR"/>
        </w:rPr>
        <w:t>.</w:t>
      </w:r>
    </w:p>
    <w:p>
      <w:pPr>
        <w:pStyle w:val="Heading4"/>
        <w:numPr>
          <w:ilvl w:val="3"/>
          <w:numId w:val="1"/>
        </w:numPr>
        <w:rPr/>
      </w:pPr>
      <w:bookmarkStart w:id="181" w:name="__RefHeading___Toc910066_774463916"/>
      <w:bookmarkStart w:id="182" w:name="_Toc67"/>
      <w:bookmarkEnd w:id="181"/>
      <w:r>
        <w:rPr>
          <w:rtl w:val="true"/>
        </w:rPr>
        <w:t>الجمع بین الروایات المانعة و المجوزة</w:t>
      </w:r>
      <w:bookmarkEnd w:id="18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 بینهما فی الوسائل بحمل المجوّزة علی فرض کون البائع ذمّیا،و استشهد علیه بموثّقة منصور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لدلالتها علی جواز خصوص بیع الذمّی الخنزیر،فتکون</w:t>
      </w:r>
    </w:p>
    <w:p>
      <w:pPr>
        <w:pStyle w:val="BookText"/>
        <w:rPr/>
      </w:pPr>
      <w:r>
        <w:rPr>
          <w:rFonts w:ascii="IRNazanin" w:hAnsi="IRNazanin" w:eastAsia="IRNazanin"/>
          <w:color w:val="111111"/>
          <w:sz w:val="28"/>
          <w:sz w:val="28"/>
          <w:szCs w:val="28"/>
          <w:rtl w:val="true"/>
          <w:lang w:bidi="fa-IR"/>
        </w:rPr>
        <w:t>مقیّدة لما یدل علی جواز بیعه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المطلق علی المقیّد و إن کان من المسلّمات،إلاّ أنّه فیما کان بینهما تناف و تعاند،نظیر أعتق رقبة و لا تعتق رقبة کافرة،و لو لم یکن بینهما تناف کما فی المقام فلا وجه لذلک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خبر منصور،و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له الثمن،فلا بأس أن 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روایة عمّار بن موسی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هو جواز بیع الذمّی الخنزیر قبل الإسلام،فیقیّد بها ما یدل علی حرمة بیعه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فتنقلب النسبة و تصیر المانعة أخص من المجوّزة و مقیّدة لها،و علیه فلا یجوز لغیر الذمّی بیع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ممّا ذکرناه حکم بیع الخمر أیضا،لأنّها مذکورة فی الأخبار المتقدّمة مع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استدل غیر واحد من الأعاظم علی حرمة بیعه بالأخبار العامّة المذکورة فی أول الکتاب،و قد عرفت ما فیها من ضعف السند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ینقضی العجب من المصنّف حیث اقتصر فی الاستدلال علی حرمة بیع الخنزیر بالإجماع فقط،و لم یتعرّض للروایات،و هو أعرف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أجزاؤهما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النصوص و الإجماعات إنّما تمنعان عن بیع الکلب و الخنزیر</w:t>
      </w:r>
      <w:bookmarkStart w:id="183" w:name="pg5064_65233"/>
    </w:p>
    <w:p>
      <w:pPr>
        <w:pStyle w:val="BookText"/>
        <w:rPr/>
      </w:pPr>
      <w:bookmarkEnd w:id="183"/>
      <w:r>
        <w:rPr>
          <w:rFonts w:ascii="IRNazanin" w:hAnsi="IRNazanin" w:eastAsia="IRNazanin"/>
          <w:color w:val="111111"/>
          <w:sz w:val="28"/>
          <w:sz w:val="28"/>
          <w:szCs w:val="28"/>
          <w:rtl w:val="true"/>
          <w:lang w:bidi="fa-IR"/>
        </w:rPr>
        <w:t>بوصفهما العنوانی و بصورتهما النوعیة التی بها شیئیة الأشیاء فی دار تحقّقها و صقع تکوّنها،و بما أنّ الأحکام الشرعیة إنّما تترتّب علی الموضوعات العرفیة فلا مانع من شمول المنع للمیتة منهما،لصدق عنوان الکلب و الخنزیر علیها و لو بالمسامحة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فتکون المعاملة علیها أیضا حراما</w:t>
      </w:r>
      <w:r>
        <w:rPr>
          <w:rFonts w:eastAsia="IRNazanin" w:cs="IRNazanin"/>
          <w:color w:val="111111"/>
          <w:sz w:val="28"/>
          <w:szCs w:val="28"/>
          <w:rtl w:val="true"/>
          <w:lang w:bidi="fa-IR"/>
        </w:rPr>
        <w:t>.</w:t>
      </w:r>
    </w:p>
    <w:p>
      <w:pPr>
        <w:pStyle w:val="Heading4"/>
        <w:numPr>
          <w:ilvl w:val="3"/>
          <w:numId w:val="1"/>
        </w:numPr>
        <w:rPr/>
      </w:pPr>
      <w:bookmarkStart w:id="184" w:name="__RefHeading___Toc910068_774463916"/>
      <w:bookmarkStart w:id="185" w:name="_Toc68"/>
      <w:bookmarkEnd w:id="184"/>
      <w:r>
        <w:rPr>
          <w:rtl w:val="true"/>
        </w:rPr>
        <w:t>بیع أجزاء الکلب و الخنزیر</w:t>
      </w:r>
      <w:bookmarkEnd w:id="185"/>
    </w:p>
    <w:p>
      <w:pPr>
        <w:pStyle w:val="BookText"/>
        <w:rPr/>
      </w:pPr>
      <w:r>
        <w:rPr>
          <w:rFonts w:ascii="IRNazanin" w:hAnsi="IRNazanin" w:eastAsia="IRNazanin"/>
          <w:color w:val="111111"/>
          <w:sz w:val="28"/>
          <w:sz w:val="28"/>
          <w:szCs w:val="28"/>
          <w:rtl w:val="true"/>
          <w:lang w:bidi="fa-IR"/>
        </w:rPr>
        <w:t xml:space="preserve">أمّا أجزاؤهما فلا شبهة فی أنه لا یصدق علیها عنوان الکلب و الخنزیر،لا بالدقة العقلیة و لا بالمسامحة العرفیة،و علیه فإن کانت ممّا تحلّه الحیاة شملتها أدلّة حرمة بیع المیتة لصدقها علیها،و إن جاز الانتفاع بها فی غیر ما هو مشروط بالطهارة و التذکیة،و إن کانت ممّا لا تحلّه الحیاة کالشعر و نحوه فحرمة البیع و الانتفاع هنا متوقّفة علی مانعیة النجاسة عنهما،إذ من الواضح جدّا أنّ نجاسة الکلب و الخنزیر لا تختص بما تحلّه الحیاة فقط،و حیث علمت أنها لا تصلح للمانعیة عن البیع و لا عن الانتفاع،فلا مانع عن بیعها للعمومات،و لا عن الانتفاع بها بالمنافع المحلّلة لأصالة الإباحة،و من هنا أفتی بعضهم بجواز بیع شعر الخنزیر و الانتفاع به فی غیر ما هو مشروط بالطهارة،و إن منع عن بیعه بعض فقهاء العامّة </w:t>
      </w:r>
      <w:r>
        <w:rPr>
          <w:rStyle w:val="FootnoteAnchor"/>
          <w:rtl w:val="true"/>
        </w:rPr>
        <w:footnoteReference w:id="274"/>
      </w:r>
      <w:r>
        <w:rPr>
          <w:rFonts w:ascii="IRNazanin" w:hAnsi="IRNazanin" w:eastAsia="IRNazanin"/>
          <w:color w:val="111111"/>
          <w:sz w:val="28"/>
          <w:sz w:val="28"/>
          <w:szCs w:val="28"/>
          <w:rtl w:val="true"/>
          <w:lang w:bidi="fa-IR"/>
        </w:rPr>
        <w:t xml:space="preserve">لأنّه نجس العین فلا یجوز بیعه إهانة له،نعم بناء علی طهارة الخنزیر کما ذهب إلیه مالک </w:t>
      </w:r>
      <w:r>
        <w:rPr>
          <w:rStyle w:val="FootnoteAnchor"/>
          <w:rtl w:val="true"/>
        </w:rPr>
        <w:footnoteReference w:id="275"/>
      </w:r>
      <w:r>
        <w:rPr>
          <w:rFonts w:ascii="IRNazanin" w:hAnsi="IRNazanin" w:eastAsia="IRNazanin"/>
          <w:color w:val="111111"/>
          <w:sz w:val="28"/>
          <w:sz w:val="28"/>
          <w:szCs w:val="28"/>
          <w:rtl w:val="true"/>
          <w:lang w:bidi="fa-IR"/>
        </w:rPr>
        <w:t>یجوز بیع شعره،لعدم نجاسته المانعة عنه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ورد فی جملة من الأحادیث جواز الانتفاع بشعر الخنزیر فی غیر ما</w:t>
      </w:r>
      <w:bookmarkStart w:id="186" w:name="pg5064_65234"/>
    </w:p>
    <w:p>
      <w:pPr>
        <w:pStyle w:val="BookText"/>
        <w:rPr/>
      </w:pPr>
      <w:bookmarkEnd w:id="186"/>
      <w:r>
        <w:rPr>
          <w:rFonts w:ascii="Amiri" w:hAnsi="Amiri" w:eastAsia="Amiri" w:cs="Amiri"/>
          <w:color w:val="111111"/>
          <w:sz w:val="28"/>
          <w:sz w:val="28"/>
          <w:szCs w:val="28"/>
          <w:rtl w:val="true"/>
          <w:lang w:bidi="ar-SA"/>
        </w:rPr>
        <w:t xml:space="preserve">هو مشروط بالطهارة </w:t>
      </w:r>
      <w:r>
        <w:rPr>
          <w:rStyle w:val="FootnoteAnchor"/>
          <w:rtl w:val="true"/>
        </w:rPr>
        <w:footnoteReference w:id="276"/>
      </w:r>
      <w:r>
        <w:rPr>
          <w:rFonts w:ascii="IRNazanin" w:hAnsi="IRNazanin" w:eastAsia="IRNazanin"/>
          <w:color w:val="111111"/>
          <w:sz w:val="28"/>
          <w:sz w:val="28"/>
          <w:szCs w:val="28"/>
          <w:rtl w:val="true"/>
          <w:lang w:bidi="fa-IR"/>
        </w:rPr>
        <w:t>،و علی هذا فهو من الأموال عند الشارع أیضا</w:t>
      </w:r>
      <w:r>
        <w:rPr>
          <w:rFonts w:eastAsia="IRNazanin" w:cs="IRNazanin"/>
          <w:color w:val="111111"/>
          <w:sz w:val="28"/>
          <w:szCs w:val="28"/>
          <w:rtl w:val="true"/>
          <w:lang w:bidi="fa-IR"/>
        </w:rPr>
        <w:t>.</w:t>
      </w:r>
    </w:p>
    <w:p>
      <w:pPr>
        <w:pStyle w:val="Heading3"/>
        <w:numPr>
          <w:ilvl w:val="2"/>
          <w:numId w:val="1"/>
        </w:numPr>
        <w:rPr/>
      </w:pPr>
      <w:bookmarkStart w:id="187" w:name="__RefHeading___Toc910070_774463916"/>
      <w:bookmarkStart w:id="188" w:name="_Toc69"/>
      <w:bookmarkEnd w:id="187"/>
      <w:r>
        <w:rPr>
          <w:rtl w:val="true"/>
        </w:rPr>
        <w:t>حرمة التکسّب بالخمر و کل مسکر مائع</w:t>
      </w:r>
      <w:bookmarkEnd w:id="188"/>
    </w:p>
    <w:p>
      <w:pPr>
        <w:pStyle w:val="Heading4"/>
        <w:numPr>
          <w:ilvl w:val="3"/>
          <w:numId w:val="1"/>
        </w:numPr>
        <w:rPr/>
      </w:pPr>
      <w:bookmarkStart w:id="189" w:name="__RefHeading___Toc910072_774463916"/>
      <w:bookmarkStart w:id="190" w:name="_Toc70"/>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التکسّب بالخمر و کل مسکر مائع و الفقاع إجماعا نصّا و فتوی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قامت الضرورة من المسلمین </w:t>
      </w:r>
      <w:r>
        <w:rPr>
          <w:rStyle w:val="FootnoteAnchor"/>
          <w:rtl w:val="true"/>
        </w:rPr>
        <w:footnoteReference w:id="278"/>
      </w:r>
      <w:r>
        <w:rPr>
          <w:rFonts w:ascii="IRNazanin" w:hAnsi="IRNazanin" w:eastAsia="IRNazanin"/>
          <w:color w:val="111111"/>
          <w:sz w:val="28"/>
          <w:sz w:val="28"/>
          <w:szCs w:val="28"/>
          <w:rtl w:val="true"/>
          <w:lang w:bidi="fa-IR"/>
        </w:rPr>
        <w:t>و أطبقت الروایات من الفریقین</w:t>
      </w:r>
    </w:p>
    <w:p>
      <w:pPr>
        <w:pStyle w:val="BookText"/>
        <w:rPr/>
      </w:pPr>
      <w:r>
        <w:rPr>
          <w:rFonts w:ascii="IRNazanin" w:hAnsi="IRNazanin" w:eastAsia="IRNazanin"/>
          <w:color w:val="111111"/>
          <w:sz w:val="28"/>
          <w:sz w:val="28"/>
          <w:szCs w:val="28"/>
          <w:rtl w:val="true"/>
          <w:lang w:bidi="fa-IR"/>
        </w:rPr>
        <w:t>علی حرمة بیع الخمر و کل مسکر مائع ممّا یصدق علیه عنوان الخمر من النبیذ و الفقّاع و غیرهما،أمّا الخمر فشربها من أعظم الکبائر و أشدّ الجرائم فی نظر الشارع المقدّس،لما فیه من المضار الدینیة و الخلقیة و البدنیة و الاجتماعیة،و یدلّ علی حرمة جمیع شؤونها الخبر المشهور بین الخاصّة و العامة 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الخمر و عاصرها و معتصرها و بائعها و مشتریها و ساقیها و آکل ثمنها و شاربها و حاملها و المحمولة إلیه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النبیذ المسکر فیدلّ علی حرمة بیعه کل ما دلّ علی حرمة بیع الخمر وضعا و تکلیفا،لکونه خمرا واقعا،لقوله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 فعل الخمر فهو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عاقبته عاقبة الخمر فهو خمر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من البدیهی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النبیذ یفعل ما تفعله الخمر و یسکر کاسکار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فیکون مثلها فی جمیع الأحکام،و من هنا 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شه‌شه،تلک الخمرة المنتنة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أی النبیذ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جعل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أقسام السحت ثمن النبیذ المسکر فی روایة عمّار الآتیة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هذه الروایة و إن لم یکن فیها دلالة علی حرمة البیع تکلیفا،لظهورها فی الحکم الوضعی فقط،إلاّ أنّ فی غیرها کفایة،فإنّه بعد ما صدقت الخمر علیه حقیقة فیترتّب علیه جمیع أحکامها التی منها حرمة البیع و هکذا الفقّاع،لکونه خمرا مجهولا استصغرها الناس،و قد نزل ذلک منزلة الخمر فی عدّة من الروایات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بل فی بعضها ما یدلّ علی مبغوضیة بیعه،کقوله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91" w:name="pg5064_65238"/>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الدار داری لقتلت بائعه</w:t>
      </w:r>
      <w:r>
        <w:rPr>
          <w:rFonts w:eastAsia="IRNazanin" w:cs="IRNazanin"/>
          <w:color w:val="111111"/>
          <w:sz w:val="28"/>
          <w:szCs w:val="28"/>
          <w:rtl w:val="true"/>
          <w:lang w:bidi="fa-IR"/>
        </w:rPr>
        <w:t>».</w:t>
      </w:r>
    </w:p>
    <w:p>
      <w:pPr>
        <w:pStyle w:val="Heading4"/>
        <w:numPr>
          <w:ilvl w:val="3"/>
          <w:numId w:val="1"/>
        </w:numPr>
        <w:rPr/>
      </w:pPr>
      <w:bookmarkStart w:id="192" w:name="__RefHeading___Toc910074_774463916"/>
      <w:bookmarkStart w:id="193" w:name="_Toc71"/>
      <w:bookmarkEnd w:id="192"/>
      <w:r>
        <w:rPr>
          <w:rtl w:val="true"/>
        </w:rPr>
        <w:t>اختصاص الحکم بالمسکرات المائعة</w:t>
      </w:r>
      <w:bookmarkEnd w:id="193"/>
    </w:p>
    <w:p>
      <w:pPr>
        <w:pStyle w:val="BookText"/>
        <w:rPr/>
      </w:pP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تختص حرمة البیع بالمائعات المسکرة کما یظهر من المصنّف أم تعم جمیع المسکرات و لو کانت من الجوامد؟خلاف،ربما یقال بالثانی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المستفاد من کلام بعض اللغویین </w:t>
      </w:r>
      <w:r>
        <w:rPr>
          <w:rStyle w:val="FootnoteAnchor"/>
          <w:rtl w:val="true"/>
        </w:rPr>
        <w:footnoteReference w:id="280"/>
      </w:r>
      <w:r>
        <w:rPr>
          <w:rFonts w:ascii="IRNazanin" w:hAnsi="IRNazanin" w:eastAsia="IRNazanin"/>
          <w:color w:val="111111"/>
          <w:sz w:val="28"/>
          <w:sz w:val="28"/>
          <w:szCs w:val="28"/>
          <w:rtl w:val="true"/>
          <w:lang w:bidi="fa-IR"/>
        </w:rPr>
        <w:t>هو أنّ الخمر ما یخامر العقل و یخالطه،فتشمل المسکرات الجامدة أیضا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نسلّم اعتبار قول اللغوی خصوصا فی مثل المقام،من جهة العلم بعدم صحة صدق الخمر علی الجامد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الظاهر من کلام تاج العروس </w:t>
      </w:r>
      <w:r>
        <w:rPr>
          <w:rStyle w:val="FootnoteAnchor"/>
          <w:rtl w:val="true"/>
        </w:rPr>
        <w:footnoteReference w:id="281"/>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ذلک أیضا،فإنه ذکر الخلاف فی اختصاص الخمر بما أسکر من عصیر العنب خاصة و فی عمومه المسکر من عصیر کل شیء،و أمّا المسکر الجامد فخارج عن 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التنزیل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خمر</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ترتّب جمیع آثار الخمر أو آثارها الظاهرة علیه التی منها حرمة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السند،و غیر منجبرة بعمل المشهور و إن قلنا بالانجبار فی موارد عمل المشهور،فإنّ مقتضی العمل بعموم التنزیل الحکم بنجاسة المسکر الجامد،مع أنّه لم یقل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التزام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باجراء جمیع أحکام الخمر علی کل مسکر مائع فهو لیس لأجل الأخذ بعموم التنزیل،بل للروایات الخاصّة کما عرفت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عمّار بن مروان </w:t>
      </w:r>
      <w:r>
        <w:rPr>
          <w:rStyle w:val="FootnoteAnchor"/>
          <w:rtl w:val="true"/>
        </w:rPr>
        <w:footnoteReference w:id="284"/>
      </w:r>
      <w:r>
        <w:rPr>
          <w:rFonts w:ascii="IRNazanin" w:hAnsi="IRNazanin" w:eastAsia="IRNazanin"/>
          <w:color w:val="111111"/>
          <w:sz w:val="28"/>
          <w:sz w:val="28"/>
          <w:szCs w:val="28"/>
          <w:rtl w:val="true"/>
          <w:lang w:bidi="fa-IR"/>
        </w:rPr>
        <w:t>فإنّها تدلّ علی أنّ ثمن المسکر من السحت</w:t>
      </w:r>
      <w:bookmarkStart w:id="194" w:name="pg5064_65240"/>
    </w:p>
    <w:p>
      <w:pPr>
        <w:pStyle w:val="BookText"/>
        <w:rPr/>
      </w:pPr>
      <w:bookmarkEnd w:id="194"/>
      <w:r>
        <w:rPr>
          <w:rFonts w:ascii="IRNazanin" w:hAnsi="IRNazanin" w:eastAsia="IRNazanin"/>
          <w:color w:val="111111"/>
          <w:sz w:val="28"/>
          <w:sz w:val="28"/>
          <w:szCs w:val="28"/>
          <w:rtl w:val="true"/>
          <w:lang w:bidi="fa-IR"/>
        </w:rPr>
        <w:t>إلاّ أنّها ظاهرة فی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بها متوقّف علی أن تکون الروایة کما نقله التهذیب المطبوع و بعض نسخ الوسائل،بأن یکون لفظ المسکر معطوفا علی النبیذ،و أمّا إذا کان وصفا له باسقاط الواو بینهما کما فی غیر نسخة التهذیب و بعض نسخ الوسائل فهی لا محالة تسقط عن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ذلک فاعلم أنّه و إن کان لفظ المسکر معطوفا علی النبیذ فی روایة التهذیب،إلاّ أنّها مذکورة فی الوافی و الکافی بدون العطف بل بالتوصیف،فترجیحهما علی نسخة التهذیب من الوضوح بمکان و لو مع دوران الأمر بین الزیادة و النقیصة،و یؤیّد ذلک ما فی روایة الخصال </w:t>
      </w:r>
      <w:r>
        <w:rPr>
          <w:rStyle w:val="FootnoteAnchor"/>
          <w:rtl w:val="true"/>
        </w:rPr>
        <w:footnoteReference w:id="285"/>
      </w:r>
      <w:r>
        <w:rPr>
          <w:rFonts w:ascii="IRNazanin" w:hAnsi="IRNazanin" w:eastAsia="IRNazanin"/>
          <w:color w:val="111111"/>
          <w:sz w:val="28"/>
          <w:sz w:val="28"/>
          <w:szCs w:val="28"/>
          <w:rtl w:val="true"/>
          <w:lang w:bidi="fa-IR"/>
        </w:rPr>
        <w:t>علی ما فی الوسائل من جعل لفظ المسکر وصفا للنبیذ</w:t>
      </w:r>
      <w:r>
        <w:rPr>
          <w:rFonts w:eastAsia="IRNazanin" w:cs="IRNazanin"/>
          <w:color w:val="111111"/>
          <w:sz w:val="28"/>
          <w:szCs w:val="28"/>
          <w:rtl w:val="true"/>
          <w:lang w:bidi="fa-IR"/>
        </w:rPr>
        <w:t>.</w:t>
      </w:r>
    </w:p>
    <w:p>
      <w:pPr>
        <w:pStyle w:val="Heading4"/>
        <w:numPr>
          <w:ilvl w:val="3"/>
          <w:numId w:val="1"/>
        </w:numPr>
        <w:rPr/>
      </w:pPr>
      <w:bookmarkStart w:id="195" w:name="__RefHeading___Toc910076_774463916"/>
      <w:bookmarkStart w:id="196" w:name="_Toc72"/>
      <w:bookmarkEnd w:id="195"/>
      <w:r>
        <w:rPr>
          <w:rtl w:val="true"/>
        </w:rPr>
        <w:t>جواز بیع الکحول الصناعی</w:t>
      </w:r>
      <w:bookmarkEnd w:id="196"/>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أنّه لا یبعد اختصاص الروایات بما کان المطلوب منه الشرب و الإسکار،و أمّا لو کان الغرض منه شیء آخر و لم یکن معدّا للإسکار عند العرف و لو کان من أعلی مراتب المسکرات،کالمائع المتّخذ من الخشب أو غیره المسمّی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المصالح النوعیة و الأغراض العقلائیة،فلا یحرم بیعه لانصراف أدلّة حرمة بیع الخمر عنه وضعا و تکلیفا،کانصراف أدلّة عدم جواز الصلاة فیما لا یؤکل لحمه عن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لی علی الرجل دراهم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 فی جملة من الروایات جواز تخلیل الخمر بمعالجتها بالملح و نحوه و علیه تحمل روایة ابن أبی عمیر </w:t>
      </w:r>
      <w:r>
        <w:rPr>
          <w:rStyle w:val="FootnoteAnchor"/>
          <w:rtl w:val="true"/>
        </w:rPr>
        <w:footnoteReference w:id="286"/>
      </w:r>
      <w:r>
        <w:rPr>
          <w:rFonts w:ascii="IRNazanin" w:hAnsi="IRNazanin" w:eastAsia="IRNazanin"/>
          <w:color w:val="111111"/>
          <w:sz w:val="28"/>
          <w:sz w:val="28"/>
          <w:szCs w:val="28"/>
          <w:rtl w:val="true"/>
          <w:lang w:bidi="fa-IR"/>
        </w:rPr>
        <w:t>الظاهرة فی جواز أخذ الخمر من الغریم</w:t>
      </w:r>
    </w:p>
    <w:p>
      <w:pPr>
        <w:pStyle w:val="BookText"/>
        <w:rPr/>
      </w:pPr>
      <w:r>
        <w:rPr>
          <w:rFonts w:ascii="IRNazanin" w:hAnsi="IRNazanin" w:eastAsia="IRNazanin"/>
          <w:color w:val="111111"/>
          <w:sz w:val="28"/>
          <w:sz w:val="28"/>
          <w:szCs w:val="28"/>
          <w:rtl w:val="true"/>
          <w:lang w:bidi="fa-IR"/>
        </w:rPr>
        <w:t>لاستیفاء الدین منه و إفسادها بعد الأخذ،و یؤیّد ذلک الحمل تفسیر علی بن حدید الإفساد فیها بالتخلیل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إمّا أخذ الخمر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الروایة بنحو المانعة الخلو إمّا علی أخذ الخمر مجانا ثم تخلیلها،أو أخذها و تخلیلها لصاحبها ثم أخذ الخل وفاء عن الدراهم،لا یستقیم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أخذها مجانا ثم تخلیلها لا یوجب سقوط الدین عن الغریم،و هی صریحة فی حصول الوفاء بمجرد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ظاهر الروایة،فإنّ الموجود فیها لیس إلاّ کون استیفاء الدین بالخمر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المالک لم یعط الخل وفاء عن الدراهم،و إنّما أعطی الخمر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فیحتاج أخذ الخل کذلک إلی إذن جدید من المالک،و الروایة صریحة فی خلافه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یتوهّم أنّ الروایة ظاهرة فی جواز اشتراء الخمر بقصد التخلیل،فنرفع الید بها عن ظهور ما یدل علی حرمة بیعها مطلقا وضعا و تکلیفا،و علیه فتختصّ حرمة بیع الخمر بغیر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التوهّم فاسد،لکونها أجنبیة عن قضیة البیع و الشراء،و إنّما هی راجعة إلی جواز أخذ الخمر من المدیون مسلما کان أو کافرا</w:t>
      </w:r>
      <w:bookmarkStart w:id="197" w:name="pg5064_65242"/>
    </w:p>
    <w:p>
      <w:pPr>
        <w:pStyle w:val="BookText"/>
        <w:rPr/>
      </w:pPr>
      <w:bookmarkEnd w:id="197"/>
      <w:r>
        <w:rPr>
          <w:rFonts w:ascii="IRNazanin" w:hAnsi="IRNazanin" w:eastAsia="IRNazanin"/>
          <w:color w:val="111111"/>
          <w:sz w:val="28"/>
          <w:sz w:val="28"/>
          <w:szCs w:val="28"/>
          <w:rtl w:val="true"/>
          <w:lang w:bidi="fa-IR"/>
        </w:rPr>
        <w:t xml:space="preserve">وفاء عن الدین إذا کان الأخذ بقصد التخلیل و الإفساد،نعم لو التزمنا بما التزم به المصنّف فیما تقدّم </w:t>
      </w:r>
      <w:r>
        <w:rPr>
          <w:rStyle w:val="FootnoteAnchor"/>
          <w:rtl w:val="true"/>
        </w:rPr>
        <w:footnoteReference w:id="287"/>
      </w:r>
      <w:r>
        <w:rPr>
          <w:rFonts w:ascii="IRNazanin" w:hAnsi="IRNazanin" w:eastAsia="IRNazanin"/>
          <w:color w:val="111111"/>
          <w:sz w:val="28"/>
          <w:sz w:val="28"/>
          <w:szCs w:val="28"/>
          <w:rtl w:val="true"/>
          <w:lang w:bidi="fa-IR"/>
        </w:rPr>
        <w:t>من أنّ معنی حرمة الاکتساب حرمة النقل و الانتقال بقصد ترتّب الأثر و أنّ ظاهر أدلّة تحریم بیع مثل الخمر منصرف إلی ما لو أراد ترتیب الآثار المحرّمة،أمّا لو قصد الأثر المحلّل فلا دلیل علی تحریم المعاملة،لتوجّه القول بجواز بیع الخمر و شرائها بقصد التخلیل،و لکنّک عرفت ما فیه من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فی بیع الخنزیر </w:t>
      </w:r>
      <w:r>
        <w:rPr>
          <w:rStyle w:val="FootnoteAnchor"/>
          <w:rtl w:val="true"/>
        </w:rPr>
        <w:footnoteReference w:id="288"/>
      </w:r>
      <w:r>
        <w:rPr>
          <w:rFonts w:ascii="IRNazanin" w:hAnsi="IRNazanin" w:eastAsia="IRNazanin"/>
          <w:color w:val="111111"/>
          <w:sz w:val="28"/>
          <w:sz w:val="28"/>
          <w:szCs w:val="28"/>
          <w:rtl w:val="true"/>
          <w:lang w:bidi="fa-IR"/>
        </w:rPr>
        <w:t xml:space="preserve">ظهور روایة منصور و غیرها فی صحّة بیع الذمّی خمره و خنازیره من ذمّی آخر،فیقیّد بها ما یدل علی حرمة بیع الخمر و کون ثمنها سحتا،و علیه فتنقلب النسبة و یکون ما یدل علی المنع أخص ممّا یدلّ علی الجواز مطلقا کروایتی محمد بن مسلم و زرارة المتقدّمتین فی ذلک البحث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فنحمل المطلق علی المقیّد فتصیر النتیجة أنّه یجوز للذمّی أن یبیع خمره من ذمّی آخر</w:t>
      </w:r>
      <w:r>
        <w:rPr>
          <w:rFonts w:eastAsia="IRNazanin" w:cs="IRNazanin"/>
          <w:color w:val="111111"/>
          <w:sz w:val="28"/>
          <w:szCs w:val="28"/>
          <w:rtl w:val="true"/>
          <w:lang w:bidi="fa-IR"/>
        </w:rPr>
        <w:t>.</w:t>
      </w:r>
    </w:p>
    <w:p>
      <w:pPr>
        <w:pStyle w:val="Heading3"/>
        <w:numPr>
          <w:ilvl w:val="2"/>
          <w:numId w:val="1"/>
        </w:numPr>
        <w:rPr/>
      </w:pPr>
      <w:bookmarkStart w:id="198" w:name="__RefHeading___Toc910078_774463916"/>
      <w:bookmarkStart w:id="199" w:name="_Toc73"/>
      <w:bookmarkEnd w:id="198"/>
      <w:r>
        <w:rPr>
          <w:rtl w:val="true"/>
        </w:rPr>
        <w:t>جواز بیع المتنجّس</w:t>
      </w:r>
      <w:bookmarkEnd w:id="19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المعاوضة علی الأعیان المتنجّسة الغیر القابلة للطهارة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بین الخاصّة و العامة </w:t>
      </w:r>
      <w:r>
        <w:rPr>
          <w:rStyle w:val="FootnoteAnchor"/>
          <w:rtl w:val="true"/>
        </w:rPr>
        <w:footnoteReference w:id="291"/>
      </w:r>
      <w:r>
        <w:rPr>
          <w:rFonts w:ascii="IRNazanin" w:hAnsi="IRNazanin" w:eastAsia="IRNazanin"/>
          <w:color w:val="111111"/>
          <w:sz w:val="28"/>
          <w:sz w:val="28"/>
          <w:szCs w:val="28"/>
          <w:rtl w:val="true"/>
          <w:lang w:bidi="fa-IR"/>
        </w:rPr>
        <w:t>حرمة المعاوضة علی الأعیان</w:t>
      </w:r>
    </w:p>
    <w:p>
      <w:pPr>
        <w:pStyle w:val="BookText"/>
        <w:rPr/>
      </w:pPr>
      <w:r>
        <w:rPr>
          <w:rFonts w:ascii="IRNazanin" w:hAnsi="IRNazanin" w:eastAsia="IRNazanin"/>
          <w:color w:val="111111"/>
          <w:sz w:val="28"/>
          <w:sz w:val="28"/>
          <w:szCs w:val="28"/>
          <w:rtl w:val="true"/>
          <w:lang w:bidi="fa-IR"/>
        </w:rPr>
        <w:t>المتنجّسة غیر القابلة للتطهیر،قال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عرضت له النجاسة إن قبل التطهیر صحّ بیعه و یجب إعلام المشتری بحاله،و إن لم یقبله کان کنجس العین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المبسوط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المتنجّس جامدا و کانت النجاسة العارضة رقیقة و غیر مانعة عن النظر إلیه جاز بیعه،و إلاّ فلا یجوز،و إن کان مائعا فإن قبل التطهیر صحّ بیعه،و إلاّ فلا یصح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بعض الحواشی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الحکم ممّا لا خلاف فیه،بل هو ممّا قام علیه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کونه مجمعا علیه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محصّل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المتنجّس إذا توقّف الانتفاع به بالمنافع المحلّلة علی الطهارة نظیر المائعات المتنجّسة المعدّة للشرب و المأکولات المتنجّسة المعدّة للأکل،فإنّ بیعه لا یجوز،للأخبار العامّة المتقدّمة </w:t>
      </w:r>
      <w:r>
        <w:rPr>
          <w:rStyle w:val="FootnoteAnchor"/>
          <w:rtl w:val="true"/>
        </w:rPr>
        <w:footnoteReference w:id="294"/>
      </w:r>
      <w:r>
        <w:rPr>
          <w:rFonts w:ascii="IRNazanin" w:hAnsi="IRNazanin" w:eastAsia="IRNazanin"/>
          <w:color w:val="111111"/>
          <w:sz w:val="28"/>
          <w:sz w:val="28"/>
          <w:szCs w:val="28"/>
          <w:rtl w:val="true"/>
          <w:lang w:bidi="fa-IR"/>
        </w:rPr>
        <w:t>لظهورها فی أنّ حرمة الشیء تستلزم حرمة بیعه و ثمنه،و من هذا القبیل المتنجّس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یتوقّف الانتفاع به علی الطهارة أو کان قابلا للتطهیر مع توقّف الانتفاع به علیها فإنّ بیعه یجوز،نعم لا یجوز الاستدلال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یکون فیه وجه من وجوه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بیعه،لأنّ الظاهر من وجوه النجس العنوانات النجسة فإنّ وجه الشیء إنّما هو عنوانه،فلا یشمل الأعیان المتنجّسة،فإنّ النجاسة فیها لیست إلاّ أمرا عرضیا،فلا تکون وجها و عنوانا لها</w:t>
      </w:r>
      <w:r>
        <w:rPr>
          <w:rFonts w:eastAsia="IRNazanin" w:cs="IRNazanin"/>
          <w:color w:val="111111"/>
          <w:sz w:val="28"/>
          <w:szCs w:val="28"/>
          <w:rtl w:val="true"/>
          <w:lang w:bidi="fa-IR"/>
        </w:rPr>
        <w:t>.</w:t>
      </w:r>
      <w:bookmarkStart w:id="200" w:name="pg5064_65244"/>
    </w:p>
    <w:p>
      <w:pPr>
        <w:pStyle w:val="BookText"/>
        <w:rPr/>
      </w:pPr>
      <w:bookmarkEnd w:id="200"/>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تقدّم فی تلک الروایات من ضعف السند و الدلالة و عدم انجبارهما بشیء،أنّه إن کان المراد بالحرمة فیها هی الحرمة الذاتیة فلا تشمل المتنجّس،بداهة أنّها مختصّة بالأعیان النجسة،إذن فیکون المتنجّس خارجا عنها بالتخصّص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بها ما یعمّ الحرمة الذاتیة و الحرمة العرضیة فیلزم علی المصنّف أن لا یفرّق حینئذ بین ما یقبل التطهیر و ما لا یقبله،فإنّ موضوع حرمة البیع علی هذا التقدیر ما یتّصف بالنجاسة،سواء کانت ذاتیة أم عرضیة،فإمکان التطهیر لا یؤثّر فی زوال الحرمة الفعلیة عن موضوعها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عمّا ذکرناه لا دلالة فیها علی حرمة بیع المتنجّس،لأنّه إن کان المراد بالحرمة فیها حرمة جمیع منافع الشیء أو منافعه الظاهرة فلا تشمل المتنجّس ضرورة جواز الانتفاع به فی غیر ما یتوقّف علی الطهارة،کإطعامه الصبی لو قلنا بجوازه،أو البهائم،أو ینتفع به فی غیر ذلک من الانتفاعات المحلّلة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بها حرمة الأکل و الشرب فقط فإنّها لا تستلزم حرمة البیع،لما عرفت مرارا من أنّه لا ملازمة بین حرمة الأکل و الشرب و بین حرمة البیع،فإنّ کثیرا من الأشیاء یحرم أکلها و شربها و مع ذلک یجوز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 الإجماع التعبّدی علی ذلک فجزافیة فإنّ مدرک المجمعین هی الوجوه المذکورة علی حرمة بیع المتنجّس</w:t>
      </w:r>
      <w:r>
        <w:rPr>
          <w:rFonts w:eastAsia="IRNazanin" w:cs="IRNazanin"/>
          <w:color w:val="111111"/>
          <w:sz w:val="28"/>
          <w:szCs w:val="28"/>
          <w:rtl w:val="true"/>
          <w:lang w:bidi="fa-IR"/>
        </w:rPr>
        <w:t>.</w:t>
      </w:r>
    </w:p>
    <w:p>
      <w:pPr>
        <w:pStyle w:val="Heading3"/>
        <w:numPr>
          <w:ilvl w:val="2"/>
          <w:numId w:val="1"/>
        </w:numPr>
        <w:rPr/>
      </w:pPr>
      <w:bookmarkStart w:id="201" w:name="__RefHeading___Toc910080_774463916"/>
      <w:bookmarkStart w:id="202" w:name="_Toc74"/>
      <w:bookmarkEnd w:id="201"/>
      <w:r>
        <w:rPr>
          <w:rtl w:val="true"/>
        </w:rPr>
        <w:t>جواز بیع السباع و المسوخ إلاّ القرد</w:t>
      </w:r>
      <w:bookmarkEnd w:id="20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بعدم جواز بیع المسوخ من أجل نجاستها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المسوخ فالمشهور بین أصحابنا و بین العامّة </w:t>
      </w:r>
      <w:r>
        <w:rPr>
          <w:rStyle w:val="FootnoteAnchor"/>
          <w:rtl w:val="true"/>
        </w:rPr>
        <w:footnoteReference w:id="295"/>
      </w:r>
      <w:r>
        <w:rPr>
          <w:rFonts w:ascii="IRNazanin" w:hAnsi="IRNazanin" w:eastAsia="IRNazanin"/>
          <w:color w:val="111111"/>
          <w:sz w:val="28"/>
          <w:sz w:val="28"/>
          <w:szCs w:val="28"/>
          <w:rtl w:val="true"/>
          <w:lang w:bidi="fa-IR"/>
        </w:rPr>
        <w:t>حرمة بیعها،بل فی</w:t>
      </w:r>
    </w:p>
    <w:p>
      <w:pPr>
        <w:pStyle w:val="BookText"/>
        <w:rPr/>
      </w:pPr>
      <w:r>
        <w:rPr>
          <w:rFonts w:ascii="IRNazanin" w:hAnsi="IRNazanin" w:eastAsia="IRNazanin"/>
          <w:color w:val="111111"/>
          <w:sz w:val="28"/>
          <w:sz w:val="28"/>
          <w:szCs w:val="28"/>
          <w:rtl w:val="true"/>
          <w:lang w:bidi="fa-IR"/>
        </w:rPr>
        <w:t xml:space="preserve">المبسوط ادّعی الاجماع علیها و علی حرمة الانتفاع بها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علی حرمة بیعها إجماع الفرقة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هی محرّمة الأکل فیحرم ثمنها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بعض فقهائنا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بیعها لنجاستها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فالمتحصّل من 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بیع المسوخ،لحرمة لحمها،و عدم وجود النفع فیها،و نجاستها،و قیام الإجماع علی حرمة التکسّب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 ضعیف،أمّا الحرمة فلا ملازمة بینها و بین حرمة البیع کما تقدّم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أمّا النجاسة فأیضا کذلک لو سلّمنا نجاسة جمیع أفراد المسوخ،و أمّا عدم النفع فیها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اعتبار المالیة فی العوضین و کفایة الأغراض الشخصیة فی خروجها عن السفهیة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جواز الانتفاع بها منفعة محلّلة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الإجماع فنمنع کونه تعبّدیا و کاشفا عن رأی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کسائر الإجماعات المنقولة فی المسائل المتقدّمة فی استناده إلی المدارک المعلومة،و یؤیّد ذلک ما ورد فی بعض الروایات من جواز بیع عظام الفیل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النهی عن بیع القرد و کون ثمنه سحتا </w:t>
      </w:r>
      <w:r>
        <w:rPr>
          <w:rStyle w:val="FootnoteAnchor"/>
          <w:rtl w:val="true"/>
        </w:rPr>
        <w:footnoteReference w:id="296"/>
      </w:r>
      <w:r>
        <w:rPr>
          <w:rFonts w:ascii="IRNazanin" w:hAnsi="IRNazanin" w:eastAsia="IRNazanin"/>
          <w:color w:val="111111"/>
          <w:sz w:val="28"/>
          <w:sz w:val="28"/>
          <w:szCs w:val="28"/>
          <w:rtl w:val="true"/>
          <w:lang w:bidi="fa-IR"/>
        </w:rPr>
        <w:t>،فإن ثبت عدم الفصل فهو و إلاّ فلا بدّ من الحکم بعدم الجواز فی خصوص القرد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السباع فلا شبهة فی جواز بیعها،لجواز الانتفاع بها بالاصطیاد و نحوه و کذلک الانتفاع بجلودها علی ما ورد فی جملة من الروایات </w:t>
      </w:r>
      <w:r>
        <w:rPr>
          <w:rStyle w:val="FootnoteAnchor"/>
          <w:rtl w:val="true"/>
        </w:rPr>
        <w:footnoteReference w:id="297"/>
      </w:r>
      <w:r>
        <w:rPr>
          <w:rFonts w:ascii="IRNazanin" w:hAnsi="IRNazanin" w:eastAsia="IRNazanin"/>
          <w:color w:val="111111"/>
          <w:sz w:val="28"/>
          <w:sz w:val="28"/>
          <w:szCs w:val="28"/>
          <w:rtl w:val="true"/>
          <w:lang w:bidi="fa-IR"/>
        </w:rPr>
        <w:t xml:space="preserve">بل فی حدیث جواز بیع الفهود </w:t>
      </w:r>
      <w:r>
        <w:rPr>
          <w:rStyle w:val="FootnoteAnchor"/>
          <w:rtl w:val="true"/>
        </w:rPr>
        <w:footnoteReference w:id="298"/>
      </w:r>
      <w:r>
        <w:rPr>
          <w:rFonts w:ascii="IRNazanin" w:hAnsi="IRNazanin" w:eastAsia="IRNazanin"/>
          <w:color w:val="111111"/>
          <w:sz w:val="28"/>
          <w:sz w:val="28"/>
          <w:szCs w:val="28"/>
          <w:rtl w:val="true"/>
          <w:lang w:bidi="fa-IR"/>
        </w:rPr>
        <w:t xml:space="preserve">و فی آخر جواز بیع الهر </w:t>
      </w:r>
      <w:r>
        <w:rPr>
          <w:rStyle w:val="FootnoteAnchor"/>
          <w:rtl w:val="true"/>
        </w:rPr>
        <w:footnoteReference w:id="299"/>
      </w:r>
      <w:r>
        <w:rPr>
          <w:rFonts w:ascii="IRNazanin" w:hAnsi="IRNazanin" w:eastAsia="IRNazanin"/>
          <w:color w:val="111111"/>
          <w:sz w:val="28"/>
          <w:sz w:val="28"/>
          <w:szCs w:val="28"/>
          <w:rtl w:val="true"/>
          <w:lang w:bidi="fa-IR"/>
        </w:rPr>
        <w:t xml:space="preserve">،و فی ثالث جواز بیع جلود النمر </w:t>
      </w:r>
      <w:r>
        <w:rPr>
          <w:rStyle w:val="FootnoteAnchor"/>
          <w:rtl w:val="true"/>
        </w:rPr>
        <w:footnoteReference w:id="300"/>
      </w:r>
      <w:r>
        <w:rPr>
          <w:rFonts w:ascii="IRNazanin" w:hAnsi="IRNazanin" w:eastAsia="IRNazanin"/>
          <w:color w:val="111111"/>
          <w:sz w:val="28"/>
          <w:sz w:val="28"/>
          <w:szCs w:val="28"/>
          <w:rtl w:val="true"/>
          <w:lang w:bidi="fa-IR"/>
        </w:rPr>
        <w:t xml:space="preserve">و فی روایة علی بن جعفر جواز بیع جلود السباع و الانتفاع بها مطلقا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203" w:name="pg5064_65247"/>
    </w:p>
    <w:p>
      <w:pPr>
        <w:pStyle w:val="BookText"/>
        <w:rPr/>
      </w:pPr>
      <w:bookmarkEnd w:id="203"/>
      <w:r>
        <w:rPr>
          <w:rFonts w:ascii="IRNazanin" w:hAnsi="IRNazanin" w:eastAsia="IRNazanin"/>
          <w:color w:val="111111"/>
          <w:sz w:val="28"/>
          <w:sz w:val="28"/>
          <w:szCs w:val="28"/>
          <w:rtl w:val="true"/>
          <w:lang w:bidi="fa-IR"/>
        </w:rPr>
        <w:t xml:space="preserve">و بهذا نحمل ما یدل علی حرمة بیع جلود السباع </w:t>
      </w:r>
      <w:r>
        <w:rPr>
          <w:rStyle w:val="FootnoteAnchor"/>
          <w:rtl w:val="true"/>
        </w:rPr>
        <w:footnoteReference w:id="302"/>
      </w:r>
      <w:r>
        <w:rPr>
          <w:rFonts w:ascii="IRNazanin" w:hAnsi="IRNazanin" w:eastAsia="IRNazanin"/>
          <w:color w:val="111111"/>
          <w:sz w:val="28"/>
          <w:sz w:val="28"/>
          <w:szCs w:val="28"/>
          <w:rtl w:val="true"/>
          <w:lang w:bidi="fa-IR"/>
        </w:rPr>
        <w:t xml:space="preserve">علی الکراهة،نعم ذکر فی بعض روایات العامّة أنّه لا یجوز بیع السنور </w:t>
      </w:r>
      <w:r>
        <w:rPr>
          <w:rStyle w:val="FootnoteAnchor"/>
          <w:rtl w:val="true"/>
        </w:rPr>
        <w:footnoteReference w:id="303"/>
      </w:r>
      <w:r>
        <w:rPr>
          <w:rFonts w:ascii="IRNazanin" w:hAnsi="IRNazanin" w:eastAsia="IRNazanin"/>
          <w:color w:val="111111"/>
          <w:sz w:val="28"/>
          <w:sz w:val="28"/>
          <w:szCs w:val="28"/>
          <w:rtl w:val="true"/>
          <w:lang w:bidi="fa-IR"/>
        </w:rPr>
        <w:t>،و من هنا وقع الخلاف بینهم فی ذلک</w:t>
      </w:r>
      <w:r>
        <w:rPr>
          <w:rFonts w:eastAsia="IRNazanin" w:cs="IRNazanin"/>
          <w:color w:val="111111"/>
          <w:sz w:val="28"/>
          <w:szCs w:val="28"/>
          <w:rtl w:val="true"/>
          <w:lang w:bidi="fa-IR"/>
        </w:rPr>
        <w:t>.</w:t>
      </w:r>
    </w:p>
    <w:p>
      <w:pPr>
        <w:pStyle w:val="Heading3"/>
        <w:numPr>
          <w:ilvl w:val="2"/>
          <w:numId w:val="1"/>
        </w:numPr>
        <w:rPr/>
      </w:pPr>
      <w:bookmarkStart w:id="204" w:name="__RefHeading___Toc910082_774463916"/>
      <w:bookmarkStart w:id="205" w:name="_Toc75"/>
      <w:bookmarkEnd w:id="204"/>
      <w:r>
        <w:rPr>
          <w:rtl w:val="true"/>
        </w:rPr>
        <w:t>جواز بیع العبد الکافر</w:t>
      </w:r>
      <w:bookmarkEnd w:id="205"/>
    </w:p>
    <w:p>
      <w:pPr>
        <w:pStyle w:val="Heading4"/>
        <w:numPr>
          <w:ilvl w:val="3"/>
          <w:numId w:val="1"/>
        </w:numPr>
        <w:rPr/>
      </w:pPr>
      <w:bookmarkStart w:id="206" w:name="__RefHeading___Toc910084_774463916"/>
      <w:bookmarkStart w:id="207" w:name="_Toc76"/>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بیع المملوک الکافر أصلیا کان أم مرتدّا ملّیا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الممالیک من الکفّار علی أقسام ثلاثة،فإنّ کفرهم إمّا أصلی أو عرضی،و علی الثانی فإمّا أن یعرضهم الکفر بارتدادهم عن الملّة و إمّا أن یعرضهم ذلک بارتدادهم عن الفطرة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الکافر الأصلی و المرتدّ الملّی فیجوز بیعهما بلا إشکال،بل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ظاهر،بل ادّعی علیه الإجماع،و لیس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یتوجّه الإشکال علی هذا الرأی من ناحیة الأخبار العامّة المتقدّمة </w:t>
      </w:r>
      <w:r>
        <w:rPr>
          <w:rStyle w:val="FootnoteAnchor"/>
          <w:rtl w:val="true"/>
        </w:rPr>
        <w:footnoteReference w:id="305"/>
      </w:r>
      <w:r>
        <w:rPr>
          <w:rFonts w:ascii="IRNazanin" w:hAnsi="IRNazanin" w:eastAsia="IRNazanin"/>
          <w:color w:val="111111"/>
          <w:sz w:val="28"/>
          <w:sz w:val="28"/>
          <w:szCs w:val="28"/>
          <w:rtl w:val="true"/>
          <w:lang w:bidi="fa-IR"/>
        </w:rPr>
        <w:t>لما عرفت من وهنها،و لا من ناحیة النجاسة فإنّ الکافر و إن کان من الأعیان النجسة و یشمله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وجوه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جمیع منافعه غیر متوقّفة</w:t>
      </w:r>
    </w:p>
    <w:p>
      <w:pPr>
        <w:pStyle w:val="BookText"/>
        <w:rPr/>
      </w:pPr>
      <w:r>
        <w:rPr>
          <w:rFonts w:ascii="IRNazanin" w:hAnsi="IRNazanin" w:eastAsia="IRNazanin"/>
          <w:color w:val="111111"/>
          <w:sz w:val="28"/>
          <w:sz w:val="28"/>
          <w:szCs w:val="28"/>
          <w:rtl w:val="true"/>
          <w:lang w:bidi="fa-IR"/>
        </w:rPr>
        <w:t>علی الطهارة،بل یجوز الانتفاع به فی غیر ما اعتبرت فیه الطهارة،و الروایة لضعف سندها لا تصلح للمانعیة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قیام الإجماع علی عدم الجواز،إنّما هو توهّم فاسد،إذ مع کثرة المخالف و دعوی انعقاد الإجماع علی الجواز لا یبقی مجال لهذا التخیّل،بل من القریب جدّا أن یکون مدرک توهّم الإجماع تلک الأخبار العامّة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فتکون المعاوضة علی المملوک الکافر الأصلی و المرتدّ الملّی مشمولة للعمومات،هذا مضافا إلی ما یظهر من جملة من الروایات جواز بیع المملوک الکافر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208" w:name="pg5064_65249"/>
    </w:p>
    <w:p>
      <w:pPr>
        <w:pStyle w:val="Heading4"/>
        <w:numPr>
          <w:ilvl w:val="3"/>
          <w:numId w:val="1"/>
        </w:numPr>
        <w:rPr/>
      </w:pPr>
      <w:bookmarkStart w:id="209" w:name="__RefHeading___Toc910086_774463916"/>
      <w:bookmarkStart w:id="210" w:name="_Toc77"/>
      <w:bookmarkEnd w:id="208"/>
      <w:bookmarkEnd w:id="209"/>
      <w:r>
        <w:rPr>
          <w:rtl w:val="true"/>
        </w:rPr>
        <w:t>بیع المرتد الفطری</w:t>
      </w:r>
      <w:bookmarkEnd w:id="210"/>
    </w:p>
    <w:p>
      <w:pPr>
        <w:pStyle w:val="BookText"/>
        <w:rPr/>
      </w:pPr>
      <w:r>
        <w:rPr>
          <w:rFonts w:ascii="IRNazanin" w:hAnsi="IRNazanin" w:eastAsia="IRNazanin"/>
          <w:color w:val="111111"/>
          <w:sz w:val="28"/>
          <w:sz w:val="28"/>
          <w:szCs w:val="28"/>
          <w:rtl w:val="true"/>
          <w:lang w:bidi="fa-IR"/>
        </w:rPr>
        <w:t>و أمّا المرتدّ الفطری ففی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المرتدّ إن کان عن فطرة ففی صحة بیعه نظر ینشأ من تضادّ الحکمین و من بقاء الملک،فإنّ کسبه لمولاه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أنّ الحکم بالقتل و الحکم بوجوب الوفاء بالعقد متضادّان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یظهر من مطاوی کلمات الأصحاب تصریحا أو تلویحا فی منشأ الإشکال هنا وجهان،الأول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نجاسته،و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عدم صدق المال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یظهر من بعض الأساطین فی شرحه علی القواعد </w:t>
      </w:r>
      <w:r>
        <w:rPr>
          <w:rStyle w:val="FootnoteAnchor"/>
          <w:rtl w:val="true"/>
        </w:rPr>
        <w:footnoteReference w:id="308"/>
      </w:r>
      <w:r>
        <w:rPr>
          <w:rFonts w:ascii="IRNazanin" w:hAnsi="IRNazanin" w:eastAsia="IRNazanin"/>
          <w:color w:val="111111"/>
          <w:sz w:val="28"/>
          <w:sz w:val="28"/>
          <w:szCs w:val="28"/>
          <w:rtl w:val="true"/>
          <w:lang w:bidi="fa-IR"/>
        </w:rPr>
        <w:t>حیث بنی جواز بیع المرتدّ علی قبول توبته،بل بنی جواز بیع مطلق الکافر علی قبوله للطهر بالإسلام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منع مانعیة النجاسة عن البیع،أنّه لو کان جواز بیعه مبنیا علی زوال نجاسته بالتوبة لما کان فرق بین أقسام الکفّار فی ذلک،سواء کان کفرهم أصلیا أم عرضیا،و سواء کان عروضه بالارتداد عن الملّة أم عن الفطرة،و سواء تقبل توبتهم أم لم تقبل،و ذلک لما عرفت فی بیع المتنجّس </w:t>
      </w:r>
      <w:r>
        <w:rPr>
          <w:rStyle w:val="FootnoteAnchor"/>
          <w:rtl w:val="true"/>
        </w:rPr>
        <w:footnoteReference w:id="309"/>
      </w:r>
      <w:r>
        <w:rPr>
          <w:rFonts w:ascii="IRNazanin" w:hAnsi="IRNazanin" w:eastAsia="IRNazanin"/>
          <w:color w:val="111111"/>
          <w:sz w:val="28"/>
          <w:sz w:val="28"/>
          <w:szCs w:val="28"/>
          <w:rtl w:val="true"/>
          <w:lang w:bidi="fa-IR"/>
        </w:rPr>
        <w:t>أنّ فعلیة الحکم إنّما هی بفعلیة موضوعه،فإذا قلنا بمانعیة النجاسة عن البیع کانت مانعة عنه بوجودها الفعلی</w:t>
      </w:r>
      <w:bookmarkStart w:id="211" w:name="pg5064_65250"/>
    </w:p>
    <w:p>
      <w:pPr>
        <w:pStyle w:val="BookText"/>
        <w:rPr/>
      </w:pPr>
      <w:bookmarkEnd w:id="211"/>
      <w:r>
        <w:rPr>
          <w:rFonts w:ascii="IRNazanin" w:hAnsi="IRNazanin" w:eastAsia="IRNazanin"/>
          <w:color w:val="111111"/>
          <w:sz w:val="28"/>
          <w:sz w:val="28"/>
          <w:szCs w:val="28"/>
          <w:rtl w:val="true"/>
          <w:lang w:bidi="fa-IR"/>
        </w:rPr>
        <w:t>سواء کانت قابلة للزوال أم لا،کیف فإنّه بعد صیرورة الموضوع فعلیا من جمیع الجهات فتلک القابلیة لا تؤثّر فی انفکاک الحکم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إمکان طهره بالتوبة لا یستلزم تحقّق الطهارة،لاحتمال أن لا یتوب و لا یخرج الإمکان الاستقبالی من القابلیة إلی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تمنع النجاسة عن بیع العبد إذا ارتدّ عن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یقال بأنّ النجاسة و إن لم تکن مانعة عن البیع إلاّ أنّ العبد بارتداده عن الفطرة یخرج عن المالیة،لوجوب قتله و إن تاب،إذن فیکون فی معرض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المرتد الملّی إذا لم یتب،و من هنا استشکل غیر واحد من أعاظم الأصحاب فی رهن الفطری بدعوی أنّ الغرض من الرهانة هی الوثاقة و هی منتفیة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سقوط القتل عنه لا یخرجه عن حدود المالیة،فإنّ الانتفاع به بالعتق بمکان من الإمکان،و لذا لو قتله غیر الحاکم بدون إذنه لضمنه،کیف فإنّه من هذه الجهة لیس إلاّ کالمملوک المریض المشرف علی الموت،فهل یتوهّم أحد سقوطه بذلک عن المالیة بحیث لا یوجب إتلافه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الغمض عن جمیع المذکورات فإنّ هذا الوجه إنّما یصلح للمانعیة إذا حصل الجزم بالقتل لبسط ید الحاکم الشرعی علیه و علی إجراء الحدود،لا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فیکون الدلیل أخصّ من المدّعی</w:t>
      </w:r>
      <w:r>
        <w:rPr>
          <w:rFonts w:eastAsia="IRNazanin" w:cs="IRNazanin"/>
          <w:color w:val="111111"/>
          <w:sz w:val="28"/>
          <w:szCs w:val="28"/>
          <w:rtl w:val="true"/>
          <w:lang w:bidi="fa-IR"/>
        </w:rPr>
        <w:t>.</w:t>
      </w:r>
    </w:p>
    <w:p>
      <w:pPr>
        <w:pStyle w:val="Heading3"/>
        <w:numPr>
          <w:ilvl w:val="2"/>
          <w:numId w:val="1"/>
        </w:numPr>
        <w:rPr/>
      </w:pPr>
      <w:bookmarkStart w:id="212" w:name="__RefHeading___Toc910088_774463916"/>
      <w:bookmarkStart w:id="213" w:name="_Toc78"/>
      <w:bookmarkEnd w:id="212"/>
      <w:r>
        <w:rPr>
          <w:rtl w:val="true"/>
        </w:rPr>
        <w:t>جواز بیع کلب الصید</w:t>
      </w:r>
      <w:bookmarkEnd w:id="213"/>
    </w:p>
    <w:p>
      <w:pPr>
        <w:pStyle w:val="Heading4"/>
        <w:numPr>
          <w:ilvl w:val="3"/>
          <w:numId w:val="1"/>
        </w:numPr>
        <w:rPr/>
      </w:pPr>
      <w:bookmarkStart w:id="214" w:name="__RefHeading___Toc910090_774463916"/>
      <w:bookmarkStart w:id="215" w:name="_Toc79"/>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المعاوضة علی غیر کلب الهراش فی الجملة بلا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یکن غیر کلب الهراش من أقسام الکلاب علی إطلاقه ممّا قام الإجماع علی جواز بیعه،فجعل المصنّف الجواز المقیّد بالإجمال موردا لعدم الخلاف</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 ستعرف وقوع الخلاف فی بیع کلب الماشیة و الحائط و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تحقیق هذه المسألة فی ضمن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خلاف بین الإمامیة فی جواز بیع کلب الصید الذی اتّصف بملکة الاصطیاد،و یطلق علیه الصیود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دلیلنا إجماع الفرقة </w:t>
      </w:r>
      <w:r>
        <w:rPr>
          <w:rStyle w:val="FootnoteAnchor"/>
          <w:rtl w:val="true"/>
        </w:rPr>
        <w:footnoteReference w:id="310"/>
      </w:r>
      <w:r>
        <w:rPr>
          <w:rFonts w:ascii="IRNazanin" w:hAnsi="IRNazanin" w:eastAsia="IRNazanin"/>
          <w:color w:val="111111"/>
          <w:sz w:val="28"/>
          <w:sz w:val="28"/>
          <w:szCs w:val="28"/>
          <w:rtl w:val="true"/>
          <w:lang w:bidi="fa-IR"/>
        </w:rPr>
        <w:t xml:space="preserve">،بل دعوی الإجماع المحصّل علیه فضلا عن الإجماع المنقول غیر جزافیة،إلاّ ما نسب إلی ابن أبی عقیل </w:t>
      </w:r>
      <w:r>
        <w:rPr>
          <w:rStyle w:val="FootnoteAnchor"/>
          <w:rtl w:val="true"/>
        </w:rPr>
        <w:footnoteReference w:id="311"/>
      </w:r>
      <w:r>
        <w:rPr>
          <w:rFonts w:ascii="IRNazanin" w:hAnsi="IRNazanin" w:eastAsia="IRNazanin"/>
          <w:color w:val="111111"/>
          <w:sz w:val="28"/>
          <w:sz w:val="28"/>
          <w:szCs w:val="28"/>
          <w:rtl w:val="true"/>
          <w:lang w:bidi="fa-IR"/>
        </w:rPr>
        <w:t xml:space="preserve">من المنع عن بیع الکلب علی إطلاقه استنادا إلی العمومات،و ما یظهر من النهایة من قصر جواز التکسّب به علی السلوقی و الماشیة و الزرع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أنّک قد عرفت فی بیع الکلب الهراش </w:t>
      </w:r>
      <w:r>
        <w:rPr>
          <w:rStyle w:val="FootnoteAnchor"/>
          <w:rtl w:val="true"/>
        </w:rPr>
        <w:footnoteReference w:id="313"/>
      </w:r>
      <w:r>
        <w:rPr>
          <w:rFonts w:ascii="IRNazanin" w:hAnsi="IRNazanin" w:eastAsia="IRNazanin"/>
          <w:color w:val="111111"/>
          <w:sz w:val="28"/>
          <w:sz w:val="28"/>
          <w:szCs w:val="28"/>
          <w:rtl w:val="true"/>
          <w:lang w:bidi="fa-IR"/>
        </w:rPr>
        <w:t xml:space="preserve">أنّ المطلقات و إن کانت متظافرة و لکنّها قیّدت بالروایات الخاصّة التی تدلّ علی جواز بیع الصیود من الکلاب،سلوقیا کان أم غیر سلوقی،و سنذکرها فی الجهة الثانیة نعم عن أکثر العامّة أنّه لا یجوز بیع الکلب و لو کان کلب صید کما تقدّم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النص من طرقهم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یتوهّم تخصیص روایات الجواز بالسلوقی،بدعوی أنّه هو المنساق منها،لانصراف کلب الصید إلیه،لکثرة وقوع الاصطیاد به فی الخارج،أو أنه لا یتبادر و لا ینساق غیره من تلک الروایات،فیبقی غیر السلوقی تحت مطلقات المنع عن التکسّب بالکلاب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 الروایات خالیة عن ذکر السلوقی،و کثرة الاصطیاد بغیره و إن کان أقل بالنسبة إلیه،و أنّ المراد بالسلوقی هو مطلق کلب الصید و إن کان من غیر جنسه کما صرّح به غیر واحد من الأعاظم،أنه یرد علیه ما فی المتن من عدم الغلبة المعتدّ بها علی فرض تسلیم کون مجرد غلبة الوجود من دون غلبة الاستعمال منشأ للانصراف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مجال لتخصیص جواز البیع بالسلوقی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المصنّف ثانیا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یصح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الکلب الذی لا یصید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مرجع التقیید إلی إرادة ما یصح عنه سلب صفة الاصطیاد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الکلب و إن کان طبیعة واحدة تعمّ جمیع أفراد الکلاب و تصدق علیها صدق الکلّی علی جزئیاته و الطبیعی علی أفراده،إلاّ أنّ لحاظ تلک الطبیعة عند جعلها موردا للحکم مع وصف الاصطیاد تارة و بدونه اخری یستلزم انقسامها إلی قسمین متضادّین،و علی هذا فیتقابل کلب الصید و کلب الهراش تقابل التضادّ،کما هو الشأن فی کل ماهیة ملحوظة مع الأوصاف الخارجیة المشخّصة تارة و بدونها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یصغی إلی دعوی الانصراف بوجه،لاستلزامه اتّحاد المتضادّین و وحدة المتقابلین،و هو محال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هذا إنّما یصح فی أمثال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محمد بن مسلم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الکلب الذی لا یصید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 التوصیف أنّ وصف الاصطیاد قد اخذ قیدا للموضوع،إلاّ أنه لا یتم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مرسلة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الکلب الذی لیس بکلب الصید سحت</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فإنّ من القریب جدّا أن لا</w:t>
      </w:r>
      <w:bookmarkStart w:id="216" w:name="pg5064_65253"/>
    </w:p>
    <w:p>
      <w:pPr>
        <w:pStyle w:val="BookText"/>
        <w:rPr/>
      </w:pPr>
      <w:bookmarkEnd w:id="216"/>
      <w:r>
        <w:rPr>
          <w:rFonts w:ascii="IRNazanin" w:hAnsi="IRNazanin" w:eastAsia="IRNazanin"/>
          <w:color w:val="111111"/>
          <w:sz w:val="28"/>
          <w:sz w:val="28"/>
          <w:szCs w:val="28"/>
          <w:rtl w:val="true"/>
          <w:lang w:bidi="fa-IR"/>
        </w:rPr>
        <w:t>یصدق کلب الصید و لو بحسب نوعه علی غیر السلوقی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المرسلة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سلوق قریة فی ناحیة الیمن نسبت إلیها کلاب الصید،إمّا لأجل أخذ أصلها منها،أو لکون کلابها صیودا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أنّ مورد الروایات و معقد الإجماعات إنّما هو الکلب المتّصف بملکة الاصطیاد و صار صیودا بالفعل،و حیث إنّ تلک الملکة التی هی مناط صحة بیع الکلاب و ملاکها لم تصر فعلیة فی الجر و القابل للتعلیم من السلوقی و الکبیر غیر المعلّم منه فیشکل الحکم بجواز بیعهما</w:t>
      </w:r>
      <w:r>
        <w:rPr>
          <w:rFonts w:eastAsia="IRNazanin" w:cs="IRNazanin"/>
          <w:color w:val="111111"/>
          <w:sz w:val="28"/>
          <w:szCs w:val="28"/>
          <w:rtl w:val="true"/>
          <w:lang w:bidi="fa-IR"/>
        </w:rPr>
        <w:t>.</w:t>
      </w:r>
    </w:p>
    <w:p>
      <w:pPr>
        <w:pStyle w:val="Heading4"/>
        <w:numPr>
          <w:ilvl w:val="3"/>
          <w:numId w:val="1"/>
        </w:numPr>
        <w:rPr/>
      </w:pPr>
      <w:bookmarkStart w:id="217" w:name="__RefHeading___Toc910092_774463916"/>
      <w:bookmarkStart w:id="218" w:name="_Toc80"/>
      <w:bookmarkEnd w:id="217"/>
      <w:r>
        <w:rPr>
          <w:rtl w:val="true"/>
        </w:rPr>
        <w:t>الروایات الواردة فی بیع الکلاب</w:t>
      </w:r>
      <w:bookmarkEnd w:id="218"/>
    </w:p>
    <w:p>
      <w:pPr>
        <w:pStyle w:val="BookText"/>
        <w:rPr/>
      </w:pPr>
      <w:r>
        <w:rPr>
          <w:rFonts w:ascii="IRNazanin" w:hAnsi="IRNazanin" w:eastAsia="IRNazanin"/>
          <w:color w:val="111111"/>
          <w:sz w:val="28"/>
          <w:sz w:val="28"/>
          <w:szCs w:val="28"/>
          <w:rtl w:val="true"/>
          <w:lang w:bidi="fa-IR"/>
        </w:rPr>
        <w:t>و ربما یقال فی وجه الصحة فیهما بأنّ الأخبار الواردة فی بیع الکلاب علی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فتدل علی حرمة بیع الکلاب علی وجه الإطلاق کالمطلقات،و قد تقدّمت جملة منها فی بیع الکلب الهراش </w:t>
      </w:r>
      <w:r>
        <w:rPr>
          <w:rStyle w:val="FootnoteAnchor"/>
          <w:rtl w:val="true"/>
        </w:rPr>
        <w:footnoteReference w:id="318"/>
      </w:r>
      <w:r>
        <w:rPr>
          <w:rFonts w:ascii="IRNazanin" w:hAnsi="IRNazanin" w:eastAsia="IRNazanin"/>
          <w:color w:val="111111"/>
          <w:sz w:val="28"/>
          <w:sz w:val="28"/>
          <w:szCs w:val="28"/>
          <w:rtl w:val="true"/>
          <w:lang w:bidi="fa-IR"/>
        </w:rPr>
        <w:t>،و سمعت أنّ أکثرها ضعیفة السند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فتدل علی جواز بیع ما کان صیودا بالفعل </w:t>
      </w:r>
      <w:r>
        <w:rPr>
          <w:rStyle w:val="FootnoteAnchor"/>
          <w:rtl w:val="true"/>
        </w:rPr>
        <w:footnoteReference w:id="319"/>
      </w:r>
      <w:r>
        <w:rPr>
          <w:rFonts w:ascii="Amiri" w:hAnsi="Amiri" w:eastAsia="Amiri" w:cs="Amiri"/>
          <w:color w:val="111111"/>
          <w:sz w:val="28"/>
          <w:sz w:val="28"/>
          <w:szCs w:val="28"/>
          <w:rtl w:val="true"/>
          <w:lang w:bidi="ar-SA"/>
        </w:rPr>
        <w:t>و متّصفا</w:t>
      </w:r>
    </w:p>
    <w:p>
      <w:pPr>
        <w:pStyle w:val="BookText"/>
        <w:rPr/>
      </w:pPr>
      <w:r>
        <w:rPr>
          <w:rFonts w:ascii="IRNazanin" w:hAnsi="IRNazanin" w:eastAsia="IRNazanin"/>
          <w:color w:val="111111"/>
          <w:sz w:val="28"/>
          <w:sz w:val="28"/>
          <w:szCs w:val="28"/>
          <w:rtl w:val="true"/>
          <w:lang w:bidi="fa-IR"/>
        </w:rPr>
        <w:t>بملکة الاصطیاد،سواء کان سلوقیا أم غیر سلوقی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فتدل علی جواز بیع کلب الصید کمرسلة الصدوق و غیرها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المحتمل فی الطائفة الأخیرة منها ثلاثة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بکلب الصید ما کان صیودا بالفعل و کلب صید بشخصه و واجدا لملکة الاصطیاد بنفسه،فیکون الغرض من المرکّب هی إضافة الشخص إلی وصفه،و حینئذ فترجع هذه الطائفة إلی الطائفة الثانیة،و یجری فیها الإشکال المتقدّم أیضا من دعوی انصرافها إلی السلوقی مع جوابها،و علیه فنقیّد بها و بالطائفة الثانیة الطائفة الاولی،فتصیر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غیر الصیود من الکلاب لا</w:t>
      </w:r>
    </w:p>
    <w:p>
      <w:pPr>
        <w:pStyle w:val="BookText"/>
        <w:rPr/>
      </w:pPr>
      <w:r>
        <w:rPr>
          <w:rFonts w:ascii="IRNazanin" w:hAnsi="IRNazanin" w:eastAsia="IRNazanin"/>
          <w:color w:val="111111"/>
          <w:sz w:val="28"/>
          <w:sz w:val="28"/>
          <w:szCs w:val="28"/>
          <w:rtl w:val="true"/>
          <w:lang w:bidi="fa-IR"/>
        </w:rPr>
        <w:t>یجوز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 نوع کلب الصید و إن لم یتّصف بعض أفراده بملکة الاصطیاد،و علیه فتختص هذه الطائفة الأخیرة بالسلوقی فقط،فتکون النسبة بینها و بین الطائفة الثانیة هو العموم من وجه،إذ قد یکون الکلب صیودا و لا یکون من أفراد الکلاب السلوقیة،و قد یکون من أفرادها و لا یکون صیودا بالفعل کغیر المعلّم من السلوقی،و قد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فیجوز تخصیص العمومات بکل من الطائفة الثانیة و الثالثة بناء علی ما نقّحناه فی الاصول </w:t>
      </w:r>
      <w:r>
        <w:rPr>
          <w:rStyle w:val="FootnoteAnchor"/>
          <w:rtl w:val="true"/>
        </w:rPr>
        <w:footnoteReference w:id="321"/>
      </w:r>
      <w:r>
        <w:rPr>
          <w:rFonts w:ascii="IRNazanin" w:hAnsi="IRNazanin" w:eastAsia="IRNazanin"/>
          <w:color w:val="111111"/>
          <w:sz w:val="28"/>
          <w:sz w:val="28"/>
          <w:szCs w:val="28"/>
          <w:rtl w:val="true"/>
          <w:lang w:bidi="fa-IR"/>
        </w:rPr>
        <w:t>من جواز تخصیص العام بالخاصین بینهما عموم من وجه،کما إذا ورد أکرم العلماء ثم ورد لا تکرم الفسّاق منهم و لا تکرم النحویین منهم،فإنّه جاز تخصیص أکرم العلماء بکلا الخاصین و إن کانت النسبة بینهما هی العموم من وجه،و علیه فیجوز بیع الصیود من غیر السلوقی و بیع غیر الصیود من السلوقی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 ما یکون بینه و بین الصید نسبة و علاقة،بدعوی کفایة أدنی ملابسة فی صحة الإضافة کما هو الظاهر و الموافق للاستعمالات الدائرة بین المحاورین،ضرورة أنّ جملة کلب الصید فی اللغة العربیة لم توضع لمعنی خاص،بل اطلقت علی حصة من الکلاب بوجه من المناسبة و بعلاقة الملابسة،کیف فإنّها ترادف فی اللغة الفارسیة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یعتبرون فی صحة ذلک الإطلاق أزید من تلک المناسبة الإجمالیة،و علیه فالنسبة بینها و بین الطائفة الثانیة هو العموم المطلق،فإنه علی هذا یصح إطلاق کلب الصید علی الصیود مطلقا،سلوقیا کان أم غیره،و علی السلوقی کذلک صیودا کان أم غیره،و علی ذلک أیضا فیجوز تخصیص العمومات بهما بناء علی جواز تخصیص العام بالخاصین بینهما عموم مطلق کما هو</w:t>
      </w:r>
    </w:p>
    <w:p>
      <w:pPr>
        <w:pStyle w:val="BookText"/>
        <w:rPr/>
      </w:pPr>
      <w:r>
        <w:rPr>
          <w:rFonts w:ascii="IRNazanin" w:hAnsi="IRNazanin" w:eastAsia="IRNazanin"/>
          <w:color w:val="111111"/>
          <w:sz w:val="28"/>
          <w:sz w:val="28"/>
          <w:szCs w:val="28"/>
          <w:rtl w:val="true"/>
          <w:lang w:bidi="fa-IR"/>
        </w:rPr>
        <w:t xml:space="preserve">الظاهر علی ما حقّقناه فی محلّه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أظهر المحتملات الثلاثة هو الاحتمال الأخیر،لما عرفت من کفایة أدنی ملابسة فی صحة الإضافة،ثم الثانی لکثرة إضافة الموصوف إلی وصف نوعه،و بهذا صح جعله موضوعا للأحکام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الاحتمال الأول فغیر سدید جزما فإنّ من المستبعد جدّا اعتبار الاتّصاف الفعلی فی صحة إضافة الموصوف إلی الصفة و أن لا یکتفی فیها بأدنی مناسبة،هذا غایة ما یمکن أن یقال فی جواز بیع السلوقی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فاسد،إذ العمل بما ذکرناه علی کلا الاحتمالین إنّما یجوز فیما إذا لم یکن کل من الخاصین مقیّدا بقید به یوافق العام و یسانخه،و إلاّ فینفی ذلک القید بمفهومه أو منطوقه ما اختص به الخاص الآخر من مادّة الافتراق،فیکونان من أفراد الدلیلین المتعارضین فیسقطان للتعارض</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المقام إنّ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الکلب الذی لا یصید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الصیود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غیر الصیود من الکلاب یحرم بیعه و إن کان سلوقیا،فیشارک العام بمقتضی اشتماله القید العدمی،کما أنّ الظاهر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بثمن کلب الصید و الآخر لا یحل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کلّ ما کان کلب صید بنوعه جاز بیعه،صیودا کان أم لم یکن،و أمّا غیر کلب الصید فلا یجوز بیعه و إن کان صیودا،فیتعارضان فی الصغیر و الکبیر غیر المعلّمین من السلوقی علی الاحتمال الثالث من دعوی العموم المطلق بین الخاصین،و فی الصیود من غیر السلوقی أیضا علی الاحتمال الثانی من دعوی العموم من وجه بینهما،فصارت النتیجة علی الاحتمال الثالث أنّ غیر الصیود من الکلاب لا</w:t>
      </w:r>
      <w:bookmarkStart w:id="219" w:name="pg5064_65257"/>
    </w:p>
    <w:p>
      <w:pPr>
        <w:pStyle w:val="BookText"/>
        <w:rPr/>
      </w:pPr>
      <w:bookmarkEnd w:id="219"/>
      <w:r>
        <w:rPr>
          <w:rFonts w:ascii="IRNazanin" w:hAnsi="IRNazanin" w:eastAsia="IRNazanin"/>
          <w:color w:val="111111"/>
          <w:sz w:val="28"/>
          <w:sz w:val="28"/>
          <w:szCs w:val="28"/>
          <w:rtl w:val="true"/>
          <w:lang w:bidi="fa-IR"/>
        </w:rPr>
        <w:t>یجوز بیعه و إن کان سلوقیا،و علی الثانی فالصیود من غیر السلوقی أیضا لا یجوز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الإغضاء عن سند الطائفة الثالثة،و إلاّ فهی لا تقاوم الطائفة الثانیة،لضعف سندها و عدم انجبارها بعمل المشهور،و حینئذ فینحصر المخصّص لتلک العمومات فی الطائفة الثانیة،فترتفع الغائلة من أصلها</w:t>
      </w:r>
      <w:r>
        <w:rPr>
          <w:rFonts w:eastAsia="IRNazanin" w:cs="IRNazanin"/>
          <w:color w:val="111111"/>
          <w:sz w:val="28"/>
          <w:szCs w:val="28"/>
          <w:rtl w:val="true"/>
          <w:lang w:bidi="fa-IR"/>
        </w:rPr>
        <w:t>.</w:t>
      </w:r>
    </w:p>
    <w:p>
      <w:pPr>
        <w:pStyle w:val="Heading3"/>
        <w:numPr>
          <w:ilvl w:val="2"/>
          <w:numId w:val="1"/>
        </w:numPr>
        <w:rPr/>
      </w:pPr>
      <w:bookmarkStart w:id="220" w:name="__RefHeading___Toc910094_774463916"/>
      <w:bookmarkStart w:id="221" w:name="_Toc81"/>
      <w:bookmarkEnd w:id="220"/>
      <w:r>
        <w:rPr>
          <w:rtl w:val="true"/>
        </w:rPr>
        <w:t>حرمة بیع کلب الحراسة</w:t>
      </w:r>
      <w:bookmarkEnd w:id="221"/>
    </w:p>
    <w:p>
      <w:pPr>
        <w:pStyle w:val="Heading4"/>
        <w:numPr>
          <w:ilvl w:val="3"/>
          <w:numId w:val="1"/>
        </w:numPr>
        <w:rPr/>
      </w:pPr>
      <w:bookmarkStart w:id="222" w:name="__RefHeading___Toc910096_774463916"/>
      <w:bookmarkStart w:id="223" w:name="_Toc82"/>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الماشیة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الجهة الثالثة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لا شبهة فی حرمة بیع الکلاب الثلاثة،أی کلب الماشیة و کلب الحائط و کلب الزرع،و یسمّی کل واحد منها بالکلب الحارس،و هذا هو المشهور بین القدماء،و قد دلّت علیه العمومات المتقدّمة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910098_774463916"/>
      <w:bookmarkStart w:id="225" w:name="_Toc83"/>
      <w:bookmarkEnd w:id="224"/>
      <w:r>
        <w:rPr>
          <w:rtl w:val="true"/>
        </w:rPr>
        <w:t>الوجوه المستدل بها علی الجواز</w:t>
      </w:r>
      <w:bookmarkEnd w:id="225"/>
    </w:p>
    <w:p>
      <w:pPr>
        <w:pStyle w:val="BookText"/>
        <w:rPr/>
      </w:pPr>
      <w:r>
        <w:rPr>
          <w:rFonts w:ascii="IRNazanin" w:hAnsi="IRNazanin" w:eastAsia="IRNazanin"/>
          <w:color w:val="111111"/>
          <w:sz w:val="28"/>
          <w:sz w:val="28"/>
          <w:szCs w:val="28"/>
          <w:rtl w:val="true"/>
          <w:lang w:bidi="fa-IR"/>
        </w:rPr>
        <w:t>کما أنّ المشهور بین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تأخّر عنه الجواز،و قد استدل علیه بوجوه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علیه کما یظهر من العلاّمة فی التذکرة علی ما حکاه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هذه الکلاب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لکنّا لم نجد ذلک فی التذکرة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الخلاف أنّ بیع هذه الکلاب یجوز عندنا و ما یصح بیعه یصح إجارته بلا خلاف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المحکی عن حواشی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w:t>
      </w:r>
    </w:p>
    <w:p>
      <w:pPr>
        <w:pStyle w:val="BookText"/>
        <w:rPr/>
      </w:pPr>
      <w:r>
        <w:rPr>
          <w:rFonts w:ascii="IRNazanin" w:hAnsi="IRNazanin" w:eastAsia="IRNazanin"/>
          <w:color w:val="111111"/>
          <w:sz w:val="28"/>
          <w:sz w:val="28"/>
          <w:szCs w:val="28"/>
          <w:rtl w:val="true"/>
          <w:lang w:bidi="fa-IR"/>
        </w:rPr>
        <w:t xml:space="preserve">لم یفرّق بین الکلاب الأربعة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هذه العبارة عدم وجود القول بالفرق بین الکلاب الأربعة فی جواز البیع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معارض بدعوی الإجماع علی حرمة بیعها،علی أنّ دعواه فی مثل هذه المسألة المختلف فیها من الصعب المستصعب،خصوصا مع عدم کونه إجماعا تعبّدیا کاشفا عن رأی الحجّة،لاحتمال أنّ المجمعین قد استندوا إلی المدارک المعلومة المذکورة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ینقضی العجب من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یدّعی أنّ أحدا لم یفرّق بین الکلاب الأربعة فی حرمة البیع و جوازه،مع کثرة الاختلاف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یکون نظره الشریف فی ذلک إلی العامة،فقد عرفت فی بیع کلب الهراش </w:t>
      </w:r>
      <w:r>
        <w:rPr>
          <w:rStyle w:val="FootnoteAnchor"/>
          <w:rtl w:val="true"/>
        </w:rPr>
        <w:footnoteReference w:id="327"/>
      </w:r>
      <w:r>
        <w:rPr>
          <w:rFonts w:ascii="IRNazanin" w:hAnsi="IRNazanin" w:eastAsia="IRNazanin"/>
          <w:color w:val="111111"/>
          <w:sz w:val="28"/>
          <w:sz w:val="28"/>
          <w:szCs w:val="28"/>
          <w:rtl w:val="true"/>
          <w:lang w:bidi="fa-IR"/>
        </w:rPr>
        <w:t>أنّ طائفة منهم کالحنابلة و الشافعیة و بعض فرق المالکیة ذهبوا إلی أنّ بیع الکلاب مطلقا لا یصح حتی کلب الصید،و طائفة اخری منهم کالحنفیة و بعض آخر من المالکیة ذهبوا إلی صحة بیعها مطلقا حتی کلب الحراسة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نظره إلی جواز الانتفاع بها مطلقا و عدم جوازه کذلک،فإنّ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یفرّقوا فی ذلک بین الکلاب الأربعة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الدیة علی قاتلها فی الشریعة المقدّسة یدل علی جواز المعاوضة علیها،و إلی هذا أشار العلاّمة فی المختلف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لها دیّات منصوصة فتجوز المعاوضة علیها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هذه الدیة فی کلب الماشیة بکبش أو بعشرین درهما،و فی کلب الحائط بعشرین درهما،و فی کلب الزرع بقفیز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الدیة لها فی الشریعة لا یدل علی ملکیتها فضلا عن جواز المعاوضة علیها،فقد ثبتت الدیة فی الحر مع أنّه غیر مملوک قطعا،بل لا یبعد أن یکون ثبوت الدیة کاشفا عن عدم الملک مع فرض کون الشیء محترما،و إلاّ لکان الثابت نقص القیمة،أو تخییر المالک بینه و بین الدیة کما فی العبد 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جواز إجارتها لحفظ الماشیة و الحائط و الزرع اتّفاقا کما فی المتن،فیجوز بیعها،لوجود الملازمة بینهما،و إلی هذا الدلیل أشار العلاّمة أیضا فی المختلف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 یجوز إجارتها فیجوز بیعها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ملازمة شرعیة بین صحة الإجارة و صحة البیع،فإنّ إجارة الحر و امّ الولد جائزة بالاتّفاق و لا یجوز بیعهما،کما لا ملازمة بین صحة البیع و صحة الإجارة،فإنّ بیع الشعیر و الحنطة و عصیر الفواکه و سائر المأکولات و المشروبات جائز اتّفاقا و لا تصح إجارتها،فإنّ من شرائط الإجارة أنّ العین المستأجرة ممّا یمکن الانتفاع بها مع بقاء عینها،و الامور المذکورة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بیع الکلاب و عدمه من الأحکام الشرعیة،و هی امور توقیفیة،فلا محیص عن اتّباع أدلّتها،فإن کان فیها ما یدل علی جواز بیعها اخذ به،و إلاّ فالعمومات الدالّة علی المنع متّبعة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العلاّمة أیضا فی المختلف من أنه لو جاز بیع کلب الصید جاز بیع باقی الکلاب الأربعة،و الأول ثابت إجماعا فکذا الثانی،بیان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المقتضی للجواز هناک کون المبیع ممّا ینتفع به و ثبوت الحاجة إلی المعاوضة،و هذان المعنیان ثابتان فی صورة النزاع،فیثبت الحکم عملا بالمقتضی السالم عن المعارض</w:t>
      </w:r>
    </w:p>
    <w:p>
      <w:pPr>
        <w:pStyle w:val="BookText"/>
        <w:rPr/>
      </w:pPr>
      <w:r>
        <w:rPr>
          <w:rFonts w:ascii="IRNazanin" w:hAnsi="IRNazanin" w:eastAsia="IRNazanin"/>
          <w:color w:val="111111"/>
          <w:sz w:val="28"/>
          <w:sz w:val="28"/>
          <w:szCs w:val="28"/>
          <w:rtl w:val="true"/>
          <w:lang w:bidi="fa-IR"/>
        </w:rPr>
        <w:t xml:space="preserve">إذ الأصل انتفاؤه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علیه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یترتّب علی الکلاب الثلاثة من المنافع أکثر ممّا یترتّب علی کلب الصید،فإذا جاز بیعه کان بیع تلک الکلاب الثلاثة أولی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قیاس واضح،فقد نهینا عن العمل به فی الشریعة المقدّسة بالأدلّة القاطعة،و علیه فلا وجه لرفع الید عن العمومات إلاّ فی الکلب الصیود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بجواز بیعها هو مقتضی الجمع بین الروایات،لأنّا إذا لاحظنا العمومات الدالّة علی المنع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یکون لهم فیه الصلاح من جهة من الجهات فهذا کلّه حلال بیعه و شراؤه و إمساکه و استعماله و هبته و عاریته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أنّ النسبة بینهما هی العموم من وجه فإنّ العمومات تقتضی حرمة بیع الکلاب کلّها،و إنّما خرج منها بیع کلب الصیود فقط للروایات الخاصّة،و هذه الفقرة من روایة تحف العقول تقتضی صحة بیع کل ما کان فیه جهة صلاح،فتشمل بیع کلب الماشیة و کلب الحائط و کلب الزرع أیضا لجواز الانتفاع بها فی الحراسة،و بعد سقوطهما للمعارضة یرجع فی إثبات الجواز التکلیفی إلی أصالة الإباحة،و فی إثبات الجواز الوضعی إلی عمومات صحة البیع و 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أغمضنا عمّا تقدّم فی روایة تحف العقول،فإنّها لا تقاوم العمومات المذکورة فی خصوص المقام،لأنّ کثرة الخلاف هنا مانعة عن انجبار ضعفها بعمل المشهور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مناص من ترجیح العمومات علیها،إذ قد بیّنا فی علم</w:t>
      </w:r>
    </w:p>
    <w:p>
      <w:pPr>
        <w:pStyle w:val="BookText"/>
        <w:rPr/>
      </w:pPr>
      <w:r>
        <w:rPr>
          <w:rFonts w:ascii="IRNazanin" w:hAnsi="IRNazanin" w:eastAsia="IRNazanin"/>
          <w:color w:val="111111"/>
          <w:sz w:val="28"/>
          <w:sz w:val="28"/>
          <w:szCs w:val="28"/>
          <w:rtl w:val="true"/>
          <w:lang w:bidi="fa-IR"/>
        </w:rPr>
        <w:t xml:space="preserve">الاصول </w:t>
      </w:r>
      <w:r>
        <w:rPr>
          <w:rStyle w:val="FootnoteAnchor"/>
          <w:rtl w:val="true"/>
        </w:rPr>
        <w:footnoteReference w:id="331"/>
      </w:r>
      <w:r>
        <w:rPr>
          <w:rFonts w:ascii="IRNazanin" w:hAnsi="IRNazanin" w:eastAsia="IRNazanin"/>
          <w:color w:val="111111"/>
          <w:sz w:val="28"/>
          <w:sz w:val="28"/>
          <w:szCs w:val="28"/>
          <w:rtl w:val="true"/>
          <w:lang w:bidi="fa-IR"/>
        </w:rPr>
        <w:t>أنّ من جملة المرجّحات عند معارضة الدلیلین بالعموم من وجه أن یلزم من العمل بأحدهما إلغاء الآخر من أصله و إسقاط ما ذکر فیه من العنوان عن الموضوعیة،و حینئذ فلا بدّ من العمل بالآخر الذی لا یلزم منه المحذور المذکور،و فی المقام لو عملنا بروایة تحف العقول للزم من ذلک إلغاء العمومات علی کثرتها و لسقط عنوان الکلب المذکور فیها عن الموضوعیة،لخروج الکلب الصیود منها بالروایات الخاصة کما عرفت،و لو خرجت الکلاب الثلاثة منها بالروایة المذکورة لما بقی تحتها إلاّ الکلب الهراش فقط،و یکفی فی المنع عن بیعه عدم وجود النفع فیه فلا یحتاج إلی تلک العمومات المتظافرة،فیلزم المحذور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عملنا بالعمومات و رفعنا الید عن الروایة فإنّ المحذور لا یتوجّه أصلا،لأنّ ما فیه جهة صلاح من الأشیاء لا ینحصر فی الکلاب الثلاثة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ذلک المعارضة بین ما ورد من الأمر بغسل الثوب من أبوال ما لا یؤکل لحمه </w:t>
      </w:r>
      <w:r>
        <w:rPr>
          <w:rStyle w:val="FootnoteAnchor"/>
          <w:rtl w:val="true"/>
        </w:rPr>
        <w:footnoteReference w:id="332"/>
      </w:r>
      <w:r>
        <w:rPr>
          <w:rFonts w:ascii="IRNazanin" w:hAnsi="IRNazanin" w:eastAsia="IRNazanin"/>
          <w:color w:val="111111"/>
          <w:sz w:val="28"/>
          <w:sz w:val="28"/>
          <w:szCs w:val="28"/>
          <w:rtl w:val="true"/>
          <w:lang w:bidi="fa-IR"/>
        </w:rPr>
        <w:t xml:space="preserve">و ما ورد من نفی البأس عن بول الطیر و خرئه </w:t>
      </w:r>
      <w:r>
        <w:rPr>
          <w:rStyle w:val="FootnoteAnchor"/>
          <w:rtl w:val="true"/>
        </w:rPr>
        <w:footnoteReference w:id="333"/>
      </w:r>
      <w:r>
        <w:rPr>
          <w:rFonts w:ascii="IRNazanin" w:hAnsi="IRNazanin" w:eastAsia="IRNazanin"/>
          <w:color w:val="111111"/>
          <w:sz w:val="28"/>
          <w:sz w:val="28"/>
          <w:szCs w:val="28"/>
          <w:rtl w:val="true"/>
          <w:lang w:bidi="fa-IR"/>
        </w:rPr>
        <w:t>،فإنّا لو قدّمنا الخبر الأول و حکمنا بسببه بنجاسة خرء الطیور التی لا یؤکل لحمها لکان ذکر الطیر فی الخبر الثانی لغوا محضا،إذ لا یبقی تحته إلاّ ما یؤکل لحمه من الطیور،و یکفی فی طهارة</w:t>
      </w:r>
    </w:p>
    <w:p>
      <w:pPr>
        <w:pStyle w:val="BookText"/>
        <w:rPr/>
      </w:pPr>
      <w:r>
        <w:rPr>
          <w:rFonts w:ascii="IRNazanin" w:hAnsi="IRNazanin" w:eastAsia="IRNazanin"/>
          <w:color w:val="111111"/>
          <w:sz w:val="28"/>
          <w:sz w:val="28"/>
          <w:szCs w:val="28"/>
          <w:rtl w:val="true"/>
          <w:lang w:bidi="fa-IR"/>
        </w:rPr>
        <w:t xml:space="preserve">ذرقها ما یدل علی طهارة بول مأکول اللحم </w:t>
      </w:r>
      <w:r>
        <w:rPr>
          <w:rStyle w:val="FootnoteAnchor"/>
          <w:rtl w:val="true"/>
        </w:rPr>
        <w:footnoteReference w:id="334"/>
      </w:r>
      <w:r>
        <w:rPr>
          <w:rFonts w:ascii="IRNazanin" w:hAnsi="IRNazanin" w:eastAsia="IRNazanin"/>
          <w:color w:val="111111"/>
          <w:sz w:val="28"/>
          <w:sz w:val="28"/>
          <w:szCs w:val="28"/>
          <w:rtl w:val="true"/>
          <w:lang w:bidi="fa-IR"/>
        </w:rPr>
        <w:t>،و هذا بخلاف العکس،فإنّا إذا عملنا بالخبر الثانی لم یلزم المحذور،لکثرة أفراد غیر المأکول من غیر جنس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أیضا معارضة ما یدل علی انفعال الماء القلیل بملاقاته النجاسة </w:t>
      </w:r>
      <w:r>
        <w:rPr>
          <w:rStyle w:val="FootnoteAnchor"/>
          <w:rtl w:val="true"/>
        </w:rPr>
        <w:footnoteReference w:id="335"/>
      </w:r>
      <w:r>
        <w:rPr>
          <w:rFonts w:ascii="IRNazanin" w:hAnsi="IRNazanin" w:eastAsia="IRNazanin"/>
          <w:color w:val="111111"/>
          <w:sz w:val="28"/>
          <w:sz w:val="28"/>
          <w:szCs w:val="28"/>
          <w:rtl w:val="true"/>
          <w:lang w:bidi="fa-IR"/>
        </w:rPr>
        <w:t xml:space="preserve">لما یدل علی عدم انفعال الجاری بذلک </w:t>
      </w:r>
      <w:r>
        <w:rPr>
          <w:rStyle w:val="FootnoteAnchor"/>
          <w:rtl w:val="true"/>
        </w:rPr>
        <w:footnoteReference w:id="336"/>
      </w:r>
      <w:r>
        <w:rPr>
          <w:rFonts w:ascii="IRNazanin" w:hAnsi="IRNazanin" w:eastAsia="IRNazanin"/>
          <w:color w:val="111111"/>
          <w:sz w:val="28"/>
          <w:sz w:val="28"/>
          <w:szCs w:val="28"/>
          <w:rtl w:val="true"/>
          <w:lang w:bidi="fa-IR"/>
        </w:rPr>
        <w:t xml:space="preserve">،فإنّ العمل بالطائفة الاولی و الحکم بانفعال الجاری بملاقاته النجاسة إذا کان قلیلا یوجب کون ذکر الجاری فی الطائفة الثانیة لغوا،إذ لا یبقی فیها إلاّ الکر،و یکفی فی عدم انفعاله بملاقاته النجاسة ما یدل علی عدم انفعال الکر بذلک </w:t>
      </w:r>
      <w:r>
        <w:rPr>
          <w:rStyle w:val="FootnoteAnchor"/>
          <w:rtl w:val="true"/>
        </w:rPr>
        <w:footnoteReference w:id="337"/>
      </w:r>
      <w:r>
        <w:rPr>
          <w:rFonts w:ascii="IRNazanin" w:hAnsi="IRNazanin" w:eastAsia="IRNazanin"/>
          <w:color w:val="111111"/>
          <w:sz w:val="28"/>
          <w:sz w:val="28"/>
          <w:szCs w:val="28"/>
          <w:rtl w:val="true"/>
          <w:lang w:bidi="fa-IR"/>
        </w:rPr>
        <w:t>علی الإطلاق،و لو انعکس الأمر لم یلزم المحذور،لکثرة أفراد القلیل من غیر الجاری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المتن من حکایة روایة ذلک عن الشیخ فی المبسوط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روی ذلک </w:t>
      </w:r>
      <w:r>
        <w:rPr>
          <w:rStyle w:val="FootnoteAnchor"/>
          <w:rtl w:val="true"/>
        </w:rPr>
        <w:footnoteReference w:id="338"/>
      </w:r>
      <w:r>
        <w:rPr>
          <w:rFonts w:ascii="IRNazanin" w:hAnsi="IRNazanin" w:eastAsia="IRNazanin"/>
          <w:color w:val="111111"/>
          <w:sz w:val="28"/>
          <w:sz w:val="28"/>
          <w:szCs w:val="28"/>
          <w:rtl w:val="true"/>
          <w:lang w:bidi="fa-IR"/>
        </w:rPr>
        <w:t>یعنی جواز البیع فی کلب الماشیة و الحائط،المنجبر قصور سنده و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المنقول مضمون الروایة،لا معناها و لا ترجمتها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باشتهاره بین المتأخّرین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الشهرة بین المتأخّرین لا تجبر ضعف الروایة،بل و لم یعلم استنادهم إلیها فی فتیاهم بالجواز،فلعلّهم استندوا فی ذلک إلی الوجوه المذکورة،کما یظهر ذلک ممّن یلاحظ 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لم یثبت لنا کون المحکی عن الشیخ روایة فضلا عن انجباره هنا بالاشتهار،و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ناقل الروایة تارة ینقلها بألفاظها الصادرة عن المنقول عنه،و اخری بترجمتها بلغة اخری غیر لغة المروی عنه،و ثالثة بمعناها کما هو المتعارف بین الرواة خصوصا فی الأحادیث الطوال التی یعسر حفظ ألفاظها عادة،و رابعة بمضمونها کما هو المرسوم بین الفقهاء فی مرحلة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غیر القسم الأخیر فلا شبهة فی شمول أدلّة اعتبار الخبر له کما هو واضح و أمّا القسم الأخیر فلا تشمله تلک الأدلّة قطعا،لانحصارها فی الأخبار الحسّیة و رأی الفقیه من الامور الحدسیة،فلا یکون حجّة لغیره و لغیر مقلّدیه کما حقّق فی علم الاصول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عرفت ذلک اتّضح لک أنّ المحکی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مشمولا لأدلّة اعتبار الخبر،لأنّ ظاهره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باجتهاده جواز البیع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إلیه بلفظ الإشارة،بداهة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یبیّن الحکم علی النحو المذکور فی العبارة و بلفظ الإشارة ابتداء من دون أن یکون مسبوقا أو ملحوقا بکلام آخر یدل علیه،و علیه فلم یثبت کون المحکی روایة حتی ینجبر ضعفها بعمل المشهور و تکون حجّة لنا فی مقام الفتوی،نعم لو کانت الروایة بأصلها واصلة إلینا و قلنا بانجبار ضعف الخبر بشیء لکان لهذه الدعوی مجال واسع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تقدیر أن یکون المنقول فی المتن هو عین عبارة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لیست کذلک،فإنه قال فی تجارة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 کلب الماشیة و الحائط کذلک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فهی روایة مرسلة،و قابلة للانجبار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لا یجوز الاستناد إلیها أیضا،لما عرفت فی البحث عن روایة تحف العقول </w:t>
      </w:r>
      <w:r>
        <w:rPr>
          <w:rStyle w:val="FootnoteAnchor"/>
          <w:rtl w:val="true"/>
        </w:rPr>
        <w:footnoteReference w:id="342"/>
      </w:r>
      <w:r>
        <w:rPr>
          <w:rFonts w:ascii="IRNazanin" w:hAnsi="IRNazanin" w:eastAsia="IRNazanin"/>
          <w:color w:val="111111"/>
          <w:sz w:val="28"/>
          <w:sz w:val="28"/>
          <w:szCs w:val="28"/>
          <w:rtl w:val="true"/>
          <w:lang w:bidi="fa-IR"/>
        </w:rPr>
        <w:t xml:space="preserve">من منع انجبار ضعف الروایة بشیء صغری و کبری،علی أنّ من البعید جدّا بل من المستحیل عادة أن تکون هناک روایة و لم یظفر بها غیر الشیخ من علماء الحدیث،أو وصلوا إلیها و لکنّهم لم یوردوها فی اصولهم المعدّة للروایة،حتی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تهذیبیه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المظنون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علیها فی کتب العامة و أوردها فی کتابه للمناسبة،إلاّ أنّ أحادیثهم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النهی عن بیع الکلاب خالیة أیضا عن استثناء کلب الماشیة و کلب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اشتهار المرسلة بین القدماء لا یمنع انجبار ضعفها بعمل المشهور من المتأخّرین،فإنّ ظهورها إنّما کان من زمان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عذرا لعدم عمل القدماء بها،و إنّما یضرّ ذلک فیما إذا کانت الروایة بمرأی منهم و مسمع ثم لم یعملوا بها لإعراضهم عنها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ضعف الروایة إنما ینجبر بالشهرة إذا عمل بها المشهور مع نقلهم إیّاها فی کتبهم من دون أن یستندوا فی ذلک إلی نقل شخص واحد،و أمّا إذا انتهی سند الناقلین إلی شخص واحد فنسبتها إلی النقلة و غیرهم سیّان،فمثل هذه الشهرة لا توجب الانجبار،ضرورة عدم اختصاص النقلة بقرینة زائدة لیمتازوا بها علی غیرهم</w:t>
      </w:r>
      <w:r>
        <w:rPr>
          <w:rFonts w:eastAsia="IRNazanin" w:cs="IRNazanin"/>
          <w:color w:val="111111"/>
          <w:sz w:val="28"/>
          <w:szCs w:val="28"/>
          <w:rtl w:val="true"/>
          <w:lang w:bidi="fa-IR"/>
        </w:rPr>
        <w:t>.</w:t>
      </w:r>
      <w:bookmarkStart w:id="226" w:name="pg5064_65265"/>
    </w:p>
    <w:p>
      <w:pPr>
        <w:pStyle w:val="BookText"/>
        <w:rPr/>
      </w:pPr>
      <w:bookmarkEnd w:id="226"/>
      <w:r>
        <w:rPr>
          <w:rFonts w:ascii="IRNazanin" w:hAnsi="IRNazanin" w:eastAsia="IRNazanin"/>
          <w:color w:val="111111"/>
          <w:sz w:val="28"/>
          <w:sz w:val="28"/>
          <w:szCs w:val="28"/>
          <w:rtl w:val="true"/>
          <w:lang w:bidi="fa-IR"/>
        </w:rPr>
        <w:t>إذن فنسبة المرسلة إلی العاملین و الناقلین کنسبتها إلینا،لأنّ مستندهم أجمع هو نقل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فقط،فلا یکون عملهم هذا جابرا لوهنها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إلی ذلک ما قد عرفته مرارا من فساد البناء و المبنی،و أنّ الشهرة لا تجبر ضعف الروایة صغری و کبری</w:t>
      </w:r>
      <w:r>
        <w:rPr>
          <w:rFonts w:eastAsia="IRNazanin" w:cs="IRNazanin"/>
          <w:color w:val="111111"/>
          <w:sz w:val="28"/>
          <w:szCs w:val="28"/>
          <w:rtl w:val="true"/>
          <w:lang w:bidi="fa-IR"/>
        </w:rPr>
        <w:t>.</w:t>
      </w:r>
    </w:p>
    <w:p>
      <w:pPr>
        <w:pStyle w:val="Heading4"/>
        <w:numPr>
          <w:ilvl w:val="3"/>
          <w:numId w:val="1"/>
        </w:numPr>
        <w:rPr/>
      </w:pPr>
      <w:bookmarkStart w:id="227" w:name="__RefHeading___Toc910100_774463916"/>
      <w:bookmarkStart w:id="228" w:name="_Toc84"/>
      <w:bookmarkEnd w:id="227"/>
      <w:r>
        <w:rPr>
          <w:rtl w:val="true"/>
        </w:rPr>
        <w:t>حکم المعاملات الاخری غیر البیع</w:t>
      </w:r>
      <w:bookmarkEnd w:id="228"/>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أخبار الباب إنما هو حرمة بیع کلب الماشیة و کلب الحائط و کلب الزرع،و أمّا المعاملات الاخری غیر البیع فلا بأس فی إیقاعها علیها کاجارتها و هبتها و الصلح علیها بناء علی عدم جریان أحکام البیع علیه إذا کانت نتیجته المبادلة بین المالین،فإنّ المذکور فی تلک الأخبار هی حرمة ثمن غیر الصیود من الکلاب،و لا یطلق الثمن علی ما یؤخذ بدلا بغیر عنوان البیع من المعاملات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اقتناء تلک الکلاب و لو فی غیر أوان الاصطیاد و الحراسة ممّا لا إشکال فیه،لأنّها من الأموال و لو باعتبار الانتفاع بها فی وقت الاصطیاد و الحراسة و حرمة بیع هذه الکلاب لا یضر بجواز اقتنائها،إذ لا ملازمة بین حرمة بیع شیء و حرمة اقتنائه و الانتفاع به،کیف و إنّ الانتفاع بها أکثر من الانتفاع بالکلب الصیود،خصوصا لأهل البادیة و أصحاب الماشیة و البساتین و الزروع و نحوها،و لم یستشکل أحد فی جواز ذلک فیما نعلم،بل ورد فی أخبار الفریقین </w:t>
      </w:r>
      <w:r>
        <w:rPr>
          <w:rStyle w:val="FootnoteAnchor"/>
          <w:rtl w:val="true"/>
        </w:rPr>
        <w:footnoteReference w:id="343"/>
      </w:r>
      <w:r>
        <w:rPr>
          <w:rFonts w:ascii="IRNazanin" w:hAnsi="IRNazanin" w:eastAsia="IRNazanin"/>
          <w:color w:val="111111"/>
          <w:sz w:val="28"/>
          <w:sz w:val="28"/>
          <w:szCs w:val="28"/>
          <w:rtl w:val="true"/>
          <w:lang w:bidi="fa-IR"/>
        </w:rPr>
        <w:t>جواز اقتناء</w:t>
      </w:r>
    </w:p>
    <w:p>
      <w:pPr>
        <w:pStyle w:val="BookText"/>
        <w:rPr/>
      </w:pPr>
      <w:r>
        <w:rPr>
          <w:rFonts w:ascii="IRNazanin" w:hAnsi="IRNazanin" w:eastAsia="IRNazanin"/>
          <w:color w:val="111111"/>
          <w:sz w:val="28"/>
          <w:sz w:val="28"/>
          <w:szCs w:val="28"/>
          <w:rtl w:val="true"/>
          <w:lang w:bidi="fa-IR"/>
        </w:rPr>
        <w:t>الکلاب الأربعة،إلاّ أن تلحق بالکلب الهراش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بجواز بیع کلب الماشیة،لقول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الکلاب إلاّ کلب صید أو کلب ماشیة</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فإنّ جواز البیع من الخیر الثابت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یستفاد من الروایة هو جواز اقتنائه للانتفاع به فی حراسة الماشیة و اتّصافه بالمالیة بهذا الاعتبار،و أمّا جواز بیعه فلا یستفاد منها،لأنّک قد عرفت عدم الملازمة بین کون الشیء مالا و بین جواز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فالروایة من جملة ما یدل علی جواز اقتناء کلب الماشیة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لقیاس ما یحرم بیعه من الکلاب الثلاثة بالخمر لإثبات عدم المالیة فیها،لا وجه لذلک لأنّ الشارع قد ألغی مالیة الخمر،بخلاف الکلاب الثلاثة،فإنّ مالیتها محفوظة فی نظر الشارع و إن حرم بیعها</w:t>
      </w:r>
      <w:r>
        <w:rPr>
          <w:rFonts w:eastAsia="IRNazanin" w:cs="IRNazanin"/>
          <w:color w:val="111111"/>
          <w:sz w:val="28"/>
          <w:szCs w:val="28"/>
          <w:rtl w:val="true"/>
          <w:lang w:bidi="fa-IR"/>
        </w:rPr>
        <w:t>.</w:t>
      </w:r>
      <w:bookmarkStart w:id="229" w:name="pg5064_65267"/>
    </w:p>
    <w:p>
      <w:pPr>
        <w:pStyle w:val="Heading3"/>
        <w:numPr>
          <w:ilvl w:val="2"/>
          <w:numId w:val="1"/>
        </w:numPr>
        <w:rPr/>
      </w:pPr>
      <w:bookmarkStart w:id="230" w:name="__RefHeading___Toc910102_774463916"/>
      <w:bookmarkStart w:id="231" w:name="_Toc85"/>
      <w:bookmarkEnd w:id="229"/>
      <w:bookmarkEnd w:id="230"/>
      <w:r>
        <w:rPr>
          <w:rtl w:val="true"/>
        </w:rPr>
        <w:t>جواز بیع العصیر العنبی إذا غلی و لم یذهب ثلثاه</w:t>
      </w:r>
      <w:bookmarkEnd w:id="231"/>
    </w:p>
    <w:p>
      <w:pPr>
        <w:pStyle w:val="Heading4"/>
        <w:numPr>
          <w:ilvl w:val="3"/>
          <w:numId w:val="1"/>
        </w:numPr>
        <w:rPr/>
      </w:pPr>
      <w:bookmarkStart w:id="232" w:name="__RefHeading___Toc910104_774463916"/>
      <w:bookmarkStart w:id="233" w:name="_Toc86"/>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الأقوی جواز المعاوضة علی العصیر العنبی إذا غلی و لم یذهب ثلثاه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الغلیان عبارة عن القلب کما فی روایة حمّاد </w:t>
      </w:r>
      <w:r>
        <w:rPr>
          <w:rStyle w:val="FootnoteAnchor"/>
          <w:rtl w:val="true"/>
        </w:rPr>
        <w:footnoteReference w:id="3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الغلیان؟قال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حصول النشیش فیه بحیث یصیر أعلاه أسفله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العصیر إذا غلی بنفسه حکم بنجاسته بمجرد ظهور النشیش فیه عند بعض القدماء،و قد شیّد أرکان هذا القول البطل البحّاثة شیخ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رسالته العصیریة </w:t>
      </w:r>
      <w:r>
        <w:rPr>
          <w:rStyle w:val="FootnoteAnchor"/>
          <w:rtl w:val="true"/>
        </w:rPr>
        <w:footnoteReference w:id="347"/>
      </w:r>
      <w:r>
        <w:rPr>
          <w:rFonts w:ascii="IRNazanin" w:hAnsi="IRNazanin" w:eastAsia="IRNazanin"/>
          <w:color w:val="111111"/>
          <w:sz w:val="28"/>
          <w:sz w:val="28"/>
          <w:szCs w:val="28"/>
          <w:rtl w:val="true"/>
          <w:lang w:bidi="fa-IR"/>
        </w:rPr>
        <w:t>،و تبعه جملة ممّن تأخّر عنه،و علی هذا فلا تحصل الطهارة و الحلّیة فیه إلاّ بصیرورته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تأیید هذا القول بروایة الکلبی النسّابة المتقدّمة فی بیع النبیذ،قال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النبیذ،فقال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ننبذه فنطرح فیه العکر و ما سوی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شه،تلک الخمرة المنتنة</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و قد کنّا نجزم بذلک القول فی سالف الأیّام،ثم عدلنا عنه،و تحقیق الحق فی محلّه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غلیانه بالنار فهو محل الکلام فی المقام،و مورد النقض و الإبرام من</w:t>
      </w:r>
      <w:bookmarkStart w:id="234" w:name="pg5064_65268"/>
    </w:p>
    <w:p>
      <w:pPr>
        <w:pStyle w:val="BookText"/>
        <w:rPr/>
      </w:pPr>
      <w:bookmarkEnd w:id="234"/>
      <w:r>
        <w:rPr>
          <w:rFonts w:ascii="IRNazanin" w:hAnsi="IRNazanin" w:eastAsia="IRNazanin"/>
          <w:color w:val="111111"/>
          <w:sz w:val="28"/>
          <w:sz w:val="28"/>
          <w:szCs w:val="28"/>
          <w:rtl w:val="true"/>
          <w:lang w:bidi="fa-IR"/>
        </w:rPr>
        <w:t>جهة طهارته و عدمها،و جواز شربه و بیعه و عدمهما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بعضهم بین العصیر العنبی و التمری و حکم بنجاسة الأول و طهارة الثانی،و تحقیق ذلک و تفصیله فی کتاب الطهارة،و وجهة الکلام هنا فی خصوص البیع فقط،و الظاهر جوازه</w:t>
      </w:r>
      <w:r>
        <w:rPr>
          <w:rFonts w:eastAsia="IRNazanin" w:cs="IRNazanin"/>
          <w:color w:val="111111"/>
          <w:sz w:val="28"/>
          <w:szCs w:val="28"/>
          <w:rtl w:val="true"/>
          <w:lang w:bidi="fa-IR"/>
        </w:rPr>
        <w:t>.</w:t>
      </w:r>
    </w:p>
    <w:p>
      <w:pPr>
        <w:pStyle w:val="Heading4"/>
        <w:numPr>
          <w:ilvl w:val="3"/>
          <w:numId w:val="1"/>
        </w:numPr>
        <w:rPr/>
      </w:pPr>
      <w:bookmarkStart w:id="235" w:name="__RefHeading___Toc910106_774463916"/>
      <w:bookmarkStart w:id="236" w:name="_Toc87"/>
      <w:bookmarkEnd w:id="235"/>
      <w:r>
        <w:rPr>
          <w:rtl w:val="true"/>
        </w:rPr>
        <w:t>الاستدلال علی حرمة بیعه بالنجاسة و الحرمة و انتفاء المالیة</w:t>
      </w:r>
      <w:bookmarkEnd w:id="236"/>
    </w:p>
    <w:p>
      <w:pPr>
        <w:pStyle w:val="BookText"/>
        <w:rPr/>
      </w:pPr>
      <w:r>
        <w:rPr>
          <w:rFonts w:ascii="IRNazanin" w:hAnsi="IRNazanin" w:eastAsia="IRNazanin"/>
          <w:color w:val="111111"/>
          <w:sz w:val="28"/>
          <w:sz w:val="28"/>
          <w:szCs w:val="28"/>
          <w:rtl w:val="true"/>
          <w:lang w:bidi="fa-IR"/>
        </w:rPr>
        <w:t>و لنمهّد لبیان ذلک مقدّمة،و هی أنه لا إشکال فی أنّ العصیر العنبی سواء غلی أم لم یغل من الأموال المهمّة فی نظر الشارع و العرف،و علیه فلو أتلفه أحد ضمن قیمته لمالکه،کما أنه لو أغلاه الغاصب فإنه یضمنه بنقصان قیمته إذا کان الغلیان موجبا للنقص،کأن اخذ للتداوی فی غیر أوان العنب،فإنه لا قصور فی شمول دلیل الید لذلک مع قیام السیرة القطعیة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غلیانه لا یوجب نقصان قیمته،أو کان سببا لزیادتها فلا وجه للضمان،کأن أخذ للدبس و نحوه فغضبه الغاصب فأغلاه و الوجه فی ذلک هو أنّ الغاصب و إن أحدث فی العصیر المغصوب وصفا جدیدا،إلاّ أنّ تصرّفه هذا لم یحدث عیبا فی العصیر لیکون موجبا للضمان،بل صار وسیلة لازدیاد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لک ضعف قول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غصب عصیرا فأغلاه حتی حرم و نجس لم یکن فی حکم التالف،بل وجب علیه ردّه،و وجب علیه غرامة الثلثین و اجرة العمل فیه حتی یذهب الثلثان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عدم صحة ذلک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ذلک وقع الکلام فی ناحیتین،الناحیة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بیع العصیر العنبی و عدمه بحسب القواعد،و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بیعه و عدم جوازه بحسب الروایات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 بحرمة بیعه إذا غلی من جهة النجاسة و الحرمة و انتفاء المالیة،و لا یرجع شیء من هذه التعلیلات إلی معنی محصّل</w:t>
      </w:r>
      <w:r>
        <w:rPr>
          <w:rFonts w:eastAsia="IRNazanin" w:cs="IRNazanin"/>
          <w:color w:val="111111"/>
          <w:sz w:val="28"/>
          <w:szCs w:val="28"/>
          <w:rtl w:val="true"/>
          <w:lang w:bidi="fa-IR"/>
        </w:rPr>
        <w:t>.</w:t>
      </w:r>
      <w:bookmarkStart w:id="237" w:name="pg5064_65269"/>
    </w:p>
    <w:p>
      <w:pPr>
        <w:pStyle w:val="BookText"/>
        <w:rPr/>
      </w:pPr>
      <w:bookmarkEnd w:id="237"/>
      <w:r>
        <w:rPr>
          <w:rFonts w:ascii="IRNazanin" w:hAnsi="IRNazanin" w:eastAsia="IRNazanin"/>
          <w:color w:val="111111"/>
          <w:sz w:val="28"/>
          <w:sz w:val="28"/>
          <w:szCs w:val="28"/>
          <w:rtl w:val="true"/>
          <w:lang w:bidi="fa-IR"/>
        </w:rPr>
        <w:t xml:space="preserve">أمّا النجاسة فإنّها لم تذکر إلاّ فی روایة تحف العقول </w:t>
      </w:r>
      <w:r>
        <w:rPr>
          <w:rStyle w:val="FootnoteAnchor"/>
          <w:rtl w:val="true"/>
        </w:rPr>
        <w:footnoteReference w:id="351"/>
      </w:r>
      <w:r>
        <w:rPr>
          <w:rFonts w:ascii="IRNazanin" w:hAnsi="IRNazanin" w:eastAsia="IRNazanin"/>
          <w:color w:val="111111"/>
          <w:sz w:val="28"/>
          <w:sz w:val="28"/>
          <w:szCs w:val="28"/>
          <w:rtl w:val="true"/>
          <w:lang w:bidi="fa-IR"/>
        </w:rPr>
        <w:t>،و المراد بها النجاسات الذاتیة،فلا تشمل المتنجّسات،لأنّ نجاستها 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سلّمنا شمولها للمتنجّسات فالنهی عن بیعها لیس إلاّ من جهة عرائها عن المنفعة المحلّلة،و لا شبهة فی أنّ العصیر العنبی المغلی لیس کذلک،لوجود المنافع المحلّلة فیه بعد ذهاب ثلثیه علی أنّ مانعیة النجاسة عن البیع ممنوعة کما تقدّم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910108_774463916"/>
      <w:bookmarkStart w:id="239" w:name="_Toc88"/>
      <w:bookmarkEnd w:id="238"/>
      <w:r>
        <w:rPr>
          <w:rtl w:val="true"/>
        </w:rPr>
        <w:t>الاستدلال علی الحرمة بالروایات الخاصة</w:t>
      </w:r>
      <w:bookmarkEnd w:id="239"/>
    </w:p>
    <w:p>
      <w:pPr>
        <w:pStyle w:val="BookText"/>
        <w:rPr/>
      </w:pPr>
      <w:r>
        <w:rPr>
          <w:rFonts w:ascii="IRNazanin" w:hAnsi="IRNazanin" w:eastAsia="IRNazanin"/>
          <w:color w:val="111111"/>
          <w:sz w:val="28"/>
          <w:sz w:val="28"/>
          <w:szCs w:val="28"/>
          <w:rtl w:val="true"/>
          <w:lang w:bidi="fa-IR"/>
        </w:rPr>
        <w:t>و أمّا الحرمة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الروایات العامة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المتقدّمة دلّت علی وجود الملازمة بین حرمة الشیء و حرمة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فاسد،فقد تقدّم أنّها ضعیفة السند و أشرنا أیضا إلی عدم الملازمة بین حرمة الشیء و حرمة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المراد بالحرمة فیها ما یعرض علی الشیء بعنوانه الذاتی الأوّلی،فلا تشمل الأشیاء المحرّمة بواسطة عروض أمر خارجی،و إلاّ للزم القول بحرمة بیع الأشیاء المباحة إذا عرضتها النجاسة أو غیرها ممّا یوجب حرمتها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انتفاء المالیة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العصیر العنبی المغلی من الأموال الخطیرة فی نظر الشارع و العرف،و لذا لو أتلفه أحد لضمنه کما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الظاهر أنّ المالیة لا تعتبر فی صحة المعاوضة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علی حرمة بیعه بروایات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محمد بن الهیثم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عن حاله</w:t>
      </w:r>
    </w:p>
    <w:p>
      <w:pPr>
        <w:pStyle w:val="BookText"/>
        <w:rPr/>
      </w:pPr>
      <w:r>
        <w:rPr>
          <w:rFonts w:ascii="IRNazanin" w:hAnsi="IRNazanin" w:eastAsia="IRNazanin"/>
          <w:color w:val="111111"/>
          <w:sz w:val="28"/>
          <w:sz w:val="28"/>
          <w:szCs w:val="28"/>
          <w:rtl w:val="true"/>
          <w:lang w:bidi="fa-IR"/>
        </w:rPr>
        <w:t>و غلی فلا خیر فیه حتی یذهب ثلثاه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البیع من جملة الخیر المنفی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روایة مرسلة،فلا تصلح للاستناد إلیها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بعیدة عن حرمة البیع،لظهور السؤال فی حرمة الشرب فقط،فلا تشمل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أبی کهمس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غلی فلا یحل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نفی الحلّیة المطلقة،تکلیفیة کانت أم وضعیة،فتدلّ علی حرمة بیع العصیر إذا غلی و لم یذهب ثلثاه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ظهورها فی غلیان العصیر بنفسه لا بالنار،فتکون غریبة عمّا نحن فیه و راجعة إلی القسم الأول من العصیر،و قد عرفت</w:t>
      </w:r>
    </w:p>
    <w:p>
      <w:pPr>
        <w:pStyle w:val="BookText"/>
        <w:rPr/>
      </w:pPr>
      <w:r>
        <w:rPr>
          <w:rFonts w:ascii="IRNazanin" w:hAnsi="IRNazanin" w:eastAsia="IRNazanin"/>
          <w:color w:val="111111"/>
          <w:sz w:val="28"/>
          <w:sz w:val="28"/>
          <w:szCs w:val="28"/>
          <w:rtl w:val="true"/>
          <w:lang w:bidi="fa-IR"/>
        </w:rPr>
        <w:t>من بعض القدماء و من شیخ الشریعة أنّ الطهارة و الحلّیة فیه لا تحصلان إلاّ بصیرورته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الظاهر من الحلّیة فیها بقرینة الصدر و الذیل هی التکلیفیة فقط،دون الوضعیة وحدها أو ما هو أعم منها و من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فالروایة ناظرة إلی حرمة بیع العصیر للشرب،فإنّ إشراب النجس أو المتنجّس للمسلم حرام و أمّا حرمة بیعه للدبس و نحوه فلا یستفاد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نحن نبیع تمرنا ممّن نعلم أنه یصنعه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لدفع وسوسة السائل من تجویز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العصیر قبل الغلیان و إن کان المشتری ممّن یصنعه خمرا،و سیأتی </w:t>
      </w:r>
      <w:r>
        <w:rPr>
          <w:rStyle w:val="FootnoteAnchor"/>
          <w:rtl w:val="true"/>
        </w:rPr>
        <w:footnoteReference w:id="353"/>
      </w:r>
      <w:r>
        <w:rPr>
          <w:rFonts w:ascii="IRNazanin" w:hAnsi="IRNazanin" w:eastAsia="IRNazanin"/>
          <w:color w:val="111111"/>
          <w:sz w:val="28"/>
          <w:sz w:val="28"/>
          <w:szCs w:val="28"/>
          <w:rtl w:val="true"/>
          <w:lang w:bidi="fa-IR"/>
        </w:rPr>
        <w:t>فی مبحث بیع العنب ممّن یجعله خمرا تعلیل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البیع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 حلالا فجعله حراما فأبعده اللّه</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 قد تکرّر ذلک فی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روایة أبی بصیر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بعته قبل أن یکون خمرا و هو حلال فلا بأس</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فإنّ منطوقها یدل علی جواز بیع العصیر قبل صیرورته خمرا،و مفهومها یدل علی عدم جواز البیع بعد حرمة العصیر بالغلیان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راویها أبا بصیر مشترک بین اثنین و کلاهما کوفی و من أهل الثقة،و من المقطوع به أنّ بیع العصیر العنبی لم یتعارف فی الکوفة فی زماننا هذا مع نقل العنب إلیها من الخارج فضلا عن زمان الراوی الذی</w:t>
      </w:r>
    </w:p>
    <w:p>
      <w:pPr>
        <w:pStyle w:val="BookText"/>
        <w:rPr/>
      </w:pPr>
      <w:r>
        <w:rPr>
          <w:rFonts w:ascii="IRNazanin" w:hAnsi="IRNazanin" w:eastAsia="IRNazanin"/>
          <w:color w:val="111111"/>
          <w:sz w:val="28"/>
          <w:sz w:val="28"/>
          <w:szCs w:val="28"/>
          <w:rtl w:val="true"/>
          <w:lang w:bidi="fa-IR"/>
        </w:rPr>
        <w:t>کان العنب فیه قلیلا جدّا،و علیه فالمسؤول عنه هو حکم العصیر التمری الذی ذهب المشهور إلی حلّیته حتی بعد الغلیان ما لم یصر خمرا،فلا یستفاد من الروایة إلاّ حرمة بیع الخمر و جواز بیع العصیر التمری قبل کونه خمرا،فتکون غریبة عن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أبیت عن ذلک فلا إشکال أنّها غیر مختصّة بالعصیر العنبی،فغایة الأمر أن تکون الروایة شاملة لکلا العصیرین،إلاّ أنه لا بدّ من التخصیص بالتمری،لأنّ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العصیر قبل کونه خمرا حلال و لو کان مغلیا،و من الواضح أنّ هذا یختص بالتمری دون العنبی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أراد بیع العصیر للشرب من غیر التثلیث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حکی المصنّف عن المحقّق الثانی فی حاشیة الإرشاد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تنجّس العصیر و نحوه فهل یجوز بیعه علی من یستحلّه؟فیه إشکال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ذکر المحقّق الثانی أنّ الأقوی العدم،لعموم وَ لا تَعاوَنُوا عَلَی الْإِثْمِ وَ الْعُدْوانِ </w:t>
      </w:r>
      <w:r>
        <w:rPr>
          <w:rStyle w:val="FootnoteAnchor"/>
          <w:rtl w:val="true"/>
        </w:rPr>
        <w:footnoteReference w:id="357"/>
      </w:r>
      <w:r>
        <w:rPr>
          <w:rFonts w:ascii="IRNazanin" w:hAnsi="IRNazanin" w:eastAsia="IRNazanin"/>
          <w:color w:val="111111"/>
          <w:sz w:val="28"/>
          <w:sz w:val="28"/>
          <w:szCs w:val="28"/>
          <w:rtl w:val="true"/>
          <w:lang w:bidi="fa-IR"/>
        </w:rPr>
        <w:t>و قد استظهر المصنّف من کلامه هذا أنه أراد بیع العصیر للشرب من غیر التثلیث</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الذی یظهر لنا منه أنه أراد من العصیر مطلق المعتصرات کعصیر الفواکه و غیره،و یدل علی أنّ هذا هو المراد من کلامه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العصیر،فإنّ الظاهر أنّ المراد منها مطلق المائعات المضافة،فلا بدّ و أن یکون المراد من العصیر مطلق المعتصرات،إذ لا خصوصیة للعصیر العنبی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تقییده جواز البیع بمن یستحل،إذ لو کان مراده خصوص العصیر العنبی فقط لکان ذلک التقیید لغوا،لجواز بیعه من غیر المستحل أیضا،فقد عرفت حلّیته و طهارته و جواز الانتفاع به علی وجه الإطلاق بعد ذهاب ثلثیه</w:t>
      </w:r>
      <w:r>
        <w:rPr>
          <w:rFonts w:eastAsia="IRNazanin" w:cs="IRNazanin"/>
          <w:color w:val="111111"/>
          <w:sz w:val="28"/>
          <w:szCs w:val="28"/>
          <w:rtl w:val="true"/>
          <w:lang w:bidi="fa-IR"/>
        </w:rPr>
        <w:t>.</w:t>
      </w:r>
      <w:bookmarkStart w:id="240" w:name="pg5064_65273"/>
    </w:p>
    <w:p>
      <w:pPr>
        <w:pStyle w:val="BookText"/>
        <w:rPr/>
      </w:pPr>
      <w:bookmarkEnd w:id="240"/>
      <w:r>
        <w:rPr>
          <w:rFonts w:ascii="IRNazanin" w:hAnsi="IRNazanin" w:eastAsia="IRNazanin"/>
          <w:color w:val="111111"/>
          <w:sz w:val="28"/>
          <w:sz w:val="28"/>
          <w:szCs w:val="28"/>
          <w:rtl w:val="true"/>
          <w:lang w:bidi="fa-IR"/>
        </w:rPr>
        <w:t>و یؤیّد ذلک ما استدل به المحقّق الثانی علی حرمة البیع من حرمة الاعانة علی الاثم،فإنّ العصیر العنبی و إن کان یتنجّس و یحرم بمجرد الغلیان،إلاّ أنه یطهر و یحل بذهاب ثلثیه،فلا یکون بیعه من غیر المستحل إعانة علی الاثم،و یستکشف من ذلک أنّ غرضه من العصیر هو ما ذکرناه</w:t>
      </w:r>
      <w:r>
        <w:rPr>
          <w:rFonts w:eastAsia="IRNazanin" w:cs="IRNazanin"/>
          <w:color w:val="111111"/>
          <w:sz w:val="28"/>
          <w:szCs w:val="28"/>
          <w:rtl w:val="true"/>
          <w:lang w:bidi="fa-IR"/>
        </w:rPr>
        <w:t>.</w:t>
      </w:r>
    </w:p>
    <w:p>
      <w:pPr>
        <w:pStyle w:val="Heading3"/>
        <w:numPr>
          <w:ilvl w:val="2"/>
          <w:numId w:val="1"/>
        </w:numPr>
        <w:rPr/>
      </w:pPr>
      <w:bookmarkStart w:id="241" w:name="__RefHeading___Toc910110_774463916"/>
      <w:bookmarkStart w:id="242" w:name="_Toc89"/>
      <w:bookmarkEnd w:id="241"/>
      <w:r>
        <w:rPr>
          <w:rtl w:val="true"/>
        </w:rPr>
        <w:t>جواز المعاوضة علی الدهن المتنجّس</w:t>
      </w:r>
      <w:bookmarkEnd w:id="242"/>
    </w:p>
    <w:p>
      <w:pPr>
        <w:pStyle w:val="Heading4"/>
        <w:numPr>
          <w:ilvl w:val="3"/>
          <w:numId w:val="1"/>
        </w:numPr>
        <w:rPr/>
      </w:pPr>
      <w:bookmarkStart w:id="243" w:name="__RefHeading___Toc910112_774463916"/>
      <w:bookmarkStart w:id="244" w:name="_Toc90"/>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المعاوضة علی الدهن المتنجّس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بین الأصحاب هو جواز المعاوضة علی الدهن المتنجّس لفائدة الاستصباح به تحت السماء خاصة،بل فی الخلاف دعوی الإجماع علی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بیع الزیت النجس لمن یستصبح به تحت السماء،و قال أبو حنیفة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بیعه مطلقا،و قال مالک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بیعه بحال،دلیلنا إجماع الفرقة و أخبارهم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الحنابلة أیضا لا یجوز،إلاّ أنّ الظاهر من أخبار العامة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جواز ذلک،لإطباقها علی جواز 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فی بعضها </w:t>
      </w:r>
      <w:r>
        <w:rPr>
          <w:rStyle w:val="FootnoteAnchor"/>
          <w:rtl w:val="true"/>
        </w:rPr>
        <w:footnoteReference w:id="362"/>
      </w:r>
      <w:r>
        <w:rPr>
          <w:rFonts w:ascii="IRNazanin" w:hAnsi="IRNazanin" w:eastAsia="IRNazanin"/>
          <w:color w:val="111111"/>
          <w:sz w:val="28"/>
          <w:sz w:val="28"/>
          <w:szCs w:val="28"/>
          <w:rtl w:val="true"/>
          <w:lang w:bidi="fa-IR"/>
        </w:rPr>
        <w:t>ذکر جواز البیع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هذا من المستثنی عن بیع الأعیان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مسألة المعاوضة علی الدهن للاستصباح إنّما یمکن جعلها من المستثنی من حرمة بیع الأعیان النجسة إذا قلنا بحرمة الانتفاع بالمتنجّس إلاّ ما خرج بالدلیل،أو قلنا بحرمة بیع المتنجّس و إن جاز الانتفاع به منفعة محلّلة مقصودة،و إلاّ فیکون الاستثناء منقطعا،لعدم دخول بیع الدهن المتنجّس و لا غیره من المتنجّسات القابلة للانتفاع بها فی المستثنی منه،و قد تقدّم </w:t>
      </w:r>
      <w:r>
        <w:rPr>
          <w:rStyle w:val="FootnoteAnchor"/>
          <w:rtl w:val="true"/>
        </w:rPr>
        <w:footnoteReference w:id="363"/>
      </w:r>
      <w:r>
        <w:rPr>
          <w:rFonts w:ascii="IRNazanin" w:hAnsi="IRNazanin" w:eastAsia="IRNazanin"/>
          <w:color w:val="111111"/>
          <w:sz w:val="28"/>
          <w:sz w:val="28"/>
          <w:szCs w:val="28"/>
          <w:rtl w:val="true"/>
          <w:lang w:bidi="fa-IR"/>
        </w:rPr>
        <w:t>أنّ المنع عن بیع النجس فضلا عن المتنجّس لیس إلاّ من حیث حرمة المنفعة المقصودة،فإذا فرض حلّها فلا مانع من البیع</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تقدّم مرارا عدیدة أنّ النجاسة بما هی نجاسة لا تمنع عن البیع إلاّ إذا استلزمت حرمة الانتفاع بالنجس من جمیع الجهات،و قد اعترف المصنّف هنا و فی مسألة بیع المیتة بالحکم الأول،و قد تقدم أیضا </w:t>
      </w:r>
      <w:r>
        <w:rPr>
          <w:rStyle w:val="FootnoteAnchor"/>
          <w:rtl w:val="true"/>
        </w:rPr>
        <w:footnoteReference w:id="364"/>
      </w:r>
      <w:r>
        <w:rPr>
          <w:rFonts w:ascii="IRNazanin" w:hAnsi="IRNazanin" w:eastAsia="IRNazanin"/>
          <w:color w:val="111111"/>
          <w:sz w:val="28"/>
          <w:sz w:val="28"/>
          <w:szCs w:val="28"/>
          <w:rtl w:val="true"/>
          <w:lang w:bidi="fa-IR"/>
        </w:rPr>
        <w:t xml:space="preserve">أنّ النجاسة لا تمنع عن الانتفاع بالنجس لو کان له نفع محلّل،بل و ستعرف </w:t>
      </w:r>
      <w:r>
        <w:rPr>
          <w:rStyle w:val="FootnoteAnchor"/>
          <w:rtl w:val="true"/>
        </w:rPr>
        <w:footnoteReference w:id="365"/>
      </w:r>
      <w:r>
        <w:rPr>
          <w:rFonts w:ascii="IRNazanin" w:hAnsi="IRNazanin" w:eastAsia="IRNazanin"/>
          <w:color w:val="111111"/>
          <w:sz w:val="28"/>
          <w:sz w:val="28"/>
          <w:szCs w:val="28"/>
          <w:rtl w:val="true"/>
          <w:lang w:bidi="fa-IR"/>
        </w:rPr>
        <w:t>أنّ مقتضی الأصل إنّما هو جواز الانتفاع بالأعیان النجسة فضلا عن المتنجّسات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مناص عن کون الاستثناء منقطعا لا متصلا</w:t>
      </w:r>
      <w:r>
        <w:rPr>
          <w:rFonts w:eastAsia="IRNazanin" w:cs="IRNazanin"/>
          <w:color w:val="111111"/>
          <w:sz w:val="28"/>
          <w:szCs w:val="28"/>
          <w:rtl w:val="true"/>
          <w:lang w:bidi="fa-IR"/>
        </w:rPr>
        <w:t>.</w:t>
      </w:r>
      <w:bookmarkStart w:id="245" w:name="pg5064_65275"/>
    </w:p>
    <w:p>
      <w:pPr>
        <w:pStyle w:val="BookText"/>
        <w:rPr/>
      </w:pPr>
      <w:bookmarkEnd w:id="245"/>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نعرف وجها لابتناء کون الاستثناء متصلا علی حرمة الانتفاع بالمتنجّس،إذ العنوان فی المستثنی و المستثنی منه إنّما هو حرمة بیع النجس أو المتنجّس من حیث هما کذلک،و لم یقیّد بحرمة الانتفاع بهما،نعم یجوز تعلیل جواز البیع أو حرمته بجواز الانتفاع بهما أو حرمته،و علیه فتکون حرمة الانتفاع بهما من علل التشریع لحرمة بیعهما و من قبیل الواسطة فی الثبوت لذلک،و قد ظهر ممّا ذکرناه أنّ القاعدة الأولیة تقتضی جواز بیع الدهن المتنجّس بلا احتیاج إلی الروایات،کما أنّها تقتضی حرمة بیعه و عدم جواز الانتفاع به لو قلنا بمانعیة النجاسة عن البیع و عدم جواز الانتفاع بالمتنجّس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المصنّف المعاوضة علی الأعیان المتنجّسة من جملة المسائل الثمانیة و إن کان یقتضی اتّصال الاستثناء و شمول المستثنی منه للنجس و المتنجّس کلیهما،إلاّ أنّ تخصیصه الکلام فی عنوان هذه المسائل الثمانیة بالاکتساب بالأعیان النجسة عدا ما استثنی یقتضی انقطاع الاستثناء،سواء قلنا بجواز الانتفاع بالمتنجّس أم لم نقل،و علیه فذکر مسألة المعاوضة علی الأعیان المتنجّسة فی عداد المعاوضة علی الأعیان النجسة من باب الاستطراد</w:t>
      </w:r>
      <w:r>
        <w:rPr>
          <w:rFonts w:eastAsia="IRNazanin" w:cs="IRNazanin"/>
          <w:color w:val="111111"/>
          <w:sz w:val="28"/>
          <w:szCs w:val="28"/>
          <w:rtl w:val="true"/>
          <w:lang w:bidi="fa-IR"/>
        </w:rPr>
        <w:t>.</w:t>
      </w:r>
    </w:p>
    <w:p>
      <w:pPr>
        <w:pStyle w:val="Heading4"/>
        <w:numPr>
          <w:ilvl w:val="3"/>
          <w:numId w:val="1"/>
        </w:numPr>
        <w:rPr/>
      </w:pPr>
      <w:bookmarkStart w:id="246" w:name="__RefHeading___Toc910114_774463916"/>
      <w:bookmarkStart w:id="247" w:name="_Toc91"/>
      <w:bookmarkEnd w:id="246"/>
      <w:r>
        <w:rPr>
          <w:rtl w:val="true"/>
        </w:rPr>
        <w:t>الروایات الواردة فی بیع الدهن المتنجّس</w:t>
      </w:r>
      <w:bookmarkEnd w:id="24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الروایات الواردة فی بیع الدهن المتنجّس علی طوائف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جواز بیعه مقیّدا بإعلام المشتری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جواز</w:t>
      </w:r>
    </w:p>
    <w:p>
      <w:pPr>
        <w:pStyle w:val="BookText"/>
        <w:rPr/>
      </w:pPr>
      <w:r>
        <w:rPr>
          <w:rFonts w:ascii="IRNazanin" w:hAnsi="IRNazanin" w:eastAsia="IRNazanin"/>
          <w:color w:val="111111"/>
          <w:sz w:val="28"/>
          <w:sz w:val="28"/>
          <w:szCs w:val="28"/>
          <w:rtl w:val="true"/>
          <w:lang w:bidi="fa-IR"/>
        </w:rPr>
        <w:t xml:space="preserve">البیع من غیر تقیید بالإعلام،کروایة الجعفریات الدالّة علی جواز بیع الدهن المتنجّس لجعله صابونا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عدم جواز بیعه مطلقا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القاعدة تخصیص الطائفة الثالثة الدالّة علی عدم الجواز بما دل علی جواز البیع مع الإعلام،و بعد التخصیص تنقلب نسبتها مع الطائفة الثانیة الدالّة علی جواز البیع مطلقا فتکون مقیّدة لها لا محالة،فیحکم بجواز بیعه مع الإعلام دون عدمه،و علی هذا فیجب الإعلام بالنجاسة مقدّمة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وجوب الإعلام علی ما یظهر من دلیله إنّما هو لأجل أن لا یقع المشتری فی محذور النجاسة،إذ قد یستعمل الدهن المتنجّس فیما هو مشروط بالطهارة لجهله بالحال،و علیه فلو باع المتنجّس الذی لیس من شأنه أن یستعمل فیما یشترط بالطهارة کاللحاف و الفرش فلا یجب الإعلام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الصحیح عن معاویة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 الروایة علی جواز البیع و لا علی عدمه،بل هی دالّة علی جواز إسراج الزیت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المحکی عن التهذیب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نقل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وهب المشار إلیها الدالّة علی جواز إسراج الزیت المتنجّس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بیع ذلک 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تبیعه و تبیّنه لمن</w:t>
      </w:r>
      <w:bookmarkStart w:id="248" w:name="pg5064_65278"/>
    </w:p>
    <w:p>
      <w:pPr>
        <w:pStyle w:val="BookText"/>
        <w:rPr/>
      </w:pPr>
      <w:bookmarkEnd w:id="248"/>
      <w:r>
        <w:rPr>
          <w:rFonts w:ascii="IRNazanin" w:hAnsi="IRNazanin" w:eastAsia="IRNazanin"/>
          <w:color w:val="111111"/>
          <w:sz w:val="28"/>
          <w:sz w:val="28"/>
          <w:szCs w:val="28"/>
          <w:rtl w:val="true"/>
          <w:lang w:bidi="fa-IR"/>
        </w:rPr>
        <w:t xml:space="preserve">اشتراه لیستصبح به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به إلی روایة اخری لابن وهب،و هی الروایة المتقدّمة الدالّة علی جواز بیع ذلک الزیت مع 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وجه لجعل هذه العبارة روایة کما صنعه المصنّف،و إنّما هی من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الصحیح عن سعید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للحلبی،و هی أیضا دالّة علی الإسراج،فلا إشعار فیها بحکم البیع بوجه</w:t>
      </w:r>
      <w:r>
        <w:rPr>
          <w:rFonts w:eastAsia="IRNazanin" w:cs="IRNazanin"/>
          <w:color w:val="111111"/>
          <w:sz w:val="28"/>
          <w:szCs w:val="28"/>
          <w:rtl w:val="true"/>
          <w:lang w:bidi="fa-IR"/>
        </w:rPr>
        <w:t>.</w:t>
      </w:r>
    </w:p>
    <w:p>
      <w:pPr>
        <w:pStyle w:val="Heading4"/>
        <w:numPr>
          <w:ilvl w:val="3"/>
          <w:numId w:val="1"/>
        </w:numPr>
        <w:rPr/>
      </w:pPr>
      <w:bookmarkStart w:id="249" w:name="__RefHeading___Toc910116_774463916"/>
      <w:bookmarkStart w:id="250" w:name="_Toc92"/>
      <w:bookmarkEnd w:id="249"/>
      <w:r>
        <w:rPr>
          <w:rtl w:val="true"/>
        </w:rPr>
        <w:t>عدم اشتراط الاستصباح فی صحة بیع الدهن المتنجّس</w:t>
      </w:r>
      <w:bookmarkEnd w:id="25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 فالإشکال یقع فی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أو یمکن أن یقال فی حکم بیع الدهن المتنجّس وجوه بل أقوال،الأول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بیعه علی أن یشترط علی المشتری الاستصباح،کما استظهره المصنّف من عبارة السرائر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جوازه مع قصد المتبایعین الاستصباح و إن لم یستصبح به بالفعل،کما استظهره المصنّف من الخلاف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بیعه بشرط أن لا یقصد المتبایعان فی بیعه المنافع المحرّمة و إن کانت نادرة،سواء قصدا مع ذلک المنافع المحلّلة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بیعه مع قصد المنفعة المحلّلة إلاّ إذا کانت شائعة،فلا یعتبر فی صحة البیع ذلک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بیعه علی وجه الإطلاق من غیر اعتبار شیء من القیود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تحقق الاستصباح به خارجا فی</w:t>
      </w:r>
    </w:p>
    <w:p>
      <w:pPr>
        <w:pStyle w:val="BookText"/>
        <w:rPr/>
      </w:pPr>
      <w:r>
        <w:rPr>
          <w:rFonts w:ascii="IRNazanin" w:hAnsi="IRNazanin" w:eastAsia="IRNazanin"/>
          <w:color w:val="111111"/>
          <w:sz w:val="28"/>
          <w:sz w:val="28"/>
          <w:szCs w:val="28"/>
          <w:rtl w:val="true"/>
          <w:lang w:bidi="fa-IR"/>
        </w:rPr>
        <w:t xml:space="preserve">جواز بیعه،کما استظهره المحقّق الإیروانی </w:t>
      </w:r>
      <w:r>
        <w:rPr>
          <w:rStyle w:val="FootnoteAnchor"/>
          <w:rtl w:val="true"/>
        </w:rPr>
        <w:footnoteReference w:id="372"/>
      </w:r>
      <w:r>
        <w:rPr>
          <w:rFonts w:ascii="IRNazanin" w:hAnsi="IRNazanin" w:eastAsia="IRNazanin"/>
          <w:color w:val="111111"/>
          <w:sz w:val="28"/>
          <w:sz w:val="28"/>
          <w:szCs w:val="28"/>
          <w:rtl w:val="true"/>
          <w:lang w:bidi="fa-IR"/>
        </w:rPr>
        <w:t>من عبارتی الخلاف و السرائر و جعلهما أجنبیتان عمّا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فی المتن الوجه الرابع فی مطلع کلامه،و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باعتبار قصد الاستصباح،و اختار الوجه الثالث فی آخر کلامه،و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یشترط عدم اشتراط المنفعة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تقتضیه القواعد مع الإغماض عن الروایات هو 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لنبدأ بذکر ما اختاره المصنّف،و ذکر ما یرد علیه من الإشکال و سیظهر من ذلک وجه القول المختار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مالیة الأشیاء عند العرف و الشرع إنّما هی باعتبار منافعها المحلّلة الظاهرة المقصودة منها،لا باعتبار مطلق الفوائد و لو کانت غیر ملحوظة فی مالیتها أو کانت نادرة الحصول،و لا باعتبار المنافع الملحوظة إذا کانت محرّمة،و علیه فإذا فرض أنّ الشیء لم تکن له فائدة محلّلة ملحوظة فی مالیته فلا یجوز بیعه،لا مطلقا لانصراف الإطلاق إلی کون الثمن بازاء المنافع المقصودة منه و المفروض حرمتها،فیکون أکلا للمال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 قصد الفائدة المحلّلة النادرة فإنّ قصدها لا یوجب المالیة مع حرمة منفعته الظاهرة،نعم لو دل نص خارجی علی جواز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لوجب حمله علی ما إذا قصد المتبایعان المنفعة النادرة،فإنّها و إن لم توجب المالیة بحسب نفسها،و لکن توجبها بحکم الشارع،فلا یکون أکلا للمال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حکمه قد یوجب سلب المالیة فی بعض الأحیان کما فی الخمر و الخنزیر،فیکون أکل المال فی مقابلهما أکلا له بالباطل،و هکذا لو لم تقصد المنفعة النادرة فی الصورة المتقدّمة،فإنّ المال فی هذه الصورة یقع فی مقابل المنفعة الظاهرة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الأدهان و لو کانت من العطور مشترکة فی أنّ الاطلاء و الاستصباح بها أو جعلها صابونا من منافعها المحلّلة الظاهرة،و أنّها دخیلة فی مالیة الدهن،غایة الأمر أنّ تفوّق بعض منافعها کالأکل فیما قصد منه أکله،و الشم فیما قصد منه شمّه أوجب لها زیادة فی المالیة،و أوجب إلحاق المنافع الاخر المغفول عنها بالمنافع النادرة و إن کانت فی نفسها من المنافع الظاهرة،لأنّ اختلاف المرتبة فی المنفعة بمجرده لا یجعل المرتبة النازلة من المنافع نادرة فی حدّ ذاتها و إن خفیت فی نظر أهل العرف،و علیه فالمرتفع من منافع الدهن إذا تنجّس إنما هو خصوص إباحة أکله،و أمّا ما سواها من المنافع فهو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بعض المنافع الظاهرة المعروفة عن الأشیاء،کذهاب رائحة الأدهان العطریة،و عروض حرمة الأکل لما قصد منه أکله من الأدهان،لا یوجب انتفاء مالیتها بالکلّیة،بل هی موجودة فیها باعتبار منافعها الاخر الظاهرة و إن کانت غیر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یتوجّه الحکم بالضمان إذا غصبها غاصب أو أتلفها متلف،للسیرة القطعیة العقلائیة،و لدلیل الید،إذن فلا وجه لجعل الاستصباح من المنافع النادرة للدهن،بل هو کغیره من المنافع الظاهرة،فإن اعتبر قصدها فی صحة البیع اعتبر مطلقا،و إن لم یعتبر ذلک لم یعتبر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المنافع النادرة للشیء فإنّها لا توجب مالیته،فکیف یقال باعتبار قصدها فی صحة بیعه،و لا نظن أنّ أحدا یلتزم بمالیة الکوز المصنوع من الطین المتنجّس بلحاظ الانتفاع بخزفه فی البناء،علی أنه لا دلیل علی اعتبار أصل القصد وجودا و عدما فی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یشترط عدم اشتراط المنفعة المحرّمة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به إلی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مالیة الأشیاء قائمة بها بما لها</w:t>
      </w:r>
    </w:p>
    <w:p>
      <w:pPr>
        <w:pStyle w:val="BookText"/>
        <w:rPr/>
      </w:pPr>
      <w:r>
        <w:rPr>
          <w:rFonts w:ascii="IRNazanin" w:hAnsi="IRNazanin" w:eastAsia="IRNazanin"/>
          <w:color w:val="111111"/>
          <w:sz w:val="28"/>
          <w:sz w:val="28"/>
          <w:szCs w:val="28"/>
          <w:rtl w:val="true"/>
          <w:lang w:bidi="fa-IR"/>
        </w:rPr>
        <w:t>من المنافع حسب رغبات العقلاء،إذ الرغبة فیها لا تکون إلاّ لأجل منافعها فالمنافع المترتّبة علیها من قبیل الجهات التعلیلیة،بمعنی أنّ رغبة العقلاء فیها لیس إلاّ لأجل منافعها الموجودة فیها،و حینئذ فبذل المال إنّما هو بأزاء نفس العین فقط و علّة ذلک البذل هی المنافع،و علیه فلو قصد البائع المنفعة المحرّمة لم یلزم منه بطلان البیع،فقد عرفت أنّ مالیة الأشیاء قائمة بذواتها،و أنّ المنافع المترتّبة علیها من قبیل العلل و الدواعی،فحرمة بعض المنافع لا توجب حرمة المعاملة علی الأشیاء إذا کانت حلالا بلحاظ المنافع الاخر،و مثال ذلک صحة بیع العنب ممّن یجعله خمرا و سیأتی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إنّما یقع بازاء العین دون المنافع،غایة الأمر أنّ ترتّب المنفعة علیها غایة للشراء و داع إلیه،فحرمة المنفعة المشروطة علیه لا توجب بطلان البیع ما لم یکن الثمن بازائها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یدلّنا علی ذلک أنه إذا استوفی المشتری منافع المال الاخری غیر هذه التی اشترطت علیه فی البیع،أو التی انصرف إلیها الإطلاق لم یبطل البیع،و لا یکون هذا التصرف منه بغیر استحقاق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ذکرناه تجلّی أنّ أکل الثمن فی مقابله لیس أکلا للمال بالباطل کما فی المتن فإنه مضافا إلی ما تقدّم من کون الآیة </w:t>
      </w:r>
      <w:r>
        <w:rPr>
          <w:rStyle w:val="FootnoteAnchor"/>
          <w:rtl w:val="true"/>
        </w:rPr>
        <w:footnoteReference w:id="373"/>
      </w:r>
      <w:r>
        <w:rPr>
          <w:rFonts w:ascii="IRNazanin" w:hAnsi="IRNazanin" w:eastAsia="IRNazanin"/>
          <w:color w:val="111111"/>
          <w:sz w:val="28"/>
          <w:sz w:val="28"/>
          <w:szCs w:val="28"/>
          <w:rtl w:val="true"/>
          <w:lang w:bidi="fa-IR"/>
        </w:rPr>
        <w:t xml:space="preserve">أجنبیة عن شرائط العوضین،و إنّما هی ناظرة إلی حصر المعاملات الصحیحة بالتجارة عن تراض و ناهیة عن الأسباب الباطلة لها،أنّ اشتراط المنفعة المحرّمة لا یوجب کون الثمن بازائها،لکی یکون أکل المال فی مقابلها أکلا له بالباطل،إذ الشروط لا تقابل بالثمن،و سیأتی ذلک فی مبحث الشروط </w:t>
      </w:r>
      <w:r>
        <w:rPr>
          <w:rStyle w:val="FootnoteAnchor"/>
          <w:rtl w:val="true"/>
        </w:rPr>
        <w:footnoteReference w:id="374"/>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bookmarkStart w:id="251" w:name="pg5064_65282"/>
    </w:p>
    <w:p>
      <w:pPr>
        <w:pStyle w:val="BookText"/>
        <w:rPr/>
      </w:pPr>
      <w:bookmarkEnd w:id="251"/>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فسد العقد بفساد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علیه أنّ العقد لا یفسد باشتراط الشرط الفاسد فیه،و قد اختاره المصنّف فی باب الشروط </w:t>
      </w:r>
      <w:r>
        <w:rPr>
          <w:rStyle w:val="FootnoteAnchor"/>
          <w:rtl w:val="true"/>
        </w:rPr>
        <w:footnoteReference w:id="375"/>
      </w: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الشرطی أمر آخر وراء الالتزام العقدی،فلا یستلزم فساده فساد العقد،و علیه فلا وجه للالتزام ببطلان العقد فی المقام باشتراط المنفعة المحرّمة فیه،لأنّه من صغریات الکبری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القول بالبطلان بمجرد القصد و إن لم یشترط فی متن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ما ذکرناه سابقا من أنّ بذل المال إنّما هو بإزاء نفس العین و المنافع المترتّبة علیها من قبیل الجهات التعلیلیة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لنسلّم أنّا قد التزمنا ببطلان العقد باشتراط المنفعة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للالتزام بالبطلان بمجرد القصد بعد ما لم یکن مذکورا فی العقد،إذ لا عبرة بالقصد الساذج إذا لم یکن شرطا فی ضمن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انجلی ممّا حقّقناه بطلان سائر الوجوه و الأقوال بأجمعها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بحسب ما تقتضیه القواعد</w:t>
      </w:r>
      <w:r>
        <w:rPr>
          <w:rFonts w:eastAsia="IRNazanin" w:cs="IRNazanin"/>
          <w:color w:val="111111"/>
          <w:sz w:val="28"/>
          <w:szCs w:val="28"/>
          <w:rtl w:val="true"/>
          <w:lang w:bidi="fa-IR"/>
        </w:rPr>
        <w:t>.</w:t>
      </w:r>
    </w:p>
    <w:p>
      <w:pPr>
        <w:pStyle w:val="Heading4"/>
        <w:numPr>
          <w:ilvl w:val="3"/>
          <w:numId w:val="1"/>
        </w:numPr>
        <w:rPr/>
      </w:pPr>
      <w:bookmarkStart w:id="252" w:name="__RefHeading___Toc910118_774463916"/>
      <w:bookmarkStart w:id="253" w:name="_Toc93"/>
      <w:bookmarkEnd w:id="252"/>
      <w:r>
        <w:rPr>
          <w:rtl w:val="true"/>
        </w:rPr>
        <w:t>هل تقتضی الروایات لزوم قصد الاستصباح؟</w:t>
      </w:r>
      <w:bookmarkEnd w:id="253"/>
    </w:p>
    <w:p>
      <w:pPr>
        <w:pStyle w:val="BookText"/>
        <w:rPr/>
      </w:pPr>
      <w:r>
        <w:rPr>
          <w:rFonts w:ascii="IRNazanin" w:hAnsi="IRNazanin" w:eastAsia="IRNazanin"/>
          <w:color w:val="111111"/>
          <w:sz w:val="28"/>
          <w:sz w:val="28"/>
          <w:szCs w:val="28"/>
          <w:rtl w:val="true"/>
          <w:lang w:bidi="fa-IR"/>
        </w:rPr>
        <w:t>و أمّا بحسب الروایات فقد یقال بلزوم قصد الاستصباح فی بیع ذلک الدهن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 بیّنه لمن اشتراه لیستصبح به</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إسماعیل بن عبد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الزیت فلا تبعه إلاّ لمن تبیّن له فیبتاع للسراج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فإنّهما ظاهرتان فی تقیید جواز البیع بقصد الاستصباح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بالغ بعضهم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الثانیة صریحة فی ذلک بدعوی حصر جواز البیع فیها بصورة الشراء للإسراج فقط</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الثانیة ضعیفة السند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الظهور البدوی فی الروایتین و إن کان ذلک،و لکن الذی یظهر بعد التأمّل فی مدلولهما هو أنّ الاستصباح و الإسراج من فوائد التبیین و متفرّعاته،و قد أخذ غایة لذلک لکی لا یقع المشتری فی محذور النجاسة باستعماله الدهن المتنجّس فیما هو مشروط بالطهارة کالأکل و نحوه،إذن فلا دلالة فی الروایتین علی أنّ اعتبار قصد الاستصباح من شرائط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التوهّم المذکور مبنی علی جعل الأمر بالبیان فی الروایتین للإرشاد إلی الاستصباح بالدهن،و لیس کذلک،لأنّ الأوامر و النواهی إنما تحمل علی الإرشاد إذا اکتنفت بالقرائن الصارفة عن ظهور الأمر فی الوجوب،و عن ظهور النهی فی التحریم،سواء أکانت القرائن حالیة أم مقالیة،و سواء أکانت عامة أم خاصّة،کالأوامر و النواهی المتعلّقة بأجزاء الصلاة و شرائطها،و کالأوامر و النواهی الواردة فی أبواب المعاملات،کقوله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Style w:val="FootnoteAnchor"/>
          <w:rtl w:val="true"/>
        </w:rPr>
        <w:footnoteReference w:id="377"/>
      </w:r>
      <w:r>
        <w:rPr>
          <w:rFonts w:ascii="IRNazanin" w:hAnsi="IRNazanin" w:eastAsia="IRNazanin"/>
          <w:color w:val="111111"/>
          <w:sz w:val="28"/>
          <w:sz w:val="28"/>
          <w:szCs w:val="28"/>
          <w:rtl w:val="true"/>
          <w:lang w:bidi="fa-IR"/>
        </w:rPr>
        <w:t xml:space="preserve">،و کالنهی عن بیع ما لیس عندک </w:t>
      </w:r>
      <w:r>
        <w:rPr>
          <w:rStyle w:val="FootnoteAnchor"/>
          <w:rtl w:val="true"/>
        </w:rPr>
        <w:footnoteReference w:id="378"/>
      </w:r>
      <w:r>
        <w:rPr>
          <w:rFonts w:ascii="IRNazanin" w:hAnsi="IRNazanin" w:eastAsia="IRNazanin"/>
          <w:color w:val="111111"/>
          <w:sz w:val="28"/>
          <w:sz w:val="28"/>
          <w:szCs w:val="28"/>
          <w:rtl w:val="true"/>
          <w:lang w:bidi="fa-IR"/>
        </w:rPr>
        <w:t xml:space="preserve">،و النهی عن بیع الغرر </w:t>
      </w:r>
      <w:r>
        <w:rPr>
          <w:rStyle w:val="FootnoteAnchor"/>
          <w:rtl w:val="true"/>
        </w:rPr>
        <w:footnoteReference w:id="379"/>
      </w:r>
      <w:r>
        <w:rPr>
          <w:rFonts w:ascii="IRNazanin" w:hAnsi="IRNazanin" w:eastAsia="IRNazanin"/>
          <w:color w:val="111111"/>
          <w:sz w:val="28"/>
          <w:sz w:val="28"/>
          <w:szCs w:val="28"/>
          <w:rtl w:val="true"/>
          <w:lang w:bidi="fa-IR"/>
        </w:rPr>
        <w:t xml:space="preserve">،و سیأتی البحث عنها فی مواضعها </w:t>
      </w:r>
      <w:r>
        <w:rPr>
          <w:rStyle w:val="FootnoteAnchor"/>
          <w:rtl w:val="true"/>
        </w:rPr>
        <w:footnoteReference w:id="380"/>
      </w:r>
      <w:r>
        <w:rPr>
          <w:rFonts w:ascii="IRNazanin" w:hAnsi="IRNazanin" w:eastAsia="IRNazanin"/>
          <w:color w:val="111111"/>
          <w:sz w:val="28"/>
          <w:sz w:val="28"/>
          <w:szCs w:val="28"/>
          <w:rtl w:val="true"/>
          <w:lang w:bidi="fa-IR"/>
        </w:rPr>
        <w:t>،و أمّا فیما نحن فیه فلا قرینة توجب رفع الید عن ظهور الأمر بالبیان فی الوجوب النفسی و حمله علی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یومئ إلی ذلک ما ورد فی تحریم شراء الجاریة المغنیة و بیعها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الإیماء دلالتها علی بطلان بیع الجاریة المغنیة إذا کان لأجل الغناء فتکون مؤیّدة لما ذکره من کون قصد المنفعة المحرّمة موجبا لبطلان البیع و إن لم</w:t>
      </w:r>
      <w:bookmarkStart w:id="254" w:name="pg5064_65284"/>
    </w:p>
    <w:p>
      <w:pPr>
        <w:pStyle w:val="BookText"/>
        <w:rPr/>
      </w:pPr>
      <w:bookmarkEnd w:id="254"/>
      <w:r>
        <w:rPr>
          <w:rFonts w:ascii="IRNazanin" w:hAnsi="IRNazanin" w:eastAsia="IRNazanin"/>
          <w:color w:val="111111"/>
          <w:sz w:val="28"/>
          <w:sz w:val="28"/>
          <w:szCs w:val="28"/>
          <w:rtl w:val="true"/>
          <w:lang w:bidi="fa-IR"/>
        </w:rPr>
        <w:t xml:space="preserve">یشترط فی ضمن العقد،و سیأتی الکلام فی تلک الروایات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الأعرج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الروایة للأعرج،و لیس متنها هو الذی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ذلک فی أوّل المسألة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910120_774463916"/>
      <w:bookmarkStart w:id="256" w:name="_Toc94"/>
      <w:bookmarkEnd w:id="255"/>
      <w:r>
        <w:rPr>
          <w:rtl w:val="true"/>
        </w:rPr>
        <w:t>وجوب الإعلام بنجاسة الدهن عند البیع</w:t>
      </w:r>
      <w:bookmarkEnd w:id="25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بعض الأخبار وجوب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وقع الخلاف بین الفقهاء فی وجوب إعلام المشتری بنجاسة الدهن و عدم وجوبه،و علی الأول فهل یجب مطلقا أو فیما إذا کان المشتری بصدد الاستعمال للدهن فیما هو مشروط بالطهارة؟و علی التقدیرین فهل الوجوب المذکور نفسی،أم شرطی بمعنی اعتبار اشتراطه فی صحة البیع؟وجوه،المصرّح به فی کلامهم هو الوجوب مطلقا،و قد تقدّم فی عنوان المسألة نقل صاحب الحاشیة علی سنن البیهقی عن بعض العامّة دعوی الإجماع علی ذلک،و استشهد علی ذلک أیضا بما نقله من الروایة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موضوع البحث فی الإشکال السابق یرجع إلی اشتراط البیع بالاستصباح أو بقصده،و أمّا هنا فموضوع البحث متمحّض فی بیان وجوب الإعلام و عدم وجوبه،مطلقا أو فی الجملة،نفسیا أو شرطیا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فالنسبة بینهما هی العموم</w:t>
      </w:r>
    </w:p>
    <w:p>
      <w:pPr>
        <w:pStyle w:val="BookText"/>
        <w:rPr/>
      </w:pPr>
      <w:r>
        <w:rPr>
          <w:rFonts w:ascii="IRNazanin" w:hAnsi="IRNazanin" w:eastAsia="IRNazanin"/>
          <w:color w:val="111111"/>
          <w:sz w:val="28"/>
          <w:sz w:val="28"/>
          <w:szCs w:val="28"/>
          <w:rtl w:val="true"/>
          <w:lang w:bidi="fa-IR"/>
        </w:rPr>
        <w:t>من وجه،لأنه قد یکون البیع للاستصباح مع جهل المشتری بالنجاسة،و قد یبیعه لغرض آخر غیر الاستصباح مع الإعلام بها،و قد یجتمعان بأن یبیعه للاستصباح مع الإعلام بها،و علیه فدعوی اتّحاد الشرطین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إشکال فی وجوب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کلامه أنّا إذا اعتبرنا الشرط السابق فی بیع الدهن المتنجّس فلا مناص لنا عن القول بوجوب الإعلام بنجاسته،لتوقّف قصد الاستصباح أو اشتراطه علی العلم بها،و عدم انفکاک أحدهما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الأمرین مستقل بنفسه لا یرتبط بالآخر،نعم قد یجتمعان،لما عرفته من النسبة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أنه ربما یقال بأنّ الإعلام بنجاسة الدهن واجب شرطی للبیع،لقوله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أبی بصیر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أعلمهم إذا 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ظهور الروایة فی ذلک و إن کان لا ینکر،و لکن یجب رفع الید عنه،لقوله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إسماعیل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الزیت فلا تبعه إلاّ لمن تبیّن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ابن وهب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 بیّنه لمن اشتراه لیستصبح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الأمر بالبیان فیهما ظاهر فی الوجوب النفسی،و لا یجوز المصیر إلی إرادة الوجوب الشرطی منه إلاّ بالقرینة،و هی هنا منتفیة،و هکذا الحال فی مطلق الأوامر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أنّا و إن قلنا بظهور الأمر بالبیان فی الوجوب الشرطی ابتداء،فإنّ روایة ابن وهب ظاهرة فی الوجوب النفسی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 بیّنه لمن 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الإعلام بالنجاسة إنّما هو بعد وقوع البیع و تحقّقه کما یقتضیه التعبیر بالماضی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جدّا أنّ البیان بعد البیع لا یکون من شرائطه إلاّ بنحو الشرط المتأخّر،و هو فی نفسه و إن کان جائزا کما حقّق فی علم الاصول </w:t>
      </w:r>
      <w:r>
        <w:rPr>
          <w:rStyle w:val="FootnoteAnchor"/>
          <w:rtl w:val="true"/>
        </w:rPr>
        <w:footnoteReference w:id="387"/>
      </w:r>
      <w:r>
        <w:rPr>
          <w:rFonts w:ascii="IRNazanin" w:hAnsi="IRNazanin" w:eastAsia="IRNazanin"/>
          <w:color w:val="111111"/>
          <w:sz w:val="28"/>
          <w:sz w:val="28"/>
          <w:szCs w:val="28"/>
          <w:rtl w:val="true"/>
          <w:lang w:bidi="fa-IR"/>
        </w:rPr>
        <w:t>،و لکن لم یقل به أحد فی المقام،و علیه فلا محیص عن إرادة الوجوب النفسی من الأمر بالبیان فی الروایة،إذ لیس فیها احتمال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الاستصباح قد جعل فیها غایة للبیان و فائدة له،و لیس هذا إلاّ لبیان منفعة ذلک الدهن و مورد صرفه لئلاّ یستعمل فیما هو مشروط بالطهارة،و إلاّ فلا ملازمة بینهما بوجه من الوجوه الشرعیة و العقلیة و العادیة،و هذا المعنی کما تری لا یناسب إلاّ الوجوب النفسی،و یختص وجوب الإعلام بصورة التسلیم،فلا یجب مع عدمه،أو مع العلم بأنّ المشتری لا ینتفع به فی غیر الاستصباح و نحوه ممّا هو غیر مشروط بالطهارة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بیع الدهن المتنجّس مشروط بالإعلام،فیکون من صغریات ما ورد فی الحدیث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شرط اللّه قبل شرطکم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البیع بدون الإعلام</w:t>
      </w:r>
      <w:r>
        <w:rPr>
          <w:rFonts w:eastAsia="IRNazanin" w:cs="IRNazanin"/>
          <w:color w:val="111111"/>
          <w:sz w:val="28"/>
          <w:szCs w:val="28"/>
          <w:rtl w:val="true"/>
          <w:lang w:bidi="fa-IR"/>
        </w:rPr>
        <w:t>.</w:t>
      </w:r>
      <w:bookmarkStart w:id="257" w:name="pg5064_65287"/>
    </w:p>
    <w:p>
      <w:pPr>
        <w:pStyle w:val="Heading3"/>
        <w:numPr>
          <w:ilvl w:val="2"/>
          <w:numId w:val="1"/>
        </w:numPr>
        <w:rPr/>
      </w:pPr>
      <w:bookmarkStart w:id="258" w:name="__RefHeading___Toc910122_774463916"/>
      <w:bookmarkStart w:id="259" w:name="_Toc95"/>
      <w:bookmarkEnd w:id="257"/>
      <w:bookmarkEnd w:id="258"/>
      <w:r>
        <w:rPr>
          <w:rtl w:val="true"/>
        </w:rPr>
        <w:t>حرمة تغریر الجاهل و إلقائه فی الحرام الواقعی</w:t>
      </w:r>
      <w:bookmarkEnd w:id="259"/>
    </w:p>
    <w:p>
      <w:pPr>
        <w:pStyle w:val="Heading4"/>
        <w:numPr>
          <w:ilvl w:val="3"/>
          <w:numId w:val="1"/>
        </w:numPr>
        <w:rPr/>
      </w:pPr>
      <w:bookmarkStart w:id="260" w:name="__RefHeading___Toc910124_774463916"/>
      <w:bookmarkStart w:id="261" w:name="_Toc96"/>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یشیر إلی هذه القاعدة کثیر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بیع الدهن المتنجّس من المسلم قد یوجب إلقاء له فی الحرام الواقعی حکم بحرمته فی الشریعة المقدّسة،فإنّه یستفاد من مذاق الشارع حرمة إلقاء الغیر فی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صدق هذه الکبری الکلّیة مضافا إلی ما ذکرناه من وجوب الإعلام ما ورد فی الأخبار الکثیرة فی مواضع شتّی،الدالّة علی حرمة تغریر الجاهل بالحکم أو الموضوع فی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حرمة الإفتاء بغیر علم،و لحوق وزر العامل به بالمفتی </w:t>
      </w:r>
      <w:r>
        <w:rPr>
          <w:rStyle w:val="FootnoteAnchor"/>
          <w:rtl w:val="true"/>
        </w:rPr>
        <w:footnoteReference w:id="389"/>
      </w:r>
      <w:r>
        <w:rPr>
          <w:rFonts w:ascii="IRNazanin" w:hAnsi="IRNazanin" w:eastAsia="IRNazanin"/>
          <w:color w:val="111111"/>
          <w:sz w:val="28"/>
          <w:sz w:val="28"/>
          <w:szCs w:val="28"/>
          <w:rtl w:val="true"/>
          <w:lang w:bidi="fa-IR"/>
        </w:rPr>
        <w:t>فإنّ ثبوت ذلک علیه و استحقاق العقوبة الإلهیة و المهلکة الأبدیة إنّما هو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افتراؤه علی اللّه،و هو بالضرورة من المحرّمات الذاتیة و المبغوضات الإلهیة،و قد توافق العقل و النقل علی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التغریر و التسبیب و إلقاء المسلم فی الحرام الواقعی،و هو أیضا حرام فی الشریعة المقدّسة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ثبوت أوزار المأمومین و إثمهم علی الإمام فی تقصیر نشأ</w:t>
      </w:r>
    </w:p>
    <w:p>
      <w:pPr>
        <w:pStyle w:val="BookText"/>
        <w:rPr/>
      </w:pPr>
      <w:r>
        <w:rPr>
          <w:rFonts w:ascii="IRNazanin" w:hAnsi="IRNazanin" w:eastAsia="IRNazanin"/>
          <w:color w:val="111111"/>
          <w:sz w:val="28"/>
          <w:sz w:val="28"/>
          <w:szCs w:val="28"/>
          <w:rtl w:val="true"/>
          <w:lang w:bidi="fa-IR"/>
        </w:rPr>
        <w:t xml:space="preserve">من تقصیر الإمام </w:t>
      </w:r>
      <w:r>
        <w:rPr>
          <w:rStyle w:val="FootnoteAnchor"/>
          <w:rtl w:val="true"/>
        </w:rPr>
        <w:footnoteReference w:id="390"/>
      </w:r>
      <w:r>
        <w:rPr>
          <w:rFonts w:ascii="IRNazanin" w:hAnsi="IRNazanin" w:eastAsia="IRNazanin"/>
          <w:color w:val="111111"/>
          <w:sz w:val="28"/>
          <w:sz w:val="28"/>
          <w:szCs w:val="28"/>
          <w:rtl w:val="true"/>
          <w:lang w:bidi="fa-IR"/>
        </w:rPr>
        <w:t>،فیدل علی حرمة تغریر الجاهل بالحکم و إلقائه فی الحرام الواقعی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المتضمّنة لکراهة إطعام الأطعمة و الأشربة المحرّمة للبهیمة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فقد استشعر منها المصنّف حرمة ذلک بالنسبة إلی المکلّف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،فتکون مؤیّدة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قلنا بالتعدّی عن مورد الروایات ثبتت الکراهة أو الکراهة المغلّظة فی ذلک بالنسبة إلی المکلّف بالأولویة القطعیة،و أمّا الحرمة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ضمان الإمام صلاة المأمومین إذا صلّی بهم جنبا أو علی غیر طهر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معنی الضمان هنا هو الحکم بوجوب الإعادة علی الإمام دون المأمومین،و تحمّله کل وزر یحدث علی المأمومین من جهة النقص إذا کان عالما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حرمة سقی الخمر للصبی و الکفّار،و أنّ علی الساقی کوزر من شربها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إذا کان التسبیب و التغریر بالإضافة إلی الصبی و الکفّار حراما فهو</w:t>
      </w:r>
    </w:p>
    <w:p>
      <w:pPr>
        <w:pStyle w:val="BookText"/>
        <w:rPr/>
      </w:pPr>
      <w:r>
        <w:rPr>
          <w:rFonts w:ascii="IRNazanin" w:hAnsi="IRNazanin" w:eastAsia="IRNazanin"/>
          <w:color w:val="111111"/>
          <w:sz w:val="28"/>
          <w:sz w:val="28"/>
          <w:szCs w:val="28"/>
          <w:rtl w:val="true"/>
          <w:lang w:bidi="fa-IR"/>
        </w:rPr>
        <w:t>أولی بالحرمة فی غیر الصبی و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الآمرة باهراق المائعات المتنجّسة،و سیأتی التعرّض لها فی حکم الانتفاع بالمتنجّس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حرمة ارتکاب المحرّمات،فإنّه لا فرق فی إیجاد المحرّم بین الإیجاد بالمباشرة أو بالتسبیب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ما ذکرناه ما ورد فی جواز بیع العجین المتنجّس من مستحل المیتة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دون غیره،و ما ورد من الأخبار الدالّة علی حرمة بیع المذکّی المختلط بالمیتة،و أنه یرمی بهما إلی الکلاب،و قد تقدّم ذکرها فی مبحث بیع المیتة </w:t>
      </w:r>
      <w:r>
        <w:rPr>
          <w:rStyle w:val="FootnoteAnchor"/>
          <w:rtl w:val="true"/>
        </w:rPr>
        <w:footnoteReference w:id="392"/>
      </w:r>
      <w:r>
        <w:rPr>
          <w:rFonts w:ascii="IRNazanin" w:hAnsi="IRNazanin" w:eastAsia="IRNazanin"/>
          <w:color w:val="111111"/>
          <w:sz w:val="28"/>
          <w:sz w:val="28"/>
          <w:szCs w:val="28"/>
          <w:rtl w:val="true"/>
          <w:lang w:bidi="fa-IR"/>
        </w:rPr>
        <w:t>،و ما یدل علی جواز إطعام المرق المتنجّس لأهل الذمّة أو الکلاب،و قد تقدّم ذلک أیضا فی المبحث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أکل الحرام و شربه من القبیح و لو فی حقّ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الأحکام الواقعیة کما حقّق فی محلّه </w:t>
      </w:r>
      <w:r>
        <w:rPr>
          <w:rStyle w:val="FootnoteAnchor"/>
          <w:rtl w:val="true"/>
        </w:rPr>
        <w:footnoteReference w:id="393"/>
      </w:r>
      <w:r>
        <w:rPr>
          <w:rFonts w:ascii="IRNazanin" w:hAnsi="IRNazanin" w:eastAsia="IRNazanin"/>
          <w:color w:val="111111"/>
          <w:sz w:val="28"/>
          <w:sz w:val="28"/>
          <w:szCs w:val="28"/>
          <w:rtl w:val="true"/>
          <w:lang w:bidi="fa-IR"/>
        </w:rPr>
        <w:t>لیست مقیّدة بعلم المکلّفین،و إلاّ لزم التصویب المستحیل أو الباطل،فالأحکام الواقعیة و ملاکاتها شاملة لحالتی العلم و الجهل،ثم إنّ غرض الشارع من بعث المکلّفین نحوها و تکلیفهم بها لیس إلاّ امتثالها بالإتیان بالواجبات و ترک المحرّمات،حتی لا یوجد ما هو مبغوض للشارع،و لا یترک ما هو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المقدّمتین أنّ المکلّف الملتفت کما یحرم علیه مخالفة التکالیف الإلزامیة من ارتکاب المحرّمات و ترک الواجبات،فکذلک یحرم علیه التسبیب إلی مخالفتها بالقاء الجاهل فی الحرام الواقعی،لأنّ مناط الحرمة فی ذلک إنّما هو تفویت غرض المولی بإیجاد المفسدة و ترک المصلحة الملزمتین،و هذا المناط موجود فی کلتا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فالأدلّة الأوّلیة کما تقتضی حرمة مخالفة التکالیف الإلزامیة بالمباشرة فکذلک تقتضی حرمة مخالفتها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ذکرنا فی علم الاصول </w:t>
      </w:r>
      <w:r>
        <w:rPr>
          <w:rStyle w:val="FootnoteAnchor"/>
          <w:rtl w:val="true"/>
        </w:rPr>
        <w:footnoteReference w:id="394"/>
      </w:r>
      <w:r>
        <w:rPr>
          <w:rFonts w:ascii="IRNazanin" w:hAnsi="IRNazanin" w:eastAsia="IRNazanin"/>
          <w:color w:val="111111"/>
          <w:sz w:val="28"/>
          <w:sz w:val="28"/>
          <w:szCs w:val="28"/>
          <w:rtl w:val="true"/>
          <w:lang w:bidi="fa-IR"/>
        </w:rPr>
        <w:t>فی الکلام عن حدیث الرفع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المرفوع عن المکلّفین عند جهلهم بالتکالیف الواقعیة لیس إلاّ خصوص الإلزام</w:t>
      </w:r>
      <w:bookmarkStart w:id="262" w:name="pg5064_65292"/>
    </w:p>
    <w:p>
      <w:pPr>
        <w:pStyle w:val="BookText"/>
        <w:rPr/>
      </w:pPr>
      <w:bookmarkEnd w:id="262"/>
      <w:r>
        <w:rPr>
          <w:rFonts w:ascii="IRNazanin" w:hAnsi="IRNazanin" w:eastAsia="IRNazanin"/>
          <w:color w:val="111111"/>
          <w:sz w:val="28"/>
          <w:sz w:val="28"/>
          <w:szCs w:val="28"/>
          <w:rtl w:val="true"/>
          <w:lang w:bidi="fa-IR"/>
        </w:rPr>
        <w:t>الظاهری و العقاب الذی تستلزمه مخالفة الواقع،و أمّا الأحکام الواقعیة و ملاکاتها فهی باقیة علی حالها،و علیه فتغریر الجاهل بالأحکام الواقعیة و إن لم یوجب مخالفة المغرور التکالیف الإلزامیة،إلاّ أنّه یوجب تفویت غرض الشارع،فهو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إذا نهی عبیده عن الدخول علیه فی وقت خاص عیّنه لفراغه،فإنّ نهیه هذا یشمل المباشرة و التسبیب،و لذلک لو سبّب أحد العبید دخول أحد علی مولاه فی ذلک الوقت صحّ عقابه،کما یصح عقابه لو دخل هو بنفسه،لاتّحاد الملاک فی کلتا الصورتین بحکم الضرورة و 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ظهر لک أنّ فی تعبیر المصنّف تسامحا واضحا،فإنّه أتی بلفظ القبیح بدل لفظ الحرمة،و من الضروری أنّ القبح یرتفع عند الجهل بالتکلیف،و لا یلزمه ارتفاع الحرمة،اللهمّ إلاّ إذا أراد بالقبیح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یرفع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الوجوه المتقدّمة إنّما تقتضی حرمة تغریر الجاهل بالأحکام الواقعیة فیما إذا کان المغرور فی معرض الارتکاب للحرام،و إلاّ فلا موضوع للإغراء،و یترتّب علی ذلک تقیید وجوب الإعلام فی بیع الدهن المتنجّس بذلک أیضا،فإنّه إنّما یجب فیما إذا کان المشتری فی معرض الانتفاع به فیما هو مشروط بالطهارة،و إلاّ فلا دلیل علی وجوبه</w:t>
      </w:r>
      <w:r>
        <w:rPr>
          <w:rFonts w:eastAsia="IRNazanin" w:cs="IRNazanin"/>
          <w:color w:val="111111"/>
          <w:sz w:val="28"/>
          <w:szCs w:val="28"/>
          <w:rtl w:val="true"/>
          <w:lang w:bidi="fa-IR"/>
        </w:rPr>
        <w:t>.</w:t>
      </w:r>
    </w:p>
    <w:p>
      <w:pPr>
        <w:pStyle w:val="Heading4"/>
        <w:numPr>
          <w:ilvl w:val="3"/>
          <w:numId w:val="1"/>
        </w:numPr>
        <w:rPr/>
      </w:pPr>
      <w:bookmarkStart w:id="263" w:name="__RefHeading___Toc910126_774463916"/>
      <w:bookmarkStart w:id="264" w:name="_Toc97"/>
      <w:bookmarkEnd w:id="263"/>
      <w:r>
        <w:rPr>
          <w:rtl w:val="true"/>
        </w:rPr>
        <w:t>تنبیه الجاهل فی غیر موارد التسبیب و التغریر</w:t>
      </w:r>
      <w:bookmarkEnd w:id="26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یقال بوجوب الإعلام و إن لم یکن منه تسبیب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بما لا مزید علیه حرمة إلقاء الجاهل فی الحرام الواقعی،و أمّا لو ارتکبه الجاهل بنفسه من دون تغریر و لا تسبیب من الغیر فهل یجب علی العالم بالواقع إعلامه بالحال؟فیه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أجوبة المسائل المهنّائیة </w:t>
      </w:r>
      <w:r>
        <w:rPr>
          <w:rStyle w:val="FootnoteAnchor"/>
          <w:rtl w:val="true"/>
        </w:rPr>
        <w:footnoteReference w:id="395"/>
      </w:r>
      <w:r>
        <w:rPr>
          <w:rFonts w:ascii="IRNazanin" w:hAnsi="IRNazanin" w:eastAsia="IRNazanin"/>
          <w:color w:val="111111"/>
          <w:sz w:val="28"/>
          <w:sz w:val="28"/>
          <w:szCs w:val="28"/>
          <w:rtl w:val="true"/>
          <w:lang w:bidi="fa-IR"/>
        </w:rPr>
        <w:t>التصریح بوجوب الإعلام،حیث سأله السیّد المهنّا عمّن رأی فی ثوب</w:t>
      </w:r>
    </w:p>
    <w:p>
      <w:pPr>
        <w:pStyle w:val="BookText"/>
        <w:rPr/>
      </w:pPr>
      <w:r>
        <w:rPr>
          <w:rFonts w:ascii="IRNazanin" w:hAnsi="IRNazanin" w:eastAsia="IRNazanin"/>
          <w:color w:val="111111"/>
          <w:sz w:val="28"/>
          <w:sz w:val="28"/>
          <w:szCs w:val="28"/>
          <w:rtl w:val="true"/>
          <w:lang w:bidi="fa-IR"/>
        </w:rPr>
        <w:t>المصلّی نجاسة،فأجاب بأنه یجب الإعلام،لوجوب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وجوب النهی عن المنکر مختصة بما إذا کان صدور الفعل من الفاعل منکرا،و فی المقام لیس کذلک،لأنّا قد فرضنا جهل الفاعل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بعدم الوجوب فی غیر موارد التسبیب،لروایة ابن بکیر </w:t>
      </w:r>
      <w:r>
        <w:rPr>
          <w:rStyle w:val="FootnoteAnchor"/>
          <w:rtl w:val="true"/>
        </w:rPr>
        <w:footnoteReference w:id="396"/>
      </w:r>
      <w:r>
        <w:rPr>
          <w:rFonts w:ascii="IRNazanin" w:hAnsi="IRNazanin" w:eastAsia="IRNazanin"/>
          <w:color w:val="111111"/>
          <w:sz w:val="28"/>
          <w:sz w:val="28"/>
          <w:szCs w:val="28"/>
          <w:rtl w:val="true"/>
          <w:lang w:bidi="fa-IR"/>
        </w:rPr>
        <w:t>فإنّها صریحة فی عدم وجوب الإعلام بنجاسة ثوب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أجنبیة عمّا نحن فیه،لأنّ عدم وجوب الإعلام بالنجاسة إنّما هو لأنّ الطهارة الخبثیة لیست من الشرائط الواقعیة للصلاة،و إنّما هی من الشرائط العلمیة،لأنّ تنبیه الجاهل و إعلامه لیس بواجب علی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یرشدک إلی ذلک أنّ الروایة مختصّة بصورة الجهل،و لا تشمل صورة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علیه علی وجه الإطلاق بخبرین آخرین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محمد بن مسلم </w:t>
      </w:r>
      <w:r>
        <w:rPr>
          <w:rStyle w:val="FootnoteAnchor"/>
          <w:rtl w:val="true"/>
        </w:rPr>
        <w:footnoteReference w:id="397"/>
      </w:r>
      <w:r>
        <w:rPr>
          <w:rFonts w:ascii="IRNazanin" w:hAnsi="IRNazanin" w:eastAsia="IRNazanin"/>
          <w:color w:val="111111"/>
          <w:sz w:val="28"/>
          <w:sz w:val="28"/>
          <w:szCs w:val="28"/>
          <w:rtl w:val="true"/>
          <w:lang w:bidi="fa-IR"/>
        </w:rPr>
        <w:t>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فیه عن الإعلام بالدم فی ثوب المصلّی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یؤذنه حتّی ینصرف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علیه الإشکال المتقدّم فی روایة ابن بکیر،فقد عرفت أنّ مورد السؤال فیها مختص</w:t>
      </w:r>
      <w:bookmarkStart w:id="265" w:name="pg5064_65294"/>
    </w:p>
    <w:p>
      <w:pPr>
        <w:pStyle w:val="BookText"/>
        <w:rPr/>
      </w:pPr>
      <w:bookmarkEnd w:id="265"/>
      <w:r>
        <w:rPr>
          <w:rFonts w:ascii="IRNazanin" w:hAnsi="IRNazanin" w:eastAsia="IRNazanin"/>
          <w:color w:val="111111"/>
          <w:sz w:val="28"/>
          <w:sz w:val="28"/>
          <w:szCs w:val="28"/>
          <w:rtl w:val="true"/>
          <w:lang w:bidi="fa-IR"/>
        </w:rPr>
        <w:t>بصورة الجهل بالواقع فقط،و هذا بخلاف مورد السؤال فی هذه الروایة فإنّه مطلق یشمل صورتی الجهل و النسیان،و من الواضح أنّ الطهارة الخبثیة فی صورة النسیان من الشرائط الواقعیة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عبد اللّه بن سنان </w:t>
      </w:r>
      <w:r>
        <w:rPr>
          <w:rStyle w:val="FootnoteAnchor"/>
          <w:rtl w:val="true"/>
        </w:rPr>
        <w:footnoteReference w:id="398"/>
      </w:r>
      <w:r>
        <w:rPr>
          <w:rFonts w:ascii="IRNazanin" w:hAnsi="IRNazanin" w:eastAsia="IRNazanin"/>
          <w:color w:val="111111"/>
          <w:sz w:val="28"/>
          <w:sz w:val="28"/>
          <w:szCs w:val="28"/>
          <w:rtl w:val="true"/>
          <w:lang w:bidi="fa-IR"/>
        </w:rPr>
        <w:t>فإنّه صریح فی عدم وجوب الإعلام فی صورة الجهل فی غیر الصلاة أیضا،و فی هذا الخبر کفایة و إن لم یسلم الخبر السابق من الإشکال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عمّا ذکرناه فالمرجع فی المقام هو أصالة البراءة،إذ لیس هنا ما یدلّ علی وجوب الإعلام لنخرج به عن 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إذا لم یکن ما یرتکبه الجاهل من الامور التی اهتمّ الشارع بحفظها من کل أحد کالدماء و الفروج و الأحکام الکلّیة الإلهیة،کما إذا اعتقد الجاهل أنّ زیدا مهدور الدم شرعا فتصدّی لقتله و هو محترم الدم فی الواقع،أو اعتقد أنّ امرأة یجوز له نکاحها فأراد التزویج بها و کانت فی الواقع محرّمة علیه،أو غیر ذلک من الموارد،فإنّه یجب علی الملتفت إعلام الجاهل فی أمثال ذلک لکی لا یقع فی المحذور،بل تجب مدافعته لو شرع فی العمل و إن کان فعله من غیر شعور و التفات و أمّا فی غیر تلک الموارد فلا دلیل علیه بل ربما لا یحسن،لکونه إیذاء للمؤمن</w:t>
      </w:r>
      <w:r>
        <w:rPr>
          <w:rFonts w:eastAsia="IRNazanin" w:cs="IRNazanin"/>
          <w:color w:val="111111"/>
          <w:sz w:val="28"/>
          <w:szCs w:val="28"/>
          <w:rtl w:val="true"/>
          <w:lang w:bidi="fa-IR"/>
        </w:rPr>
        <w:t>.</w:t>
      </w:r>
    </w:p>
    <w:p>
      <w:pPr>
        <w:pStyle w:val="Heading4"/>
        <w:numPr>
          <w:ilvl w:val="3"/>
          <w:numId w:val="1"/>
        </w:numPr>
        <w:rPr/>
      </w:pPr>
      <w:bookmarkStart w:id="266" w:name="__RefHeading___Toc910128_774463916"/>
      <w:bookmarkStart w:id="267" w:name="_Toc98"/>
      <w:bookmarkEnd w:id="266"/>
      <w:r>
        <w:rPr>
          <w:rtl w:val="true"/>
        </w:rPr>
        <w:t>الأقسام الأربعة لإلقاء الغیر فی الحرام الواقعی</w:t>
      </w:r>
      <w:bookmarkEnd w:id="26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 امورا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إلقاء الغیر فی الحرام الواقعی علی أربعة أقسام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فعل أحد الشخصین علّة تامّة لصدور الحرام من الآخر کإکراه الغیر علی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إشکال فی حرمته علی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 وزر الحرام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فعل أحدهما سببا لصدور الحرام من الآخر،کإطعام الشیء المحرّم للجاهل بحرمته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ممّا لا إشکال فی حرمته،فإنّ استناد الفعل إلی السبب أولی من استناده إلی المباشر،فتکون نسبة الحرام إلی السبب أولی،کما یستقر الضمان أیضا علی السبب دون المباشر فی موارد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ما نحن فیه،أعنی بیع الدهن المتنجّس ممّن لا یعلم بنجاسته من دون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فعل أحدهما شرطا لصدور الحرام من الآخر،و هذا علی وجهین،لأنّ عمل الشخص الأول تارة یکون من قبیل إیجاد الداعی للثانی علی المعصیة،سواء کان بإثارة الرغبة إلی الحرام فی نفس الفاعل بالتحریض و التوصیف و نحوهما،أو بإیجاد العناد فی قلبه،کسبّ آلهة الکفّار الموجب لإلقائهم فی سبّ الحقّ عنادا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یکون من قبیل إیجاد مقدّمة من مقدّمات الحرام غیر إیجاد الداعی کبیع العنب ممّن یعلم أنه یجعله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قبیل رفع المانع،و هو أیضا علی وجهین،لأنّ حرمة العمل الصادر من الفاعل إمّا أن تکون فعلیة علی أی تقدیر،کسکوت الشخص عن المنع من المنکر،و لا إشکال فی حرمة السکوت إذا اجتمعت شرائط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تکون غیر فعلیة علی تقدیر وجود المانع،کسکوت الملتفت إلی الحرام عن منع الجاهل الذی یرید أن یرتکبه،فإنّ الجاهل ما لم یلتفت إلی الحرام لا یکون ارتکابه محرّما لیجتمع سکوت الملتفت عن المنع مع الحرمة الفعلیة،کما فیما نحن فیه،و هذا الأخیر إن کان من الامور المهمّة فی نظر الشارع حرم السکوت و وجب رفع الحرام،و إلاّ ففیه إشکال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التقسیم الذی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إلی محصّل،مضافا إلی جریه فی إطلاق العلّة و المعلول علی غیر ما هو المصطلح فیهما،و المناسب فی</w:t>
      </w:r>
    </w:p>
    <w:p>
      <w:pPr>
        <w:pStyle w:val="BookText"/>
        <w:rPr/>
      </w:pPr>
      <w:r>
        <w:rPr>
          <w:rFonts w:ascii="IRNazanin" w:hAnsi="IRNazanin" w:eastAsia="IRNazanin"/>
          <w:color w:val="111111"/>
          <w:sz w:val="28"/>
          <w:sz w:val="28"/>
          <w:szCs w:val="28"/>
          <w:rtl w:val="true"/>
          <w:lang w:bidi="fa-IR"/>
        </w:rPr>
        <w:t>المقام تقسیم إلقاء الغیر فی الحرام الواقعی علی نحو یمکن تطبیقه علی القواعد و استفادة حکمه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قد یقع فی بیان الأحکام الواقعیة،و قد یقع فی إضافة فعل أحد الشخصین إلی الشخص الآخر من حیث العلّیة أو السببیة أو الداعویة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یکون الکلام فی الأحکام الکلّیة الإلهیة،و قد یکون فی الأحکام الجزئیة المترتّبة علی الموضوعات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الأحکام الکلّیة الإلهیة فلا ریب فی وجوب إعلام الجاهل بها،لوجوب تبلیغ الأحکام الشرعیة علی الناس جیلا بعد جیل إلی یوم القیامة،و قد دلّت علیه آیة النفر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الروایات الواردة فی بذل العلم و تعلیمه و تعلّمه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الجزئیة المترتّبة علی الموضوعات الشخصیة فإن لم نقل بوجود الدلیل علی نفی وجوب 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کالروایة المتقدّمة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الدالّة علی صحة الصلاة فی الثوب النجس جهلا،و أنّه لا یجب علی المعیر إعلام المستعیر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عدم الدلیل علی وجوبه،و علی هذا فلو رأی أحد نجاسة فی طعام الغیر فإنّه لا یجب علیه إعلامه،کما أنّه لا یجب تنبیه المصلّی إذا صلّی بالطهارة الترابیة مع الغفلة عن وجود الماء عنده،إلاّ إذا کان ما ارتکبه الجاهل من الامور المهمّة،فإنّه یجب إعلام الجاهل بها کما عرفت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إضافة فعل أحد الشخصین إلی الشخص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یکون فعل أحد الشخصین سببا لوقوع الآخر فی الحرام،و اخری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حرمته،کإکراه الغیر علی الحرام،و قد جعله المصنّف من قبیل العلّة و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حرمته هی الأدلّة الأوّلیة الدالّة علی حرمة المحرّمات،فإنّ العرف لا یفرّق فی إیجاد مبغوض المولی بین المباشرة و التسبیب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الفعل داعیا إلی إیجاد الحرام کان حراما،فإنّه نحو من إیقاع الغیر فی الحرام،و مثاله تقدیم الطعام المتنجّس أو النجس أو المحرّم من غیر جهة النجاسة إلی الجاهل لیأکله،أو توصیف الخمر بأوصاف مشوّقة لیشربها،و من هذا القبیل بیع الدهن المتنجّس من دون إعلام بالنجاسة،و سبّ آلهة المشرکین الموجب للجرأة علی سبّ الإله الحقّ،و سبّ آباء الناس الموجب لسبّ أبیه،و قد جعل المصنّف بعض هذه الأمثلة من قبیل السبب،و بعضها من قبیل الشرط و بعضها من قبیل الداعی،و لکنّه لم یجر فی جعله هذا علی المنهج الصحیح،و قد اشیر إلی حرمة التسبیب إلی الحرام فی بعض الآیات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الروایات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الفعل داعیا إلی الحرام فامّا أن یکون مقدّمة له،و إمّا أن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فکاعطاء العصا لمن أراد ضرب الیتیم،فإنّ اعطاءه و إن کان مقدّمة للحرام،إلاّ أنه لیس بداع إلیه،و الحکم بحرمته یتوقّف علی أمرین،الأول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إعانة علی الإثم،و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حرمة الإعانة علی الإثم فی الشریعة المقدّسة و سیأتی الکلام علی ذلک فی مبحث بیع العنب ممّن یجعله خمرا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فکمن ارتکب المحرّمات و هو بمرأی من الناس،فإنّ رؤیتهم له عند الارتکاب لیست مقدّمة لفعل الحرام،نعم لا بأس بادخاله تحت عنوان النهی عن المنکر،فیجب النهی عنه إذا اجتمعت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کلام المصنّف تهافتا واضحا،حیث جعل ما نحن فیه تارة من القسم الثانی و اخری من القسم الرابع،و یمکن توجیهه بوجهین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یراد بالفرض الذی أدخله فی القسم الثانی هو فرض الدهن المتنجّس،فإنّ إعطاءه للغیر لا یخلو عن التسبیب إلی الحرام الذی سیق هذا القسم لبیان حکمه،و أن یراد بالفرض الذی جعله من القسم الرابع هو فرض الثوب المتنجّس،کما تقدّم </w:t>
      </w:r>
      <w:r>
        <w:rPr>
          <w:rStyle w:val="FootnoteAnchor"/>
          <w:rtl w:val="true"/>
        </w:rPr>
        <w:footnoteReference w:id="400"/>
      </w:r>
      <w:r>
        <w:rPr>
          <w:rFonts w:ascii="IRNazanin" w:hAnsi="IRNazanin" w:eastAsia="IRNazanin"/>
          <w:color w:val="111111"/>
          <w:sz w:val="28"/>
          <w:sz w:val="28"/>
          <w:szCs w:val="28"/>
          <w:rtl w:val="true"/>
          <w:lang w:bidi="fa-IR"/>
        </w:rPr>
        <w:t>فی مسألة السید المهنّا من العلاّمة عمّن رأی فی ثوب المصلّی نجاسة،فإنّ القسم الرابع لم یفرض فیه کون فعل شخص سببا لصدور الحرام من الشخص الآخر،بل المفروض فیه کونه من قبیل عدم المانع،کسکوت العالم عن إعلام الجاهل،و لا شبهة فی مناسبة الثوب المتنجّس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 کلامه الدهن المتنجّس فی کلا الموردین مع الالتزام فیهما باختلاف الجهتین،بأن یکون الملحوظ فی القسم الثانی کونه تسبیبا لإیقاع الجاهل فی الحرام،و الملحوظ فی إلحاقه بالقسم الرابع هو الحرمة النفسیة مع قطع النظر عن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بعضهم استدلّ علی وجوب الإعلام بأنّ النجاسة عیب خفی فیجب إظهارها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علیه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الإعلام علی القول به لیس مختصا بالمعاوضات،بل یشمل مثل الإباحة و الهبة من المجانیات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النجاسة عیبا لیس إلاّ لکونه منکرا واقعیا و قبیحا،فإن ثبت ذلک حرم الإلقاء فیه مع قطع النظر عن مسألة وجوب إظهار العیب،و إلاّ لم یکن عیبا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أفاده أولا و إن کان وجیها،إلاّ أنّ الثانی غیر وجیه،فإنّ النجاسة لا ینکر کونها عیبا فی الأعیان النجسة و المتنجّسة،سواء کانت من القبائح الواقعیة أم لم تکن،بل ربما یوجب جهل المشتری بها تضرّره،کما إذا اشتری الدهن المتنجّس مع جهله بنجاسته و مزجه بدهنه الطاهر ثمّ اطّلع علیها،و لعلّه لذلک أمر بالتأمّل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یسهّل الخطب أنه لا دلیل علی وجوب إظهار العیب الخفی فی المعاملات،و إنّما الحرام هو غش المؤمن فیها کما سیأتی فی البحث عن حرمة الغش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فالعیب الخفی إن استلزم الغش فی المعاملات وجب رفع الغش و إلاّ فلا دلیل علی وجوبه،و من المعلوم أنّ رفع الغش هنا لا ینحصر بإظهار العیب</w:t>
      </w:r>
      <w:bookmarkStart w:id="268" w:name="pg5064_65300"/>
    </w:p>
    <w:p>
      <w:pPr>
        <w:pStyle w:val="BookText"/>
        <w:rPr/>
      </w:pPr>
      <w:bookmarkEnd w:id="268"/>
      <w:r>
        <w:rPr>
          <w:rFonts w:ascii="IRNazanin" w:hAnsi="IRNazanin" w:eastAsia="IRNazanin"/>
          <w:color w:val="111111"/>
          <w:sz w:val="28"/>
          <w:sz w:val="28"/>
          <w:szCs w:val="28"/>
          <w:rtl w:val="true"/>
          <w:lang w:bidi="fa-IR"/>
        </w:rPr>
        <w:t>الخفی،بل یحصل بالتبرّی عن العیوب،أو باشتراط صرفه فیما هو مشروط بالطهارة و من هنا یعلم أنه لا وجه لتوهّم أنّ النجاسة عیب خفی یجب إظهارها حتی لا یکون غشّا للمسلم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وجوب الإعلام بالنجاسة فیما إذا کان المشتری مسلما مبالیا فی أمر الطهارة و النجاسة،و أمّا إذا کان کافرا أو مسلما غیر مبال فی الدین فلا یجب الإعلام،لکونه لغوا،و إن کان الجمیع مکلّفین بالفروع کتکلیفهم بالأصول</w:t>
      </w:r>
      <w:r>
        <w:rPr>
          <w:rFonts w:eastAsia="IRNazanin" w:cs="IRNazanin"/>
          <w:color w:val="111111"/>
          <w:sz w:val="28"/>
          <w:szCs w:val="28"/>
          <w:rtl w:val="true"/>
          <w:lang w:bidi="fa-IR"/>
        </w:rPr>
        <w:t>.</w:t>
      </w:r>
    </w:p>
    <w:p>
      <w:pPr>
        <w:pStyle w:val="Heading3"/>
        <w:numPr>
          <w:ilvl w:val="2"/>
          <w:numId w:val="1"/>
        </w:numPr>
        <w:rPr/>
      </w:pPr>
      <w:bookmarkStart w:id="269" w:name="__RefHeading___Toc910130_774463916"/>
      <w:bookmarkStart w:id="270" w:name="_Toc99"/>
      <w:bookmarkEnd w:id="269"/>
      <w:r>
        <w:rPr>
          <w:rtl w:val="true"/>
        </w:rPr>
        <w:t>جواز استصباح الدهن المتنجّس تحت الظلال</w:t>
      </w:r>
      <w:bookmarkEnd w:id="27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بین الأصحاب وجوب کون الاستصباح تحت السماء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بین الأصحاب هو جواز الاستضاءة بالدهن المتنجّس تحت السماء،و ذهب بعضهم إلی جواز الإسراج به علی وجه الإطلاق،و ذهب المشهور من العامة </w:t>
      </w:r>
      <w:r>
        <w:rPr>
          <w:rStyle w:val="FootnoteAnchor"/>
          <w:rtl w:val="true"/>
        </w:rPr>
        <w:footnoteReference w:id="403"/>
      </w:r>
      <w:r>
        <w:rPr>
          <w:rFonts w:ascii="IRNazanin" w:hAnsi="IRNazanin" w:eastAsia="IRNazanin"/>
          <w:color w:val="111111"/>
          <w:sz w:val="28"/>
          <w:sz w:val="28"/>
          <w:szCs w:val="28"/>
          <w:rtl w:val="true"/>
          <w:lang w:bidi="fa-IR"/>
        </w:rPr>
        <w:t>إلی جواز الاستصباح به فی غیر المسجد،ففی أطعمة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شیخنا أبو جعفر فی مبسوطه فی کتاب الأطعمة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أنه یستصبح به تحت السماء دون 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 دخانه نجس،غیر أنّ عندی أنّ هذا مکروه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یقطع بنجاسته 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دخانه نجس،و هو الذی دلّ علیه الخبر الذی قدّمناه من روایة أصحابنا،و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إدریس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الاستصباح به تحت الظلال،لأجل التعبّد،ثم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الادّهان به و لا استعماله فی شیء من الأشیاء سوی</w:t>
      </w:r>
    </w:p>
    <w:p>
      <w:pPr>
        <w:pStyle w:val="BookText"/>
        <w:rPr/>
      </w:pPr>
      <w:r>
        <w:rPr>
          <w:rFonts w:ascii="IRNazanin" w:hAnsi="IRNazanin" w:eastAsia="IRNazanin"/>
          <w:color w:val="111111"/>
          <w:sz w:val="28"/>
          <w:sz w:val="28"/>
          <w:szCs w:val="28"/>
          <w:rtl w:val="true"/>
          <w:lang w:bidi="fa-IR"/>
        </w:rPr>
        <w:t>الاستصباح به تحت السماء،ثم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ذهب أحد من أصحابنا إلی أنّ الاستصباح به تحت الظلال مکروه،بل محظور بغیر خلاف بینهم،و شیخنا أبو جعفر محجوج بقوله فی جمیع کتبه إلاّ ما ذکره هنا،فالأخذ بقوله و قول أصحابه أولی من الأخذ بقوله المتفرّد من أقوال أصحابنا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الروایات و إن استفاضت من الفریقین علی جواز إسراج الدهن المتنجّس إلاّ أنّها خالیة عن ذکر الاستصباح به تحت السماء فقط،و ستأتی الإشارة إلی هذه الروایات المستفیضة فی البحث عن جواز الانتفاع بالمتنجّس </w:t>
      </w:r>
      <w:r>
        <w:rPr>
          <w:rStyle w:val="FootnoteAnchor"/>
          <w:rtl w:val="true"/>
        </w:rPr>
        <w:footnoteReference w:id="405"/>
      </w:r>
      <w:r>
        <w:rPr>
          <w:rFonts w:ascii="IRNazanin" w:hAnsi="IRNazanin" w:eastAsia="IRNazanin"/>
          <w:color w:val="111111"/>
          <w:sz w:val="28"/>
          <w:sz w:val="28"/>
          <w:szCs w:val="28"/>
          <w:rtl w:val="true"/>
          <w:lang w:bidi="fa-IR"/>
        </w:rPr>
        <w:t>،نعم استدلّ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غیر واحد من أعاظم الأصحاب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دعواه فی المقام مجازفة،لمخالفة جملة من الأعاظم کالشیخ </w:t>
      </w:r>
      <w:r>
        <w:rPr>
          <w:rStyle w:val="FootnoteAnchor"/>
          <w:rtl w:val="true"/>
        </w:rPr>
        <w:footnoteReference w:id="406"/>
      </w:r>
      <w:r>
        <w:rPr>
          <w:rFonts w:ascii="Amiri" w:hAnsi="Amiri" w:eastAsia="Amiri" w:cs="Amiri"/>
          <w:color w:val="111111"/>
          <w:sz w:val="28"/>
          <w:sz w:val="28"/>
          <w:szCs w:val="28"/>
          <w:rtl w:val="true"/>
          <w:lang w:bidi="ar-SA"/>
        </w:rPr>
        <w:t xml:space="preserve">و العلاّمة </w:t>
      </w:r>
      <w:r>
        <w:rPr>
          <w:rStyle w:val="FootnoteAnchor"/>
          <w:rtl w:val="true"/>
        </w:rPr>
        <w:footnoteReference w:id="407"/>
      </w:r>
      <w:r>
        <w:rPr>
          <w:rFonts w:ascii="IRNazanin" w:hAnsi="IRNazanin" w:eastAsia="IRNazanin"/>
          <w:color w:val="111111"/>
          <w:sz w:val="28"/>
          <w:sz w:val="28"/>
          <w:szCs w:val="28"/>
          <w:rtl w:val="true"/>
          <w:lang w:bidi="fa-IR"/>
        </w:rPr>
        <w:t>و غیرهما علی أنّ الإجماع التعبّدی هنا ممنوع،لاحتمال استناد المجمعین إلی الوجوه المذکورة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الفتوائیة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 إن کانت مسلّمة،إلاّ أنّها لیست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الشیخ المتقدّمة،المنجبر ضعفها بعمل المشهور،و هی صریحة فی کون الإسراج به تحت السماء</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المظنون أنّها صدرت من سهو القلم،فإنّ أصحاب الحدیث لم ینقلوها فی اصولهم حتی الشیخ بنفسه فی تهذیبیه،و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أصحابنا أنه یستصبح به تحت السماء،یقتضی کون الروایة مشهورة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وثوق بوجود الروایة المذکورة،نعم لو کانت العبارة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یستصبح به تحت السماء،کانت حینئذ روایة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سلّمنا کون العبارة المذکورة روایة مرسلة،فإنّ العمل بها لا یجوز للإرسال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انجبارها بعمل المشهور بها ممنوع صغری و کبری کما هو واضح خصوصا مع مخالفة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حملها علی الکراهة،و مخالفة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أعرض عنها،و جعل العلّة فی تحریم الإسراج به تحت الظلال هی حرمة تنجیس السقف،قال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کان صعود بعض الأجزاء الدهنیة بواسطة الحرارة موجبا لتنجّس السقف فلا یجوز الاستصباح به تحت الظلال،و إلاّ فیجوز مطلقا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نقلناه عن العلاّمة من أنّ الاستصباح به تحت الظلال یوجب تنجیس السقف،لتصاعد بعض الأجزاء الدهنیة قبل إحالة النار إیّاه إلی أن تلاقی السقف،فهو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دخان النجس کرماده لیس بنجس،للاستحالة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احتمال صعود الأجزاء الدهنیة إلی السقف قبل الاستحالة لا یمنع عن الإسراج به تحت الظلال،لکونه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أخصّ من المدّعی،لأنّ الدخان قد لا یؤثّر فی السقف إمّا لعلوّه،أو لقلّة الزمان،أو لخروجه من الأطراف،أو لعدم وجود دخان فیه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سلّمنا جمیع ذلک فلا دلیل علی حرمة تنجیس السقف،نعم لا یجوز تنجیسه فی المساجد و المشاهد،و علیه فلا وجه للمنع عن الاستصباح به تحت</w:t>
      </w:r>
    </w:p>
    <w:p>
      <w:pPr>
        <w:pStyle w:val="BookText"/>
        <w:rPr/>
      </w:pPr>
      <w:r>
        <w:rPr>
          <w:rFonts w:ascii="IRNazanin" w:hAnsi="IRNazanin" w:eastAsia="IRNazanin"/>
          <w:color w:val="111111"/>
          <w:sz w:val="28"/>
          <w:sz w:val="28"/>
          <w:szCs w:val="28"/>
          <w:rtl w:val="true"/>
          <w:lang w:bidi="fa-IR"/>
        </w:rPr>
        <w:t>السقف من جهة حرمة تنجیسه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الأخبار المتقدّمة علی 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المطلقات حیث کانت متظافرة و واردة فی مقام البیان فهی آبیة عن التقیید،و لو سلّمنا جواز تقییدها إلاّ أنه لیس فی المقام ما یوجب التقیید عدا مرسلة الشیخ،و هی غیر صالحة لذلک،لأنّ تقیید المطلقات بها یتوقّف علی ورودها للتعبّد،أو لحرمة تنجیس السقف کما فهمها الشیخ،و کلا الوجهین بعید،فلا بدّ من حمل المرسلة علی الإرشاد إلی عدم تنجّس السقف بالدخان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یترتّب علی کون المطلقات متظافرة أن تکون مقطوعة الصدور لا مقطوعة الدلالة،إذن فلا مانع عن التقیید،إذ هی لا تزید علی مطلقات الکتاب القابلة للتقیید حتّی بالأخبار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أوهن من ذلک دعوی إبائها عن التقیید من جهة ورودها فی مقام البیان،فإنّ ورودها فی مقام البیان مقوّم لحجّیتها و من الواضح أنّ مرتبة التقیید متأخّرة عن مرتبة الحجّیة فی المطلق،و نسبة حجّیته إلی التقیید کنسبة الموضوع إلی الحکم،و لا یکون الموضوع مانعا عن ترتّب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أنّ المرسلة غیر صالحة لتقیید المطلقات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جواز العمل بها و انجبار ضعفها بعمل المشهور لا مانع من حملها علی التعبّد المحض فتصلح حینئذ لتقیید المطلقات،و مجرد الاستبعاد لا یکون مانعا عن ذلک،و إنّما الإشکال فی أصل وجود المرسلة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تقیید المطلقات بها من جهة أنّ المرسلة تدل علی حرمة تنجیس السقف فبعید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سلّم الانجبار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 به إلی أنّها غیر منجبرة بشیء کما أشرنا إلیه،لأنّ الشهرة إنّما</w:t>
      </w:r>
      <w:bookmarkStart w:id="271" w:name="pg5064_65304"/>
    </w:p>
    <w:p>
      <w:pPr>
        <w:pStyle w:val="BookText"/>
        <w:rPr/>
      </w:pPr>
      <w:bookmarkEnd w:id="271"/>
      <w:r>
        <w:rPr>
          <w:rFonts w:ascii="IRNazanin" w:hAnsi="IRNazanin" w:eastAsia="IRNazanin"/>
          <w:color w:val="111111"/>
          <w:sz w:val="28"/>
          <w:sz w:val="28"/>
          <w:szCs w:val="28"/>
          <w:rtl w:val="true"/>
          <w:lang w:bidi="fa-IR"/>
        </w:rPr>
        <w:t>تجبر الخبر الضعیف إذا علم استنادها إلیه،و من المحتمل أن تکون فتوی المشهور بعدم جواز الإسراج به تحت السقف مستندة إلی ما ذهب إلیه العلاّمة من حرمة تنجیس السقف،لا إلی المرسلة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 إلی أصالة البراءة حینئذ لم یکن إلاّ بعیدا عن الاحتیاط،و جرأة علی مخالفة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البعد عن الاحتیاط مانعا عن الرجوع إلی البراءة فی شیء من الموارد،و أمّا الجرأة علی خلاف المشهور فلا محذور فیها،لأنّ الشهرة لیست بحجّة</w:t>
      </w:r>
      <w:r>
        <w:rPr>
          <w:rFonts w:eastAsia="IRNazanin" w:cs="IRNazanin"/>
          <w:color w:val="111111"/>
          <w:sz w:val="28"/>
          <w:szCs w:val="28"/>
          <w:rtl w:val="true"/>
          <w:lang w:bidi="fa-IR"/>
        </w:rPr>
        <w:t>.</w:t>
      </w:r>
    </w:p>
    <w:p>
      <w:pPr>
        <w:pStyle w:val="Heading3"/>
        <w:numPr>
          <w:ilvl w:val="2"/>
          <w:numId w:val="1"/>
        </w:numPr>
        <w:rPr/>
      </w:pPr>
      <w:bookmarkStart w:id="272" w:name="__RefHeading___Toc910132_774463916"/>
      <w:bookmarkStart w:id="273" w:name="_Toc100"/>
      <w:bookmarkEnd w:id="272"/>
      <w:r>
        <w:rPr>
          <w:rtl w:val="true"/>
        </w:rPr>
        <w:t>جواز الانتفاع بالدهن المتنجّس فی غیر الاستصباح</w:t>
      </w:r>
      <w:bookmarkEnd w:id="27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الانتفاع بهذا الدهن فی غیر الاستصباح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حیث إنّ جواز الانتفاع بالدهن المتنجّس فی غیر الاستصباح لم ترد فیه إلاّ روایة ضعیفة </w:t>
      </w:r>
      <w:r>
        <w:rPr>
          <w:rStyle w:val="FootnoteAnchor"/>
          <w:rtl w:val="true"/>
        </w:rPr>
        <w:footnoteReference w:id="409"/>
      </w:r>
      <w:r>
        <w:rPr>
          <w:rFonts w:ascii="IRNazanin" w:hAnsi="IRNazanin" w:eastAsia="IRNazanin"/>
          <w:color w:val="111111"/>
          <w:sz w:val="28"/>
          <w:sz w:val="28"/>
          <w:szCs w:val="28"/>
          <w:rtl w:val="true"/>
          <w:lang w:bidi="fa-IR"/>
        </w:rPr>
        <w:t>فی جعله صابونا،فلا بدّ من الرجوع فیه إلی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قرّب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الحنفیة التصریح بذلک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یتوهّم عدم جواز استعماله فی غیر الاستصباح مطلقا،استنادا إلی روایة قرب الإسناد الدالّة علی عدم جواز التدهّن به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لا یجوز العمل بها و إن کانت صحیحة،لأنّها غیر معمول بها بین الأصحاب،لفتواهم بجواز الانتفاع بالدهن المتنجّس فی غیر الاستصباح أیضا،فإنّه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ذکرنا فی علم الاصول </w:t>
      </w:r>
      <w:r>
        <w:rPr>
          <w:rStyle w:val="FootnoteAnchor"/>
          <w:rtl w:val="true"/>
        </w:rPr>
        <w:footnoteReference w:id="412"/>
      </w:r>
      <w:r>
        <w:rPr>
          <w:rFonts w:ascii="IRNazanin" w:hAnsi="IRNazanin" w:eastAsia="IRNazanin"/>
          <w:color w:val="111111"/>
          <w:sz w:val="28"/>
          <w:sz w:val="28"/>
          <w:szCs w:val="28"/>
          <w:rtl w:val="true"/>
          <w:lang w:bidi="fa-IR"/>
        </w:rPr>
        <w:t>أنّ إعراض المشهور عن الروایة الصحیحة لا یوجب الوهن فیها،و قد أشرنا إلیه فی الکلام عن روایة 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مجملة لا تفی باثبات المقصود،فإنّه یحتمل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تدهن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الافتعال بالتشدید،فیکون دالا علی عدم جواز تنجیس البدن،أو من باب الإفعال،فلا یمکن الاستناد إلیها فی عدم جواز الاستعمال مطلقا،فإنّه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الروایة هو النهی عن طلی البدن بالدهن المتنجّس،و من الواضح أنّ الإدهان من الإفعال بمعنی الخدعة،و أنّ الذی بمعنی الطلی هو من باب الافتعال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جواز الانتفاع بهذا الدهن فی غیر الموارد المنصوصة و عدم جوازه مبنی علی تحقیق الأصل فی الانتفاع بالمتنجّس،فهل الأصل یقتضی جواز ذلک أو حرمته حتی یخرج الخارج بالدلیل؟فذهب جمع من الأصحاب إلی الثانی،و قال جمع من المتأخّرین بالأول،و هو الأقوی،و هو مقتضی أصالة البراءة الثابتة بالأدلّة المستفیضة،و یدل هذا الأصل علی إباحة ما لم یرد فیه نهی و حلّیته،و من البیّن أنّ الانتفاع بالمتنجّس فی غیر ما هو مشروط بالطهارة من</w:t>
      </w:r>
    </w:p>
    <w:p>
      <w:pPr>
        <w:pStyle w:val="BookText"/>
        <w:rPr/>
      </w:pPr>
      <w:r>
        <w:rPr>
          <w:rFonts w:ascii="IRNazanin" w:hAnsi="IRNazanin" w:eastAsia="IRNazanin"/>
          <w:color w:val="111111"/>
          <w:sz w:val="28"/>
          <w:sz w:val="28"/>
          <w:szCs w:val="28"/>
          <w:rtl w:val="true"/>
          <w:lang w:bidi="fa-IR"/>
        </w:rPr>
        <w:t>صغریات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قاعدة حل الانتفاع بما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لهذه القاعدة إلاّ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الآیة لیست بدالّة علی جواز الانتفاع بجمیع ما فی الأرض لیکون الانتفاع بالمتنجّس من صغریاته،بل هی إمّا ناظرة إلی بیان أنّ الغایة القصوی من خلق الأجرام الأرضیة و ما فیها لیس إلاّ خلق البشر و تربیته و تکریمه،و أمّا غیر البشر فقد خلقه اللّه تعالی تبعا لخلق الإنسان و مقدّمة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هذا المعنی لا ینافی تحلیل بعض المنافع علیه دون بعض</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ناظرة إلی أنّ خلق تلک الأجرام و تکوینها علی الهیئات الخاصّة و الأشکال المختلفة و الأنواع المتشتّتة من الجبال و الأودیة و الأشجار و الحیوانات علی أنواعها،و أنحاء المخلوقات من النامی و غیره،لبیان طرق الاستدلال علی وجود الصانع و توحید ذاته و صفاته و فعاله،و علی اتقان فعله و علو صنعه و کمال قدرته وسعة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فتکون اللام للانتفاع،فإنه أی منفعة أعظم من تکمیل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المقصود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دعاء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bookmarkStart w:id="274" w:name="pg5064_65307"/>
    </w:p>
    <w:p>
      <w:pPr>
        <w:pStyle w:val="Heading3"/>
        <w:numPr>
          <w:ilvl w:val="2"/>
          <w:numId w:val="1"/>
        </w:numPr>
        <w:rPr/>
      </w:pPr>
      <w:bookmarkStart w:id="275" w:name="__RefHeading___Toc910134_774463916"/>
      <w:bookmarkStart w:id="276" w:name="_Toc101"/>
      <w:bookmarkEnd w:id="274"/>
      <w:bookmarkEnd w:id="275"/>
      <w:r>
        <w:rPr>
          <w:rtl w:val="true"/>
        </w:rPr>
        <w:t>الأصل جواز الانتفاع بالمتنجّس</w:t>
      </w:r>
      <w:bookmarkEnd w:id="27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حاکم علیها سوی ما یتخیّل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علی حرمة الانتفاع بمطلق المتنجّس بجملة من الآیات و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الآیات فمنها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w:t>
      </w:r>
      <w:r>
        <w:rPr>
          <w:rStyle w:val="FootnoteAnchor"/>
          <w:rtl w:val="true"/>
        </w:rPr>
        <w:footnoteReference w:id="414"/>
      </w:r>
      <w:r>
        <w:rPr>
          <w:rFonts w:ascii="IRNazanin" w:hAnsi="IRNazanin" w:eastAsia="IRNazanin"/>
          <w:color w:val="111111"/>
          <w:sz w:val="28"/>
          <w:sz w:val="28"/>
          <w:szCs w:val="28"/>
          <w:rtl w:val="true"/>
          <w:lang w:bidi="fa-IR"/>
        </w:rPr>
        <w:t>فإنّ المتنجّس رجس فیجب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الرجس و إن اطلق علی الأعیان النجسة کثیرا،کما اطلق علی الکلب فی صحیحة البقباق </w:t>
      </w:r>
      <w:r>
        <w:rPr>
          <w:rStyle w:val="FootnoteAnchor"/>
          <w:rtl w:val="true"/>
        </w:rPr>
        <w:footnoteReference w:id="415"/>
      </w:r>
      <w:r>
        <w:rPr>
          <w:rFonts w:ascii="IRNazanin" w:hAnsi="IRNazanin" w:eastAsia="IRNazanin"/>
          <w:color w:val="111111"/>
          <w:sz w:val="28"/>
          <w:sz w:val="28"/>
          <w:szCs w:val="28"/>
          <w:rtl w:val="true"/>
          <w:lang w:bidi="fa-IR"/>
        </w:rPr>
        <w:t>إلاّ أنّ الآیة لا ترتبط بالمدّعی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الرجس هو الأشیاء التی یحکم علیها بالنجاسة بعناوینها الأولیة،فیختص بالأعیان النجسة،و لا یشمل الأعیان المتنجّسة،لأنّ النجاسة فیها من الامور العرضیة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الرجس فی الآیة لا یراد منه القذارة الظاهریة لکی ینازع فی اختصاصه بالأعیان النجسة أو شموله الأعیان المتنجّسة أیضا،بل المراد منه القذارة المعنویة،أی الخسّة الموجودة فی الامور المذکورة فی الآیة،سواء کانت قذرة</w:t>
      </w:r>
    </w:p>
    <w:p>
      <w:pPr>
        <w:pStyle w:val="BookText"/>
        <w:rPr/>
      </w:pPr>
      <w:r>
        <w:rPr>
          <w:rFonts w:ascii="IRNazanin" w:hAnsi="IRNazanin" w:eastAsia="IRNazanin"/>
          <w:color w:val="111111"/>
          <w:sz w:val="28"/>
          <w:sz w:val="28"/>
          <w:szCs w:val="28"/>
          <w:rtl w:val="true"/>
          <w:lang w:bidi="fa-IR"/>
        </w:rPr>
        <w:t xml:space="preserve">بالقذارة الحسّیة أیضا أم لم تکن،و الذی یدل علی ذلک من الآیة إطلاق الرجس علی المیسر و الأنصاب و الأزلام،فإنّ من البدیهی أنّ قذارة هذه الأشیاء لیست ظاهریة،و لا شبهة فی صحة إطلاق الرجس فی اللغة </w:t>
      </w:r>
      <w:r>
        <w:rPr>
          <w:rStyle w:val="FootnoteAnchor"/>
          <w:rtl w:val="true"/>
        </w:rPr>
        <w:footnoteReference w:id="416"/>
      </w:r>
      <w:r>
        <w:rPr>
          <w:rFonts w:ascii="IRNazanin" w:hAnsi="IRNazanin" w:eastAsia="IRNazanin"/>
          <w:color w:val="111111"/>
          <w:sz w:val="28"/>
          <w:sz w:val="28"/>
          <w:szCs w:val="28"/>
          <w:rtl w:val="true"/>
          <w:lang w:bidi="fa-IR"/>
        </w:rPr>
        <w:t>علی ما یشمل القذارة الباطنیة أیضا،و علیه فالآیة إنّما تدل علی وجوب الاجتناب عن کل قذر بالقذارة الباطنیة التی یعبّر عنها فی لغة الفرس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المتنجّسات خارجة عنها جزما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 المذکورات فی الآیة من عمل الشیطان إمّا من جهة کون الأفعال المتعلّقة بالخمر و الأنصاب و الأزلام رجسا من عمل الشیطان،کما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w:t>
      </w:r>
      <w:r>
        <w:rPr>
          <w:rStyle w:val="FootnoteAnchor"/>
          <w:rtl w:val="true"/>
        </w:rPr>
        <w:footnoteReference w:id="417"/>
      </w:r>
      <w:r>
        <w:rPr>
          <w:rFonts w:ascii="IRNazanin" w:hAnsi="IRNazanin" w:eastAsia="IRNazanin"/>
          <w:color w:val="111111"/>
          <w:sz w:val="28"/>
          <w:sz w:val="28"/>
          <w:szCs w:val="28"/>
          <w:rtl w:val="true"/>
          <w:lang w:bidi="fa-IR"/>
        </w:rPr>
        <w:t>فإنّ الرجس قد یطلق علی مطلق القبائح و المعاصی،و قد عرفت ذلک فی الهامش من القاموس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من جهة کون تلک الامور نفسها من عمل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تکون الآیة دالّة علی وجوب الاجتناب عن کل عمل قبیح یصدق علیه أنه رجس،و أمّا ما لم یحرز قبحه فلا تشمله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یکون موضوع الحکم فیها کل عین من الأعیان صدق علیها أنّها من عمل الشیطان،و علیه فکل عین محرّمة صدق هذا العنوان علیها تکون مشمولة للآیة،و من الواضح أنّ الخمر من عمل الشیطان باعتبار صنعها،أو بلحاظ أنّ أصل تعلیمها کان من الشیطان،و کذلک النصب بلحاظ جعلها صلیبا،و الأزلام بلحاظ التقسیم،کالحظ و النصیب فی الزمن الحاضر المعبّر عنه فی اللغة الفارسیة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بلیط آزمایش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لا یصدق علیه ذلک و إن کان من الأعیان النجسة کالکلب و الخنزیر فضلا عن المتنجّسات فلا تشمله الآیة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سلّمنا شمول الآیة للنجاسات و المتنجّسات فلا دلالة فیها علی حرمة الانتفاع بالمتنجّس،فإنّ الاجتناب عن الشیء إنّما یکون باجتناب ما یناسب ذلک الشیء،فالاجتناب عن الخمر عبارة عن ترک شربها إذا لم یدل دلیل آخر علی حرمة الانتفاع بها مطلقا،و الاجتناب عن النجاسات و المتنجّسات عبارة عن ترک استعمالها فیما یناسبها،و من القمار عن ترک اللعب،و من الامّهات و البنات و الأخوات و الخالات و بقیّة المحارم عبارة عن ترک تزویجهن،کما أنّ الاجتناب عن المسجد هو ترک العبادة فیه،و الاجتناب عن العالم ترک السؤال منه،و الاجتناب عن التاجر ترک المعاملة معه،و الاجتناب عن أهل الفسوق ترک معاشرتهم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الاجتناب إلی ما یجب الاجتناب عنه تختلف باختلاف الموارد،و لیست فی جمیعها علی نسق واحد،و علیه فلا دلالة فی الآیة علی حرمة الانتفاع بالمتنجّس مطلقا،بل الأمر فی ذلک موقوف علی ورود دلیل خاص یدل علی وجوب الاجتناب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عم المتنجّس لزم أن یخرج عنه أکثر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خروج المتنجّسات کلّها من الآیة تخصیص الأکثر فضلا عمّا إذا کان الخارج بعضها،فإنّ الخارج منها عنوان واحد ینطبق علی جمیع أفراد المتنجّس انطباق الکلّی علی أفراده،نعم لو کان الخارج من عموم الآیة کل فرد فرد من أفراده لزم المحذور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Style w:val="FootnoteAnchor"/>
          <w:rtl w:val="true"/>
        </w:rPr>
        <w:footnoteReference w:id="418"/>
      </w:r>
      <w:r>
        <w:rPr>
          <w:rFonts w:ascii="IRNazanin" w:hAnsi="IRNazanin" w:eastAsia="IRNazanin"/>
          <w:color w:val="111111"/>
          <w:sz w:val="28"/>
          <w:sz w:val="28"/>
          <w:szCs w:val="28"/>
          <w:rtl w:val="true"/>
          <w:lang w:bidi="fa-IR"/>
        </w:rPr>
        <w:t>بناء علی شمول الرجز للأعیان النجسة و المتنجّسة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الجواب عنها من کلامنا علی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نسبة الهجر إلی الأعیان الخارجیة لا تصح إلاّ بالعنایة و المجاز،بخلاف نسبته إلی الأعمال فإنّها علی نحو الحقیقة،و علیه فالمراد من الآیة خصوص الهجر عن الأعمال القبیحة و الأفعال المحرّمة،و لا تشمل الأعیان المحرّمة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یحتمل أن یراد من الرجز العذاب،کما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عَلَی الَّذِینَ ظَلَمُوا رِجْزاً مِنَ السَّماءِ </w:t>
      </w:r>
      <w:r>
        <w:rPr>
          <w:rStyle w:val="FootnoteAnchor"/>
          <w:rtl w:val="true"/>
        </w:rPr>
        <w:footnoteReference w:id="419"/>
      </w:r>
      <w:r>
        <w:rPr>
          <w:rFonts w:ascii="IRNazanin" w:hAnsi="IRNazanin" w:eastAsia="IRNazanin"/>
          <w:color w:val="111111"/>
          <w:sz w:val="28"/>
          <w:sz w:val="28"/>
          <w:szCs w:val="28"/>
          <w:rtl w:val="true"/>
          <w:lang w:bidi="fa-IR"/>
        </w:rPr>
        <w:t xml:space="preserve">و قد صرّح بذلک بعض أهل اللغة کصاحب القاموس </w:t>
      </w:r>
      <w:r>
        <w:rPr>
          <w:rStyle w:val="FootnoteAnchor"/>
          <w:rtl w:val="true"/>
        </w:rPr>
        <w:footnoteReference w:id="420"/>
      </w:r>
      <w:r>
        <w:rPr>
          <w:rFonts w:ascii="IRNazanin" w:hAnsi="IRNazanin" w:eastAsia="IRNazanin"/>
          <w:color w:val="111111"/>
          <w:sz w:val="28"/>
          <w:sz w:val="28"/>
          <w:szCs w:val="28"/>
          <w:rtl w:val="true"/>
          <w:lang w:bidi="fa-IR"/>
        </w:rPr>
        <w:t xml:space="preserve">و غیره،و علی هذا فالمراد من هجر العذاب هجر موجباته،کما ارید من المسارعة إلی المغفرة و من الاستباق إلی الخیرات المسارعة و الاستباق إلی أسبابهما فی آیتیهما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یُحَرِّمُ عَلَیْهِمُ الْخَبائِثَ </w:t>
      </w:r>
      <w:r>
        <w:rPr>
          <w:rStyle w:val="FootnoteAnchor"/>
          <w:rtl w:val="true"/>
        </w:rPr>
        <w:footnoteReference w:id="421"/>
      </w:r>
      <w:r>
        <w:rPr>
          <w:rFonts w:ascii="IRNazanin" w:hAnsi="IRNazanin" w:eastAsia="IRNazanin"/>
          <w:color w:val="111111"/>
          <w:sz w:val="28"/>
          <w:sz w:val="28"/>
          <w:szCs w:val="28"/>
          <w:rtl w:val="true"/>
          <w:lang w:bidi="fa-IR"/>
        </w:rPr>
        <w:t>بناء علی صدق الخبائث علی المتنجّسات،و حیث إنّ التحریم فی الآیة لم یقیّد بجهة خاصة فهی تدل علی عموم تحریم الانتفاع بالمتنجّسات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عنها المصنّف بأنّ المراد من التحریم خصوص حرمة الأکل بقرینة مقابلته بحلّیة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الإطلاق هو حرمة الانتفاع بالخبائث مطلقا،فتدل علی حرمة الانتفاع بالمتنجّس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متعلّق التحریم فی الآیة إنّما هو العمل الخبیث و الفعل القبیح،فالمتنجّس خارج عن مدلولها،لأنّه من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ارید من الخبیث العمل القبیح وجب الالتزام بالتقدیر،و هو خلاف الظاهر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یلزم ذلک إذا لم یکن الخبیث بنفسه بمعنی العمل القبیح،و قد أثبتنا فی مبحث بیع الأبوال </w:t>
      </w:r>
      <w:r>
        <w:rPr>
          <w:rStyle w:val="FootnoteAnchor"/>
          <w:rtl w:val="true"/>
        </w:rPr>
        <w:footnoteReference w:id="422"/>
      </w:r>
      <w:r>
        <w:rPr>
          <w:rFonts w:ascii="Amiri" w:hAnsi="Amiri" w:eastAsia="Amiri" w:cs="Amiri"/>
          <w:color w:val="111111"/>
          <w:sz w:val="28"/>
          <w:sz w:val="28"/>
          <w:szCs w:val="28"/>
          <w:rtl w:val="true"/>
          <w:lang w:bidi="ar-SA"/>
        </w:rPr>
        <w:t>صحة إطلاقه علیه بدون عنایة،و خصوصا بقرینة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مِنَ الْقَرْیَةِ الَّتِی کانَتْ تَعْمَلُ الْخَبائِثَ </w:t>
      </w:r>
      <w:r>
        <w:rPr>
          <w:rStyle w:val="FootnoteAnchor"/>
          <w:rtl w:val="true"/>
        </w:rPr>
        <w:footnoteReference w:id="423"/>
      </w:r>
      <w:r>
        <w:rPr>
          <w:rFonts w:ascii="IRNazanin" w:hAnsi="IRNazanin" w:eastAsia="IRNazanin"/>
          <w:color w:val="111111"/>
          <w:sz w:val="28"/>
          <w:sz w:val="28"/>
          <w:szCs w:val="28"/>
          <w:rtl w:val="true"/>
          <w:lang w:bidi="fa-IR"/>
        </w:rPr>
        <w:t>فإنّ المراد من الخبائث فیها اللواط</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فهی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روایة تحف العقول،حیث علّل النهی فیها عن بیع وجوه النجس بأنّ ذلک کلّه محرّم أکله و شربه و إمساکه،و جمیع التقلّب فی ذلک حرام 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منها أنّ جمیع الانتفاعات بالمتنجّس حرام لکونه من وجوه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أوّل الکتاب من ضعف سند الروایة،و عدم انجباره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وجوه النجس هی الأعیان النجسة،فإنّ وجه الشیء هو عنوانه الأوّلی،فلا تشمل المتنجّسات،لأنّها لیست نجسة بمعناوینها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السکونی الآمرة باهراق المرق المتنجّس بموت الفارة فیه </w:t>
      </w:r>
      <w:r>
        <w:rPr>
          <w:rStyle w:val="FootnoteAnchor"/>
          <w:rtl w:val="true"/>
        </w:rPr>
        <w:footnoteReference w:id="424"/>
      </w:r>
      <w:r>
        <w:rPr>
          <w:rFonts w:ascii="IRNazanin" w:hAnsi="IRNazanin" w:eastAsia="IRNazanin"/>
          <w:color w:val="111111"/>
          <w:sz w:val="28"/>
          <w:sz w:val="28"/>
          <w:szCs w:val="28"/>
          <w:rtl w:val="true"/>
          <w:lang w:bidi="fa-IR"/>
        </w:rPr>
        <w:t>فتدل علی حرمة الانتفاع به،إذ لو لا ذلک لجاز الانتفاع به باطعامه الصبی و نحوه و بضمیمة عدم القول بالفصل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عنها المصنّف بأنّ الأمر بالإهراق کنایة عن خصوص حرمة الأکل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الأمر بالإهراق هو عدم جواز الانتفاع بالمرق مطلقا إلاّ أنها لا تدل علی المدّعی لخصوصیة المورد،فإنّ المرق غیر قابل للانتفاع به إلاّ فی إطعام الصبی و نحوه بناء علی ما هو الظاهر من جواز ذلک،و من الواضح أنّ ذلک إنّما یکون عادة إذا کان المرق قلیلا،لا بمقدار القدر و نحوه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أنّ الفارة إذا ماتت فی السمن الجامد و نحوه وجب أن تطرح الفارة و ما یلیها من السمن </w:t>
      </w:r>
      <w:r>
        <w:rPr>
          <w:rStyle w:val="FootnoteAnchor"/>
          <w:rtl w:val="true"/>
        </w:rPr>
        <w:footnoteReference w:id="425"/>
      </w:r>
      <w:r>
        <w:rPr>
          <w:rFonts w:ascii="IRNazanin" w:hAnsi="IRNazanin" w:eastAsia="IRNazanin"/>
          <w:color w:val="111111"/>
          <w:sz w:val="28"/>
          <w:sz w:val="28"/>
          <w:szCs w:val="28"/>
          <w:rtl w:val="true"/>
          <w:lang w:bidi="fa-IR"/>
        </w:rPr>
        <w:t>،لأنّه لو جاز الانتفاع بالمتنجّس لما أمر</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بطرحه،لإمکان الانتفاع به فی غیر ما هو مشروط بالطهارة کتدهین السفن </w:t>
      </w:r>
      <w:r>
        <w:rPr>
          <w:rStyle w:val="FootnoteAnchor"/>
          <w:rtl w:val="true"/>
        </w:rPr>
        <w:footnoteReference w:id="426"/>
      </w:r>
      <w:r>
        <w:rPr>
          <w:rFonts w:ascii="IRNazanin" w:hAnsi="IRNazanin" w:eastAsia="IRNazanin"/>
          <w:color w:val="111111"/>
          <w:sz w:val="28"/>
          <w:sz w:val="28"/>
          <w:szCs w:val="28"/>
          <w:rtl w:val="true"/>
          <w:lang w:bidi="fa-IR"/>
        </w:rPr>
        <w:t xml:space="preserve">و الأجرب </w:t>
      </w:r>
      <w:r>
        <w:rPr>
          <w:rStyle w:val="FootnoteAnchor"/>
          <w:rtl w:val="true"/>
        </w:rPr>
        <w:footnoteReference w:id="427"/>
      </w:r>
      <w:r>
        <w:rPr>
          <w:rFonts w:ascii="IRNazanin" w:hAnsi="IRNazanin" w:eastAsia="IRNazanin"/>
          <w:color w:val="111111"/>
          <w:sz w:val="28"/>
          <w:sz w:val="28"/>
          <w:szCs w:val="28"/>
          <w:rtl w:val="true"/>
          <w:lang w:bidi="fa-IR"/>
        </w:rPr>
        <w:t>و نحوهما،فتدل علی المدّعی بضمیمة عدم القول بالفصل بین أفراد المتنجّسات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عنها المصنّف بأنّ الطرح کنایة عن حرمة الأکل فقط،فإنّ الانتفاع بالاستصباح به جائز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یرد علیه ما تقدّم من ظهور الأمر بالطرح فی حرمة الانتفاع به مطلقا،و أمّا الاستصباح به فإنّما خرج بالنصوص الخاصة کما عرفت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فی الجواب ما أشرنا إلیه من أنّ الأمر بطرح ما یلی الفأرة من السمن للإرشاد إلی عدم إمکان الانتفاع به بالاستصباح و نحوه لقلّته،فتکون الروایة غریبة عن المقام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ما فی روایة زکریا بن آدم التی تدل علی إهراق المرق</w:t>
      </w:r>
    </w:p>
    <w:p>
      <w:pPr>
        <w:pStyle w:val="BookText"/>
        <w:rPr/>
      </w:pPr>
      <w:r>
        <w:rPr>
          <w:rFonts w:ascii="Amiri" w:hAnsi="Amiri" w:eastAsia="Amiri" w:cs="Amiri"/>
          <w:color w:val="111111"/>
          <w:sz w:val="28"/>
          <w:sz w:val="28"/>
          <w:szCs w:val="28"/>
          <w:rtl w:val="true"/>
          <w:lang w:bidi="ar-SA"/>
        </w:rPr>
        <w:t xml:space="preserve">المتنجّس </w:t>
      </w:r>
      <w:r>
        <w:rPr>
          <w:rStyle w:val="FootnoteAnchor"/>
          <w:rtl w:val="true"/>
        </w:rPr>
        <w:footnoteReference w:id="429"/>
      </w:r>
      <w:r>
        <w:rPr>
          <w:rFonts w:ascii="IRNazanin" w:hAnsi="IRNazanin" w:eastAsia="IRNazanin"/>
          <w:color w:val="111111"/>
          <w:sz w:val="28"/>
          <w:sz w:val="28"/>
          <w:szCs w:val="28"/>
          <w:rtl w:val="true"/>
          <w:lang w:bidi="fa-IR"/>
        </w:rPr>
        <w:t>،فإنّ الأمر بالهراقة فیها إرشاد إلی ما ذکرناه من قلّة نفعه،مضافا إلی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روایتی سماعة </w:t>
      </w:r>
      <w:r>
        <w:rPr>
          <w:rStyle w:val="FootnoteAnchor"/>
          <w:rtl w:val="true"/>
        </w:rPr>
        <w:footnoteReference w:id="430"/>
      </w:r>
      <w:r>
        <w:rPr>
          <w:rFonts w:ascii="IRNazanin" w:hAnsi="IRNazanin" w:eastAsia="IRNazanin"/>
          <w:color w:val="111111"/>
          <w:sz w:val="28"/>
          <w:sz w:val="28"/>
          <w:szCs w:val="28"/>
          <w:rtl w:val="true"/>
          <w:lang w:bidi="fa-IR"/>
        </w:rPr>
        <w:t>و عمّار الواردتین فی الإناءین المشتبهین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جمیعا و یتیمّم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بهراقة الإناءین مع إمکان الانتفاع بهما فی غیر ما هو مشروط بالطهارة ظاهر فی حرمة الانتفاع بالماء المتنجّس،و بضمیمة عدم القول بالفصل بین أفراد المتنجّسات یتمّ المطلوب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خصوصیة المورد تقتضی کون الأمر بالإهراق إرشادا إلی مانعیة النجاسة عن الوضوء،ثم إذا سلّمنا کون الأمر فیهما للمولویة التکلیفیة فمن المحتمل القریب أن یکون الغرض من الأمر هو تتمیم موضوع جواز التیمّم،لأنّ جوازه فی الشریعة المقدّسة مقیّد بفقدان الماء،و قبل إراقة الإناءین لا یتحقّق عنوان الفقدان لوجود الماء الطاهر عنده و إن لم یعرفه بعینه،و لذلک أفتی بعض الفقهاء بعدم جواز التیمّم قبل إهراق الإناءین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الواردة فی إهراق الماء المتنجّس </w:t>
      </w:r>
      <w:r>
        <w:rPr>
          <w:rStyle w:val="FootnoteAnchor"/>
          <w:rtl w:val="true"/>
        </w:rPr>
        <w:footnoteReference w:id="431"/>
      </w:r>
      <w:r>
        <w:rPr>
          <w:rFonts w:ascii="IRNazanin" w:hAnsi="IRNazanin" w:eastAsia="IRNazanin"/>
          <w:color w:val="111111"/>
          <w:sz w:val="28"/>
          <w:sz w:val="28"/>
          <w:szCs w:val="28"/>
          <w:rtl w:val="true"/>
          <w:lang w:bidi="fa-IR"/>
        </w:rPr>
        <w:t>،فإنّه لو لا حرمة الانتفاع به فی غیر ما هو مشروط بالطهارة لم یؤمر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أنّ خصوصیة المورد تقتضی ذلک،لقلّة نفعه فی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بالهراقة فی تلک الأخبار إرشاد إلی عدم جواز التوضّی من ذلک الماء للنجاسة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التعدّی من موردها إلی غیره من الاستعمالات،إلاّ إذا کان مشروطا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دلالة فیها علی المطلوب أیضا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المستفیضة عند الخاصة </w:t>
      </w:r>
      <w:r>
        <w:rPr>
          <w:rStyle w:val="FootnoteAnchor"/>
          <w:rtl w:val="true"/>
        </w:rPr>
        <w:footnoteReference w:id="432"/>
      </w:r>
      <w:r>
        <w:rPr>
          <w:rFonts w:ascii="Amiri" w:hAnsi="Amiri" w:eastAsia="Amiri" w:cs="Amiri"/>
          <w:color w:val="111111"/>
          <w:sz w:val="28"/>
          <w:sz w:val="28"/>
          <w:szCs w:val="28"/>
          <w:rtl w:val="true"/>
          <w:lang w:bidi="ar-SA"/>
        </w:rPr>
        <w:t xml:space="preserve">و العامّة </w:t>
      </w:r>
      <w:r>
        <w:rPr>
          <w:rStyle w:val="FootnoteAnchor"/>
          <w:rtl w:val="true"/>
        </w:rPr>
        <w:footnoteReference w:id="433"/>
      </w:r>
      <w:r>
        <w:rPr>
          <w:rFonts w:ascii="IRNazanin" w:hAnsi="IRNazanin" w:eastAsia="IRNazanin"/>
          <w:color w:val="111111"/>
          <w:sz w:val="28"/>
          <w:sz w:val="28"/>
          <w:szCs w:val="28"/>
          <w:rtl w:val="true"/>
          <w:lang w:bidi="fa-IR"/>
        </w:rPr>
        <w:t>الواردة فی</w:t>
      </w:r>
    </w:p>
    <w:p>
      <w:pPr>
        <w:pStyle w:val="BookText"/>
        <w:rPr/>
      </w:pPr>
      <w:r>
        <w:rPr>
          <w:rFonts w:ascii="IRNazanin" w:hAnsi="IRNazanin" w:eastAsia="IRNazanin"/>
          <w:color w:val="111111"/>
          <w:sz w:val="28"/>
          <w:sz w:val="28"/>
          <w:szCs w:val="28"/>
          <w:rtl w:val="true"/>
          <w:lang w:bidi="fa-IR"/>
        </w:rPr>
        <w:t>الاستصباح بالدهن المتنجّس،فإنّها ظاهرة فی أنّ الانتفاع به منحصر فی الإسراج فإنّه لو جاز الانتفاع به فی غیره أیضا لتعرّض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أو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التخصیص أنّ النفع الظاهر للدهن هو الأکل و الإسراج فقط فإذا حرم أکله للتنجّس اختص الانتفاع به بالإسراج،فلذا لم یتعرّض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الاستصباح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دلالة فیها أیضا علی المدّعی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قد ورد فی بعض الروایات جواز الانتفاع به بغیر الاستصباح،کقوله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قرب الاسناد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ینتفع به بسراج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عنه بطرق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 خاصّة یبیعه لمن یعمله صابونا</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فإنّ الظاهر أنه لا خصوصیة للمورد فیهما،و نتیجة التعدّی عنه هو</w:t>
      </w:r>
    </w:p>
    <w:p>
      <w:pPr>
        <w:pStyle w:val="BookText"/>
        <w:rPr/>
      </w:pPr>
      <w:r>
        <w:rPr>
          <w:rFonts w:ascii="IRNazanin" w:hAnsi="IRNazanin" w:eastAsia="IRNazanin"/>
          <w:color w:val="111111"/>
          <w:sz w:val="28"/>
          <w:sz w:val="28"/>
          <w:szCs w:val="28"/>
          <w:rtl w:val="true"/>
          <w:lang w:bidi="fa-IR"/>
        </w:rPr>
        <w:t>جواز الانتفاع بکل متنجّس بجمیع الانتفاعات المحلّلة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ورد فی أحادیث العامة جواز الانتفاع به مطلقا من غیر تقیید بنوع خاص من المنافع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یخطر بالبال أنّ الأمر فی الروایات بخصوص الاستصباح دون غیره إنّما هو فیما لا یتمکّن الإنسان من الانتفاع به بغیر الاستصباح و لو فی الوجوه النادرة من المنافع،و إلاّ فلا خصوصیة للتقیید بالاستصباح،کما لا خصوصیة للتقیید بجعله صابونا،و لذا جوّز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ینتفع به بغیرهما أیضا فی روایة قرب الإسناد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ضعیفة السند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بانعقاد الإجماع علی حرمة الانتفاع بالمتنجّس مطلقا،فیکون مقتضی الأصل هو حرمة الانتفاع به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ذلک ممنوع،فإنّ الإجماع المنقول ممنوع الحجّیة،و قد حقّقناه فی علم الاصول </w:t>
      </w:r>
      <w:r>
        <w:rPr>
          <w:rStyle w:val="FootnoteAnchor"/>
          <w:rtl w:val="true"/>
        </w:rPr>
        <w:footnoteReference w:id="437"/>
      </w:r>
      <w:r>
        <w:rPr>
          <w:rFonts w:ascii="IRNazanin" w:hAnsi="IRNazanin" w:eastAsia="IRNazanin"/>
          <w:color w:val="111111"/>
          <w:sz w:val="28"/>
          <w:sz w:val="28"/>
          <w:szCs w:val="28"/>
          <w:rtl w:val="true"/>
          <w:lang w:bidi="fa-IR"/>
        </w:rPr>
        <w:t>،علی أنّ دعوی الإجماع فی</w:t>
      </w:r>
    </w:p>
    <w:p>
      <w:pPr>
        <w:pStyle w:val="BookText"/>
        <w:rPr/>
      </w:pPr>
      <w:r>
        <w:rPr>
          <w:rFonts w:ascii="IRNazanin" w:hAnsi="IRNazanin" w:eastAsia="IRNazanin"/>
          <w:color w:val="111111"/>
          <w:sz w:val="28"/>
          <w:sz w:val="28"/>
          <w:szCs w:val="28"/>
          <w:rtl w:val="true"/>
          <w:lang w:bidi="fa-IR"/>
        </w:rPr>
        <w:t>المسألة موهونة بکثرة المخالفین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الإجماع المحصّل علی ذلک فهو ممنوع التحقّق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إلی ما ذکرناه کلّه أنه لا ظهور لعبارات الفقهاء المحتویة لنقله فی ذلک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الغنیة بعد أن اشترط فی البیع أن یکون ممّا ینتفع به منفعة 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قیّدنا بکونها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مباحة تحفّظا من المنافع المحرّمة،و یدخل فی ذلک کل نجس لا یمکن تطهیره،إلاّ ما أخرجه الدلیل من بیع الکلب المعلّم للصید و الزیت النجس للاستصباح به تحت السماء،و هو إجماع الطائفة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العبارة و إن کانت صریحة فی نقل الإجماع،إلاّ أنّ الظاهر رجوعه إلی مطلع کلامه،أعنی حرمة بیع النجس،فلا دلالة فیها علی حرمة الانتفاع بالمتنجّس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قریبا أن یرجع إلی آخر کلامه،أعنی استثناء الکلب المعلّم للصید و الزیت المتنجّس للاستصباح من حرمة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ماتت الفارة فی سمن أو زیت أو شیرج أو بزرنجس کلّه،و جاز الاستصباح به،و لا یجوز أکله،و لا الانتفاع به لغیر الاستصباح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المخالفین فی المسألة من العامّة و غیرهم،إلی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دلیلنا إجماع الفرقة و أخبارهم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محط کلامه إنّما هو الدهن المتنجّس فقط،فلو صح ما ادّعاه من الإجماع لدل علی حرمة الانتفاع به خاصة،لکونه هو المتیقّن من مورد الإجماع فلا یشمل سائر المتنجّسات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المصنّف عمّا ادّعاه الشیخ من الإجماع بأنّ معقده ما وقع الخلاف فیه بینه و بین من ذکر من المخالفین،إذ فرق بین دعوی الإجماع علی محل النزاع بعد تحریره و بین دعواه ابتداء علی الأحکام المذکورات فی عنوان المسألة،فإنّ الثانی یشمل الأحکام کلّها،و الأول لا یشمل إلاّ الحکم الواقع مورد الخلاف،لأنّه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أفاده و إن کان صحیحا بحسب الکبری،إلاّ أنه خلاف ما یظهر من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دعوی الإجماع علی جمیع الأحکام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فی الجواب هو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أنّا لو سلّمنا قیام الإجماع علی ذلک فلا نسلّم کونه إجماعا تعبّدیا کاشفا عن 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المحتمل القریب جدّا بل المظنون عادة أنّ مدرکه هو الوجوه المذکورة فی المقام لحرمة الانتفاع بمطلق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 الصبغ و الحنّاء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الصبغ و الحنّاء لیسا من محل النزاع هنا فی شیء،و لم یتقدّم لهما ذکر سابق،فلا نری وجها صحیحا لذکرهما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بالنصّ ما ورد من المنع عن الاستصباح بالدهن المتنجّس تحت السقف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عدم ورود النص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أظنّ و إن کان الظنّ لا یغنی لغیری شیئا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یغنیه أیضا،لعدم کونه من الظنون المعتبرة،اللهمّ إلاّ أن یکون مراده من ذلک هو الظنّ الاطمئنانی،فیکون حجّة له 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إشارة إلی ما عن الراوندی فی کتاب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w:t>
      </w:r>
      <w:r>
        <w:rPr>
          <w:rStyle w:val="FootnoteAnchor"/>
          <w:rtl w:val="true"/>
        </w:rPr>
        <w:footnoteReference w:id="440"/>
      </w:r>
      <w:r>
        <w:rPr>
          <w:rFonts w:ascii="IRNazanin" w:hAnsi="IRNazanin" w:eastAsia="IRNazanin"/>
          <w:color w:val="111111"/>
          <w:sz w:val="28"/>
          <w:sz w:val="28"/>
          <w:szCs w:val="28"/>
          <w:rtl w:val="true"/>
          <w:lang w:bidi="fa-IR"/>
        </w:rPr>
        <w:t>أنّها روایة واحدة نقلت بطرق ثلاثة،و لم یقع السؤال عن الشحم فی شیء منها،فما نقل فی المتن ناشئ عن سهو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قلنا بجواز البیع فی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یصح الانتفاع بالمتنجّس علی وجه الإطلاق،فکذلک یصح بیعه للعمومات المقتضیة لذلک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Style w:val="FootnoteAnchor"/>
          <w:rtl w:val="true"/>
        </w:rPr>
        <w:footnoteReference w:id="441"/>
      </w:r>
      <w:r>
        <w:rPr>
          <w:rFonts w:ascii="Amiri" w:hAnsi="Amiri" w:eastAsia="Amiri" w:cs="Amiri"/>
          <w:color w:val="111111"/>
          <w:sz w:val="28"/>
          <w:sz w:val="28"/>
          <w:szCs w:val="28"/>
          <w:rtl w:val="true"/>
          <w:lang w:bidi="ar-SA"/>
        </w:rPr>
        <w:t xml:space="preserve">و أَحَلَّ اللّهُ الْبَیْعَ </w:t>
      </w:r>
      <w:r>
        <w:rPr>
          <w:rStyle w:val="FootnoteAnchor"/>
          <w:rtl w:val="true"/>
        </w:rPr>
        <w:footnoteReference w:id="442"/>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443"/>
      </w:r>
      <w:r>
        <w:rPr>
          <w:rFonts w:ascii="IRNazanin" w:hAnsi="IRNazanin" w:eastAsia="IRNazanin"/>
          <w:color w:val="111111"/>
          <w:sz w:val="28"/>
          <w:sz w:val="28"/>
          <w:szCs w:val="28"/>
          <w:rtl w:val="true"/>
          <w:lang w:bidi="fa-IR"/>
        </w:rPr>
        <w:t xml:space="preserve">و علیه فلا نحتاج فی ذلک إلی التمسک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یکون لهم فیه الصلاح من جهة من الجهات فهذا کلّه حلال بیعه و شراؤه و إمساکه و 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تمسّک به المصنّف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یقتضیه استصحاب الحکم قبل التنجیس</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سلّمنا جریان الاستصحاب فی الأحکام الکلّیة الإلهیة،و أغمضنا عن معارضته دائما بأصالة عدم الجعل کما نقّحناه فی الاصول </w:t>
      </w:r>
      <w:r>
        <w:rPr>
          <w:rStyle w:val="FootnoteAnchor"/>
          <w:rtl w:val="true"/>
        </w:rPr>
        <w:footnoteReference w:id="444"/>
      </w:r>
      <w:r>
        <w:rPr>
          <w:rFonts w:ascii="IRNazanin" w:hAnsi="IRNazanin" w:eastAsia="IRNazanin"/>
          <w:color w:val="111111"/>
          <w:sz w:val="28"/>
          <w:sz w:val="28"/>
          <w:szCs w:val="28"/>
          <w:rtl w:val="true"/>
          <w:lang w:bidi="fa-IR"/>
        </w:rPr>
        <w:t>،فلا نسلّم جریانه فی المقام،لأنّ محل الکلام هو الجواز الوضعی،بمعنی نفوذ البیع علی تقدیر وجوده و علیه فاستصحاب الجواز بعد التنجّس یکون من الاستصحاب التعلیقی الذی لا نقول به</w:t>
      </w:r>
      <w:r>
        <w:rPr>
          <w:rFonts w:eastAsia="IRNazanin" w:cs="IRNazanin"/>
          <w:color w:val="111111"/>
          <w:sz w:val="28"/>
          <w:szCs w:val="28"/>
          <w:rtl w:val="true"/>
          <w:lang w:bidi="fa-IR"/>
        </w:rPr>
        <w:t>.</w:t>
      </w:r>
      <w:bookmarkStart w:id="277" w:name="pg5064_65321"/>
    </w:p>
    <w:p>
      <w:pPr>
        <w:pStyle w:val="BookText"/>
        <w:rPr/>
      </w:pPr>
      <w:bookmarkEnd w:id="27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فَاجْتَنِبُوهُ </w:t>
      </w:r>
      <w:r>
        <w:rPr>
          <w:rStyle w:val="FootnoteAnchor"/>
          <w:rtl w:val="true"/>
        </w:rPr>
        <w:footnoteReference w:id="44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یتوهّم أنّ إیراد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المذکورة هنا لا یخلو من الاشتباه و سهو القلم،لأنه قد استدلّ بها فیما مضی علی حرمة الانتفاع بالمتنجّس و کلامنا هنا مختص بجواز البیع فقط،و لکنّه توهّم فاسد،فإنّ ذکر الآیات هنا لیس إلاّ لدفع توهّم الاستدلال بها علی بطلان بیع المتنجّس،و القرینة علی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أنّها لا تدل علی حرمة الانتفاع بالمتنجّس فضلا عن حرمة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مثل بیع الصابون المتنجّس فلا یندفع الإشکال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عدم الاندفاع هو أنّ الثوب المغسول بالصابون المتنجّس و إن کان یقبل الطهارة بالغسل،إلاّ أنه لیس معنی ذلک أنّ الصابون رجع إلی حالة یقبل معها الطهارة،فإنّ الأجزاء الصابونیة تنفصل عن الثوب بالغسل و إن کانت فی غایة النجاسة و الخباثة</w:t>
      </w:r>
      <w:r>
        <w:rPr>
          <w:rFonts w:eastAsia="IRNazanin" w:cs="IRNazanin"/>
          <w:color w:val="111111"/>
          <w:sz w:val="28"/>
          <w:szCs w:val="28"/>
          <w:rtl w:val="true"/>
          <w:lang w:bidi="fa-IR"/>
        </w:rPr>
        <w:t>.</w:t>
      </w:r>
    </w:p>
    <w:p>
      <w:pPr>
        <w:pStyle w:val="Heading3"/>
        <w:numPr>
          <w:ilvl w:val="2"/>
          <w:numId w:val="1"/>
        </w:numPr>
        <w:rPr/>
      </w:pPr>
      <w:bookmarkStart w:id="278" w:name="__RefHeading___Toc910136_774463916"/>
      <w:bookmarkStart w:id="279" w:name="_Toc102"/>
      <w:bookmarkEnd w:id="278"/>
      <w:r>
        <w:rPr>
          <w:rtl w:val="true"/>
        </w:rPr>
        <w:t>الأصل جواز الانتفاع بالأعیان النجسة</w:t>
      </w:r>
      <w:bookmarkEnd w:id="279"/>
    </w:p>
    <w:p>
      <w:pPr>
        <w:pStyle w:val="Heading4"/>
        <w:numPr>
          <w:ilvl w:val="3"/>
          <w:numId w:val="1"/>
        </w:numPr>
        <w:rPr/>
      </w:pPr>
      <w:bookmarkStart w:id="280" w:name="__RefHeading___Toc910138_774463916"/>
      <w:bookmarkStart w:id="281" w:name="_Toc103"/>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 حکم نجس العین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الأصل جواز الانتفاع بالأعیان النجسة أیضا إلاّ ما خرج بالدلیل کما اختاره بعض الأعاظم،و إن ذهب المشهور إلی حرمة الانتفاع بها،بل ادّعی علیه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أوّل المکاسب من المراسم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المیتة و لحم</w:t>
      </w:r>
      <w:bookmarkStart w:id="282" w:name="pg5064_65322"/>
    </w:p>
    <w:p>
      <w:pPr>
        <w:pStyle w:val="BookText"/>
        <w:rPr/>
      </w:pPr>
      <w:bookmarkEnd w:id="282"/>
      <w:r>
        <w:rPr>
          <w:rFonts w:ascii="IRNazanin" w:hAnsi="IRNazanin" w:eastAsia="IRNazanin"/>
          <w:color w:val="111111"/>
          <w:sz w:val="28"/>
          <w:sz w:val="28"/>
          <w:szCs w:val="28"/>
          <w:rtl w:val="true"/>
          <w:lang w:bidi="fa-IR"/>
        </w:rPr>
        <w:t xml:space="preserve">الخنزیر و شحمه و الدم و العذرة و الأبوال ببیع و غیره حرام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المکاسب المحظورة من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النجاسات محرّم التصرّف فیها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فصل ما یصح بیعه و ما لا یصح من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نجس العین لا یجوز بیعه،و لا إجارته،و لا الانتفاع به،و لا اقتناؤه بحال إجماعا،إلاّ الکلب فإنّ فیه خلافا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النهج مذاهب فقهاء العامّة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910140_774463916"/>
      <w:bookmarkStart w:id="284" w:name="_Toc104"/>
      <w:bookmarkEnd w:id="283"/>
      <w:r>
        <w:rPr>
          <w:rtl w:val="true"/>
        </w:rPr>
        <w:t>ما استدلّ به علی الحرمة و مناقشته</w:t>
      </w:r>
      <w:bookmarkEnd w:id="284"/>
    </w:p>
    <w:p>
      <w:pPr>
        <w:pStyle w:val="BookText"/>
        <w:rPr/>
      </w:pPr>
      <w:r>
        <w:rPr>
          <w:rFonts w:ascii="IRNazanin" w:hAnsi="IRNazanin" w:eastAsia="IRNazanin"/>
          <w:color w:val="111111"/>
          <w:sz w:val="28"/>
          <w:sz w:val="28"/>
          <w:szCs w:val="28"/>
          <w:rtl w:val="true"/>
          <w:lang w:bidi="fa-IR"/>
        </w:rPr>
        <w:t>و کیف کان،فقد استدل علی عدم الجواز بوجوه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المتقدّمة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فَاجْتَنِبُوهُ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 و قد عرفت الجواب عن ذلک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w:t>
      </w:r>
      <w:r>
        <w:rPr>
          <w:rStyle w:val="FootnoteAnchor"/>
          <w:rtl w:val="true"/>
        </w:rPr>
        <w:footnoteReference w:id="451"/>
      </w:r>
      <w:r>
        <w:rPr>
          <w:rFonts w:ascii="IRNazanin" w:hAnsi="IRNazanin" w:eastAsia="IRNazanin"/>
          <w:color w:val="111111"/>
          <w:sz w:val="28"/>
          <w:sz w:val="28"/>
          <w:szCs w:val="28"/>
          <w:rtl w:val="true"/>
          <w:lang w:bidi="fa-IR"/>
        </w:rPr>
        <w:t>فإنّ عموم التحریم فیها یقتضی حرمة الانتفاع بما ذکر فیها،و بعدم القول بالفصل بین أفراد النجس یتم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تحریم أی شیء إنّما هو بحسب ما یناسبه من التصرفات،فما یناسب المیتة و الدم و لحم الخنزیر إنّما هو تحریم الأکل لا جمیع التصرفات،کما أنّ المناسب لتحریم الام و البنت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وَ بَناتُکُمْ </w:t>
      </w:r>
      <w:r>
        <w:rPr>
          <w:rStyle w:val="FootnoteAnchor"/>
          <w:rtl w:val="true"/>
        </w:rPr>
        <w:footnoteReference w:id="452"/>
      </w:r>
      <w:r>
        <w:rPr>
          <w:rFonts w:ascii="IRNazanin" w:hAnsi="IRNazanin" w:eastAsia="IRNazanin"/>
          <w:color w:val="111111"/>
          <w:sz w:val="28"/>
          <w:sz w:val="28"/>
          <w:szCs w:val="28"/>
          <w:rtl w:val="true"/>
          <w:lang w:bidi="fa-IR"/>
        </w:rPr>
        <w:t>إنّما هو تحریم النکاح فقط،دون النظر و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أیضا کل ما دل من الأخبار و الإجماع علی عدم جواز بیع نجس العین،بناء علی أنّ المنع من بیعه لا یکون إلاّ مع حرمة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لکنّا لم نجد فیما تقدّم و لا فیما یأتی ما دل من الأخبار علی عدم جواز بیع النجس بعنوانه،فضلا عن کون المنع عن البیع من جهة عدم جواز الانتفاع به،نعم تقدّم </w:t>
      </w:r>
      <w:r>
        <w:rPr>
          <w:rStyle w:val="FootnoteAnchor"/>
          <w:rtl w:val="true"/>
        </w:rPr>
        <w:footnoteReference w:id="453"/>
      </w:r>
      <w:r>
        <w:rPr>
          <w:rFonts w:ascii="IRNazanin" w:hAnsi="IRNazanin" w:eastAsia="IRNazanin"/>
          <w:color w:val="111111"/>
          <w:sz w:val="28"/>
          <w:sz w:val="28"/>
          <w:szCs w:val="28"/>
          <w:rtl w:val="true"/>
          <w:lang w:bidi="fa-IR"/>
        </w:rPr>
        <w:t>فی مبحث بیع المیتة ما دل علی حرمة الانتفاع بالمیتة،إلاّ أنّک عرفت هناک معارضتها بما دل علی جواز الانتفاع بها،و أنّ الترجیح للروایات المجوّزة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أنّا إذا أخذنا بالروایات المانعة فهی أخص من المدّعی،لأنّها مختصّة بالمیتة،و موضوع کلامنا أعم منها و من سائر النجاسات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روایة تحف العقول صریحة فی المدّعی،فإنّ 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وجوه النجس،فهذا کلّه حرام محرّم،لأنّ ذلک کلّه منهی عن أکله و شربه و لبسه و ملکه و إمساکه و التقلّب فیه،فجمیع تقلّبه فی ذلک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صریحة لا تکاد تنکر،و لا وجه لحملها علی الإمساک و التقلّب لأجل الأکل و الشرب کما فی المتن،إلاّ أنّ الروایة لا یجوز الاعتماد علیها،لضعف سندها و عدم انجباره بعمل المشهور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محرّما أصله منهیا عنه لم یجز بیعه و لا شراؤه</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بدعوی أنّ حرمة البیع فی الروایة قد علّقت علی حرمة الشیء من أصله،فلا بدّ و أن یکون الانتفاع به محرّما مطلقا،إذ لو جاز الانتفاع به لجاز بیعه،للملازمة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ضعف السند فیها،أنّ المراد بالحرمة فی الروایة حرمة التصرفات المناسبة لذلک الشیء المحرّم،لا حرمة جمیع التصرفات،و علیه فلا یستفاد منها حرمة جمیع الانتفاعات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أنّا لو سلّمنا دلالتها علی حرمة جمیع التصرفات فغایة ما یستفاد منها أنّ کل ما لا یجوز الانتفاع به بوجه فلا یجوز بیعه لا أنّ کل ما لا یجوز بیعه فلا یجوز الانتفاع به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تجلّی ما فی النبوی المشهور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علی قوم شیئا حرم علیهم ثمنه</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نجد آیة و لا روایة تدل علی حرمة الانتفاع بنجس العین مطلقا إلاّ فی موارد خاصة کالخمر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المدّعی علی حرمة الانتفاع بها،و تقریره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حرمة بیعها،و بما أنّ حرمة البیع تستلزم حرمة الانتفاع،للملازمة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ذلک فی الحاشیة عن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الثانی أیضا موردا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الملازمة بین الحرمتین،لجواز کون النهی عن بیعه تعبّدا محضا و علیه فإذا قام الإجماع علی حرمة البیع فلا یمکن أن یستدل به علی حرمة الانتفاع إلاّ بالحدس الظنّی،و من الواضح أنّ الظنّ لا یغنی من الحق شیئا،بل اللازم أن یقتصر فی الإجماع علی مورده المتیقّن،من دون أن یتعدّی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الإجماع علی حرمة الانتفاع بها ابتداء،کما هو الظاهر من فخر الدین </w:t>
      </w:r>
      <w:r>
        <w:rPr>
          <w:rStyle w:val="FootnoteAnchor"/>
          <w:rtl w:val="true"/>
        </w:rPr>
        <w:footnoteReference w:id="456"/>
      </w:r>
      <w:r>
        <w:rPr>
          <w:rFonts w:ascii="IRNazanin" w:hAnsi="IRNazanin" w:eastAsia="IRNazanin"/>
          <w:color w:val="111111"/>
          <w:sz w:val="28"/>
          <w:sz w:val="28"/>
          <w:szCs w:val="28"/>
          <w:rtl w:val="true"/>
          <w:lang w:bidi="fa-IR"/>
        </w:rPr>
        <w:t xml:space="preserve">و الفاضل المقداد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دعواه فی مثل هذه المسألة مع ذهاب الأکثر إلی جواز الانتفاع بها من الامور الصعبة،و لو سلّمت هذه الدعوی فلا یمکن إثبات کونه إجماعا تعبّدیا لإمکان استناد المجمعین فی ذلک إلی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الجابر لروایة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أوّل الکتاب عدم انجبار ضعف الروایة بشیء من الشهرة و الإجماع و غیرهما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أن یراد من جمیع التقلّب جمیع أنواع التعاطی لا الاستعمالات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فرضنا اعتبار الروایة فلا مناص من القول بحرمة التصرف فی الأعیان النجسة علی وجه الإطلاق و لو بالإمساک،و لا وجه لتقییدها بخصوص التعاطی،کما لا وجه لتقیید النهی عن الإمساک بالإمساک علی وجه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هذه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عن الانتفاع بشیء ینصرف إلی النهی عن الانتفاع به فی منافعه الظاهرة،لأنّ المنفعة النادرة لا تعد من المنافع عرفا،فهی خارجة عن حدود النهی و إن کان الإطلاق فی نفسه شاملا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الانتفاع بشیء یدل علی تحریم جمیع منافعه،لأنّ النهی عن الطبیعة یقتضی الانزجار عن جمیع أفرادها،و لذلک کان دالا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الدلالة علی العموم إنّما تسلّم بمقدار ما ینصرف إلیه اللفظ فقط و نظیر ذلک العمومات الناهیة عن الصلاة فی أجزاء ما لا یؤکل لحمه،فإنّه ینصرف إلی غیر الإنسان،فلا ینعقد للعموم ظهور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القول بحرمة الانتفاع بالنجس مطلقا لا یقتضی حرمة اقتنائه و إن کان الاقتناء لغیر الغرض العقلائی،و من هنا ورد فی جملة من الأحادیث جواز اقتناء الخمر </w:t>
      </w:r>
      <w:r>
        <w:rPr>
          <w:rStyle w:val="FootnoteAnchor"/>
          <w:rtl w:val="true"/>
        </w:rPr>
        <w:footnoteReference w:id="458"/>
      </w:r>
      <w:r>
        <w:rPr>
          <w:rFonts w:ascii="IRNazanin" w:hAnsi="IRNazanin" w:eastAsia="IRNazanin"/>
          <w:color w:val="111111"/>
          <w:sz w:val="28"/>
          <w:sz w:val="28"/>
          <w:szCs w:val="28"/>
          <w:rtl w:val="true"/>
          <w:lang w:bidi="fa-IR"/>
        </w:rPr>
        <w:t>،بل أخذها للتخلیل،مع أنّها من الخبائث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ورد أیضا جواز اقتناء بعض الکلاب و قد تقدّم ذلک فی البحث عن بیعها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العذرة للتسمید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التسمید فی اللغة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ما یصلح به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یدلّ علیه وقوع السؤال فی بعض الروایات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عن الجص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المحدّث الکاشانی فی کتاب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بالماء الماء الممزوج بالجص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ماء المطر الذی یصیب أرض المسجد المجصّص بذلک الجص،و کأنّه کان بلا سقف،فإنّ السنّة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بالنار ما یحصل من الوقود التی یستحیل بها أجزاء العذرة و العظام المختلطة بالجص رمادا،فإنّها تطهر بالاستحالة،و الغرض أنه قد ورد علی ذلک الجص أمران مطهّران هما النار و الماء،فلم یبق ریب فی طهارته،فلا یرد السؤال بأنّ النار إذا طهّرته أولا فکیف یحکم بتطهیر الماء له ثانیا إذ لا یلزم من ورود المطهّر الثانی تأثیره فی التطهیر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النار للنجاسة باحالتها رمادا أو دخانا،و تطهیر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ما یجبل به الجص یراد به حصول النظافة و زوال النفرة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یراد من الماء ماء المطر الذی یصیب الموضع المجصّص بذلک الجص المتنجّس لکون المسجد مکشوفا و بلا سقف کما احتمله الکاشانی،و أن یراد من النار الشمس،فإنّ الشمس إذا جفّفت شیئا طهّرته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یراد من التطهیر</w:t>
      </w:r>
    </w:p>
    <w:p>
      <w:pPr>
        <w:pStyle w:val="BookText"/>
        <w:rPr/>
      </w:pPr>
      <w:r>
        <w:rPr>
          <w:rFonts w:ascii="IRNazanin" w:hAnsi="IRNazanin" w:eastAsia="IRNazanin"/>
          <w:color w:val="111111"/>
          <w:sz w:val="28"/>
          <w:sz w:val="28"/>
          <w:szCs w:val="28"/>
          <w:rtl w:val="true"/>
          <w:lang w:bidi="fa-IR"/>
        </w:rPr>
        <w:t xml:space="preserve">التنظیف مجازا کما احتمله فی المستند </w:t>
      </w:r>
      <w:r>
        <w:rPr>
          <w:rStyle w:val="FootnoteAnchor"/>
          <w:rtl w:val="true"/>
        </w:rPr>
        <w:footnoteReference w:id="460"/>
      </w:r>
      <w:r>
        <w:rPr>
          <w:rFonts w:ascii="IRNazanin" w:hAnsi="IRNazanin" w:eastAsia="IRNazanin"/>
          <w:color w:val="111111"/>
          <w:sz w:val="28"/>
          <w:sz w:val="28"/>
          <w:szCs w:val="28"/>
          <w:rtl w:val="true"/>
          <w:lang w:bidi="fa-IR"/>
        </w:rPr>
        <w:t>مطلقا،و صاحب الوسائل فی خصوص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الإغماض عمّا ذکرناه فالروایة مجملة،یرد علمها إلی أهلها،فإنّ الثابت فی الشریعة أنّ النار إنّما تطهر من النجاسات ما أحالته رمادا،و هذا الشرط غیر حاصل فی الجص،و أنّ الماء القلیل إنّما یطهّر الموضع المغسول إذا ورد علیه ثم انفصلت غسالته عنه،و کلا الأمرین منتف هنا،إلاّ أن یقال بعدم انفعال الماء القلیل بامتزاجه بالجص،و عدم اشتراط انفصال الغسالة فی التطهیر به،کما أشار إلیه المحدّث الکاشانی فی کلامه المتقدّم،قال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بالماء الماء الممزوج بالجص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 الأمرین مخدوش،و تفصیل الکلام فی محلّه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کان،فالمستفاد من الروایة أمران،أحدهما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الطهارة فیما یسجد علیه،و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السجود علی الجص و لو کان مطبوخا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منفعة النجس المحلّلة للأصل أو للنص قد یجعلها مالا عرفا،إلاّ أنّه منع الشرع عن بیعه کجلد المیتة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ذکرناه أنه لا ملازمة بین حرمة بیع الأعیان النجسة و بین حرمة الانتفاع بها و سقوطها عن المالیة،بل لا بدّ من ملاحظة دلیل الحرمة هل یوجد فیه ما یدل علی إلغاء المالیة من قبل الشارع کما فی الخمر و الخنزیر،فإن کان فیه ما یدل علی ذلک اخذ به و حکم بعدم ترتّب آثار المالیة علیها من الإرث و الضمان و غیرهما،و إلاّ فلا یصح أن یحکم بحرمة الانتفاع بها لمجرد حرمة بیعها کیف و قد علمت جواز الانتفاع بالمیتة و العذرة و شعر الخنزیر و کلب الماشیة و کلب</w:t>
      </w:r>
    </w:p>
    <w:p>
      <w:pPr>
        <w:pStyle w:val="BookText"/>
        <w:rPr/>
      </w:pPr>
      <w:r>
        <w:rPr>
          <w:rFonts w:ascii="IRNazanin" w:hAnsi="IRNazanin" w:eastAsia="IRNazanin"/>
          <w:color w:val="111111"/>
          <w:sz w:val="28"/>
          <w:sz w:val="28"/>
          <w:szCs w:val="28"/>
          <w:rtl w:val="true"/>
          <w:lang w:bidi="fa-IR"/>
        </w:rPr>
        <w:t>الحائط و کلب الزرع و غیرها من أنواع النجاسات مع ذهاب الأکثر إلی حرمة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یجب أن تترتّب علیها جمیع آثار المالیة،فإذا أتلفها أحد ضمنها لمالکها،و إذا مات مالکها انتقلت إلی وارثه،و لا یجوز للغیر أن یزاحم الورثة فی تصرفاتهم،و کذلک تجوز إعارتها و إجارتها و هبتها و لو هبة معوّضة،لأنّ حقیقة الهبة متقوّمة بالمجانیة،و اشتراط العوض فیها أمر زائد علی حقیقتها،و فائدته جواز فسخ الواهب إیّاها إذا لم یف له المتّهب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إذا حرم بیعه حرمت سائر المعاملات علیه بطریق الأولویة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الشرعیة توقیفیة محضة،فلا یجوز التعدّی عن مورد ثبت فیه التعبّد إلی غیره إلاّ بدلیل،و الموجود فی أدلّة النهی عن بیع الأعیان النجسة فی غیر ما ألغی الشارع مالیته إنّما هو حرمة ثمنها،فلا تشمل العوض فی سائر المعاملات،لعدم إطلاق الثمن علیه،إلاّ فی الصلح بناء علی کونه بیعا و من قبیل المبادلة بین المالین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الإیروانی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المالیة لا تدور مدار المنفعة،فإنّ الجواهر النفیسة و منها النقود أموال،و لا فائدة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الماء علی الشط أهم المنافع و لا یعد مالا و التراب ینتفع به أهم الانتفاع من اصطناع آجر أو خزف أو إناء و لیس بمال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دوران المالیة الشرعیة مدار المنفعة المحلّلة،و دوران المالیة العرفیة مدار مطلق المنافع و إن کانت محرّمة،و لکن الانتفاع بالأشیاء لیس علی نسق واحد،بل یختلف باختلاف ذی النفع،فنفع الجواهر و النقود بیعها و شراؤها و جعلها أثمانا للأمتعة و العروض،و أمّا عدم کون الماء علی الشط و التراب</w:t>
      </w:r>
      <w:bookmarkStart w:id="285" w:name="pg5064_65330"/>
    </w:p>
    <w:p>
      <w:pPr>
        <w:pStyle w:val="BookText"/>
        <w:rPr/>
      </w:pPr>
      <w:bookmarkEnd w:id="285"/>
      <w:r>
        <w:rPr>
          <w:rFonts w:ascii="IRNazanin" w:hAnsi="IRNazanin" w:eastAsia="IRNazanin"/>
          <w:color w:val="111111"/>
          <w:sz w:val="28"/>
          <w:sz w:val="28"/>
          <w:szCs w:val="28"/>
          <w:rtl w:val="true"/>
          <w:lang w:bidi="fa-IR"/>
        </w:rPr>
        <w:t>فی البر من الأموال مع الانتفاع بها أهم الانتفاع فلکون الناس فی الانتفاع بهما شرعا سواء،و لذا لو اختصّا بشخص واحد کبعض أقسام التراب فإنّ الناس یبذلون بازائهما المال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مالیة الأشیاء إنّما هی باعتبار منافعها،فعدیم المنفعة لیس من الأموال</w:t>
      </w:r>
      <w:r>
        <w:rPr>
          <w:rFonts w:eastAsia="IRNazanin" w:cs="IRNazanin"/>
          <w:color w:val="111111"/>
          <w:sz w:val="28"/>
          <w:szCs w:val="28"/>
          <w:rtl w:val="true"/>
          <w:lang w:bidi="fa-IR"/>
        </w:rPr>
        <w:t>.</w:t>
      </w:r>
    </w:p>
    <w:p>
      <w:pPr>
        <w:pStyle w:val="Heading4"/>
        <w:numPr>
          <w:ilvl w:val="3"/>
          <w:numId w:val="1"/>
        </w:numPr>
        <w:rPr/>
      </w:pPr>
      <w:bookmarkStart w:id="286" w:name="__RefHeading___Toc910142_774463916"/>
      <w:bookmarkStart w:id="287" w:name="_Toc105"/>
      <w:bookmarkEnd w:id="286"/>
      <w:r>
        <w:rPr>
          <w:rtl w:val="true"/>
        </w:rPr>
        <w:t>حقیقة حق الاختصاص و منشأ ثبوته</w:t>
      </w:r>
      <w:bookmarkEnd w:id="28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ثبوت حق الاختصاص فی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السیرة القطعیة الشرعیة و العقلائیة علی ثبوت حق الاختصاص و الأولویة للملاّک فی أموالهم التی سقطت عن المالیة للعوارض و الطوارئ،کالماء علی الشط،و الحیوان المملوک إذا مات،و الأراضی المملوکة إذا جعلها الجائر بین الناس شرعا سواء،کالطرق و الشوارع المغصوبة،بدیهة عدم جواز مزاحمة الأجانب عن تصرف الملاک فی أمثال تلک الموارد ما لم یثبت الإعراض،و هذا ممّا لا ریب فیه،و إنّما الکلام فی منشأ ذلک الحق،و قد 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الاختصاص سلطنة ثابتة فی الأموال،و هی غیر الملکیة،فإذا زالت الملکیة بقی الحق علی حاله،لأنّ کل واحد منهما ناشئ عن سبب 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و إن کان ممکنا فی مقام الثبوت،إلاّ أنّه ممنوع فی مقام الإثبات لعدم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الاختصاص مرتبة ضعیفة من الملکیة،فإذا زالت الملکیة بحدّها الأقوی بقیت منها المرتبة الضعیفة التی نسمّیها بحق الاختصاص،لعدم الملازمة بینهما فی الارتفاع،و یتّضح ذلک بملاحظة الألوان و الکیفیات الخارجیة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الملکیة الحقیقیة من أیّة مقولة کانت جدّة أو إضافة لیست قابلة</w:t>
      </w:r>
    </w:p>
    <w:p>
      <w:pPr>
        <w:pStyle w:val="BookText"/>
        <w:rPr/>
      </w:pPr>
      <w:r>
        <w:rPr>
          <w:rFonts w:ascii="IRNazanin" w:hAnsi="IRNazanin" w:eastAsia="IRNazanin"/>
          <w:color w:val="111111"/>
          <w:sz w:val="28"/>
          <w:sz w:val="28"/>
          <w:szCs w:val="28"/>
          <w:rtl w:val="true"/>
          <w:lang w:bidi="fa-IR"/>
        </w:rPr>
        <w:t>للشدّة و الضعف حتی تعتبر بحدّها الضعیف تارة،و بحدّها القوی تارة اخری،بل هی أمر بسیط،فإذا زالت زالت بأصلها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کون الملکیة الحقیقیة ذات مراتب لم یجر ذلک فی الاعتباریة،فإنّ اعتبار کل مرتبة منها مغایر لاعتبار المرتبة الاخری،و إذا زال اعتبار المرتبة القویة لم یبق بعده اعتبار آخر للمرتبة الضعیفة،و علیه فلا یبقی هناک شیء آخر لکی یسمّی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ینافی ما هو المعروف من أنّ الحق فی نفسه مرتبة ضعیفة من الملک فإنّ معنی هذا الکلام أنّ الملک و الحق کلیهما من مقولة السلطنة،و أنّ الملک سلطنة قویة و الحق سلطنة ضعیفة،و هو أمر آخر غیر اختلاف حقیقة الملک بالشدّة و الضعف و الکمال و النقص نظیر الألوان کما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ما نحن فیه تسمیة الرجحان الضعیف فی باب الأوامر بالاستحباب و الرجحان الشدید بالوجوب و هو أمر وراء کون الاستحباب مرتبة ضعیفة من الوجوب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ثبت فی الشریعة المقدّسة أنه لا یجوز لأحد أن یتصرّف فی مال غیره إلاّ بطیب نفسه،و قد دلّت علی ذلک السیرة القطعیة و جملة من الأخبار </w:t>
      </w:r>
      <w:r>
        <w:rPr>
          <w:rStyle w:val="FootnoteAnchor"/>
          <w:rtl w:val="true"/>
        </w:rPr>
        <w:footnoteReference w:id="463"/>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زالت الملکیة و شککنا فی زوال ذلک الحکم کان مقتضی الاستصحاب الحکم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عدم جریان الاستصحاب فی الأحکام،لمعارضته دائما بأصالة عدم الجعل کما نقّحناه فی علم الاصول </w:t>
      </w:r>
      <w:r>
        <w:rPr>
          <w:rStyle w:val="FootnoteAnchor"/>
          <w:rtl w:val="true"/>
        </w:rPr>
        <w:footnoteReference w:id="464"/>
      </w:r>
      <w:r>
        <w:rPr>
          <w:rFonts w:ascii="IRNazanin" w:hAnsi="IRNazanin" w:eastAsia="IRNazanin"/>
          <w:color w:val="111111"/>
          <w:sz w:val="28"/>
          <w:sz w:val="28"/>
          <w:szCs w:val="28"/>
          <w:rtl w:val="true"/>
          <w:lang w:bidi="fa-IR"/>
        </w:rPr>
        <w:t>أنّ موضوع الحکم بحرمة التصرف هو مال الغیر،فإذا سقط الشیء عن المالیة سقطت عنه حرمة التصرف حتی إذا کان باقیا علی صفة المملوکیة،إذ لا دلیل علی حرمة التصرف فی ملک الغیر،فکیف إذا زالت عنه الملکیة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الإجماع التعبّدی فی المسألة بعیدة جدّا،فإنّ من الممکن استناد المجمعین إلی الوجوه المذکورة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المرسلة المعروفة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ما لم یسبقه إلیه مسلم فهو أحقّ به</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علی وجود ذلک الحق فی الأشیاء التی سقطت عنها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الحیازة و إن اشتهر فی ألسنة الفقهاء و کتبهم الاستدلالیة و لکنّا لم نجده فی اصول الحدیث من الخاصة و العامة،و الظاهر أنه قاعدة فقهیة متصیّدة من الروایات الواردة فی الأبواب المختلفة،کإحیاء الموات و التحجیر و غیرهما،کسائر القواعد الفقهیة المضروبة لبیان الأحکام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کون ذلک روایة أو کان بناء الفقهاء علی الاستدلال بالقاعدة،فلا دلالة فیها علی ثبوت حق الاختصاص بعد زوال الملکیة،فإنّ الظاهر منها لیس إلاّ ثبوت مالکیة المحیز للمحاز،و أمّا الزائد عن ذلک فلا دلالة 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أنّها ضعیفة السند،و غیر منجبرة بشیء،فإنّ الشهرة إنّما تکون جابرة لضعف سند الروایة إذا علم استناد المشهور إلی الروایة الضعیفة،و لا ریب أنّ استناد أکثرهم هنا أو کلّهم إلی غیرها،و إنّما ذکروها للتأیید و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جبر الروایة الضعیفة بالشهرة ضعیف المبنی،و قد أشرنا إلیه فی أوّل الکتاب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السبق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السند،و غیر منجبر بشیء صغری</w:t>
      </w:r>
    </w:p>
    <w:p>
      <w:pPr>
        <w:pStyle w:val="BookText"/>
        <w:rPr/>
      </w:pPr>
      <w:r>
        <w:rPr>
          <w:rFonts w:ascii="IRNazanin" w:hAnsi="IRNazanin" w:eastAsia="IRNazanin"/>
          <w:color w:val="111111"/>
          <w:sz w:val="28"/>
          <w:sz w:val="28"/>
          <w:szCs w:val="28"/>
          <w:rtl w:val="true"/>
          <w:lang w:bidi="fa-IR"/>
        </w:rPr>
        <w:t>و کبری،و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نحن فیه خارج عن حدود هذا الحدیث،فإنّ مورده الموارد المشترکة بین المسلمین،بأن یکون لکل واحد منهم حق الانتفاع بها،کالأوقاف العامة من المساجد و المشاهد و المدارس و الرباط و غیرها،فإذا سبق إلیها أحد من الموقوف علیهم و أشغلها بالجهة التی انعقد علیها الوقف حرمت علی غیره مزاحمته و ممانعته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عمّمناه إلی موارد الحیازة فإنّما یدل علی ثبوت الحق الجدید للمحیز فی المحاز،و لا یدل علی بقاء العلقة بین المالک و ملکه بعد زوال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جمیع ما ذکرناه ظهر ما فی کلام المحقّق الإیروانی من الوهن،حیث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 علی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ثبوت حق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الحیازة فلعموم دلیل من سبق إلی ما لم یسبقه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فیما إذا کان أصله ملکا للشخص فلاستصحاب بقاء العلقة </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علمت أنّ المورد لیس ممّا یجری فیه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الحدیث لا یدل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یشترط فی الاختصاص بالحیازة قصد الحائز للانتفاع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کلامه أنه یشترط فی الاختصاص قصد الحائز الانتفاع بالمحاز فلو خلت حیازته عن ذلک القصد لم یثبت له حق الاختصاص فی المحاز و جاز لغیره مع العلم بذلک أن یزاحمه فی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الأوقاف العامة و المباحات الأصلیة،و علیه فیشکل الأمر فیما یتعارف فی أکثر البلاد من جمع العذرة و بیعها لتسمید البساتین و الزروع،فإنّ الظاهر بل المقطوع به أنه لیس للشخص قصد الانتفاع بفضلاته،و لم یحرزها للانتفاع بها،فیکون أخذ المال بازائها أخذا محرّما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المحاز قد یکون من الأمکنة المشترکة کالأوقاف</w:t>
      </w:r>
    </w:p>
    <w:p>
      <w:pPr>
        <w:pStyle w:val="BookText"/>
        <w:rPr/>
      </w:pPr>
      <w:r>
        <w:rPr>
          <w:rFonts w:ascii="IRNazanin" w:hAnsi="IRNazanin" w:eastAsia="IRNazanin"/>
          <w:color w:val="111111"/>
          <w:sz w:val="28"/>
          <w:sz w:val="28"/>
          <w:szCs w:val="28"/>
          <w:rtl w:val="true"/>
          <w:lang w:bidi="fa-IR"/>
        </w:rPr>
        <w:t>العامة،و قد یکون من المباحات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أنّ اختصاص الحائز به مشروط بقصد الانتفاع علی حسب ما أوقفه أهله،و إلاّ فلا یثبت له الاختصاص،لکونه علی خلاف مقصود الواقف،و من هنا لم یجز بیعه و لا هبته و لا إجارته و لا استملاکه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لو قلنا بعدم الاشتراط بذلک لجاز إشغال المساجد و معابد المسلمین بنحو من الحیازة و لو بإلقاء السجّادة و وضع التربة ثم بیعها من المصلّین،و من البدیهی أنّ هذا علی خلاف وجهة الوقف،نعم لو اکتفینا فی ثبوت الاختصاص بمجرد قصد الحیازة،و لم نشترط فیه قصد الانتفاع،و قلنا بأنّ حق الاختصاص مما تجوز المعاوضة علیه،لارتفع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کالاحتطاب و الاصطیاد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الاختصاص به غیر مشروط بشیء،بل یکفی فیه مجرد الحیازة الخارجیة،لعدم الدلیل علی التقیید،و من هنا ذهب جمع من الأصحاب و من العامة إلی عدم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ذلک لمن یلاحظ الموارد المناسبة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الأرضون الموات للإمام خاصّة،لا یملکها أحد بالإحیاء إلاّ أن یأذن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أحیاها ملکها،أذن له الإمام أو لم یأذن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إلاّ بإذن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دلیلنا إجماع الفرقة و أخبارهم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لتقیید الاختصاص بقصد الانتفاع وجه لکان ذلک موردا للخلاف کالتقیید بإذن الإمام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عموم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ما لا یسبقه إلیه مسلم فهو أحق به</w:t>
      </w:r>
      <w:r>
        <w:rPr>
          <w:rFonts w:eastAsia="IRNazanin" w:cs="IRNazanin"/>
          <w:color w:val="111111"/>
          <w:sz w:val="28"/>
          <w:szCs w:val="28"/>
          <w:rtl w:val="true"/>
          <w:lang w:bidi="fa-IR"/>
        </w:rPr>
        <w:t>»</w:t>
      </w:r>
      <w:bookmarkStart w:id="288" w:name="pg5064_65336"/>
    </w:p>
    <w:p>
      <w:pPr>
        <w:pStyle w:val="BookText"/>
        <w:rPr/>
      </w:pPr>
      <w:bookmarkEnd w:id="288"/>
      <w:r>
        <w:rPr>
          <w:rFonts w:ascii="IRNazanin" w:hAnsi="IRNazanin" w:eastAsia="IRNazanin"/>
          <w:color w:val="111111"/>
          <w:sz w:val="28"/>
          <w:sz w:val="28"/>
          <w:szCs w:val="28"/>
          <w:rtl w:val="true"/>
          <w:lang w:bidi="fa-IR"/>
        </w:rPr>
        <w:t>و قاعدة الحیازة المتقدّمتین،بل یمکن استفادة الإطلاق من الأخبار المتظافرة الواردة فی إحیاء الموات من الأراضی،کصحیحة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قوم أحیوا شیئا من الأرض و عمروها فهم أحق بها،و هی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کحسنة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بإبراهیم ابن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أحیا مواتا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الروایات من طرق الشیعة </w:t>
      </w:r>
      <w:r>
        <w:rPr>
          <w:rStyle w:val="FootnoteAnchor"/>
          <w:rtl w:val="true"/>
        </w:rPr>
        <w:footnoteReference w:id="469"/>
      </w:r>
      <w:r>
        <w:rPr>
          <w:rFonts w:ascii="Amiri" w:hAnsi="Amiri" w:eastAsia="Amiri" w:cs="Amiri"/>
          <w:color w:val="111111"/>
          <w:sz w:val="28"/>
          <w:sz w:val="28"/>
          <w:szCs w:val="28"/>
          <w:rtl w:val="true"/>
          <w:lang w:bidi="ar-SA"/>
        </w:rPr>
        <w:t xml:space="preserve">و من طرق العامّة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 w:name="__RefHeading___Toc910144_774463916"/>
      <w:bookmarkStart w:id="290" w:name="_Toc106"/>
      <w:bookmarkEnd w:id="289"/>
      <w:r>
        <w:rPr>
          <w:rtl w:val="true"/>
        </w:rPr>
        <w:t>النوع الثانی</w:t>
      </w:r>
      <w:r>
        <w:rPr>
          <w:rtl w:val="true"/>
        </w:rPr>
        <w:t>:</w:t>
      </w:r>
      <w:r>
        <w:rPr>
          <w:rtl w:val="true"/>
        </w:rPr>
        <w:t>ما یحرم لتحریم ما یقصد به</w:t>
      </w:r>
      <w:bookmarkEnd w:id="290"/>
    </w:p>
    <w:p>
      <w:pPr>
        <w:pStyle w:val="Heading3"/>
        <w:numPr>
          <w:ilvl w:val="2"/>
          <w:numId w:val="1"/>
        </w:numPr>
        <w:rPr/>
      </w:pPr>
      <w:bookmarkStart w:id="291" w:name="__RefHeading___Toc910146_774463916"/>
      <w:bookmarkStart w:id="292" w:name="_Toc107"/>
      <w:bookmarkEnd w:id="291"/>
      <w:r>
        <w:rPr>
          <w:rtl w:val="true"/>
        </w:rPr>
        <w:t>الأول ما لا یقصد من وجوده علی نحوه الخاص إلاّ الحرام</w:t>
      </w:r>
      <w:bookmarkEnd w:id="292"/>
    </w:p>
    <w:p>
      <w:pPr>
        <w:pStyle w:val="Heading4"/>
        <w:numPr>
          <w:ilvl w:val="3"/>
          <w:numId w:val="1"/>
        </w:numPr>
        <w:rPr/>
      </w:pPr>
      <w:bookmarkStart w:id="293" w:name="__RefHeading___Toc910148_774463916"/>
      <w:bookmarkStart w:id="294" w:name="_Toc108"/>
      <w:bookmarkEnd w:id="293"/>
      <w:r>
        <w:rPr>
          <w:rtl w:val="true"/>
        </w:rPr>
        <w:t>حرمة بیع هیاکل العبادة المبتدعة</w:t>
      </w:r>
      <w:bookmarkEnd w:id="294"/>
    </w:p>
    <w:p>
      <w:pPr>
        <w:pStyle w:val="Heading5"/>
        <w:numPr>
          <w:ilvl w:val="4"/>
          <w:numId w:val="1"/>
        </w:numPr>
        <w:rPr/>
      </w:pPr>
      <w:bookmarkStart w:id="295" w:name="__RefHeading___Toc910150_774463916"/>
      <w:bookmarkStart w:id="296" w:name="_Toc109"/>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الثانی ممّا یحرم التکسّب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لتحریم ما یقصد به،و هو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یقصد من وجوده علی نحوه الخاص إلاّ الحرام،و 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هیاکل العبادة المبتدعة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بل المجمع علیه بین الشیعة و السنّة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هو تحریم بیع هیاکل </w:t>
      </w:r>
      <w:r>
        <w:rPr>
          <w:rStyle w:val="FootnoteAnchor"/>
          <w:rtl w:val="true"/>
        </w:rPr>
        <w:footnoteReference w:id="473"/>
      </w:r>
      <w:r>
        <w:rPr>
          <w:rFonts w:ascii="IRNazanin" w:hAnsi="IRNazanin" w:eastAsia="IRNazanin"/>
          <w:color w:val="111111"/>
          <w:sz w:val="28"/>
          <w:sz w:val="28"/>
          <w:szCs w:val="28"/>
          <w:rtl w:val="true"/>
          <w:lang w:bidi="fa-IR"/>
        </w:rPr>
        <w:t>العبادة المبتدعة،و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ظاهر،بل الظاهر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روایة تحف العقول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أمر یکون فیه الفساد ممّا هو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اللّه الصناعة التی هی حرام کلّها التی یجیء منها الفساد محضا،نظیر البرابط و المزامیر و الشطرنج و کل ملهو به و الصلبان و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عمل التصاویر و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تحف العقول ضعیفة السند فلا یمکن الاستناد إلیها فی الأحکام الشرعیة،و قد تقدّم ذلک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النهی فیها ظاهر فی الحرمة التکلیفیة،فلا دلالة فیها علی الحرمة الوضعیة،و هذا أیضا تقدّم فی أول الکتاب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أکل المال بازائها أکل له بالباطل،لآیة التجارة عن تراض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عرفت مرارا عدیدة أنّ الآیة لیست عن شرائط العوضین فی شیء و إنّما هی راجعة إلی بیان أسباب المعاملات،و ستعرف ذلک أیضا فیما یأتی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w:t>
      </w:r>
      <w:r>
        <w:rPr>
          <w:rStyle w:val="FootnoteAnchor"/>
          <w:rtl w:val="true"/>
        </w:rPr>
        <w:footnoteReference w:id="475"/>
      </w:r>
      <w:r>
        <w:rPr>
          <w:rFonts w:ascii="IRNazanin" w:hAnsi="IRNazanin" w:eastAsia="IRNazanin"/>
          <w:color w:val="111111"/>
          <w:sz w:val="28"/>
          <w:sz w:val="28"/>
          <w:szCs w:val="28"/>
          <w:rtl w:val="true"/>
          <w:lang w:bidi="fa-IR"/>
        </w:rPr>
        <w:t>و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الْخَمْرُ وَ الْمَیْسِرُ وَ الْأَنْصابُ وَ الْأَزْلامُ رِجْسٌ مِنْ عَمَلِ الشَّیْطانِ فَاجْتَنِبُوهُ </w:t>
      </w:r>
      <w:r>
        <w:rPr>
          <w:rStyle w:val="FootnoteAnchor"/>
          <w:rtl w:val="true"/>
        </w:rPr>
        <w:footnoteReference w:id="476"/>
      </w:r>
      <w:r>
        <w:rPr>
          <w:rFonts w:ascii="Amiri" w:hAnsi="Amiri" w:eastAsia="Amiri" w:cs="Amiri"/>
          <w:color w:val="111111"/>
          <w:sz w:val="28"/>
          <w:sz w:val="28"/>
          <w:szCs w:val="28"/>
          <w:rtl w:val="true"/>
          <w:lang w:bidi="ar-SA"/>
        </w:rPr>
        <w:t xml:space="preserve">و بقوله تعالی وَ الرُّجْزَ فَاهْجُرْ </w:t>
      </w:r>
      <w:r>
        <w:rPr>
          <w:rStyle w:val="FootnoteAnchor"/>
          <w:rtl w:val="true"/>
        </w:rPr>
        <w:footnoteReference w:id="477"/>
      </w:r>
      <w:r>
        <w:rPr>
          <w:rFonts w:ascii="IRNazanin" w:hAnsi="IRNazanin" w:eastAsia="IRNazanin"/>
          <w:color w:val="111111"/>
          <w:sz w:val="28"/>
          <w:sz w:val="28"/>
          <w:szCs w:val="28"/>
          <w:rtl w:val="true"/>
          <w:lang w:bidi="fa-IR"/>
        </w:rPr>
        <w:t xml:space="preserve">بناء علی أنّ بیع هیاکل العبادة و الاکتساب بها مناف للاجتناب المطلق،کما أنّ المراد من الأنصاب هو الأوثان و الأصنام </w:t>
      </w:r>
      <w:r>
        <w:rPr>
          <w:rStyle w:val="FootnoteAnchor"/>
          <w:rtl w:val="true"/>
        </w:rPr>
        <w:footnoteReference w:id="478"/>
      </w:r>
      <w:r>
        <w:rPr>
          <w:rFonts w:ascii="IRNazanin" w:hAnsi="IRNazanin" w:eastAsia="IRNazanin"/>
          <w:color w:val="111111"/>
          <w:sz w:val="28"/>
          <w:sz w:val="28"/>
          <w:szCs w:val="28"/>
          <w:rtl w:val="true"/>
          <w:lang w:bidi="fa-IR"/>
        </w:rPr>
        <w:t>و المراد من الرجز الرجس،و من الهجر الاجتناب</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بالنبوی المشهور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علی قوم شیئا حرم علیهم</w:t>
      </w:r>
    </w:p>
    <w:p>
      <w:pPr>
        <w:pStyle w:val="BookText"/>
        <w:rPr/>
      </w:pPr>
      <w:r>
        <w:rPr>
          <w:rFonts w:ascii="IRNazanin" w:hAnsi="IRNazanin" w:eastAsia="IRNazanin"/>
          <w:color w:val="111111"/>
          <w:sz w:val="28"/>
          <w:sz w:val="28"/>
          <w:szCs w:val="28"/>
          <w:rtl w:val="true"/>
          <w:lang w:bidi="fa-IR"/>
        </w:rPr>
        <w:t>ثمنه</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بیع الأصنام</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ضعف السند فیهما،و عدم ثبوت النبوی علی النحو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النهی فی روایة الدعائم هی الحرمة التکلیفیة،و المراد إثبات ما هو أعمّ منها و من الحرمة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قد ورد المنع عن بیع الخشب ممّن یجعله صلیبا أو صنما </w:t>
      </w:r>
      <w:r>
        <w:rPr>
          <w:rStyle w:val="FootnoteAnchor"/>
          <w:rtl w:val="true"/>
        </w:rPr>
        <w:footnoteReference w:id="481"/>
      </w:r>
      <w:r>
        <w:rPr>
          <w:rFonts w:ascii="IRNazanin" w:hAnsi="IRNazanin" w:eastAsia="IRNazanin"/>
          <w:color w:val="111111"/>
          <w:sz w:val="28"/>
          <w:sz w:val="28"/>
          <w:szCs w:val="28"/>
          <w:rtl w:val="true"/>
          <w:lang w:bidi="fa-IR"/>
        </w:rPr>
        <w:t>فإذا حرم بیع الخشب لذلک فإنّ بیع الصلیب و الصنم أولی بالتحریم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الوجه الوجیه،و یؤیّده قیام السیرة القطعیة المتّصلة إلی 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بیع هیاکل العبادة،و یؤیّده أیضا وجوب إتلافها حسما لمادّة الفساد،کما أتلف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w:t>
      </w:r>
      <w:bookmarkStart w:id="297" w:name="pg5064_65340"/>
    </w:p>
    <w:p>
      <w:pPr>
        <w:pStyle w:val="BookText"/>
        <w:rPr/>
      </w:pPr>
      <w:bookmarkEnd w:id="297"/>
      <w:r>
        <w:rPr>
          <w:rFonts w:ascii="Amiri" w:hAnsi="Amiri" w:eastAsia="Amiri" w:cs="Amiri"/>
          <w:color w:val="111111"/>
          <w:sz w:val="28"/>
          <w:sz w:val="28"/>
          <w:szCs w:val="28"/>
          <w:rtl w:val="true"/>
          <w:lang w:bidi="ar-SA"/>
        </w:rPr>
        <w:t xml:space="preserve">مکّة </w:t>
      </w:r>
      <w:r>
        <w:rPr>
          <w:rStyle w:val="FootnoteAnchor"/>
          <w:rtl w:val="true"/>
        </w:rPr>
        <w:footnoteReference w:id="482"/>
      </w:r>
      <w:r>
        <w:rPr>
          <w:rFonts w:ascii="IRNazanin" w:hAnsi="IRNazanin" w:eastAsia="IRNazanin"/>
          <w:color w:val="111111"/>
          <w:sz w:val="28"/>
          <w:sz w:val="28"/>
          <w:szCs w:val="28"/>
          <w:rtl w:val="true"/>
          <w:lang w:bidi="fa-IR"/>
        </w:rPr>
        <w:t>فإنه لو جاز بیعها لما جاز إتلافها</w:t>
      </w:r>
      <w:r>
        <w:rPr>
          <w:rFonts w:eastAsia="IRNazanin" w:cs="IRNazanin"/>
          <w:color w:val="111111"/>
          <w:sz w:val="28"/>
          <w:szCs w:val="28"/>
          <w:rtl w:val="true"/>
          <w:lang w:bidi="fa-IR"/>
        </w:rPr>
        <w:t>.</w:t>
      </w:r>
    </w:p>
    <w:p>
      <w:pPr>
        <w:pStyle w:val="Heading5"/>
        <w:numPr>
          <w:ilvl w:val="4"/>
          <w:numId w:val="1"/>
        </w:numPr>
        <w:rPr/>
      </w:pPr>
      <w:bookmarkStart w:id="298" w:name="__RefHeading___Toc910152_774463916"/>
      <w:bookmarkStart w:id="299" w:name="_Toc110"/>
      <w:bookmarkEnd w:id="298"/>
      <w:r>
        <w:rPr>
          <w:rtl w:val="true"/>
        </w:rPr>
        <w:t>بحث و تتمیم مناشئ مالیة الاشیاء</w:t>
      </w:r>
      <w:bookmarkEnd w:id="299"/>
    </w:p>
    <w:p>
      <w:pPr>
        <w:pStyle w:val="BookText"/>
        <w:rPr/>
      </w:pPr>
      <w:r>
        <w:rPr>
          <w:rFonts w:ascii="IRNazanin" w:hAnsi="IRNazanin" w:eastAsia="IRNazanin"/>
          <w:color w:val="111111"/>
          <w:sz w:val="28"/>
          <w:sz w:val="28"/>
          <w:szCs w:val="28"/>
          <w:rtl w:val="true"/>
          <w:lang w:bidi="fa-IR"/>
        </w:rPr>
        <w:t>إنّ کیفیات الأشیاء و أوصافها محسوسة کانت أم غیر محسوسة و إن کانت بحسب الدقّة الفلسفیة من مقولة الأعراض،إلاّ أنّها فی نظر العرف المبنی علی المسامحة و المساهلة منقسمة إلی قسمین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النظر إلی الأشیاء أنفسها بالأصالة،و إلی أوصافها بالتبع</w:t>
      </w:r>
    </w:p>
    <w:p>
      <w:pPr>
        <w:pStyle w:val="BookText"/>
        <w:rPr/>
      </w:pPr>
      <w:r>
        <w:rPr>
          <w:rFonts w:ascii="IRNazanin" w:hAnsi="IRNazanin" w:eastAsia="IRNazanin"/>
          <w:color w:val="111111"/>
          <w:sz w:val="28"/>
          <w:sz w:val="28"/>
          <w:szCs w:val="28"/>
          <w:rtl w:val="true"/>
          <w:lang w:bidi="fa-IR"/>
        </w:rPr>
        <w:t>لفنائها فی المعروض و اندکاکها فیه،و مثال ذلک الأعراض التی هی من لوازم الوجود کالألوان،و من هذا القبیل أیضا اللیرات العثمانیة التی الغیت عن الرواج و الذهب و الفضّة غیر المسکوکین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النظر فیها إلی الهیئة و الصورة بالأصالة،و إلی المادّة و الهیولی بالتبع،لکون الأوصاف معدودة من الصور النوعیة فی نظر العرف،و ذلک کالأشکال التی یکون علیها مدار التسمیة و العنوان فی الخارج،کما فی الکأس و الکوز و نحوهما مع أنّ موادها من جنس واحد،و من هذا القبیل الفرش و الثوب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فالمالیة فیها من ناحیة المواد،لأنّ أوصافها خارجة عن حدود الرغبات التی هی من علل ثبوت المالیة فی المرغوب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فالمالیة فیها لخصوص الهیئات،لخروج موادها عن حریم المالیة و حدودها،لکونها إمّا مرغوبا عنها کالنقود الرائجة المضروبة من القراطیس أو مغفولا عنها فی قبال الهیئة للتبعیة و الاندکاک،و من هنا اتّضح أنّ المالیة إنّما تقوم بمواد الأشیاء،إمّا للرغبة فیها أنفسها،و إمّا للمیل إلی هیئاتها،و إمّا للاشتیاق إلیهما معا،و لا تضر بذلک استحالة عراء المادّة عن هیئة ما کما لا یخفی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بالصورة النوعیة هنا هی العرفیة دون العقلیة المبحوث عنها فی طبیعیات الفلسفة،و أنّ بینهما عموما من وجه،إذ قد یکون الوصف من الصور النوعیة العرفیة مع کونه فی نظر العقل من الأعراض،کالرجولة و الانوثة فإنّهما و إن کانا عرضین للإنسان،إلاّ أنّهما فی نظر العرف من الصور النوعیة،فالعبد و الأمة نوعان فی نظر العرف و إن کانا بالنظر الدقیق صنفین من طبیعة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ینعکس الأمر فیکون ما هو من الصور النوعیة فی نظر العقل من الأعراض فی نظر العرف،و ذلک کالثوبین المنسوج أحدهما من الحریر و الآخر من الفنطاز،فإنّهما عند</w:t>
      </w:r>
    </w:p>
    <w:p>
      <w:pPr>
        <w:pStyle w:val="BookText"/>
        <w:rPr/>
      </w:pPr>
      <w:r>
        <w:rPr>
          <w:rFonts w:ascii="IRNazanin" w:hAnsi="IRNazanin" w:eastAsia="IRNazanin"/>
          <w:color w:val="111111"/>
          <w:sz w:val="28"/>
          <w:sz w:val="28"/>
          <w:szCs w:val="28"/>
          <w:rtl w:val="true"/>
          <w:lang w:bidi="fa-IR"/>
        </w:rPr>
        <w:t>العقل ماهیتان متباینتان و فی نظر العرف حقیقة واحدة لا تعدّد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یجتمعان کالفراشین المنسوجین بنسج واحد و من جنس واحد،و الکأسین المصوغین بصیاغة واحدة و من فلز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تلوناه علیک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الملحوظ استقلالا فی بیع الصلیب و الصنم إن کانت هی الهیئات العاریة عن المواد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لعدم مالیة المواد کالمصنوع من الخزف،أو لکونها مغفولا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حرمة بیعها وضعا و تکلیفا،لوقوع البیع فی معرض الإضلال،و لتمحّض المبیع فی جهة الفساد و انحطاطه عن المالیة،لحرمة الانتفاع بهما بالهیئة الوثنیة،و لذا وجب إتلافها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الملحوظ فی بیعهما هی المواد مجرّدة عن الصورة الوثنیة إلاّ باللحاظ التبعی غیر المقصود فلا إشکال فی صحة بیعهما،لآیة التجارة </w:t>
      </w:r>
      <w:r>
        <w:rPr>
          <w:rStyle w:val="FootnoteAnchor"/>
          <w:rtl w:val="true"/>
        </w:rPr>
        <w:footnoteReference w:id="483"/>
      </w:r>
      <w:r>
        <w:rPr>
          <w:rFonts w:ascii="IRNazanin" w:hAnsi="IRNazanin" w:eastAsia="IRNazanin"/>
          <w:color w:val="111111"/>
          <w:sz w:val="28"/>
          <w:sz w:val="28"/>
          <w:szCs w:val="28"/>
          <w:rtl w:val="true"/>
          <w:lang w:bidi="fa-IR"/>
        </w:rPr>
        <w:t>و سائر العمومات لأنّ البیع و المبیع لم یتّصفا بجهة من الجهات المبغوضة المنهی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المقصود من البیع هی المواد و الهیئة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کانا مصنوعین من الجواهر النفیسة أو الأشیاء الثمینة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حرمة البیع وضعا و تکلیفا کالصورة الاولی،لعموم أدلّة المنع عن البیع لهذا الغرض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کل من الهیئة و المادّة ملحوظا فی البیع کان المورد من صغریات بیع ما یملک و ما لا یملک،کبیع الخل مع الخمر،و بیع الشاة مع الخنزیر فی صفقة واحدة،و حکم ذلک أن یقسّط الثمن علیهما،و سیأتی </w:t>
      </w:r>
      <w:r>
        <w:rPr>
          <w:rStyle w:val="FootnoteAnchor"/>
          <w:rtl w:val="true"/>
        </w:rPr>
        <w:footnoteReference w:id="484"/>
      </w:r>
      <w:r>
        <w:rPr>
          <w:rFonts w:ascii="IRNazanin" w:hAnsi="IRNazanin" w:eastAsia="IRNazanin"/>
          <w:color w:val="111111"/>
          <w:sz w:val="28"/>
          <w:sz w:val="28"/>
          <w:szCs w:val="28"/>
          <w:rtl w:val="true"/>
          <w:lang w:bidi="fa-IR"/>
        </w:rPr>
        <w:t>،و یثبت للمشتری خیار تخلّف الشرط لفوات الانضمام،و علی ذلک فلا وجه للحکم بالبطلان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الانحلال و التقسیط و إن کانا بحسب الکبری موافقین للتحقیق</w:t>
      </w:r>
    </w:p>
    <w:p>
      <w:pPr>
        <w:pStyle w:val="BookText"/>
        <w:rPr/>
      </w:pPr>
      <w:r>
        <w:rPr>
          <w:rFonts w:ascii="IRNazanin" w:hAnsi="IRNazanin" w:eastAsia="IRNazanin"/>
          <w:color w:val="111111"/>
          <w:sz w:val="28"/>
          <w:sz w:val="28"/>
          <w:szCs w:val="28"/>
          <w:rtl w:val="true"/>
          <w:lang w:bidi="fa-IR"/>
        </w:rPr>
        <w:t>إلاّ أنّ الإشکال فی صحة الصغری،لأنّ الهیئة الوثنیة فی الصلیب و الصنم کالصورة النوعیة للمادّة فی نظر العرف،فلا تکونان فی الخارج إلاّ شیئا واحدا،فلا موضع هنا للانحلال و التقسیط،کما لا موضع لهما فی المادّة و الصورة العقلیتین عند التخلّف بأن یحکم بالصحة فی المادّة السیّالة المسمّاة بالهیولی الاولی لأنّها محفوظة فی جمیع الأشیاء و إن تبادلت علیها الصور،و بالبطلان فی الهیئة،لأنّ المقصود منها غیر واقع و الواقع منها غیر مقصود،و یتبع ذلک تقسیط الثمن علیها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المادّة و الهیئة لیستا من الأجزاء الخارجیة لکی تنحل المعاملة الواحدة إلی معاملات متکثّرة حسب تکثّر أجزاء المبیع،فالمعاملة علیهما واحدة،لاتّحاد متعلّقها خارجا،و الکثرة إنّما هی تحلیلیة عقلیة،و لازم ذلک أنّ المعاملة إذا بطلت فی جزء بطلت فی الجمیع،فلا منشأ للانحلال و التقسیط،و لا فرق فی ذلک بین أن تکون الصورة عقلیة أو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 المادّة مع قصد الصورة الوثنیة و إن کان موجبا للبطلان،إلاّ أنّ اشتراط إعدام الهیئة و فنائها یوجب صحة البیع و ترتّب الأثر علیه،لجواز الانتفاع بأجزائها بعد الکسر،لأنّها لیست بأصنام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 موضوع الحرمة و ترتّب علیه الحکم لم یؤثّر هذا الاشتراط فی الجواز،لأنّ الشیء لا ینقلب عمّا هو علیه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أنه لو اتّصف شیء من آلات الصنائع کالمکائن و نحوها بصورة الوثنیة لکان داخلا فی الأعیان ذات المنافع المحلّلة و المحرّمة،و سیأتی الکلام عنها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بجواز بیعها باعتبار منافعها المحلّلة فإنما هو فیما إذا أوجبت هذه المنافع مالیتها مع قطع النظر عن المنافع الاخری المحرّمة و عن لحاظ الجهة الوثنیة</w:t>
      </w:r>
      <w:bookmarkStart w:id="300" w:name="pg5064_65344"/>
    </w:p>
    <w:p>
      <w:pPr>
        <w:pStyle w:val="BookText"/>
        <w:rPr/>
      </w:pPr>
      <w:bookmarkEnd w:id="300"/>
      <w:r>
        <w:rPr>
          <w:rFonts w:ascii="IRNazanin" w:hAnsi="IRNazanin" w:eastAsia="IRNazanin"/>
          <w:color w:val="111111"/>
          <w:sz w:val="28"/>
          <w:sz w:val="28"/>
          <w:szCs w:val="28"/>
          <w:rtl w:val="true"/>
          <w:lang w:bidi="fa-IR"/>
        </w:rPr>
        <w:t>و إلاّ فلا وجه لتوهّم 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أتلف الغاصب لهذه الامور ضمن موادها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یجب إعدام الصورة الوثنیة،و علیه فإن کانت لأبعاضها المکسورة قیمة کما إذا کانت مصوغة من الذهب أو الفضّة فلا یجوز إتلافها بموادّها بل یجب إتلافها بهیئتها فقط،و لو أتلفت بموادها ضمنها المتلف لمالکها،إلاّ أن یتوقّف إتلاف الهیئة علی إتلاف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لرضاضها قیمة فلا مانع من إتلاف المادّة أیضا مع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توقّف إتلاف الهیئة علی إتلاف المادّة لا ینافی ضمان المادّة إذا کانت لها قیمة،کما أنّ جواز أکل طعام الغیر بدون إذنه فی المجاعة و المخمصة لا ینافی ضمان ذلک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واضح بین المقامین،إذ الباعث إلی أکل طعام الغیر فی المخمصة إنّما هو الاضطرار الموجب لإذن الشارع فی ذلک،و أمّا هیاکل العبادة فإنّ الباعث إلی إتلافها لیس إلاّ خصوص أمر الشارع بالإتلاف،فلا یستتبع ضمانا</w:t>
      </w:r>
      <w:r>
        <w:rPr>
          <w:rFonts w:eastAsia="IRNazanin" w:cs="IRNazanin"/>
          <w:color w:val="111111"/>
          <w:sz w:val="28"/>
          <w:szCs w:val="28"/>
          <w:rtl w:val="true"/>
          <w:lang w:bidi="fa-IR"/>
        </w:rPr>
        <w:t>.</w:t>
      </w:r>
    </w:p>
    <w:p>
      <w:pPr>
        <w:pStyle w:val="Heading4"/>
        <w:numPr>
          <w:ilvl w:val="3"/>
          <w:numId w:val="1"/>
        </w:numPr>
        <w:rPr/>
      </w:pPr>
      <w:bookmarkStart w:id="301" w:name="__RefHeading___Toc910154_774463916"/>
      <w:bookmarkStart w:id="302" w:name="_Toc111"/>
      <w:bookmarkEnd w:id="301"/>
      <w:r>
        <w:rPr>
          <w:rtl w:val="true"/>
        </w:rPr>
        <w:t>حرمة بیع آلات القمار</w:t>
      </w:r>
      <w:bookmarkEnd w:id="30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آلات القمار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اتّفقت کلمات الأصحاب علی حرمة بیع آلات القمار،بل فی المستند دعوی الإجماع علیها محقّقا بعد أن نفی عنها الخلاف أولا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مورد البحث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 حیث حرمة البیع أم من حیث وجوب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معدّا للمقامرة و المراهنة کالنرد و الشطرنج و نحوهما ممّا یعدّ آلة قمار بالحمل</w:t>
      </w:r>
    </w:p>
    <w:p>
      <w:pPr>
        <w:pStyle w:val="BookText"/>
        <w:rPr/>
      </w:pPr>
      <w:r>
        <w:rPr>
          <w:rFonts w:ascii="IRNazanin" w:hAnsi="IRNazanin" w:eastAsia="IRNazanin"/>
          <w:color w:val="111111"/>
          <w:sz w:val="28"/>
          <w:sz w:val="28"/>
          <w:szCs w:val="28"/>
          <w:rtl w:val="true"/>
          <w:lang w:bidi="fa-IR"/>
        </w:rPr>
        <w:t>الشائع،و إلاّ فلا وجه لحرمة بیعه و إن اتّفقت المقامرة به فی بعض الأحیان کالجوز و البیض و نحوهما،کما لا یجوز إتلافه،لکونه تصرّفا فی مال الغیر بغیر إذن منه و لا من الشارع،نعم یجب نهی المقامرین بذلک عن المقامرة إذا اجتمعت فیه شرائط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حکم هذه المسألة ممّا أسّسناه فی المسألة السابقة من الضابطة الکلّیة فی حرمة بیع ما قصدت منه الجهة المحرّمة،فلا یحتاج إلی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حرمة البیع هنا قد دلّت علیها جملة من الأخبار منها روایة أبی الجارود الدالّة علی حرمة بیع آلات القمار و حرمة الانتفاع بها </w:t>
      </w:r>
      <w:r>
        <w:rPr>
          <w:rStyle w:val="FootnoteAnchor"/>
          <w:rtl w:val="true"/>
        </w:rPr>
        <w:footnoteReference w:id="487"/>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بصیر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الشطرنج حرام،و أکل ثمنه سحت</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حدیث المناهی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النرد</w:t>
      </w:r>
      <w:r>
        <w:rPr>
          <w:rFonts w:eastAsia="IRNazanin" w:cs="IRNazanin"/>
          <w:color w:val="111111"/>
          <w:sz w:val="28"/>
          <w:szCs w:val="28"/>
          <w:rtl w:val="true"/>
          <w:lang w:bidi="fa-IR"/>
        </w:rPr>
        <w:t xml:space="preserve">»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الخبرین الأخیرین و إن کان خصوص بعض الآلات،و لکن یتم المقصود بعدم القول بالفصل بین آلات القمار المعدة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ورد فی جملة من أحادیث العامة </w:t>
      </w:r>
      <w:r>
        <w:rPr>
          <w:rStyle w:val="FootnoteAnchor"/>
          <w:rtl w:val="true"/>
        </w:rPr>
        <w:footnoteReference w:id="490"/>
      </w:r>
      <w:r>
        <w:rPr>
          <w:rFonts w:ascii="IRNazanin" w:hAnsi="IRNazanin" w:eastAsia="IRNazanin"/>
          <w:color w:val="111111"/>
          <w:sz w:val="28"/>
          <w:sz w:val="28"/>
          <w:szCs w:val="28"/>
          <w:rtl w:val="true"/>
          <w:lang w:bidi="fa-IR"/>
        </w:rPr>
        <w:t>الأمر بکسر النرد و إحراقها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فتدل علی حرمة بیعها،لأنّ ما لا یجوز الانتفاع به لا یجوز بیعه عندهم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ذلک فی البحث عن جواز الانتفاع بالنجس </w:t>
      </w:r>
      <w:r>
        <w:rPr>
          <w:rStyle w:val="FootnoteAnchor"/>
          <w:rtl w:val="true"/>
        </w:rPr>
        <w:footnoteReference w:id="492"/>
      </w:r>
      <w:r>
        <w:rPr>
          <w:rFonts w:ascii="IRNazanin" w:hAnsi="IRNazanin" w:eastAsia="IRNazanin"/>
          <w:color w:val="111111"/>
          <w:sz w:val="28"/>
          <w:sz w:val="28"/>
          <w:szCs w:val="28"/>
          <w:rtl w:val="true"/>
          <w:lang w:bidi="fa-IR"/>
        </w:rPr>
        <w:t>،و سیأتی التعرّض له فی المسألة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لمکسورها قیمة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أسقط الشارع منفعته لا نفع له فیحرم بیعه،کآلات</w:t>
      </w:r>
    </w:p>
    <w:p>
      <w:pPr>
        <w:pStyle w:val="BookText"/>
        <w:rPr/>
      </w:pPr>
      <w:r>
        <w:rPr>
          <w:rFonts w:ascii="IRNazanin" w:hAnsi="IRNazanin" w:eastAsia="IRNazanin"/>
          <w:color w:val="111111"/>
          <w:sz w:val="28"/>
          <w:sz w:val="28"/>
          <w:szCs w:val="28"/>
          <w:rtl w:val="true"/>
          <w:lang w:bidi="fa-IR"/>
        </w:rPr>
        <w:t xml:space="preserve">الملاهی و هیاکل العبادة المبتدعة کالصلیب و الصنم،و آلات القمار کالنرد و الشطرنج إن کان رضاضها لا یعدّ مالا،و به قال الشافعی،و إن عدّ مالا فالأقوی عندی الجواز مع زوال الصفة المحرّمة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بزوال الصفة زوال الهیئة فلا ینبغی الاشکال فی الجواز،و لا ینبغی جعله محلا للخلاف بین العلاّمة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حاشیة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أراد بزوال الصفة عدم مقامرة الناس به و ترکهم له بحیث خرج عن کونه آلة القمار و إن کانت الهیئة باقیة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التوجیهین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عبارة العلاّمة أنّ الحرمة الفعلیة لبیع الامور المذکورة تدور مدار عدم صدق المالیة علی أکسارها،و توجیهها بما ذکره المصنّف أو بما ذکره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عن مساق کلامه جدّا،نعم یحتمل وقوع التحریف فی کلامه بالتقدیم و التأخیر،بأن تکون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عدّ مالا مع زوال الصفة المحرّمة فالأقوی عندی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ملخّص کلامه جواز البیع إذا کانت المادّة من الأموال،أو یوجّه بتقدیر المضاف بین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عندی الجواز مع اشتراط زوال الصفة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کان،فهو أعرف بمرامه،و لا ندری ما الذی فهم منه المسالک </w:t>
      </w:r>
      <w:r>
        <w:rPr>
          <w:rStyle w:val="FootnoteAnchor"/>
          <w:rtl w:val="true"/>
        </w:rPr>
        <w:footnoteReference w:id="495"/>
      </w:r>
      <w:r>
        <w:rPr>
          <w:rFonts w:ascii="IRNazanin" w:hAnsi="IRNazanin" w:eastAsia="IRNazanin"/>
          <w:color w:val="111111"/>
          <w:sz w:val="28"/>
          <w:sz w:val="28"/>
          <w:szCs w:val="28"/>
          <w:rtl w:val="true"/>
          <w:lang w:bidi="fa-IR"/>
        </w:rPr>
        <w:t>حتی استحسنه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المراد بالقمار مطلق المراهنة بعوض</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مجمع البحرین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القمار الرهن علی اللعب بشیء،و ربما</w:t>
      </w:r>
      <w:bookmarkStart w:id="303" w:name="pg5064_65348"/>
    </w:p>
    <w:p>
      <w:pPr>
        <w:pStyle w:val="BookText"/>
        <w:rPr/>
      </w:pPr>
      <w:bookmarkEnd w:id="303"/>
      <w:r>
        <w:rPr>
          <w:rFonts w:ascii="IRNazanin" w:hAnsi="IRNazanin" w:eastAsia="IRNazanin"/>
          <w:color w:val="111111"/>
          <w:sz w:val="28"/>
          <w:sz w:val="28"/>
          <w:szCs w:val="28"/>
          <w:rtl w:val="true"/>
          <w:lang w:bidi="fa-IR"/>
        </w:rPr>
        <w:t>اطلق علی اللعب بالخاتم و الجوز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التعرّض لحقیقة القمار و المیسر و الأزلام و التعرّض لبیان أنّ المحرّم هو مطلق المراهنة و المغالبة أو المغالبة مع العوض فی مسألة حرمة القمار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910156_774463916"/>
      <w:bookmarkStart w:id="305" w:name="_Toc112"/>
      <w:bookmarkEnd w:id="304"/>
      <w:r>
        <w:rPr>
          <w:rtl w:val="true"/>
        </w:rPr>
        <w:t>حرمة بیع آلات الملاهی</w:t>
      </w:r>
      <w:bookmarkEnd w:id="30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آلات اللهو علی اختلاف أصنافها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اتّفق فقهاؤنا بل الفقهاء کافّة ظاهرا </w:t>
      </w:r>
      <w:r>
        <w:rPr>
          <w:rStyle w:val="FootnoteAnchor"/>
          <w:rtl w:val="true"/>
        </w:rPr>
        <w:footnoteReference w:id="498"/>
      </w:r>
      <w:r>
        <w:rPr>
          <w:rFonts w:ascii="IRNazanin" w:hAnsi="IRNazanin" w:eastAsia="IRNazanin"/>
          <w:color w:val="111111"/>
          <w:sz w:val="28"/>
          <w:sz w:val="28"/>
          <w:szCs w:val="28"/>
          <w:rtl w:val="true"/>
          <w:lang w:bidi="fa-IR"/>
        </w:rPr>
        <w:t xml:space="preserve">علی حرمة بیع آلات الملاهی وضعا و تکلیفا،بل فی المستند دعوی الاجماع علی ذلک محقّقا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علی ذلک بالروایات العامّة المتقدّمة فی أول الکتاب،و لکنّه فاسد،لما فیها من ضعف السند و الدلالة،و ظهورها فی الحرمة التکلیفیة کما عرفت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الروایات </w:t>
      </w:r>
      <w:r>
        <w:rPr>
          <w:rStyle w:val="FootnoteAnchor"/>
          <w:rtl w:val="true"/>
        </w:rPr>
        <w:footnoteReference w:id="501"/>
      </w:r>
      <w:r>
        <w:rPr>
          <w:rFonts w:ascii="IRNazanin" w:hAnsi="IRNazanin" w:eastAsia="IRNazanin"/>
          <w:color w:val="111111"/>
          <w:sz w:val="28"/>
          <w:sz w:val="28"/>
          <w:szCs w:val="28"/>
          <w:rtl w:val="true"/>
          <w:lang w:bidi="fa-IR"/>
        </w:rPr>
        <w:t>قد تواترت من طرقنا و من طرق العامة علی حرمة الانتفاع بآلة اللهو فی الملاهی و المعازف،و أنّ الاشتغال بها و الاستماع إلیها من الکبائر الموبقة و الجرائم المهلکة،و أنّ ضربها ینبت النفاق فی القلب کما ینبت الماء الخضرة،و یتسلّط علیه شیطان ینزع منه الحیاء،و أنه من عمل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یخسف اللّه بهم الأرض و یجعل منهم القردة و الخنازیر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الوظائف اللازمة کسرها و إتلافها حسما لمادّة الفساد،و لیس فی ذلک ضمان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أحادیث العامّة </w:t>
      </w:r>
      <w:r>
        <w:rPr>
          <w:rStyle w:val="FootnoteAnchor"/>
          <w:rtl w:val="true"/>
        </w:rPr>
        <w:footnoteReference w:id="502"/>
      </w:r>
      <w:r>
        <w:rPr>
          <w:rFonts w:ascii="IRNazanin" w:hAnsi="IRNazanin" w:eastAsia="IRNazanin"/>
          <w:color w:val="111111"/>
          <w:sz w:val="28"/>
          <w:sz w:val="28"/>
          <w:szCs w:val="28"/>
          <w:rtl w:val="true"/>
          <w:lang w:bidi="fa-IR"/>
        </w:rPr>
        <w:t>إنّ رجلا کسر طنبورا لرجل فرفعه إلی شریح فلم یضمنه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فالمسألة من صغریات الضابطة الکلّیة التی ذکرناها فی البحث عن حرمة بیع هیاکل العبادة المبتدعة،و علیه فالحق هو حرمة بیع آلات اللهو وضعا و تکلیفا علی أنه ورد فی الحدیث ما یدل علی حرمة بیع آلات الملاهی و شرائها و حرمة ثمنها و التجارة فیها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ضعیف السند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موضوع الحرمة هنا هی آلة اللهو،و قد حقّق فی محلّه أنّ المضاف إلیه خارج عن حدود المضاف،فلا یعدّ جزءا له،إلاّ أنه داخل فیه بنحو الاشتراط</w:t>
      </w:r>
      <w:bookmarkStart w:id="306" w:name="pg5064_65350"/>
    </w:p>
    <w:p>
      <w:pPr>
        <w:pStyle w:val="BookText"/>
        <w:rPr/>
      </w:pPr>
      <w:bookmarkEnd w:id="306"/>
      <w:r>
        <w:rPr>
          <w:rFonts w:ascii="IRNazanin" w:hAnsi="IRNazanin" w:eastAsia="IRNazanin"/>
          <w:color w:val="111111"/>
          <w:sz w:val="28"/>
          <w:sz w:val="28"/>
          <w:szCs w:val="28"/>
          <w:rtl w:val="true"/>
          <w:lang w:bidi="fa-IR"/>
        </w:rPr>
        <w:t xml:space="preserve">و التقیید،و حیث إنّ معرفة الحکم فرع معرفة الموضوع بقیوده و شؤونه فلا بدّ هنا من العلم بحقیقة اللهو،و سیأتی التعرّض له فی محلّه </w:t>
      </w:r>
      <w:r>
        <w:rPr>
          <w:rStyle w:val="FootnoteAnchor"/>
          <w:rtl w:val="true"/>
        </w:rPr>
        <w:footnoteReference w:id="504"/>
      </w:r>
      <w:r>
        <w:rPr>
          <w:rFonts w:ascii="IRNazanin" w:hAnsi="IRNazanin" w:eastAsia="IRNazanin"/>
          <w:color w:val="111111"/>
          <w:sz w:val="28"/>
          <w:sz w:val="28"/>
          <w:szCs w:val="28"/>
          <w:rtl w:val="true"/>
          <w:lang w:bidi="fa-IR"/>
        </w:rPr>
        <w:t>،و من أوضح مصادیقه ما هو مرسوم الیوم من تغنّی أهل الفسوق و لهوهم بالرادیوات و غیرها من آلات الملاهی</w:t>
      </w:r>
      <w:r>
        <w:rPr>
          <w:rFonts w:eastAsia="IRNazanin" w:cs="IRNazanin"/>
          <w:color w:val="111111"/>
          <w:sz w:val="28"/>
          <w:szCs w:val="28"/>
          <w:rtl w:val="true"/>
          <w:lang w:bidi="fa-IR"/>
        </w:rPr>
        <w:t>.</w:t>
      </w:r>
    </w:p>
    <w:p>
      <w:pPr>
        <w:pStyle w:val="Heading4"/>
        <w:numPr>
          <w:ilvl w:val="3"/>
          <w:numId w:val="1"/>
        </w:numPr>
        <w:rPr/>
      </w:pPr>
      <w:bookmarkStart w:id="307" w:name="__RefHeading___Toc910158_774463916"/>
      <w:bookmarkStart w:id="308" w:name="_Toc113"/>
      <w:bookmarkEnd w:id="307"/>
      <w:r>
        <w:rPr>
          <w:rtl w:val="true"/>
        </w:rPr>
        <w:t>حکم بیع آنیة الذهب و الفضة</w:t>
      </w:r>
      <w:bookmarkEnd w:id="30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أوانی الذهب و الفضّة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الإناء أمر معلوم،لکونه من المفاهیم العرفیة،و هو ما یکون معدّا للأکل و الشرب،جمعه آنیة و أوان،و الظرف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مجمل القول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النهی عن آنیة الذهب و الفضّة إن کان مختصّا بالأکل أو الشرب فیها،و کانت محرّمة الاستعمال فی خصوصهما،کما اتّفق علیه الفقهاء کافة </w:t>
      </w:r>
      <w:r>
        <w:rPr>
          <w:rStyle w:val="FootnoteAnchor"/>
          <w:rtl w:val="true"/>
        </w:rPr>
        <w:footnoteReference w:id="505"/>
      </w:r>
      <w:r>
        <w:rPr>
          <w:rFonts w:ascii="IRNazanin" w:hAnsi="IRNazanin" w:eastAsia="IRNazanin"/>
          <w:color w:val="111111"/>
          <w:sz w:val="28"/>
          <w:sz w:val="28"/>
          <w:szCs w:val="28"/>
          <w:rtl w:val="true"/>
          <w:lang w:bidi="fa-IR"/>
        </w:rPr>
        <w:t xml:space="preserve">و استفاضت الروایات بینهم من الفریقین </w:t>
      </w:r>
      <w:r>
        <w:rPr>
          <w:rStyle w:val="FootnoteAnchor"/>
          <w:rtl w:val="true"/>
        </w:rPr>
        <w:footnoteReference w:id="506"/>
      </w:r>
      <w:r>
        <w:rPr>
          <w:rFonts w:ascii="IRNazanin" w:hAnsi="IRNazanin" w:eastAsia="IRNazanin"/>
          <w:color w:val="111111"/>
          <w:sz w:val="28"/>
          <w:sz w:val="28"/>
          <w:szCs w:val="28"/>
          <w:rtl w:val="true"/>
          <w:lang w:bidi="fa-IR"/>
        </w:rPr>
        <w:t>فلا شبهة فی جواز بیعها لسائر الجهات المحلّلة،و منها اقتناؤها لأنحاء</w:t>
      </w:r>
    </w:p>
    <w:p>
      <w:pPr>
        <w:pStyle w:val="BookText"/>
        <w:rPr/>
      </w:pPr>
      <w:r>
        <w:rPr>
          <w:rFonts w:ascii="IRNazanin" w:hAnsi="IRNazanin" w:eastAsia="IRNazanin"/>
          <w:color w:val="111111"/>
          <w:sz w:val="28"/>
          <w:sz w:val="28"/>
          <w:szCs w:val="28"/>
          <w:rtl w:val="true"/>
          <w:lang w:bidi="fa-IR"/>
        </w:rPr>
        <w:t>الاستعمالات و أقسام التزیینات غیر الأکل و الشرب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الحکم لو کان المستفاد من الروایات هو حرمة استعمالها علی وجه الإطلاق،کما ادّعی علیه الإجماع أیضا و ذکر النهی عنه فی بعض الأحادیث </w:t>
      </w:r>
      <w:r>
        <w:rPr>
          <w:rStyle w:val="FootnoteAnchor"/>
          <w:rtl w:val="true"/>
        </w:rPr>
        <w:footnoteReference w:id="507"/>
      </w:r>
      <w:r>
        <w:rPr>
          <w:rFonts w:ascii="IRNazanin" w:hAnsi="IRNazanin" w:eastAsia="IRNazanin"/>
          <w:color w:val="111111"/>
          <w:sz w:val="28"/>
          <w:sz w:val="28"/>
          <w:szCs w:val="28"/>
          <w:rtl w:val="true"/>
          <w:lang w:bidi="fa-IR"/>
        </w:rPr>
        <w:t>إذ لا یعم ذلک مثل التزیین لعدم صدق الاستعمال علیه،فیجوز بیعها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المستفاد حرمة جمیع منافعها و جمیع أنحاء التقلّب و التصرّف فیها حتی التزیین بها فلا ریب فی حرمة المعاوضة علیها مطلقا،لکونها ممّا یجیء منها الفساد محضا،و تکون من صغریات الکبری المتقدّمة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البحث عن حرمة بیع هیاکل العبادة المبتدعة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هذا الاحتمال الأخیر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آنیة الذهب و الفضّة متاع الذین لا یوقنون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ضعف السند فی الروایة،أنّها ناظرة إلی الجهة الأخلاقیة فلا تکون مدرکا فی الأحکام الفرعیة،و تفصیل الکلام فی کتاب الطهارة </w:t>
      </w:r>
      <w:r>
        <w:rPr>
          <w:rFonts w:eastAsia="IRNazanin" w:cs="IRNazanin"/>
          <w:color w:val="111111"/>
          <w:sz w:val="28"/>
          <w:szCs w:val="28"/>
          <w:lang w:bidi="fa-IR"/>
        </w:rPr>
        <w:t>4</w:t>
      </w:r>
      <w:r>
        <w:rPr>
          <w:rFonts w:eastAsia="IRNazanin" w:cs="IRNazanin"/>
          <w:color w:val="111111"/>
          <w:sz w:val="28"/>
          <w:szCs w:val="28"/>
          <w:rtl w:val="true"/>
          <w:lang w:bidi="fa-IR"/>
        </w:rPr>
        <w:t>.</w:t>
      </w:r>
      <w:bookmarkStart w:id="309" w:name="pg5064_65352"/>
    </w:p>
    <w:p>
      <w:pPr>
        <w:pStyle w:val="Heading4"/>
        <w:numPr>
          <w:ilvl w:val="3"/>
          <w:numId w:val="1"/>
        </w:numPr>
        <w:rPr/>
      </w:pPr>
      <w:bookmarkStart w:id="310" w:name="__RefHeading___Toc910160_774463916"/>
      <w:bookmarkStart w:id="311" w:name="_Toc114"/>
      <w:bookmarkEnd w:id="309"/>
      <w:bookmarkEnd w:id="310"/>
      <w:r>
        <w:rPr>
          <w:rtl w:val="true"/>
        </w:rPr>
        <w:t>حکم بیع الدراهم المغشوشة</w:t>
      </w:r>
      <w:bookmarkEnd w:id="311"/>
    </w:p>
    <w:p>
      <w:pPr>
        <w:pStyle w:val="Heading5"/>
        <w:numPr>
          <w:ilvl w:val="4"/>
          <w:numId w:val="1"/>
        </w:numPr>
        <w:rPr/>
      </w:pPr>
      <w:bookmarkStart w:id="312" w:name="__RefHeading___Toc910162_774463916"/>
      <w:bookmarkStart w:id="313" w:name="_Toc115"/>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الدراهم الخارجة المعمولة لأجل غش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شبهة فی حرمة غش المؤمن فی البیع و الشراء وضعا و تکلیفا و سنذکر ذلک عند التعرّض لحرمة الغش </w:t>
      </w:r>
      <w:r>
        <w:rPr>
          <w:rStyle w:val="FootnoteAnchor"/>
          <w:rtl w:val="true"/>
        </w:rPr>
        <w:footnoteReference w:id="508"/>
      </w:r>
      <w:r>
        <w:rPr>
          <w:rFonts w:ascii="IRNazanin" w:hAnsi="IRNazanin" w:eastAsia="IRNazanin"/>
          <w:color w:val="111111"/>
          <w:sz w:val="28"/>
          <w:sz w:val="28"/>
          <w:szCs w:val="28"/>
          <w:rtl w:val="true"/>
          <w:lang w:bidi="fa-IR"/>
        </w:rPr>
        <w:t>و إنّما الکلام هنا یقع فی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الانتفاع بها فی التزیین و فی دفعه إلی العشّار فی المکوس و الگمارک و إلی الظالم،و عدم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المعاوضة علیها و عدم جوازها</w:t>
      </w:r>
      <w:r>
        <w:rPr>
          <w:rFonts w:eastAsia="IRNazanin" w:cs="IRNazanin"/>
          <w:color w:val="111111"/>
          <w:sz w:val="28"/>
          <w:szCs w:val="28"/>
          <w:rtl w:val="true"/>
          <w:lang w:bidi="fa-IR"/>
        </w:rPr>
        <w:t>.</w:t>
      </w:r>
    </w:p>
    <w:p>
      <w:pPr>
        <w:pStyle w:val="Heading5"/>
        <w:numPr>
          <w:ilvl w:val="4"/>
          <w:numId w:val="1"/>
        </w:numPr>
        <w:rPr/>
      </w:pPr>
      <w:bookmarkStart w:id="314" w:name="__RefHeading___Toc910164_774463916"/>
      <w:bookmarkStart w:id="315" w:name="_Toc116"/>
      <w:bookmarkEnd w:id="314"/>
      <w:r>
        <w:rPr>
          <w:rtl w:val="true"/>
        </w:rPr>
        <w:t>الانتفاع بها فی التزیین و الدفع إلی الظالم</w:t>
      </w:r>
      <w:bookmarkEnd w:id="315"/>
    </w:p>
    <w:p>
      <w:pPr>
        <w:pStyle w:val="BookText"/>
        <w:rPr/>
      </w:pPr>
      <w:r>
        <w:rPr>
          <w:rFonts w:ascii="IRNazanin" w:hAnsi="IRNazanin" w:eastAsia="IRNazanin"/>
          <w:color w:val="111111"/>
          <w:sz w:val="28"/>
          <w:sz w:val="28"/>
          <w:szCs w:val="28"/>
          <w:rtl w:val="true"/>
          <w:lang w:bidi="fa-IR"/>
        </w:rPr>
        <w:t>أمّا 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علی الحرمة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روایة الجعفی من الأمر بکسر الدرهم المغشوش،و أنه لا یحل بیعه و لا إنفاقه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فیها لیس تکلیفیا لیجب کسره و یحرم ترکه،بل هو إرشاد إلی عدم صحة المعاوضة علیها و عدم جواز أداء الحقوق الواجبة منها،و یدل علی ذلک من الروایة تعلیل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بالکسر بأنه لا یحل بیعه و لا إنفاقه،إذ من البدیهی أنّ الصدّ عن بیعه و إنفاقه فی الخارج لا ینحصر فی الکسر،بل یحصل</w:t>
      </w:r>
      <w:bookmarkStart w:id="316" w:name="pg5064_65353"/>
    </w:p>
    <w:p>
      <w:pPr>
        <w:pStyle w:val="BookText"/>
        <w:rPr/>
      </w:pPr>
      <w:bookmarkEnd w:id="316"/>
      <w:r>
        <w:rPr>
          <w:rFonts w:ascii="IRNazanin" w:hAnsi="IRNazanin" w:eastAsia="IRNazanin"/>
          <w:color w:val="111111"/>
          <w:sz w:val="28"/>
          <w:sz w:val="28"/>
          <w:szCs w:val="28"/>
          <w:rtl w:val="true"/>
          <w:lang w:bidi="fa-IR"/>
        </w:rPr>
        <w:t>بغیره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روایة موسی بن بکر </w:t>
      </w:r>
      <w:r>
        <w:rPr>
          <w:rStyle w:val="FootnoteAnchor"/>
          <w:rtl w:val="true"/>
        </w:rPr>
        <w:footnoteReference w:id="510"/>
      </w:r>
      <w:r>
        <w:rPr>
          <w:rFonts w:ascii="IRNazanin" w:hAnsi="IRNazanin" w:eastAsia="IRNazanin"/>
          <w:color w:val="111111"/>
          <w:sz w:val="28"/>
          <w:sz w:val="28"/>
          <w:szCs w:val="28"/>
          <w:rtl w:val="true"/>
          <w:lang w:bidi="fa-IR"/>
        </w:rPr>
        <w:t>من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الدینار المغشوش بنصفین و أمره بالقائه فی البالوعة حتی لا یباع ما فیه غش،إذ لو جاز الانتفاع به فی وجه لما قطعه بنصفین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السند،و غیر منجبرة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حجّة کسائر الأمارات الشرعیة کما حقّق فی محلّه،إلاّ أنّ ذلک فیما تکون وجهة الفعل معلومة،و علیه فلا یستفاد من الروایة أکثر من الجواز الشرعی،و یکون مؤدّاها الإرشاد إلی عدم نفوذ المعاملة علیه،لوجود الغش فیه و الشاهد علی ذلک من الروایة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یباع شیء فیه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أنه کان غشا محضا،و إلاّ لما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بالقائه فی البالوعة لکون هذا الفعل من أعلی مراتب الإسراف و التبذیر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ظهر ما فی روایة دعائم الإسلام </w:t>
      </w:r>
      <w:r>
        <w:rPr>
          <w:rStyle w:val="FootnoteAnchor"/>
          <w:rtl w:val="true"/>
        </w:rPr>
        <w:footnoteReference w:id="511"/>
      </w:r>
      <w:r>
        <w:rPr>
          <w:rFonts w:ascii="IRNazanin" w:hAnsi="IRNazanin" w:eastAsia="IRNazanin"/>
          <w:color w:val="111111"/>
          <w:sz w:val="28"/>
          <w:sz w:val="28"/>
          <w:szCs w:val="28"/>
          <w:rtl w:val="true"/>
          <w:lang w:bidi="fa-IR"/>
        </w:rPr>
        <w:t>من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الدرهم المغشوش</w:t>
      </w:r>
      <w:r>
        <w:rPr>
          <w:rFonts w:eastAsia="IRNazanin" w:cs="IRNazanin"/>
          <w:color w:val="111111"/>
          <w:sz w:val="28"/>
          <w:szCs w:val="28"/>
          <w:rtl w:val="true"/>
          <w:lang w:bidi="fa-IR"/>
        </w:rPr>
        <w:t>.</w:t>
      </w:r>
    </w:p>
    <w:p>
      <w:pPr>
        <w:pStyle w:val="Heading5"/>
        <w:numPr>
          <w:ilvl w:val="4"/>
          <w:numId w:val="1"/>
        </w:numPr>
        <w:rPr/>
      </w:pPr>
      <w:bookmarkStart w:id="317" w:name="__RefHeading___Toc910166_774463916"/>
      <w:bookmarkStart w:id="318" w:name="_Toc117"/>
      <w:bookmarkEnd w:id="317"/>
      <w:r>
        <w:rPr>
          <w:rtl w:val="true"/>
        </w:rPr>
        <w:t>المعاوضة علیها مع العلم بالغش و الجهل به</w:t>
      </w:r>
      <w:bookmarkEnd w:id="31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فتوضیح الکلام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للدراهم المغشوشة حالتین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رائجة بین الناس حتی مع العلم بالغش،کالدراهم الرائجة فی</w:t>
      </w:r>
    </w:p>
    <w:p>
      <w:pPr>
        <w:pStyle w:val="BookText"/>
        <w:rPr/>
      </w:pPr>
      <w:r>
        <w:rPr>
          <w:rFonts w:ascii="IRNazanin" w:hAnsi="IRNazanin" w:eastAsia="IRNazanin"/>
          <w:color w:val="111111"/>
          <w:sz w:val="28"/>
          <w:sz w:val="28"/>
          <w:szCs w:val="28"/>
          <w:rtl w:val="true"/>
          <w:lang w:bidi="fa-IR"/>
        </w:rPr>
        <w:t>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رائجة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جواز المعاوضة علی الدراهم المذکورة،لأنّ الغرض الأصیل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الرواج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تابع لخلوص المواد و نقائها من الغش بل هو تابع لاعتبار سلطان الوقت لها و جریان القانون الحکومی علیه،من غیر فرق بین اغتشاش المادة و خلوصها،نعم إذا سقطت عن الاعتبار فلا تجوز المعاوضة علیها من دون 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المعاوضة قد تقع علی الدرهم الکلّی ثم یدفع البائع الدرهم المغشوش عند الإقباض،و قد تقع علی شخص الدرهم الخارجی المغشوش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للبطلان أیضا،و لا خیار للمشتری،بل یجبر البائع علی التبدیل،فإن حصل التبدیل فیها،و إلاّ کان للمشتری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المتعاملان کلاهما عالمین بالغش،و قد یکونان جاهلین به،و قد یکونان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إباحة البیع تکلیفا و نفوذه وضعا للعمومات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الغش مانع عن صحة البیع للأخبار المتظافرة الآتیة فی البحث عن حرمة الغش دعوی جزافیة،ضرورة خروج هذه الصورة عن موردها خروجا تخصصیّا،إذ الغش إنما یتقوّم بعلم الغار و جهل المغرور،و قد فرضنا علم المتبایعین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التمسّک لذلک بروایتی الجعفی و موسی بن بکر المتقدّمتین بدعوی ظهورهما فی حرمة بیع الدراهم و الدنانیر المغشوشة توهّم فاسد،فإنّ الروایتین و إن کانتا ظاهرتین فی ذلک و لکن یجب حملهما علی الکراهة،لصراحة ما دل من</w:t>
      </w:r>
    </w:p>
    <w:p>
      <w:pPr>
        <w:pStyle w:val="BookText"/>
        <w:rPr/>
      </w:pPr>
      <w:r>
        <w:rPr>
          <w:rFonts w:ascii="IRNazanin" w:hAnsi="IRNazanin" w:eastAsia="IRNazanin"/>
          <w:color w:val="111111"/>
          <w:sz w:val="28"/>
          <w:sz w:val="28"/>
          <w:szCs w:val="28"/>
          <w:rtl w:val="true"/>
          <w:lang w:bidi="fa-IR"/>
        </w:rPr>
        <w:t xml:space="preserve">الروایات </w:t>
      </w:r>
      <w:r>
        <w:rPr>
          <w:rStyle w:val="FootnoteAnchor"/>
          <w:rtl w:val="true"/>
        </w:rPr>
        <w:footnoteReference w:id="512"/>
      </w:r>
      <w:r>
        <w:rPr>
          <w:rFonts w:ascii="IRNazanin" w:hAnsi="IRNazanin" w:eastAsia="IRNazanin"/>
          <w:color w:val="111111"/>
          <w:sz w:val="28"/>
          <w:sz w:val="28"/>
          <w:szCs w:val="28"/>
          <w:rtl w:val="true"/>
          <w:lang w:bidi="fa-IR"/>
        </w:rPr>
        <w:t>علی جواز البیع مع علم المتبایعین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فالتحقیق فیها أنّ الکلام تارة یقع فی الحرمة التکلیفیة و اخری فی الحرمة الوضعیة،أمّا الحرمة التکلیفیة فمنفیة جزما،لفقد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جهل المتبایعین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الحرمة الوضعیة بمعنی عدم نفوذ البیع فتوضیح الحال فیها یتوقّف علی مقدّمة قد أوضحناها فی البحث عن بیع هیاکل العبادة </w:t>
      </w:r>
      <w:r>
        <w:rPr>
          <w:rStyle w:val="FootnoteAnchor"/>
          <w:rtl w:val="true"/>
        </w:rPr>
        <w:footnoteReference w:id="513"/>
      </w:r>
      <w:r>
        <w:rPr>
          <w:rFonts w:ascii="IRNazanin" w:hAnsi="IRNazanin" w:eastAsia="IRNazanin"/>
          <w:color w:val="111111"/>
          <w:sz w:val="28"/>
          <w:sz w:val="28"/>
          <w:szCs w:val="28"/>
          <w:rtl w:val="true"/>
          <w:lang w:bidi="fa-IR"/>
        </w:rPr>
        <w:t xml:space="preserve">و تعرّض المصنّف لها فی خیار تخلّف الشرط </w:t>
      </w:r>
      <w:r>
        <w:rPr>
          <w:rStyle w:val="FootnoteAnchor"/>
          <w:rtl w:val="true"/>
        </w:rPr>
        <w:footnoteReference w:id="514"/>
      </w:r>
      <w:r>
        <w:rPr>
          <w:rFonts w:ascii="IRNazanin" w:hAnsi="IRNazanin" w:eastAsia="IRNazanin"/>
          <w:color w:val="111111"/>
          <w:sz w:val="28"/>
          <w:sz w:val="28"/>
          <w:szCs w:val="28"/>
          <w:rtl w:val="true"/>
          <w:lang w:bidi="fa-IR"/>
        </w:rPr>
        <w:t>،و لا بأس هنا بالإشارة إلیها إجمالا،و ملخّصها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القیود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من قبیل الأوصاف أو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صور نوعیة عرفیة،أو جهات کمالیة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من القبیل الأول فلا ریب فی بطلان البیع مع التخلّف،کما إذا اشتری جاریة علی أنها شابة جمیلة فظهرت عبدا شائبا کریه الوجه،أو اشتری</w:t>
      </w:r>
    </w:p>
    <w:p>
      <w:pPr>
        <w:pStyle w:val="BookText"/>
        <w:rPr/>
      </w:pPr>
      <w:r>
        <w:rPr>
          <w:rFonts w:ascii="IRNazanin" w:hAnsi="IRNazanin" w:eastAsia="IRNazanin"/>
          <w:color w:val="111111"/>
          <w:sz w:val="28"/>
          <w:sz w:val="28"/>
          <w:szCs w:val="28"/>
          <w:rtl w:val="true"/>
          <w:lang w:bidi="fa-IR"/>
        </w:rPr>
        <w:t>صندوقا فظهر أنه طبل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جری علیه العقد غیر واقع،و ما هو واقع لم یجر علیه العقد،فإنّ ما تعلّقت به المعاملة و إن اتّحد فی الحقیقة مع ما تسلّمه المشتری،إلاّ أنّهما فی نظر العرف متباینان،و لا یتقسّط الثمن علی المادّة و الهیئة لتبطل المعاملة فیما قابل الهیئة و تنفذ فیما قابل المادّة،کما یتجزّأ فیما إذا باع ما یملک و ما لا یملک صفقة واحدة کالشاة مع الخنزیر،و ذلک لما عرفت من فساد الانحلال و التقسیط فیما إذا کانت الکثرة تحلیلیة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من القبیل الثانی فلا وجه للبطلان،بل یثبت خیار تخلّف الشرط کما إذا باع عبدا علی أنه کاتب فبان أنه غیر کاتب،أو باع کبشا فظهر أنه نعجة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أنّ الفائت لیس إلاّ من الأوصاف الکمالیة،فلا یوجب تخلّفه إلاّ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إذا باع درهما علی أنه مسکوک بسکّة السلطان فبان أنه مسکوک بسکّة التاجر بطل البیع،لکون الاختلاف بینهما من الاختلاف فی الصور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باع درهما علی أنه طازج فبان أنه عتیق فإنّ البیع صحیح،و إنّما یثبت للمشتری خیار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ما فی کلام المصنّف من الوهن،حیث أثبت خیار التدلیس مع تفاوت السکّة،و وجه الوهن هو أنّ الملحوظ إن کان هی المادّة المجرّدة فلا بطلان و لا خیار،و إن کان هی مع الهیئة أو الهیئة المحضة فلا مناص عن البطلان،نعم لو کان الملحوظ هی المادّة المجرّدة و کان التفاوت بکثرة الخلیط و قلّته ثبت خیار العیب إلاّ أنه غیر مفروض المصنّف</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یفرض علم البائع بالغش دون المشتری،و اخری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الاولی فهی من أوضح مصادیق الغش فی المعاملة،و یجری فیها جمیع</w:t>
      </w:r>
    </w:p>
    <w:p>
      <w:pPr>
        <w:pStyle w:val="BookText"/>
        <w:rPr/>
      </w:pPr>
      <w:r>
        <w:rPr>
          <w:rFonts w:ascii="IRNazanin" w:hAnsi="IRNazanin" w:eastAsia="IRNazanin"/>
          <w:color w:val="111111"/>
          <w:sz w:val="28"/>
          <w:sz w:val="28"/>
          <w:szCs w:val="28"/>
          <w:rtl w:val="true"/>
          <w:lang w:bidi="fa-IR"/>
        </w:rPr>
        <w:t>ما ذکرناه فی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 فلا مانع من نفوذ البیع فیها وضعا و إباحته تکلیفا،للعمومات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أنّ الغش مانع عن النفوذ مندفع بما ذکرناه من تقوّمه بعلم البائع و جهل المشتری،و المفروض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تقدّم من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إبداء الفرق بین بیع آلات اللهو و القمار و بیع الدراهم المغشوشة،بدعوی استحالة صحته فی الآلات،لأنّ المادّة و الهیئة أجزاء تحلیلیة عقلیة،فلا تقابل المادّة بجزء من الثمن و الهیئة بجزء آخر منه لیحکم بصحة البیع فی المادة و بفساده فی الهیئة،بل إذا بطل فی جزء بطل فی الجمیع،و إذا صح فی جزء صح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التقسیط إنّما یکون فی الأجزاء الخارجیة،کتقسیط الثمن علی الخل و الخمر إذا بیعا صفقة واحدة،و هذا بخلاف الدراهم المغشوشة،لنفوذ المعاملة فیها مع الخیار إلاّ إذا وقع عنوان المعاوضة علی الدراهم المنصرف إطلاقه إلی المسکوک بسکّة السلطان،فإنّ البیع حینئذ یبطل إذا بان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التزامه بالانحلال و التقسیط فی الأجزاء الخارجیة إذا ظهر الخلاف و عدم التزامه بهما فی آلات اللهو و القمار و سائر ما کان التعدّد فیه بالتحلیل العقلی متین،و من الوضوح بمکان،إلاّ أنّ الحال فی الدراهم أیضا کذلک،فإذا کان الاختلاف من جهة السکّة لا یمکن التصحیح من جهة المادّة و الإبطال من جهة الهیئة و أمّا الصورة الاخری التی یصح البیع فیها مع الخیار أو مع عدمه فلا جامع بینها و بین آلات القمار لیحتاج إلی إبداء الفارق بینهما،و من المحتمل أنّ هذه العبارة قد حرّرها النسّاخ فی غیر موضعها اشتباها،و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مطّرد فی کل قید فاسد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سواء کانت صحیحة أم فاسدة لا تقابل بجزء من الثمن کما</w:t>
      </w:r>
      <w:bookmarkStart w:id="319" w:name="pg5064_65358"/>
    </w:p>
    <w:p>
      <w:pPr>
        <w:pStyle w:val="BookText"/>
        <w:rPr/>
      </w:pPr>
      <w:bookmarkEnd w:id="319"/>
      <w:r>
        <w:rPr>
          <w:rFonts w:ascii="IRNazanin" w:hAnsi="IRNazanin" w:eastAsia="IRNazanin"/>
          <w:color w:val="111111"/>
          <w:sz w:val="28"/>
          <w:sz w:val="28"/>
          <w:szCs w:val="28"/>
          <w:rtl w:val="true"/>
          <w:lang w:bidi="fa-IR"/>
        </w:rPr>
        <w:t xml:space="preserve">سیأتی بیان ذلک فی بابها </w:t>
      </w:r>
      <w:r>
        <w:rPr>
          <w:rStyle w:val="FootnoteAnchor"/>
          <w:rtl w:val="true"/>
        </w:rPr>
        <w:footnoteReference w:id="515"/>
      </w:r>
      <w:r>
        <w:rPr>
          <w:rFonts w:ascii="IRNazanin" w:hAnsi="IRNazanin" w:eastAsia="IRNazanin"/>
          <w:color w:val="111111"/>
          <w:sz w:val="28"/>
          <w:sz w:val="28"/>
          <w:szCs w:val="28"/>
          <w:rtl w:val="true"/>
          <w:lang w:bidi="fa-IR"/>
        </w:rPr>
        <w:t>،و علیه فتخلّفها لا یوجب إلاّ الخیار حتی علی مسلک المصنّف،و دعوی الخصوصیة فی المورد جزافیة</w:t>
      </w:r>
      <w:r>
        <w:rPr>
          <w:rFonts w:eastAsia="IRNazanin" w:cs="IRNazanin"/>
          <w:color w:val="111111"/>
          <w:sz w:val="28"/>
          <w:szCs w:val="28"/>
          <w:rtl w:val="true"/>
          <w:lang w:bidi="fa-IR"/>
        </w:rPr>
        <w:t>.</w:t>
      </w:r>
    </w:p>
    <w:p>
      <w:pPr>
        <w:pStyle w:val="Heading3"/>
        <w:numPr>
          <w:ilvl w:val="2"/>
          <w:numId w:val="1"/>
        </w:numPr>
        <w:rPr/>
      </w:pPr>
      <w:bookmarkStart w:id="320" w:name="__RefHeading___Toc910168_774463916"/>
      <w:bookmarkStart w:id="321" w:name="_Toc118"/>
      <w:bookmarkEnd w:id="320"/>
      <w:r>
        <w:rPr>
          <w:rtl w:val="true"/>
        </w:rPr>
        <w:t>الثانی ما یقصد منه المتعاملان المنفعة المحرّمة</w:t>
      </w:r>
      <w:bookmarkEnd w:id="321"/>
    </w:p>
    <w:p>
      <w:pPr>
        <w:pStyle w:val="Heading4"/>
        <w:numPr>
          <w:ilvl w:val="3"/>
          <w:numId w:val="1"/>
        </w:numPr>
        <w:rPr/>
      </w:pPr>
      <w:bookmarkStart w:id="322" w:name="__RefHeading___Toc910170_774463916"/>
      <w:bookmarkStart w:id="323" w:name="_Toc119"/>
      <w:bookmarkEnd w:id="322"/>
      <w:r>
        <w:rPr>
          <w:rtl w:val="true"/>
        </w:rPr>
        <w:t>حکم بیع العنب علی أن یعمل خمرا</w:t>
      </w:r>
      <w:bookmarkEnd w:id="323"/>
    </w:p>
    <w:p>
      <w:pPr>
        <w:pStyle w:val="Heading5"/>
        <w:numPr>
          <w:ilvl w:val="4"/>
          <w:numId w:val="1"/>
        </w:numPr>
        <w:rPr/>
      </w:pPr>
      <w:bookmarkStart w:id="324" w:name="__RefHeading___Toc910172_774463916"/>
      <w:bookmarkStart w:id="325" w:name="_Toc120"/>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یقصد منه المتعاملان المنفعة المحرّمة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تقسیم ما یقصد من بیعه الحرام إلی ثلاثة أقسام،و بیان حکم کل منها علی حدة،و منشأ القسمة هو أنّ المنفعة المحرّمة التی یقصدها المتعاملان إمّا أن تکون تمام الموضوع فی المعاوضة بحیث یرجع مفادها إلی بذل المال بازاء تلک المنفعة المحرّمة لا غیر،کالمعاوضة علی العنب بشرط التخمیر فقط،و علی الخشب بشرط صنعه صنما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تکون بنحو الداعی إلی المعاوضة من دون اشتراط فیها،کالمعاملة علی العنب لیجعله خمرا من غیر اشتراط لذلک فی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تکون جزء الموضوع بحیث یرجع مفاد المعاوضة إلی ضمّ الغایة المحرّمة للغایة المحلّلة و بذل المال بازائهما،کبیع الجاریة المغنیة إذا لو حظ بعض الثمن بإزاء صفة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مسائل ثلاث</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الوجوه المذکورة جاریة فی الإجارة أیضا،بل هی تزید علی البیع بوجه رابع،و هو أن یؤجر نفسه لفعل الحرام کالزنا و النمیمة و الغیبة و القتل و الافتراء و من هذا القبیل إجارة الجاریة المغنیة للتغنّی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العنب علی أن یعمل خمرا و الخشب علی أن یعمل صنما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 فی المستند </w:t>
      </w:r>
      <w:r>
        <w:rPr>
          <w:rStyle w:val="FootnoteAnchor"/>
          <w:rtl w:val="true"/>
        </w:rPr>
        <w:footnoteReference w:id="517"/>
      </w:r>
      <w:r>
        <w:rPr>
          <w:rFonts w:ascii="IRNazanin" w:hAnsi="IRNazanin" w:eastAsia="IRNazanin"/>
          <w:color w:val="111111"/>
          <w:sz w:val="28"/>
          <w:sz w:val="28"/>
          <w:szCs w:val="28"/>
          <w:rtl w:val="true"/>
          <w:lang w:bidi="fa-IR"/>
        </w:rPr>
        <w:t xml:space="preserve">و فی متاجر الجواهر </w:t>
      </w:r>
      <w:r>
        <w:rPr>
          <w:rStyle w:val="FootnoteAnchor"/>
          <w:rtl w:val="true"/>
        </w:rPr>
        <w:footnoteReference w:id="518"/>
      </w:r>
      <w:r>
        <w:rPr>
          <w:rFonts w:ascii="IRNazanin" w:hAnsi="IRNazanin" w:eastAsia="IRNazanin"/>
          <w:color w:val="111111"/>
          <w:sz w:val="28"/>
          <w:sz w:val="28"/>
          <w:szCs w:val="28"/>
          <w:rtl w:val="true"/>
          <w:lang w:bidi="fa-IR"/>
        </w:rPr>
        <w:t xml:space="preserve">و غیرهما عدم الخلاف بل الإجماع علی حرمة الإجارة و البیع،بل کل معاملة و تکسب للمحرّم،سواء اشترطاه فی العقد أم حصل اتّفاق المتبایعین علیه،کاجارة المساکن و الحمولات للخمر و رکوب الظلمة و إسکانهم للظلم،و بیع العنب و التمر و غیرهما ممّا یتّخذ منه المسکر لیعمل خمرا،أو الخشب لیعمل صنما أو بربطا،و إلی هذا القول ذهب بعض أهل الخلاف </w:t>
      </w:r>
      <w:r>
        <w:rPr>
          <w:rStyle w:val="FootnoteAnchor"/>
          <w:rtl w:val="true"/>
        </w:rPr>
        <w:footnoteReference w:id="519"/>
      </w:r>
      <w:r>
        <w:rPr>
          <w:rFonts w:ascii="IRNazanin" w:hAnsi="IRNazanin" w:eastAsia="IRNazanin"/>
          <w:color w:val="111111"/>
          <w:sz w:val="28"/>
          <w:sz w:val="28"/>
          <w:szCs w:val="28"/>
          <w:rtl w:val="true"/>
          <w:lang w:bidi="fa-IR"/>
        </w:rPr>
        <w:t xml:space="preserve">بل هو ظاهر جمیعهم،لنصّهم علی حرمة الإجارة للامور المحرّمة و سیأتی </w:t>
      </w:r>
      <w:r>
        <w:rPr>
          <w:rStyle w:val="FootnoteAnchor"/>
          <w:rtl w:val="true"/>
        </w:rPr>
        <w:footnoteReference w:id="520"/>
      </w:r>
      <w:r>
        <w:rPr>
          <w:rFonts w:ascii="IRNazanin" w:hAnsi="IRNazanin" w:eastAsia="IRNazanin"/>
          <w:color w:val="111111"/>
          <w:sz w:val="28"/>
          <w:sz w:val="28"/>
          <w:szCs w:val="28"/>
          <w:rtl w:val="true"/>
          <w:lang w:bidi="fa-IR"/>
        </w:rPr>
        <w:t>،و لا فرق فی ذلک بین الإجارة و سائر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کان،فالکلام یقع فی ناحیتین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بیع المباح علی أن یجعل حراما و عدم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أقسام ما یقصد من إجارته الحرام و ذکر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یمکن الاستدلال به علی حرمة البیع وجوه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 الأشیاء المباحة علی أن تصرف فی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العنب للتخمیر،و بیع الخشب لجعله صنما أو آلة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إعانة علی الإثم،بل فی المستند إنه معاونة علی الإثم المحرّم کتابا و سنّة و إجماعا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الکبری ممنوعة إلاّ فی موارد خاصة کما سیأتی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علمت فی بعض المباحث أنّ بین عنوان البیع و عنوان الإعانة علی الإثم عموما من وجه،لتقوّم مفهوم الاعانة بالإقباض و التسلیط الخارجی علی العین و لو بغیر عنوان البیع مع العلم بصرفها فی الحرام،و إن کان ینطبق عنوان الإعانة علی البیع فی بعض الأحیان،و علیه فلا تستلزم حرمة الإعانة علی الإثم حرمة البیع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المعاوضة لو سلّمت لا تدل علی فساد المعاملة وضعا،لأنّها حرمة تکلیفیة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قلنا بدلالة النهی التکلیفی علی فساد المعاملة فإنّ ذلک فیما إذا کانت المعاملة بعنوانها الأوّلی موردا للنهی کبیع الخمر،لا بعنوانها العرضی کما فی المقام و هذا لا ینافی ما سلکناه فی بعض المباحث </w:t>
      </w:r>
      <w:r>
        <w:rPr>
          <w:rStyle w:val="FootnoteAnchor"/>
          <w:rtl w:val="true"/>
        </w:rPr>
        <w:footnoteReference w:id="523"/>
      </w:r>
      <w:r>
        <w:rPr>
          <w:rFonts w:ascii="IRNazanin" w:hAnsi="IRNazanin" w:eastAsia="IRNazanin"/>
          <w:color w:val="111111"/>
          <w:sz w:val="28"/>
          <w:sz w:val="28"/>
          <w:szCs w:val="28"/>
          <w:rtl w:val="true"/>
          <w:lang w:bidi="fa-IR"/>
        </w:rPr>
        <w:t xml:space="preserve">و أشرنا إلیه فیما سبق </w:t>
      </w:r>
      <w:r>
        <w:rPr>
          <w:rStyle w:val="FootnoteAnchor"/>
          <w:rtl w:val="true"/>
        </w:rPr>
        <w:footnoteReference w:id="524"/>
      </w:r>
      <w:r>
        <w:rPr>
          <w:rFonts w:ascii="IRNazanin" w:hAnsi="IRNazanin" w:eastAsia="IRNazanin"/>
          <w:color w:val="111111"/>
          <w:sz w:val="28"/>
          <w:sz w:val="28"/>
          <w:szCs w:val="28"/>
          <w:rtl w:val="true"/>
          <w:lang w:bidi="fa-IR"/>
        </w:rPr>
        <w:t>من کون النواهی فی باب المعاملات إرشادا إلی الفساد کالنهی عن البیع الغرری،کما أنّها فی أبواب الصلاة إرشاد إلی المانعیة،فإنّ ذلک فیما لم تقصد المولویة التکلیفیة من النهی کالنهی عن بیع الخمر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تخلّف الشروط الصحیحة إنّما یوجب الخیار للمشترط،لأنّ الشروط لا تقابل بجزء من الثمن،و قد حقّقناه فی محلّه </w:t>
      </w:r>
      <w:r>
        <w:rPr>
          <w:rStyle w:val="FootnoteAnchor"/>
          <w:rtl w:val="true"/>
        </w:rPr>
        <w:footnoteReference w:id="525"/>
      </w:r>
      <w:r>
        <w:rPr>
          <w:rFonts w:ascii="IRNazanin" w:hAnsi="IRNazanin" w:eastAsia="IRNazanin"/>
          <w:color w:val="111111"/>
          <w:sz w:val="28"/>
          <w:sz w:val="28"/>
          <w:szCs w:val="28"/>
          <w:rtl w:val="true"/>
          <w:lang w:bidi="fa-IR"/>
        </w:rPr>
        <w:t>،و التزم به المصنّف فی باب</w:t>
      </w:r>
    </w:p>
    <w:p>
      <w:pPr>
        <w:pStyle w:val="BookText"/>
        <w:rPr/>
      </w:pPr>
      <w:r>
        <w:rPr>
          <w:rFonts w:ascii="IRNazanin" w:hAnsi="IRNazanin" w:eastAsia="IRNazanin"/>
          <w:color w:val="111111"/>
          <w:sz w:val="28"/>
          <w:sz w:val="28"/>
          <w:szCs w:val="28"/>
          <w:rtl w:val="true"/>
          <w:lang w:bidi="fa-IR"/>
        </w:rPr>
        <w:t xml:space="preserve">الشروط </w:t>
      </w:r>
      <w:r>
        <w:rPr>
          <w:rStyle w:val="FootnoteAnchor"/>
          <w:rtl w:val="true"/>
        </w:rPr>
        <w:footnoteReference w:id="526"/>
      </w:r>
      <w:r>
        <w:rPr>
          <w:rFonts w:ascii="IRNazanin" w:hAnsi="IRNazanin" w:eastAsia="IRNazanin"/>
          <w:color w:val="111111"/>
          <w:sz w:val="28"/>
          <w:sz w:val="28"/>
          <w:szCs w:val="28"/>
          <w:rtl w:val="true"/>
          <w:lang w:bidi="fa-IR"/>
        </w:rPr>
        <w:t>و من الواضح أنّ الشروط الفاسدة لا تزید علی الصحیحة فی ذلک،فلا یسری فساد الشرط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امتیاز المورد عن بقیة الشروط الفاسدة موهونة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 للشروط حصة من الثمن فیقسّط علیها و علی المشروط فإنّما هو فی الشروط التی تجعل علی البائع،کأن یشترط المشتری علیه فی ضمن العقد خیاطة ثوبه أو بناء داره أو نجارة بابه و نحوها ممّا یوجب زیادة الثمن،و أمّا الشروط التی تجعل علی المشتری کأن یشترط البائع علیه صرف المبیع فی جهة خاصة سواء أکانت محرّمة أم محلّلة،فلا تقابل بشیء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فاشتراط البائع علی المشتری صرف المبیع فی الحرام لا یوجب فساد البیع حتی علی القول بالتقسیط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أکل للمال بالباطل فهو حرام،لآیة التجارة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عرفته مرارا و ستعرفه </w:t>
      </w:r>
      <w:r>
        <w:rPr>
          <w:rStyle w:val="FootnoteAnchor"/>
          <w:rtl w:val="true"/>
        </w:rPr>
        <w:footnoteReference w:id="528"/>
      </w:r>
      <w:r>
        <w:rPr>
          <w:rFonts w:ascii="IRNazanin" w:hAnsi="IRNazanin" w:eastAsia="IRNazanin"/>
          <w:color w:val="111111"/>
          <w:sz w:val="28"/>
          <w:sz w:val="28"/>
          <w:szCs w:val="28"/>
          <w:rtl w:val="true"/>
          <w:lang w:bidi="fa-IR"/>
        </w:rPr>
        <w:t>من أنّ الآیة الشریفة مسوقة لبیان الضابطة الکلّیة فی الأسباب الصحیحة و الأسباب الفاسدة للمعاملات،و أنّ شرائط العوضین خارجة عن 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عرفته مرارا أیضا من أنّ الشروط لا تقابل بجزء من الثمن لیلزم من فسادها أکل المال بالباطل،و إنّما هی مجرد التزامات لا یترتّب علی مخالفتها إلاّ الخیار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حجّیة الإجماع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الإجماع التعبّدی فی المقام موهونة جدّا،لإمکان استناد المجمعین إلی الوجوه المذکورة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فی المستند </w:t>
      </w:r>
      <w:r>
        <w:rPr>
          <w:rStyle w:val="FootnoteAnchor"/>
          <w:rtl w:val="true"/>
        </w:rPr>
        <w:footnoteReference w:id="529"/>
      </w:r>
      <w:r>
        <w:rPr>
          <w:rFonts w:ascii="IRNazanin" w:hAnsi="IRNazanin" w:eastAsia="IRNazanin"/>
          <w:color w:val="111111"/>
          <w:sz w:val="28"/>
          <w:sz w:val="28"/>
          <w:szCs w:val="28"/>
          <w:rtl w:val="true"/>
          <w:lang w:bidi="fa-IR"/>
        </w:rPr>
        <w:t>من کونه بنفسه فعلا محرّما،لما بیّنا فی موضعه من أنّ فعل المباح بقصد التوصّل به إلی الحرام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قلنا بحرمة مقدّمة الحرام فإنّما ذلک فی المقدّمات التی لا یمکن التفکیک بینها و بین ذی المقدّمة،بحیث لا یتمکّن المکلّف بعد إیجاد المقدّمة من ترک ذی المقدّمة،فیعاقب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الضروری أنّ بیع المباح بقصد التوصّل به إلی الحرام أو بشرط صرفه فیه لیس علّة لإیجاده،و إنّما هو من الدواعی،و التخلّف فیها لیس بعزیز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توهّم من شمول أدلّة النهی عن المنکر للمقام،بدعوی أنه إذا وجب النهی عن المنکر لرفعه فإنّ النهی عنه لدفعه أولی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استفدنا من الأدلّة وجوب النهی عن المنکر لدفعه لأمکن الالتزام بوجوب النهی عنه لرفعه بالفحوی،و أمّا العکس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أغمضنا عن ذلک فهو إنّما یتم إذا علم البائع بأنّ المشتری یصرف المبیع فی الحرام علی حسب الاشتراط،و إلاّ فلا مقتضی للوجوب،علی أنّ مقتضاه إنّما هو مجرد التکلیف و النهی التکلیفی فی المعاملات لا یقتضی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جابر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لذکره فی المقام إلاّ من جهة اتّحاد حکم البیع و الإجارة فیما نحن فیه،و إلاّ فهو أجنبی عن البیع،و صریح فی حرمة الإجارة للغایة المحرّمة کما سیأتی</w:t>
      </w:r>
      <w:r>
        <w:rPr>
          <w:rFonts w:eastAsia="IRNazanin" w:cs="IRNazanin"/>
          <w:color w:val="111111"/>
          <w:sz w:val="28"/>
          <w:szCs w:val="28"/>
          <w:rtl w:val="true"/>
          <w:lang w:bidi="fa-IR"/>
        </w:rPr>
        <w:t>.</w:t>
      </w:r>
      <w:bookmarkStart w:id="326" w:name="pg5064_65363"/>
    </w:p>
    <w:p>
      <w:pPr>
        <w:pStyle w:val="Heading5"/>
        <w:numPr>
          <w:ilvl w:val="4"/>
          <w:numId w:val="1"/>
        </w:numPr>
        <w:rPr/>
      </w:pPr>
      <w:bookmarkStart w:id="327" w:name="__RefHeading___Toc910174_774463916"/>
      <w:bookmarkStart w:id="328" w:name="_Toc121"/>
      <w:bookmarkEnd w:id="326"/>
      <w:bookmarkEnd w:id="327"/>
      <w:r>
        <w:rPr>
          <w:rtl w:val="true"/>
        </w:rPr>
        <w:t>حکم ما یقصد من إجارته الحرام</w:t>
      </w:r>
      <w:bookmarkEnd w:id="328"/>
    </w:p>
    <w:p>
      <w:pPr>
        <w:pStyle w:val="BookText"/>
        <w:rPr/>
      </w:pPr>
      <w:r>
        <w:rPr>
          <w:rFonts w:ascii="IRNazanin" w:hAnsi="IRNazanin" w:eastAsia="IRNazanin"/>
          <w:color w:val="111111"/>
          <w:sz w:val="28"/>
          <w:sz w:val="28"/>
          <w:szCs w:val="28"/>
          <w:rtl w:val="true"/>
          <w:lang w:bidi="fa-IR"/>
        </w:rPr>
        <w:t>و أمّا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علمت </w:t>
      </w:r>
      <w:r>
        <w:rPr>
          <w:rStyle w:val="FootnoteAnchor"/>
          <w:rtl w:val="true"/>
        </w:rPr>
        <w:footnoteReference w:id="530"/>
      </w:r>
      <w:r>
        <w:rPr>
          <w:rFonts w:ascii="IRNazanin" w:hAnsi="IRNazanin" w:eastAsia="IRNazanin"/>
          <w:color w:val="111111"/>
          <w:sz w:val="28"/>
          <w:sz w:val="28"/>
          <w:szCs w:val="28"/>
          <w:rtl w:val="true"/>
          <w:lang w:bidi="fa-IR"/>
        </w:rPr>
        <w:t>أنّ ما یقصد من إجارته الحرام یکون علی أربعة أقسام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متعلّق الإجارة من الامور المحرّمة،کأن یؤجر نفسه للعمل الحرام،و هذا لا شبهة فی حرمته من حیث الوضع و التکلیف،بل لا نعرف فیه خلافا من الشیعة و السنّة </w:t>
      </w:r>
      <w:r>
        <w:rPr>
          <w:rStyle w:val="FootnoteAnchor"/>
          <w:rtl w:val="true"/>
        </w:rPr>
        <w:footnoteReference w:id="531"/>
      </w:r>
      <w:r>
        <w:rPr>
          <w:rFonts w:ascii="IRNazanin" w:hAnsi="IRNazanin" w:eastAsia="IRNazanin"/>
          <w:color w:val="111111"/>
          <w:sz w:val="28"/>
          <w:sz w:val="28"/>
          <w:szCs w:val="28"/>
          <w:rtl w:val="true"/>
          <w:lang w:bidi="fa-IR"/>
        </w:rPr>
        <w:t xml:space="preserve">إلاّ ما یظهر ممّا نسب إلی أبی حنیفة فی بعض الفروع </w:t>
      </w:r>
      <w:r>
        <w:rPr>
          <w:rStyle w:val="FootnoteAnchor"/>
          <w:rtl w:val="true"/>
        </w:rPr>
        <w:footnoteReference w:id="532"/>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 xml:space="preserve">عرفت </w:t>
      </w:r>
      <w:r>
        <w:rPr>
          <w:rStyle w:val="FootnoteAnchor"/>
          <w:rtl w:val="true"/>
        </w:rPr>
        <w:footnoteReference w:id="533"/>
      </w:r>
      <w:r>
        <w:rPr>
          <w:rFonts w:ascii="IRNazanin" w:hAnsi="IRNazanin" w:eastAsia="IRNazanin"/>
          <w:color w:val="111111"/>
          <w:sz w:val="28"/>
          <w:sz w:val="28"/>
          <w:szCs w:val="28"/>
          <w:rtl w:val="true"/>
          <w:lang w:bidi="fa-IR"/>
        </w:rPr>
        <w:t>فی معنی حرمة البیع أنّ نفس أدلّة المحرّمات کافیة فی حرمة هذا القسم من الإجارة،إذ هی تقتضی الانزجار عنها،و مقتضی العمومات هو وجوب الوفاء بالعقد،و هما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المقصود من خبر جابر الآتی هو هذا القسم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 المؤجر علی المستأجر أن ینتفع بالعین المستأجرة بالمنافع المحرّمة من دون أن یکون أصل الإیجار للحرام،کاستئجار الثیاب و الحلی و الأمتعة و الخیام و السیارات و سائر الحمولة بشرط الانتفاع بها بالجهات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بیننا و بین العامة </w:t>
      </w:r>
      <w:r>
        <w:rPr>
          <w:rStyle w:val="FootnoteAnchor"/>
          <w:rtl w:val="true"/>
        </w:rPr>
        <w:footnoteReference w:id="534"/>
      </w:r>
      <w:r>
        <w:rPr>
          <w:rFonts w:ascii="IRNazanin" w:hAnsi="IRNazanin" w:eastAsia="IRNazanin"/>
          <w:color w:val="111111"/>
          <w:sz w:val="28"/>
          <w:sz w:val="28"/>
          <w:szCs w:val="28"/>
          <w:rtl w:val="true"/>
          <w:lang w:bidi="fa-IR"/>
        </w:rPr>
        <w:t>عدم جواز ذلک،إلاّ أنّ الظاهر أنّ المسألة من صغریات الشرط الفاسد،و بما أنّک علمت إجمالا و ستعلم تفصیلا أنّ فساد الشرط لا یستلزم فساد العقد و لا یسری إلیه،فلا موجب لفساد الإجارة من ناحیة الشرط المذکور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علی الفساد بروایة جابر </w:t>
      </w:r>
      <w:r>
        <w:rPr>
          <w:rStyle w:val="FootnoteAnchor"/>
          <w:rtl w:val="true"/>
        </w:rPr>
        <w:footnoteReference w:id="535"/>
      </w:r>
      <w:r>
        <w:rPr>
          <w:rFonts w:ascii="IRNazanin" w:hAnsi="IRNazanin" w:eastAsia="IRNazanin"/>
          <w:color w:val="111111"/>
          <w:sz w:val="28"/>
          <w:sz w:val="28"/>
          <w:szCs w:val="28"/>
          <w:rtl w:val="true"/>
          <w:lang w:bidi="fa-IR"/>
        </w:rPr>
        <w:t>حیث حکم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p>
    <w:p>
      <w:pPr>
        <w:pStyle w:val="BookText"/>
        <w:rPr/>
      </w:pPr>
      <w:r>
        <w:rPr>
          <w:rFonts w:ascii="IRNazanin" w:hAnsi="IRNazanin" w:eastAsia="IRNazanin"/>
          <w:color w:val="111111"/>
          <w:sz w:val="28"/>
          <w:sz w:val="28"/>
          <w:szCs w:val="28"/>
          <w:rtl w:val="true"/>
          <w:lang w:bidi="fa-IR"/>
        </w:rPr>
        <w:t>بحرمة الاجرة فی رجل آجر بیته فیباع فیه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ضعف السند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أجنبیة عن اشتراط الانتفاع بالعین المستأجرة فی الحرام،إذ لا داعی للمسلم أن یؤاجر بیته و یشترط علی المستأجر أن ینتفع منها بالمنافع المحرّمة،بل موردها فرض العلم بالانتفاع المحرّم من غیر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محمولة علی الکراهة،لمعارضتها بحسنة ابن اذینة </w:t>
      </w:r>
      <w:r>
        <w:rPr>
          <w:rStyle w:val="FootnoteAnchor"/>
          <w:rtl w:val="true"/>
        </w:rPr>
        <w:footnoteReference w:id="536"/>
      </w:r>
      <w:r>
        <w:rPr>
          <w:rFonts w:ascii="IRNazanin" w:hAnsi="IRNazanin" w:eastAsia="IRNazanin"/>
          <w:color w:val="111111"/>
          <w:sz w:val="28"/>
          <w:sz w:val="28"/>
          <w:szCs w:val="28"/>
          <w:rtl w:val="true"/>
          <w:lang w:bidi="fa-IR"/>
        </w:rPr>
        <w:t>الدالّة علی جواز إیجار الحمولة لحمل الخمر و الخنازیر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المصنّف </w:t>
      </w:r>
      <w:r>
        <w:rPr>
          <w:rStyle w:val="FootnoteAnchor"/>
          <w:rtl w:val="true"/>
        </w:rPr>
        <w:footnoteReference w:id="537"/>
      </w:r>
      <w:r>
        <w:rPr>
          <w:rFonts w:ascii="IRNazanin" w:hAnsi="IRNazanin" w:eastAsia="IRNazanin"/>
          <w:color w:val="111111"/>
          <w:sz w:val="28"/>
          <w:sz w:val="28"/>
          <w:szCs w:val="28"/>
          <w:rtl w:val="true"/>
          <w:lang w:bidi="fa-IR"/>
        </w:rPr>
        <w:t>بینهما بأنّ روایة ابن اذینة محمولة علی ما إذا اتّفق الحمل من غیر أن یؤخذ رکنا أو شرطا فی العقد،بتقریب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جابر نصّ فیما نحن فیه و ظاهر فی هذا،و أنّ حسنة ابن اذینة بالعکس،فیطرح ظاهر کل منهما بنص الآخر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تقدّم فی البحث عن بیع العذرة </w:t>
      </w:r>
      <w:r>
        <w:rPr>
          <w:rStyle w:val="FootnoteAnchor"/>
          <w:rtl w:val="true"/>
        </w:rPr>
        <w:footnoteReference w:id="538"/>
      </w:r>
      <w:r>
        <w:rPr>
          <w:rFonts w:ascii="IRNazanin" w:hAnsi="IRNazanin" w:eastAsia="IRNazanin"/>
          <w:color w:val="111111"/>
          <w:sz w:val="28"/>
          <w:sz w:val="28"/>
          <w:szCs w:val="28"/>
          <w:rtl w:val="true"/>
          <w:lang w:bidi="fa-IR"/>
        </w:rPr>
        <w:t>أنّ المتیقّن الخارج عن مقام التخاطب من الدلیلین لا یصحح الجمع الدلالی بینهما ما لم یساعده شاهد من النقل و الاعتبار،و إنّما هو تبرّعی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اندفع ما فی التهذیب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حرم إجارة البیت لمن یبیع الخمر لأنّ بیع الخمر حرام،و أجاز إجارة السفینة یحمل فیها الخمر لأنّ حملها لیس بحرام لأنه یجوز أن یحمل لیجعل خلا،و علی هذا لا تنافی بین الخبرین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ذکر فی الحسنة جواز حمل الخمر و الخنازیر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من التوجیه فی حمل الخمر لا یجری فی حمل الخنازیر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یتوهّم عدم نفوذ الإجارة وضعا و حرمتها تکلیفا،لروایة دعائم الإسلام </w:t>
      </w:r>
      <w:r>
        <w:rPr>
          <w:rStyle w:val="FootnoteAnchor"/>
          <w:rtl w:val="true"/>
        </w:rPr>
        <w:footnoteReference w:id="540"/>
      </w:r>
      <w:r>
        <w:rPr>
          <w:rFonts w:ascii="IRNazanin" w:hAnsi="IRNazanin" w:eastAsia="IRNazanin"/>
          <w:color w:val="111111"/>
          <w:sz w:val="28"/>
          <w:sz w:val="28"/>
          <w:szCs w:val="28"/>
          <w:rtl w:val="true"/>
          <w:lang w:bidi="fa-IR"/>
        </w:rPr>
        <w:t>الظاهرة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توهّم فاسد،لأنّ هذه الروایة ضعیفة السند و غیر منجبرة بشیء،فلا تفی لإثبات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معارضة بالحسنة المذکورة فتحمل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بفحوی ما ذکرناه ظهر حکم القسم الثالث و الرابع،أعنی صورة العلم بترتّب الحرام علی الإجارة من غیر أن یجعل شرطا فی العقد أو داعیا إلیها،و صورة أن یکون ترتّب الحرام داعیا لإنشاء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ذلک وضوحا من المسألة الثانیة و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الأظهر فساده و إن لم نقل بافساد الشرط الفاسد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کون المسألة من صغریات الشرط الفاسد،و دعوی الخصوصیة فیها و امتیازها عن سائر الشروط الفاسدة مجازفة</w:t>
      </w:r>
      <w:r>
        <w:rPr>
          <w:rFonts w:eastAsia="IRNazanin" w:cs="IRNazanin"/>
          <w:color w:val="111111"/>
          <w:sz w:val="28"/>
          <w:szCs w:val="28"/>
          <w:rtl w:val="true"/>
          <w:lang w:bidi="fa-IR"/>
        </w:rPr>
        <w:t>.</w:t>
      </w:r>
      <w:bookmarkStart w:id="329" w:name="pg5064_65367"/>
    </w:p>
    <w:p>
      <w:pPr>
        <w:pStyle w:val="BookText"/>
        <w:rPr/>
      </w:pPr>
      <w:bookmarkEnd w:id="329"/>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الجزء أقبل للتفکیک بینه و بین الجزء الآخر من الشرط و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الانحلال و التقسیط فی الأجزاء الخارجیة و إن کان صحیحا کما أشرنا إلیه،و سیأتی تفصیله فی بیع ما یملک و ما لا یملک </w:t>
      </w:r>
      <w:r>
        <w:rPr>
          <w:rStyle w:val="FootnoteAnchor"/>
          <w:rtl w:val="true"/>
        </w:rPr>
        <w:footnoteReference w:id="541"/>
      </w:r>
      <w:r>
        <w:rPr>
          <w:rFonts w:ascii="IRNazanin" w:hAnsi="IRNazanin" w:eastAsia="IRNazanin"/>
          <w:color w:val="111111"/>
          <w:sz w:val="28"/>
          <w:sz w:val="28"/>
          <w:szCs w:val="28"/>
          <w:rtl w:val="true"/>
          <w:lang w:bidi="fa-IR"/>
        </w:rPr>
        <w:t>،إلاّ أنه غیر صحیح فی الأجزاء التحلیلیة العقلیة،فإنّ الانحلال فی ذلک باطل جزما،و من ذلک یظهر أنّ بطلان بیع الآلات اللهویة لا یستلزم بطلان البیع فیما إذا کان الشرط حراما،فإنّ الثمن فی باب الشرط إنّما جعل بازاء نفس المال فقط،و لیس للشرط حصّة من الثمن لیقاس ببیع الآلات المحرّمة</w:t>
      </w:r>
      <w:r>
        <w:rPr>
          <w:rFonts w:eastAsia="IRNazanin" w:cs="IRNazanin"/>
          <w:color w:val="111111"/>
          <w:sz w:val="28"/>
          <w:szCs w:val="28"/>
          <w:rtl w:val="true"/>
          <w:lang w:bidi="fa-IR"/>
        </w:rPr>
        <w:t>.</w:t>
      </w:r>
    </w:p>
    <w:p>
      <w:pPr>
        <w:pStyle w:val="Heading4"/>
        <w:numPr>
          <w:ilvl w:val="3"/>
          <w:numId w:val="1"/>
        </w:numPr>
        <w:rPr/>
      </w:pPr>
      <w:bookmarkStart w:id="330" w:name="__RefHeading___Toc910176_774463916"/>
      <w:bookmarkStart w:id="331" w:name="_Toc122"/>
      <w:bookmarkEnd w:id="330"/>
      <w:r>
        <w:rPr>
          <w:rtl w:val="true"/>
        </w:rPr>
        <w:t>حکم بیع الجاریة المغنّیة</w:t>
      </w:r>
      <w:bookmarkEnd w:id="331"/>
    </w:p>
    <w:p>
      <w:pPr>
        <w:pStyle w:val="Heading5"/>
        <w:numPr>
          <w:ilvl w:val="4"/>
          <w:numId w:val="1"/>
        </w:numPr>
        <w:rPr/>
      </w:pPr>
      <w:bookmarkStart w:id="332" w:name="__RefHeading___Toc910178_774463916"/>
      <w:bookmarkStart w:id="333" w:name="_Toc123"/>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المعاوضة علی الجاریة المغنّیة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کلامه أنّ الصفات سواء کانت محلّلة أم محرّمة قد تکون داعیة إلی المعاوضة،و لا دخل لها فی المعاوضة بأکثر من ذلک،و قد تکون دخیلة فی ازدیاد الثمن فیها،و قد تکون أجنبیة عنها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و الثالث فلا ریب فی صحة المعاوضة فیهما،لأنّ المفروض أنّ الصفة المحرّمة لم توجب زیادة فی الثمن و کذا الثانی لو کانت الصفة الموجبة لازدیاد الثمن هی الصفة المحلّلة،و أمّا لو کان الموجب للزیادة هی الصفة المحرّمة فلا شبهة فی فساد المعاوضة حینئذ،کملاحظة صفة التغنّی فی بیع الجاریة المغنّیة،و المهارة فی القمار،و السرقة و اللهو فی بیع العبد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بذل شیء من الثمن بملاحظة الصفة المحرّمة أکل للمال بالباطل</w:t>
      </w:r>
      <w:r>
        <w:rPr>
          <w:rFonts w:eastAsia="IRNazanin" w:cs="IRNazanin"/>
          <w:color w:val="111111"/>
          <w:sz w:val="28"/>
          <w:szCs w:val="28"/>
          <w:rtl w:val="true"/>
          <w:lang w:bidi="fa-IR"/>
        </w:rPr>
        <w:t>.</w:t>
      </w:r>
      <w:bookmarkStart w:id="334" w:name="pg5064_65368"/>
    </w:p>
    <w:p>
      <w:pPr>
        <w:pStyle w:val="BookText"/>
        <w:rPr/>
      </w:pPr>
      <w:bookmarkEnd w:id="334"/>
      <w:r>
        <w:rPr>
          <w:rFonts w:ascii="IRNazanin" w:hAnsi="IRNazanin" w:eastAsia="IRNazanin"/>
          <w:color w:val="111111"/>
          <w:sz w:val="28"/>
          <w:sz w:val="28"/>
          <w:szCs w:val="28"/>
          <w:rtl w:val="true"/>
          <w:lang w:bidi="fa-IR"/>
        </w:rPr>
        <w:t>و أمّا التفکیک بین القید و المقیّد فیحکم بصحة العقد فی المقیّد و بطلانه فی القید بما قابله من الثمن فتوهّم فاسد،لأنّ القید أمر معنوی لا یوزّع علیه شیء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المسألة فی جهتین،الاولی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القواعد،و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الروایات</w:t>
      </w:r>
      <w:r>
        <w:rPr>
          <w:rFonts w:eastAsia="IRNazanin" w:cs="IRNazanin"/>
          <w:color w:val="111111"/>
          <w:sz w:val="28"/>
          <w:szCs w:val="28"/>
          <w:rtl w:val="true"/>
          <w:lang w:bidi="fa-IR"/>
        </w:rPr>
        <w:t>.</w:t>
      </w:r>
    </w:p>
    <w:p>
      <w:pPr>
        <w:pStyle w:val="Heading5"/>
        <w:numPr>
          <w:ilvl w:val="4"/>
          <w:numId w:val="1"/>
        </w:numPr>
        <w:rPr/>
      </w:pPr>
      <w:bookmarkStart w:id="335" w:name="__RefHeading___Toc910180_774463916"/>
      <w:bookmarkStart w:id="336" w:name="_Toc124"/>
      <w:bookmarkEnd w:id="335"/>
      <w:r>
        <w:rPr>
          <w:rtl w:val="true"/>
        </w:rPr>
        <w:t>البحث فیما تقتضیه القواعد</w:t>
      </w:r>
      <w:bookmarkEnd w:id="336"/>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فالقاعدة تقتضی صحّة المعاوضة فی جمیع الوجوه المذکورة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الأعمال کالخیاطة و نحوها و إن صح أن تقع علیه المعاوضة و أن یقابل بالمال إذا لوحظ علی نحو الاستقلال،إلاّ أنه إذا لوحظ وصفا فی ضمن المعاوضة فإنه لا یقابل بشیء من الثمن،و إن کان بذل المال بملاحظة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فحرمة الصفة لا تستلزم حرمة المعاوضة فی الموصوف،و إنما هی کالشروط الفاسدة لا توجب إلاّ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 الأوصاف تقابل بجزء من الثمن فإنّ ذلک لا یستلزم بطلان المعاملة،إذ الحرام إنّما هی الأفعال الخارجیة من التغنّی و القمار و الزنا،دون القدرة علیها التی هی خارجة عن اختیار البشر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قد ورد فی الآیات و الأحادیث </w:t>
      </w:r>
      <w:r>
        <w:rPr>
          <w:rStyle w:val="FootnoteAnchor"/>
          <w:rtl w:val="true"/>
        </w:rPr>
        <w:footnoteReference w:id="543"/>
      </w:r>
      <w:r>
        <w:rPr>
          <w:rFonts w:ascii="IRNazanin" w:hAnsi="IRNazanin" w:eastAsia="IRNazanin"/>
          <w:color w:val="111111"/>
          <w:sz w:val="28"/>
          <w:sz w:val="28"/>
          <w:szCs w:val="28"/>
          <w:rtl w:val="true"/>
          <w:lang w:bidi="fa-IR"/>
        </w:rPr>
        <w:t>أنّ قدرة الإنسان علی المحرّمات قد توجب کونه أعلی منزلة من الملائکة،فإنّ الإنسان یحتوی علی القوّة القدسیة التی تبعث إلی الطاعة،و القوّة الشهویة التی تبعث إلی المعصیة،فإذا ترک مقتضی الثانیة و انبعث بمقتضی الاولی فقد حصل علی أرقی مراتب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الملک،فإنّه لاختصاصه بالقوّة الروحیة و الملکة القدسیة الباعثة إلی الطاعة و الرادعة عن المعصیة،و لعرائه عن القوّة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یعصی اللّه،فیکون</w:t>
      </w:r>
      <w:bookmarkStart w:id="337" w:name="pg5064_65369"/>
    </w:p>
    <w:p>
      <w:pPr>
        <w:pStyle w:val="BookText"/>
        <w:rPr/>
      </w:pPr>
      <w:bookmarkEnd w:id="337"/>
      <w:r>
        <w:rPr>
          <w:rFonts w:ascii="IRNazanin" w:hAnsi="IRNazanin" w:eastAsia="IRNazanin"/>
          <w:color w:val="111111"/>
          <w:sz w:val="28"/>
          <w:sz w:val="28"/>
          <w:szCs w:val="28"/>
          <w:rtl w:val="true"/>
          <w:lang w:bidi="fa-IR"/>
        </w:rPr>
        <w:t>الإنسان الکامل أفضل من الملک،و تفصیل الکلام فی محلّه</w:t>
      </w:r>
      <w:r>
        <w:rPr>
          <w:rFonts w:eastAsia="IRNazanin" w:cs="IRNazanin"/>
          <w:color w:val="111111"/>
          <w:sz w:val="28"/>
          <w:szCs w:val="28"/>
          <w:rtl w:val="true"/>
          <w:lang w:bidi="fa-IR"/>
        </w:rPr>
        <w:t>.</w:t>
      </w:r>
    </w:p>
    <w:p>
      <w:pPr>
        <w:pStyle w:val="Heading5"/>
        <w:numPr>
          <w:ilvl w:val="4"/>
          <w:numId w:val="1"/>
        </w:numPr>
        <w:rPr/>
      </w:pPr>
      <w:bookmarkStart w:id="338" w:name="__RefHeading___Toc910182_774463916"/>
      <w:bookmarkStart w:id="339" w:name="_Toc125"/>
      <w:bookmarkEnd w:id="338"/>
      <w:r>
        <w:rPr>
          <w:rtl w:val="true"/>
        </w:rPr>
        <w:t>البحث فی الروایات الخاصّة</w:t>
      </w:r>
      <w:bookmarkEnd w:id="33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استفاضت الروایات من الشیعة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 السنّة </w:t>
      </w:r>
      <w:r>
        <w:rPr>
          <w:rStyle w:val="FootnoteAnchor"/>
          <w:rtl w:val="true"/>
        </w:rPr>
        <w:footnoteReference w:id="545"/>
      </w:r>
      <w:r>
        <w:rPr>
          <w:rFonts w:ascii="IRNazanin" w:hAnsi="IRNazanin" w:eastAsia="IRNazanin"/>
          <w:color w:val="111111"/>
          <w:sz w:val="28"/>
          <w:sz w:val="28"/>
          <w:szCs w:val="28"/>
          <w:rtl w:val="true"/>
          <w:lang w:bidi="fa-IR"/>
        </w:rPr>
        <w:t>علی حرمة بیع الجواری المغنّیات و کون ثمنهنّ سحتا کثمن الکلب،و أکثر هذه الروایات و إن کان ضعیف السند و لکن فی المعتبر منها غنی و کفایة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یتوهّم وقوع المعارضة بینها و بین ما دل علی جواز البیع و الشراء للتذکیر بالجنّة و طلب الرزق،کروایتی الدینوری و الصدوق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ضعیفتا السند،و غیر منجبرتین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الصدوق خارجة عن محل الکلام أصلا،فإنّ المفروض فیها شراء الجاریة التی لها صوت،و مورد البحث هنا بیع الجاریة المغنّیة،و 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الدینوری فهی راجعة إلی البیع و الشراء لطلب الرزق و تحصیله فقط لا سوی ذلک،فلا یکون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المحرّم إنّما هو التغنّی الخارجی،و أمّا مجرد القدرة علیه فلیس بحرام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الأخبار المانعة هو أنّ الحرام إنّما هو بیع الجواری المغنّیات المعدّة للتلهّی و التغنّی کالمطربات اللاتی یتخذن الرقص حرفة لهن و یدخلن علی الرجال،إذ من الواضح جدّا أنّ القدرة علی التغنّی کالقدرة علی بقیة المحرّمات لیست بمبغوضة ما لم یصدر الحرام فی الخارج کما عرفت،علی أنّ نفعها لا ینحصر بالتغنّی،لجواز الانتفاع بها بالخدمة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جمیع ذلک أنّ بیعها بقصد الجهة المحرّمة لا یکون سببا لوقوع الحرام،لبقاء المشتری بعد علی اختیاره فی أن ینتفع بها بالمنافع المحرّمة إن شاء أو بالمنافع المحلّلة،و علیه فلا موجب لحرمة البیع إلاّ من جهة الإعانة علی الإثم،و هی بنفسها لا تصلح للمانعیة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حاشیته علی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یکون فیه وجه من وجوه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بقرینة تمثیله بالبیع بالربا،و ذلک لأنّ المبیع فی بیع الربا لیس ممّا لا یجوز</w:t>
      </w:r>
      <w:bookmarkStart w:id="340" w:name="pg5064_65372"/>
    </w:p>
    <w:p>
      <w:pPr>
        <w:pStyle w:val="BookText"/>
        <w:rPr/>
      </w:pPr>
      <w:bookmarkEnd w:id="340"/>
      <w:r>
        <w:rPr>
          <w:rFonts w:ascii="IRNazanin" w:hAnsi="IRNazanin" w:eastAsia="IRNazanin"/>
          <w:color w:val="111111"/>
          <w:sz w:val="28"/>
          <w:sz w:val="28"/>
          <w:szCs w:val="28"/>
          <w:rtl w:val="true"/>
          <w:lang w:bidi="fa-IR"/>
        </w:rPr>
        <w:t xml:space="preserve">بیعه،بل الوجه فی المنع هو خصوصیة قصد الربا،ففی المقام أیضا الجاریة من حیث هی لیست ممّا لا یجوز بیعها،لکن لو قصد بها الغناء یصدق أنّ فی بیعها وجه الفساد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وهن الحدیث من حیث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مورد للقیاس،لأنّ البیع الزبوری حرام لذاته،و بیع الجاریة لو کان حراما فإنّما هو حرام لأجل قصد التغنّی،فالحرمة عرضیة،و القیاس مع الفارق</w:t>
      </w:r>
      <w:r>
        <w:rPr>
          <w:rFonts w:eastAsia="IRNazanin" w:cs="IRNazanin"/>
          <w:color w:val="111111"/>
          <w:sz w:val="28"/>
          <w:szCs w:val="28"/>
          <w:rtl w:val="true"/>
          <w:lang w:bidi="fa-IR"/>
        </w:rPr>
        <w:t>.</w:t>
      </w:r>
    </w:p>
    <w:p>
      <w:pPr>
        <w:pStyle w:val="Heading5"/>
        <w:numPr>
          <w:ilvl w:val="4"/>
          <w:numId w:val="1"/>
        </w:numPr>
        <w:rPr/>
      </w:pPr>
      <w:bookmarkStart w:id="341" w:name="__RefHeading___Toc910184_774463916"/>
      <w:bookmarkStart w:id="342" w:name="_Toc126"/>
      <w:bookmarkEnd w:id="341"/>
      <w:r>
        <w:rPr>
          <w:rtl w:val="true"/>
        </w:rPr>
        <w:t>حرمة کسب المغنّیة</w:t>
      </w:r>
      <w:bookmarkEnd w:id="342"/>
    </w:p>
    <w:p>
      <w:pPr>
        <w:pStyle w:val="BookText"/>
        <w:rPr/>
      </w:pPr>
      <w:r>
        <w:rPr>
          <w:rFonts w:ascii="IRNazanin" w:hAnsi="IRNazanin" w:eastAsia="IRNazanin"/>
          <w:color w:val="111111"/>
          <w:sz w:val="28"/>
          <w:sz w:val="28"/>
          <w:szCs w:val="28"/>
          <w:rtl w:val="true"/>
          <w:lang w:bidi="fa-IR"/>
        </w:rPr>
        <w:t>لا بأس بالإشارة إلی حکم کسب المغنّیة و إن لم یتعرّض له المصنّف،فنقول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ورد فی جملة من الروایات عدم جواز کسب المغنّیة،و أنّها ملعونة،و ملعون من أکل من کسبها </w:t>
      </w:r>
      <w:r>
        <w:rPr>
          <w:rStyle w:val="FootnoteAnchor"/>
          <w:rtl w:val="true"/>
        </w:rPr>
        <w:footnoteReference w:id="548"/>
      </w:r>
      <w:r>
        <w:rPr>
          <w:rFonts w:ascii="IRNazanin" w:hAnsi="IRNazanin" w:eastAsia="IRNazanin"/>
          <w:color w:val="111111"/>
          <w:sz w:val="28"/>
          <w:sz w:val="28"/>
          <w:szCs w:val="28"/>
          <w:rtl w:val="true"/>
          <w:lang w:bidi="fa-IR"/>
        </w:rPr>
        <w:t>،فیدل ذلک علی حرمة کسبها وضعا و تکلیفا،علی أنه یکفی فی</w:t>
      </w:r>
      <w:bookmarkStart w:id="343" w:name="pg5064_65373"/>
    </w:p>
    <w:p>
      <w:pPr>
        <w:pStyle w:val="BookText"/>
        <w:rPr/>
      </w:pPr>
      <w:bookmarkEnd w:id="343"/>
      <w:r>
        <w:rPr>
          <w:rFonts w:ascii="IRNazanin" w:hAnsi="IRNazanin" w:eastAsia="IRNazanin"/>
          <w:color w:val="111111"/>
          <w:sz w:val="28"/>
          <w:sz w:val="28"/>
          <w:szCs w:val="28"/>
          <w:rtl w:val="true"/>
          <w:lang w:bidi="fa-IR"/>
        </w:rPr>
        <w:t xml:space="preserve">الحرمة جعلهنّ الأفعال المحرّمة موردا للتکسّب،کالتغنّی و الدخول علی الرجال و غیرهما،لما علمت سابقا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أنّ أدلّة صحة العقود و وجوب الوفاء بها مختصة بما إذا کان العمل سائغا فی نفسه،فلا وجه لرفع الید بها عن دلیل حرمة العمل فی نفسه،نعم لو دعین لزفّ العرائس و لم یفعلن شیئا من الأفعال المحرّمة فلا بأس بکسبهنّ،و قد ورد ذلک فی روایة أبی بصیر،و ذکرناها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جمیع ما ذکرناه ظهر حکم الرجل المغنّی أیضا</w:t>
      </w:r>
      <w:r>
        <w:rPr>
          <w:rFonts w:eastAsia="IRNazanin" w:cs="IRNazanin"/>
          <w:color w:val="111111"/>
          <w:sz w:val="28"/>
          <w:szCs w:val="28"/>
          <w:rtl w:val="true"/>
          <w:lang w:bidi="fa-IR"/>
        </w:rPr>
        <w:t>.</w:t>
      </w:r>
    </w:p>
    <w:p>
      <w:pPr>
        <w:pStyle w:val="Heading4"/>
        <w:numPr>
          <w:ilvl w:val="3"/>
          <w:numId w:val="1"/>
        </w:numPr>
        <w:rPr/>
      </w:pPr>
      <w:bookmarkStart w:id="344" w:name="__RefHeading___Toc910186_774463916"/>
      <w:bookmarkStart w:id="345" w:name="_Toc127"/>
      <w:bookmarkEnd w:id="344"/>
      <w:r>
        <w:rPr>
          <w:rtl w:val="true"/>
        </w:rPr>
        <w:t>حکم بیع العنب ممّن یجعله خمرا</w:t>
      </w:r>
      <w:bookmarkEnd w:id="345"/>
    </w:p>
    <w:p>
      <w:pPr>
        <w:pStyle w:val="Heading5"/>
        <w:numPr>
          <w:ilvl w:val="4"/>
          <w:numId w:val="1"/>
        </w:numPr>
        <w:rPr/>
      </w:pPr>
      <w:bookmarkStart w:id="346" w:name="__RefHeading___Toc910188_774463916"/>
      <w:bookmarkStart w:id="347" w:name="_Toc128"/>
      <w:bookmarkEnd w:id="346"/>
      <w:r>
        <w:rPr>
          <w:rtl w:val="true"/>
        </w:rPr>
        <w:t>اشارة</w:t>
      </w:r>
      <w:bookmarkEnd w:id="34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بیع العنب ممّن یعمله خمرا بقصد أن یعمله الخ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الخلاف بین الفقهاء فی جواز بیع الأشیاء المباحة ممّن یعلم البائع أنه یصرفه فی الحرام و عدم جوازه،ففی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البائع یعلم أنّ المشتری یعمل الخشب صنما أو شیئا من الملاهی حرم بیعه و إن لم یشترط فی العقد ذلک،لنا أنه قد اشتمل علی نوع مفسدة فیکون محرّما،لأنه إعانة علی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w:t>
      </w:r>
    </w:p>
    <w:p>
      <w:pPr>
        <w:pStyle w:val="BookText"/>
        <w:rPr/>
      </w:pPr>
      <w:r>
        <w:rPr>
          <w:rFonts w:ascii="IRNazanin" w:hAnsi="IRNazanin" w:eastAsia="IRNazanin"/>
          <w:color w:val="111111"/>
          <w:sz w:val="28"/>
          <w:sz w:val="28"/>
          <w:szCs w:val="28"/>
          <w:rtl w:val="true"/>
          <w:lang w:bidi="fa-IR"/>
        </w:rPr>
        <w:t xml:space="preserve">عن ابن إدریس جواز ذلک،لأنّ الوزر علی من یجعله کذلک،لا علی البائع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فصّل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لم یقصد منه الحرام فحکم بجواز بیعه،و بین ما یقصد منه الحرام فحکم بحرمته،لکونه إعانة علی الإثم،فتکون محرّمة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 الخلاف فی ذلک بین العامّة أیضا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فیرد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الإعانة علی الإثم و العدوان کمفهوم الإعانة علی البرّ و التقوی أمر واقعی لا یتبدّل بالقصد و لا یختلف بالوجوه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دلیل علی حرمة الإعانة علی الإثم ما لم یکن التسبیب و التسبّب فی البین کما سیأتی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سلّمنا حرمة البیع مع قصد الغایة المحرّمة لصدق الإعانة علی الإثم علیه فلا بدّ من الالتزام بحرمة البیع مع العلم بترتّب الحرام أیضا،لصدق الإعانة علی الإثم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بالجواز فی الثانی من جهة الأخبار المجوّزة</w:t>
      </w:r>
      <w:bookmarkStart w:id="348" w:name="pg5064_65375"/>
    </w:p>
    <w:p>
      <w:pPr>
        <w:pStyle w:val="BookText"/>
        <w:rPr/>
      </w:pPr>
      <w:bookmarkEnd w:id="348"/>
      <w:r>
        <w:rPr>
          <w:rFonts w:ascii="IRNazanin" w:hAnsi="IRNazanin" w:eastAsia="IRNazanin"/>
          <w:color w:val="111111"/>
          <w:sz w:val="28"/>
          <w:sz w:val="28"/>
          <w:szCs w:val="28"/>
          <w:rtl w:val="true"/>
          <w:lang w:bidi="fa-IR"/>
        </w:rPr>
        <w:t>فلا بدّ من القول بالجواز فی الأول أیضا،لعدم اختصاص الجواز الذی دلّت علیه الأخبار بفرض عدم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نستوضح الفرق بین القسمین،فإنّ القصد بمعنی الإرادة و الاختیار یستحیل أن یتعلّق بالغایة المحرّمة فی محل الکلام،لأنّها من فعل المشتری إذ هو الذی یجعل العنب خمرا و الخشب صنما،فلا معنی لفرض تعلّق القصد بالغایة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القصد بمعنی العلم و الالتفات فهو مفروض الوجود فی القسمین،فلا وجه للتفصیل بینهما،نعم یمکن أن یکون الداعی إلی بیع البائع هو ترتّب الغایة المحرّمة تارة و غیر ذلک تارة اخری،مع العلم بترتّبها فی الخارج،و لکن هذا لا یکون سببا فی اختلاف صدق الإعانة علیهما،لأنّ دعوة الحرام إلی الفعل لیست شرطا فی صدق الإعانة علی الإثم،و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وجه للتفصیل المذکور فی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تحقیق هذه المسألة یقع تارة من حیث الروایات،و اخری من حیث القواعد،أمّا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فیها من جهتین،الاولی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الحرمة الوضعیة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الحرمة التکلیفیة</w:t>
      </w:r>
      <w:r>
        <w:rPr>
          <w:rFonts w:eastAsia="IRNazanin" w:cs="IRNazanin"/>
          <w:color w:val="111111"/>
          <w:sz w:val="28"/>
          <w:szCs w:val="28"/>
          <w:rtl w:val="true"/>
          <w:lang w:bidi="fa-IR"/>
        </w:rPr>
        <w:t>.</w:t>
      </w:r>
    </w:p>
    <w:p>
      <w:pPr>
        <w:pStyle w:val="Heading5"/>
        <w:numPr>
          <w:ilvl w:val="4"/>
          <w:numId w:val="1"/>
        </w:numPr>
        <w:rPr/>
      </w:pPr>
      <w:bookmarkStart w:id="349" w:name="__RefHeading___Toc910190_774463916"/>
      <w:bookmarkStart w:id="350" w:name="_Toc129"/>
      <w:bookmarkEnd w:id="349"/>
      <w:r>
        <w:rPr>
          <w:rtl w:val="true"/>
        </w:rPr>
        <w:t>مقتضی الروایات بلحاظ الحرمة الوضعیة</w:t>
      </w:r>
      <w:bookmarkEnd w:id="350"/>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یقال بفساد المعاوضة مع العلم بصرف المبیع أو الانتفاع بالعین المستأجرة فی الجهة المحرّمة،لخبر جابر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یؤاجر بیته فیباع فیه الخمر؟قال حرام اجرته</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،فإنه لا وجه لحرمة الاجرة إذا کانت المعاملة صحیحة،و بعدم القول بالفصل بین الإجارة و البیع یتم المقصود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ضعف السند فیه،و اختصاصه بالاجارة،أنه لا بدّ من حمله</w:t>
      </w:r>
      <w:bookmarkStart w:id="351" w:name="pg5064_65376"/>
    </w:p>
    <w:p>
      <w:pPr>
        <w:pStyle w:val="BookText"/>
        <w:rPr/>
      </w:pPr>
      <w:bookmarkEnd w:id="351"/>
      <w:r>
        <w:rPr>
          <w:rFonts w:ascii="IRNazanin" w:hAnsi="IRNazanin" w:eastAsia="IRNazanin"/>
          <w:color w:val="111111"/>
          <w:sz w:val="28"/>
          <w:sz w:val="28"/>
          <w:szCs w:val="28"/>
          <w:rtl w:val="true"/>
          <w:lang w:bidi="fa-IR"/>
        </w:rPr>
        <w:t xml:space="preserve">علی الکراهة،لمعارضته بحسنة ابن اذینة المتقدّمة </w:t>
      </w:r>
      <w:r>
        <w:rPr>
          <w:rStyle w:val="FootnoteAnchor"/>
          <w:rtl w:val="true"/>
        </w:rPr>
        <w:footnoteReference w:id="553"/>
      </w:r>
      <w:r>
        <w:rPr>
          <w:rFonts w:ascii="IRNazanin" w:hAnsi="IRNazanin" w:eastAsia="IRNazanin"/>
          <w:color w:val="111111"/>
          <w:sz w:val="28"/>
          <w:sz w:val="28"/>
          <w:szCs w:val="28"/>
          <w:rtl w:val="true"/>
          <w:lang w:bidi="fa-IR"/>
        </w:rPr>
        <w:t>التی دلّت علی جواز إجارة الحمولة لحمل الخمر و الخنازیر</w:t>
      </w:r>
      <w:r>
        <w:rPr>
          <w:rFonts w:eastAsia="IRNazanin" w:cs="IRNazanin"/>
          <w:color w:val="111111"/>
          <w:sz w:val="28"/>
          <w:szCs w:val="28"/>
          <w:rtl w:val="true"/>
          <w:lang w:bidi="fa-IR"/>
        </w:rPr>
        <w:t>.</w:t>
      </w:r>
    </w:p>
    <w:p>
      <w:pPr>
        <w:pStyle w:val="Heading5"/>
        <w:numPr>
          <w:ilvl w:val="4"/>
          <w:numId w:val="1"/>
        </w:numPr>
        <w:rPr/>
      </w:pPr>
      <w:bookmarkStart w:id="352" w:name="__RefHeading___Toc910192_774463916"/>
      <w:bookmarkStart w:id="353" w:name="_Toc130"/>
      <w:bookmarkEnd w:id="352"/>
      <w:r>
        <w:rPr>
          <w:rtl w:val="true"/>
        </w:rPr>
        <w:t>مقتضی الروایات بلحاظ الحرمة التکلیفیة</w:t>
      </w:r>
      <w:bookmarkEnd w:id="353"/>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یقال بحرمة البیع تکلیفا،لما دلّ من الأخبار علی حرمة بیع الخشب ممّن یتّخذه صلبانا،و قد تقدّم ذکرها فی البحث عن بیع آلة اللهو </w:t>
      </w:r>
      <w:r>
        <w:rPr>
          <w:rStyle w:val="FootnoteAnchor"/>
          <w:rtl w:val="true"/>
        </w:rPr>
        <w:footnoteReference w:id="554"/>
      </w:r>
      <w:r>
        <w:rPr>
          <w:rFonts w:ascii="IRNazanin" w:hAnsi="IRNazanin" w:eastAsia="IRNazanin"/>
          <w:color w:val="111111"/>
          <w:sz w:val="28"/>
          <w:sz w:val="28"/>
          <w:szCs w:val="28"/>
          <w:rtl w:val="true"/>
          <w:lang w:bidi="fa-IR"/>
        </w:rPr>
        <w:t>،و بعدم القول بالفصل بین موردها و غیره یتم المطلوب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یعارضها ما ورد من الأخبار المتظافرة الدالّة علی جواز بیع العنب و التمر و عصیرهما ممّن یجعلها خمرا </w:t>
      </w:r>
      <w:r>
        <w:rPr>
          <w:rStyle w:val="FootnoteAnchor"/>
          <w:rtl w:val="true"/>
        </w:rPr>
        <w:footnoteReference w:id="555"/>
      </w:r>
      <w:r>
        <w:rPr>
          <w:rFonts w:ascii="IRNazanin" w:hAnsi="IRNazanin" w:eastAsia="IRNazanin"/>
          <w:color w:val="111111"/>
          <w:sz w:val="28"/>
          <w:sz w:val="28"/>
          <w:szCs w:val="28"/>
          <w:rtl w:val="true"/>
          <w:lang w:bidi="fa-IR"/>
        </w:rPr>
        <w:t>،بدعوی عدم الخصوصیة فی مواردها،لعدم</w:t>
      </w:r>
    </w:p>
    <w:p>
      <w:pPr>
        <w:pStyle w:val="BookText"/>
        <w:rPr/>
      </w:pPr>
      <w:r>
        <w:rPr>
          <w:rFonts w:ascii="IRNazanin" w:hAnsi="IRNazanin" w:eastAsia="IRNazanin"/>
          <w:color w:val="111111"/>
          <w:sz w:val="28"/>
          <w:sz w:val="28"/>
          <w:szCs w:val="28"/>
          <w:rtl w:val="true"/>
          <w:lang w:bidi="fa-IR"/>
        </w:rPr>
        <w:t>القول بالفصل بین هذه الموارد و بین غیرها،إذ لو قیل بالجواز قیل به مطلقا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ما ذکر فی روایتی رفاعة و أبی کهمس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المذکورتین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تمرهم ممّن یجعله خمرا بأن یراد من لفظ الخمر فیهما العصیر المغلی الذی لم یذهب ثلثاه،فإنّ ظاهر غیر واحدة من الروایات أنّ شربه کان متعارفا فی زمان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،إذ من المستبعد جدّا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یبیعون تمرهم فی کل سنة ممّن یصنعه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الخمر فی العصیر المغلی مجازا و إن صح،إلاّ أنه لا یمکن الالتزام به مع عراء الکلام عن القرینة المجوّزة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الحمل إنّما یصح علی القول بنجاسة عصیر التمر أو بحرمته بعد غلیانه،و لم یثبت شیء منهما،بل الظاهر طهارته و إباحته ما لم یکن مسکرا،و علیه فلا مجوّز لإطلاق لفظ الخمر أو الشراب الخبیث علیه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فالأولی حمل الأخبار المانعة علی الکراهة،لشهادة غیر واحد من الأخبار علی الکراهة،کما أفتی به جماعة،و یشهد له روایة رفاعة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w:t>
      </w:r>
    </w:p>
    <w:p>
      <w:pPr>
        <w:pStyle w:val="BookText"/>
        <w:rPr/>
      </w:pPr>
      <w:r>
        <w:rPr>
          <w:rFonts w:ascii="IRNazanin" w:hAnsi="IRNazanin" w:eastAsia="IRNazanin"/>
          <w:color w:val="111111"/>
          <w:sz w:val="28"/>
          <w:sz w:val="28"/>
          <w:szCs w:val="28"/>
          <w:rtl w:val="true"/>
          <w:lang w:bidi="fa-IR"/>
        </w:rPr>
        <w:t>العصیر ممّن یصنعه خمرا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بعه ممّن یطبخه أو یصنعه خلا أحب إلیّ و لا أری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معارض بما فی بعض الروایات من بیعهم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تمرهم ممّن یجعله شرابا خبیثا علی ما أشرنا إلیه،لبعد صدور الفعل المکروه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واحدة فضلا عن الدفعات،و بما فی بعض روایات الباب من تعلیل جواز البیع بأنه قد وقع علی العنب الحلال،و إنما المشتری جعله حراما أبعده اللّه و أسحقه،فلا تزر وازرة وزر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الروایات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بیع العصیر ممّن یجعله خلا أحب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کراهة بیعه ممّن یجعله خمرا،خصوصا مع تصریحه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بالجواز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أری بالأول 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لفظ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أحب بیعه ممّن یجعله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دالا علی کراهة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نجد روایة تدل علی الکراهة غیر روایة الحلبی التی نسبها المصنّف إلی رفاعة،و قد عرفت عدم دلالتها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وجه لقول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غیر واحد من الأخبار علی الکراهة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فی حاشیته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الجمع بحمل الأخبار المجوّزة علی صورة العلم بأنّ ذلک عمل المشتری و إن لم یعلم بصرف هذا المبیع الخاص فی المحرّم و حمل الأخبار المانعة علی صورة العلم بصرفه فی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الجمع أیضا بحمل المانعة علی العلم بقصد المشتری صرفه فی الحرام،و حمل المجوّزة علی العلم بالتخمیر</w:t>
      </w:r>
    </w:p>
    <w:p>
      <w:pPr>
        <w:pStyle w:val="BookText"/>
        <w:rPr/>
      </w:pPr>
      <w:r>
        <w:rPr>
          <w:rFonts w:ascii="IRNazanin" w:hAnsi="IRNazanin" w:eastAsia="IRNazanin"/>
          <w:color w:val="111111"/>
          <w:sz w:val="28"/>
          <w:sz w:val="28"/>
          <w:szCs w:val="28"/>
          <w:rtl w:val="true"/>
          <w:lang w:bidi="fa-IR"/>
        </w:rPr>
        <w:t xml:space="preserve">مع عدم العلم بأنّ قصده ذلک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من الجموع التبرّعیة،فلا شاهد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یجمع بینهما و بین الأخبار المجوّزة بحمل المانعة علی صورة اشتراط جعل الخشب صلیبا أو صنما أو تواطئهما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إطلاق الروایات المانعة و عدم تقیّدها بصورة الاشتراط و إطلاق الروایات المجوّزة و عدم تقیّدها بصورة عدم الاشتراط أنه یرد علیه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المتن من أنه لا داعی للمسلم إلی هذا النحو من البیع ثم سؤاله 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ذکر جواز بیع الخشب ممّن یجعله برابط،و عدم جواز بیعه ممّن یجعله صلبانا فی روایتی ابن اذینة و المقنع </w:t>
      </w:r>
      <w:r>
        <w:rPr>
          <w:rStyle w:val="FootnoteAnchor"/>
          <w:rtl w:val="true"/>
        </w:rPr>
        <w:footnoteReference w:id="559"/>
      </w:r>
      <w:r>
        <w:rPr>
          <w:rFonts w:ascii="IRNazanin" w:hAnsi="IRNazanin" w:eastAsia="IRNazanin"/>
          <w:color w:val="111111"/>
          <w:sz w:val="28"/>
          <w:sz w:val="28"/>
          <w:szCs w:val="28"/>
          <w:rtl w:val="true"/>
          <w:lang w:bidi="fa-IR"/>
        </w:rPr>
        <w:t>لا یلائم هذا الجمع،ضرورة أنّ حمل روایة واحدة علی جهتین متنافیتین من غیر تقیید شبیه بالجمع بینهما،فإنّ السؤال إن کان عن جواز البیع مع اشتراط الصرف فی جهة الحرام فلا یلائمه الجواب بجواز البیع فیما یجعله برابط،و إن کان السؤال عن الجواز مع عدم الاشتراط فلا یلائمه الجواب بعدم الجواز فیما یجعله أصناما أو صلبانا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تم عدم الفصل بین موارد الروایات المجوّزة و المانعة کان من قبیل تعارض الدلیلین،فیؤخذ بالطائفة المجوّزة،لموافقتها لعمومات</w:t>
      </w:r>
      <w:bookmarkStart w:id="354" w:name="pg5064_65381"/>
    </w:p>
    <w:p>
      <w:pPr>
        <w:pStyle w:val="BookText"/>
        <w:rPr/>
      </w:pPr>
      <w:bookmarkEnd w:id="354"/>
      <w:r>
        <w:rPr>
          <w:rFonts w:ascii="Amiri" w:hAnsi="Amiri" w:eastAsia="Amiri" w:cs="Amiri"/>
          <w:color w:val="111111"/>
          <w:sz w:val="28"/>
          <w:sz w:val="28"/>
          <w:szCs w:val="28"/>
          <w:rtl w:val="true"/>
          <w:lang w:bidi="ar-SA"/>
        </w:rPr>
        <w:t>الکتاب،کقوله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560"/>
      </w:r>
      <w:r>
        <w:rPr>
          <w:rFonts w:ascii="Amiri" w:hAnsi="Amiri" w:eastAsia="Amiri" w:cs="Amiri"/>
          <w:color w:val="111111"/>
          <w:sz w:val="28"/>
          <w:sz w:val="28"/>
          <w:szCs w:val="28"/>
          <w:rtl w:val="true"/>
          <w:lang w:bidi="ar-SA"/>
        </w:rPr>
        <w:t xml:space="preserve">و أَحَلَّ اللّهُ الْبَیْعَ </w:t>
      </w:r>
      <w:r>
        <w:rPr>
          <w:rStyle w:val="FootnoteAnchor"/>
          <w:rtl w:val="true"/>
        </w:rPr>
        <w:footnoteReference w:id="561"/>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یثبت عدم الفصل بین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أن یقتصر فی کل طائفة علی موردها،و لا تصل النوبة إلی التعارض بینهما و العمل بقواعده،و هذا هو الظاهر من الروایات،و تشهد له أیضا روایة ابن اذینة المفصّلة بین الأصنام و البرابط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شرب الخمر و صنعها أو صنع البرابط و ضربها و إن کانت من المعاصی الکبیرة و الجرائم الموبقة،إلاّ أنّها لیست کالشرک باللّه العظیم،لأنّ اللّه لا یغفر أن یشرک به و یغفر ما دون ذلک،و علیه فیمکن اختلاف مقدّمة الحرام من حیث الجواز و عدمه باختلاف ذی المقدّمة من حیث الشدّة و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دعوی الإجماع علی عدم الفصل دعوی جزافیة،لذهاب صاحبی الوسائل </w:t>
      </w:r>
      <w:r>
        <w:rPr>
          <w:rStyle w:val="FootnoteAnchor"/>
          <w:rtl w:val="true"/>
        </w:rPr>
        <w:footnoteReference w:id="563"/>
      </w:r>
      <w:r>
        <w:rPr>
          <w:rFonts w:ascii="IRNazanin" w:hAnsi="IRNazanin" w:eastAsia="IRNazanin"/>
          <w:color w:val="111111"/>
          <w:sz w:val="28"/>
          <w:sz w:val="28"/>
          <w:szCs w:val="28"/>
          <w:rtl w:val="true"/>
          <w:lang w:bidi="fa-IR"/>
        </w:rPr>
        <w:t xml:space="preserve">و المستدرک </w:t>
      </w:r>
      <w:r>
        <w:rPr>
          <w:rStyle w:val="FootnoteAnchor"/>
          <w:rtl w:val="true"/>
        </w:rPr>
        <w:footnoteReference w:id="564"/>
      </w:r>
      <w:r>
        <w:rPr>
          <w:rFonts w:ascii="IRNazanin" w:hAnsi="IRNazanin" w:eastAsia="IRNazanin"/>
          <w:color w:val="111111"/>
          <w:sz w:val="28"/>
          <w:sz w:val="28"/>
          <w:szCs w:val="28"/>
          <w:rtl w:val="true"/>
          <w:lang w:bidi="fa-IR"/>
        </w:rPr>
        <w:t>فی عناوین الأبواب من کتابیهما إلی التفصیل،مضافا إلی عدم حجّیة الإجماع المنقول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بحسب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الروایات ما یدل علی حرمة بیع المباح ممّن یجعله حراما</w:t>
      </w:r>
      <w:r>
        <w:rPr>
          <w:rFonts w:eastAsia="IRNazanin" w:cs="IRNazanin"/>
          <w:color w:val="111111"/>
          <w:sz w:val="28"/>
          <w:szCs w:val="28"/>
          <w:rtl w:val="true"/>
          <w:lang w:bidi="fa-IR"/>
        </w:rPr>
        <w:t>.</w:t>
      </w:r>
    </w:p>
    <w:p>
      <w:pPr>
        <w:pStyle w:val="Heading5"/>
        <w:numPr>
          <w:ilvl w:val="4"/>
          <w:numId w:val="1"/>
        </w:numPr>
        <w:rPr/>
      </w:pPr>
      <w:bookmarkStart w:id="355" w:name="__RefHeading___Toc910194_774463916"/>
      <w:bookmarkStart w:id="356" w:name="_Toc131"/>
      <w:bookmarkEnd w:id="355"/>
      <w:r>
        <w:rPr>
          <w:rtl w:val="true"/>
        </w:rPr>
        <w:t>مقتضی القواعد فی المقام</w:t>
      </w:r>
      <w:bookmarkEnd w:id="35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التکلّم فی حکم المسألة من حیث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فیها من نواح شتّی،الاولی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 مفهوم الإعانة و بیان ما یعتبر فیه</w:t>
      </w:r>
      <w:bookmarkStart w:id="357" w:name="pg5064_65382"/>
    </w:p>
    <w:p>
      <w:pPr>
        <w:pStyle w:val="BookText"/>
        <w:rPr/>
      </w:pPr>
      <w:bookmarkEnd w:id="357"/>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الإعانة علی الإثم،الثالثة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القول بحرمة الإعانة علی الإثم فهل هی کحرمة الظلم لا تختلف بالوجوه و الاعتبار و لا تقبل التخصیص و التقیید أو هی کحرمة الکذب التی تختلف بذلک،و علیه فتتصف بالأحکام الخمسة</w:t>
      </w:r>
      <w:r>
        <w:rPr>
          <w:rFonts w:eastAsia="IRNazanin" w:cs="IRNazanin"/>
          <w:color w:val="111111"/>
          <w:sz w:val="28"/>
          <w:szCs w:val="28"/>
          <w:rtl w:val="true"/>
          <w:lang w:bidi="fa-IR"/>
        </w:rPr>
        <w:t>.</w:t>
      </w:r>
    </w:p>
    <w:p>
      <w:pPr>
        <w:pStyle w:val="Heading4"/>
        <w:numPr>
          <w:ilvl w:val="3"/>
          <w:numId w:val="1"/>
        </w:numPr>
        <w:rPr/>
      </w:pPr>
      <w:bookmarkStart w:id="358" w:name="__RefHeading___Toc910196_774463916"/>
      <w:bookmarkStart w:id="359" w:name="_Toc132"/>
      <w:bookmarkEnd w:id="358"/>
      <w:r>
        <w:rPr>
          <w:rtl w:val="true"/>
        </w:rPr>
        <w:t>حقیقة الإعانة و مفهومها</w:t>
      </w:r>
      <w:bookmarkEnd w:id="359"/>
    </w:p>
    <w:p>
      <w:pPr>
        <w:pStyle w:val="Heading5"/>
        <w:numPr>
          <w:ilvl w:val="4"/>
          <w:numId w:val="1"/>
        </w:numPr>
        <w:rPr/>
      </w:pPr>
      <w:bookmarkStart w:id="360" w:name="__RefHeading___Toc910198_774463916"/>
      <w:bookmarkStart w:id="361" w:name="_Toc133"/>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ما حقیقة الإعانة و مفهومها؟الظاهر أنّ مفهوم الإعانة کسائر المفاهیم التی لا یمکن تحدیدها إلاّ بنحو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فمفهوم الماء مثلا مع کونه من أوضح المفاهیم ربما یشک فی صدقه علی بعض المصادیق علی ما اعترف به المصنّف فی أول کتاب الطهارة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وقع الخلاف فی بیان حقیقة الإعانة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استظهره المصنّف من الأکثر،و هو أنه یکفی فی تحقّقها مجرد إیجاد مقدّمة من مقدّمات فعل الغیر و إن لم یکن عن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أشار إلیه فی مطلع کلامه من أنّ الإعانة هی فعل بعض مقدّمات فعل الغیر بقصد حصوله منه لا مطلقا،ثم نسبه إلی المحقّق الثانی </w:t>
      </w:r>
      <w:r>
        <w:rPr>
          <w:rStyle w:val="FootnoteAnchor"/>
          <w:rtl w:val="true"/>
        </w:rPr>
        <w:footnoteReference w:id="566"/>
      </w:r>
      <w:r>
        <w:rPr>
          <w:rFonts w:ascii="IRNazanin" w:hAnsi="IRNazanin" w:eastAsia="IRNazanin"/>
          <w:color w:val="111111"/>
          <w:sz w:val="28"/>
          <w:sz w:val="28"/>
          <w:szCs w:val="28"/>
          <w:rtl w:val="true"/>
          <w:lang w:bidi="fa-IR"/>
        </w:rPr>
        <w:t xml:space="preserve">و صاحب الکفایة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نسبه إلی بعض معاصریه </w:t>
      </w:r>
      <w:r>
        <w:rPr>
          <w:rStyle w:val="FootnoteAnchor"/>
          <w:rtl w:val="true"/>
        </w:rPr>
        <w:footnoteReference w:id="568"/>
      </w:r>
      <w:r>
        <w:rPr>
          <w:rFonts w:ascii="IRNazanin" w:hAnsi="IRNazanin" w:eastAsia="IRNazanin"/>
          <w:color w:val="111111"/>
          <w:sz w:val="28"/>
          <w:sz w:val="28"/>
          <w:szCs w:val="28"/>
          <w:rtl w:val="true"/>
          <w:lang w:bidi="fa-IR"/>
        </w:rPr>
        <w:t>من أنه یعتبر فی تحقق مفهومها وراء القصد المذکور وقوع الفعل المعان علیه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نسبه إلی المحقّق الأردبیلی </w:t>
      </w:r>
      <w:r>
        <w:rPr>
          <w:rStyle w:val="FootnoteAnchor"/>
          <w:rtl w:val="true"/>
        </w:rPr>
        <w:footnoteReference w:id="569"/>
      </w:r>
      <w:r>
        <w:rPr>
          <w:rFonts w:ascii="IRNazanin" w:hAnsi="IRNazanin" w:eastAsia="IRNazanin"/>
          <w:color w:val="111111"/>
          <w:sz w:val="28"/>
          <w:sz w:val="28"/>
          <w:szCs w:val="28"/>
          <w:rtl w:val="true"/>
          <w:lang w:bidi="fa-IR"/>
        </w:rPr>
        <w:t>من تعلیقه صدق الإعانة علی القصد أو الصدق العرفی،بداهة أنّ الإعانة قد تصدق عرفا فی موارد عدم وجود القصد مثل أن یطلب الظالم العصا من شخص لضرب مظلوم فیعطیه إیّاها،أو یطلب القلم لکتابة ظلم فیعطیه إیّاه،و نحو ذلک ممّا یعد معونة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الإعانة فی المقدّمات القریبة فتحرم،و بین المقدّمات البعیدة فلا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شیء فی صدق الإعانة إلاّ وقوع المعان علیه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أوجهها هو الوجه الأخیر،و تحقیق ذلک ببیان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عدم اعتبار العلم و القصد فی مفهوم الإعانة،و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اعتبار وقوع المعان علیه فی صدقها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صحة استعمال کلمة الإعانة و ما اقتطع منها فی فعل غیر القاصد بل و غیر الشاعر بلا عنایة و علاقة تقتضی عدم اعتبار القصد و الإرادة فی صدقها لغة،کقوله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دعاء أبی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أعاننی علیها شقوتی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الصَّلاةِ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الروایات أنّ المراد بالصبر هو الصوم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أحادیث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الطین فمات فقد أعان علی</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و من البدیهی أنّ آکل الطین لم یقصد موته بذلک،بل یری أنّ حیاته فیه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فأعینونا علی ذلک بورع و اجتهاد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و من المعلوم أنّ المعین علی ذلک بالورع و الاجتهاد لا یقصد الإعانة علیه فی جمیع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ما فی بعض الأحادیث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علی قتل مؤمن و لو بشطر کلمة</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تبسّم علی وجه مبدع فقد أعان</w:t>
      </w:r>
    </w:p>
    <w:p>
      <w:pPr>
        <w:pStyle w:val="BookText"/>
        <w:rPr/>
      </w:pPr>
      <w:r>
        <w:rPr>
          <w:rFonts w:ascii="IRNazanin" w:hAnsi="IRNazanin" w:eastAsia="IRNazanin"/>
          <w:color w:val="111111"/>
          <w:sz w:val="28"/>
          <w:sz w:val="28"/>
          <w:szCs w:val="28"/>
          <w:rtl w:val="true"/>
          <w:lang w:bidi="fa-IR"/>
        </w:rPr>
        <w:t>علی هدم الإسلام</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هاشم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رزقک العافیة فأعانتک علی الطاعة</w:t>
      </w:r>
      <w:r>
        <w:rPr>
          <w:rFonts w:eastAsia="IRNazanin" w:cs="IRNazanin"/>
          <w:color w:val="111111"/>
          <w:sz w:val="28"/>
          <w:szCs w:val="28"/>
          <w:rtl w:val="true"/>
          <w:lang w:bidi="fa-IR"/>
        </w:rPr>
        <w:t xml:space="preserve">»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الصحیفة الکاملة السجّادیة 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طلب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ذلک عونا لی</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و أیضا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عون للفقیر،و الثوب عون للإنسان و سرت فی الماء و أعاننی الماء و الریح علی السیر،و أعانتنی العصا علی المشی و کتبت باستعانة القلم،إلی غیر ذلک من الاستعمالات الکثیرة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کونها مجازات جزافیة،لعدم القرینة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 فی تحقّق مفهوم الإعانة علم المعین بها،و لا اعتبار الداعی إلی تحقّقها،لبدیهة صدق الإعانة علی الإثم علی إعطاء العصا لمن یرید ضرب الیتیم و إن لم یعلم بذلک،أو علم و لم یکن إعطاؤه بداعی وقوع الحرام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ما ذکرناه ما تقدّمت </w:t>
      </w:r>
      <w:r>
        <w:rPr>
          <w:rStyle w:val="FootnoteAnchor"/>
          <w:rtl w:val="true"/>
        </w:rPr>
        <w:footnoteReference w:id="578"/>
      </w:r>
      <w:r>
        <w:rPr>
          <w:rFonts w:ascii="IRNazanin" w:hAnsi="IRNazanin" w:eastAsia="IRNazanin"/>
          <w:color w:val="111111"/>
          <w:sz w:val="28"/>
          <w:sz w:val="28"/>
          <w:szCs w:val="28"/>
          <w:rtl w:val="true"/>
          <w:lang w:bidi="fa-IR"/>
        </w:rPr>
        <w:t>الإشارة إلیه من أنّ القصد سواء کان بمعنی الإرادة و الاختیار أم بمعنی الالتفات لا یعتبر فی مفهوم الإعانة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 وجها صحیحا لاعتبار القصد بأی معنی کان فی صدق الإعانة،و من هنا لا نظنّ أنّ أحدا ینکر تحقّق الإعانة باعطاء السیف أو العصا لمن یرید الظلم أو القتل،و لو کان المعطی غیر ملتفت إلی ضمیر مرید الظلم أو القتل أو کان غافلا عنه،نعم لو نسب ذلک إلی الفاعل المختار انصرف إلی صورة العلم و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یوافقه الاعتبار و یساعد علیه الاستعمال هو تقیید مفهوم الإعانة بحسب الوضع بوقوع المعان علیه فی الخارج،و منع صدقها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أراد شخص قتل غیره بزعم أنه مصون الدم،و هیّأ له ثالث جمیع مقدّمات القتل،ثم أعرض عنه مرید القتل،أو قتله ثم بان أنه مهدور الدم،فإنه لا یقال إنّ الثالث أعان علی الإثم بتهیئة مقدّمات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تصدق الإعانة علی التقوی إذا لم یتحقّق المعان علیه فی الخارج،کما إذا رأی شبحا یغرق فتوهّم أنه شخص مؤمن فأنقذه إعانة منه له علی التقوی فبان أنه خشبة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یمنع من اعتبار وقوع المعان علیه فی الخارج فی مفهوم الإعانة و صدقها بدعوی أنه لو أراد رجلان التهجّم علی بیضة الإسلام أو علی قتل النفوس المحترمة فهیّأ لهما آخران جمیع مقدّمات القتال،فمضی أحدهما و ندم الآخر،فإنه لا شبهة فی استحقاق کل من المهیئین الذم و اللوم من جهة الإعانة علی الإثم و إن تحقّق الفعل المعان علیه فی أحدهما و لم یتحقق فی الآخر،فلو کان ذلک شرطا فی صدق الإعانة لم یتوجّه الذم إلاّ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الصادر من النادم لیس إلاّ التجرّی،و هو علی تقدیر الالتزام بقبحه و استحقاق العقاب علیه لا یصدق علیه الإثم لتکون الإعانة علیه إعانة علی الإثم و أمّا إذا قلنا بعدم استحقاق العقاب علیه فإنّ الأمر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مضایقة فی صحة ذم معینه،بل فی صحة عقابه أیضا بناء علی حرمة الإعانة علی الإثم و صحة العقاب علی التجرّی،فإنّ المعین حینئذ یری نفسه عاصیا لتخیّله أنه معین علی الإثم،فهو متجر فی فعله،و المفروض أنّ التجرّی یوجب استحقاق العقاب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تجلّی من جمیع ما ذکرناه ما فی بقیة الوجوه و الأقوال المتقدّمة من الوهن و الخلل،کما اتّضح ضعف ما أورده المصنّف علی بعض معاصریه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w:t>
      </w:r>
    </w:p>
    <w:p>
      <w:pPr>
        <w:pStyle w:val="BookText"/>
        <w:rPr/>
      </w:pPr>
      <w:r>
        <w:rPr>
          <w:rFonts w:ascii="IRNazanin" w:hAnsi="IRNazanin" w:eastAsia="IRNazanin"/>
          <w:color w:val="111111"/>
          <w:sz w:val="28"/>
          <w:sz w:val="28"/>
          <w:szCs w:val="28"/>
          <w:rtl w:val="true"/>
          <w:lang w:bidi="fa-IR"/>
        </w:rPr>
        <w:t>الإعانة علی الشیء هو الفعل بقصد حصول الشیء،سواء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لا و من اشتغل ببعض مقدّمات الحرام الصادر عن الغیر بقصد التوصّل إلیه فهو داخل فی الإعانة علی الإثم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 عنوان الإعانة کما یتوقّف علی تحقّق الفعل المعان علیه فی الخارج فکذلک یتوقّف علی تحقّق المعین و المعان،بأن یکونا مفروضی الوجود مع قطع النظر عن تحقّق الإعانة فی الخارج،لیقع فعل المعین فی سلسلة مقدّمات فعل المعان،فیکون عنوان الإعانة بهذا الاعتبار من الامور الإضافیة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فإیجاد موضوع الإعانة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کتولید المعین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حدودها،و إلاّ لحرم التناکح و التناسل،للعلم العادی بأنّ فی نسل الإنسان فی نظام الوجود من یرتکب المعاصی و تصدر منه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مسیر الحاج و متاجرة التاجر مع العلم بأخذ المکوس و الگمارک و هکذا عدم التحفّظ علی المال مع العلم بحصول السرقة فکلّها داخل فی عنوان الإعانة،فإنه لا وجه لجعل أمثالها من قبیل الموضوع للإعانة و خروجها عن عنوانها کما زعمه شیخنا الاستاذ </w:t>
      </w:r>
      <w:r>
        <w:rPr>
          <w:rStyle w:val="FootnoteAnchor"/>
          <w:rtl w:val="true"/>
        </w:rPr>
        <w:footnoteReference w:id="580"/>
      </w:r>
      <w:r>
        <w:rPr>
          <w:rFonts w:ascii="IRNazanin" w:hAnsi="IRNazanin" w:eastAsia="IRNazanin"/>
          <w:color w:val="111111"/>
          <w:sz w:val="28"/>
          <w:sz w:val="28"/>
          <w:szCs w:val="28"/>
          <w:rtl w:val="true"/>
          <w:lang w:bidi="fa-IR"/>
        </w:rPr>
        <w:t xml:space="preserve">و المحقّق الإیروانی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وجه لما ذهب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من إخراجها عن عنوان الإعانة من حیث إنّ التاجر و الحاج غیر قاصدین لتحقّق المعان علیه،لما عرفت من عدم اعتبار القصد فی صدقها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من مطاوی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المدار فی عنوان الإعانة هو الصدق</w:t>
      </w:r>
      <w:bookmarkStart w:id="362" w:name="pg5064_65388"/>
    </w:p>
    <w:p>
      <w:pPr>
        <w:pStyle w:val="BookText"/>
        <w:rPr/>
      </w:pPr>
      <w:bookmarkEnd w:id="362"/>
      <w:r>
        <w:rPr>
          <w:rFonts w:ascii="IRNazanin" w:hAnsi="IRNazanin" w:eastAsia="IRNazanin"/>
          <w:color w:val="111111"/>
          <w:sz w:val="28"/>
          <w:sz w:val="28"/>
          <w:szCs w:val="28"/>
          <w:rtl w:val="true"/>
          <w:lang w:bidi="fa-IR"/>
        </w:rPr>
        <w:t>العرفی،و علیه فلا یفرق فی ذلک بین المقدّمات القریبة و المقدّمات البعیدة،و لذلک صح إطلاق المعین علی من تسبّب فی قضاء حوائج الغیر و لو بوسائط بعیدة</w:t>
      </w:r>
      <w:r>
        <w:rPr>
          <w:rFonts w:eastAsia="IRNazanin" w:cs="IRNazanin"/>
          <w:color w:val="111111"/>
          <w:sz w:val="28"/>
          <w:szCs w:val="28"/>
          <w:rtl w:val="true"/>
          <w:lang w:bidi="fa-IR"/>
        </w:rPr>
        <w:t>.</w:t>
      </w:r>
    </w:p>
    <w:p>
      <w:pPr>
        <w:pStyle w:val="Heading5"/>
        <w:numPr>
          <w:ilvl w:val="4"/>
          <w:numId w:val="1"/>
        </w:numPr>
        <w:rPr/>
      </w:pPr>
      <w:bookmarkStart w:id="363" w:name="__RefHeading___Toc910200_774463916"/>
      <w:bookmarkStart w:id="364" w:name="_Toc134"/>
      <w:bookmarkEnd w:id="363"/>
      <w:r>
        <w:rPr>
          <w:rtl w:val="true"/>
        </w:rPr>
        <w:t>حکم الإعانة علی الإثم</w:t>
      </w:r>
      <w:bookmarkEnd w:id="36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حکم الإعانة علی الإثم؟الظاهر جواز ذلک،لأنه مقتضی الأصل الأوّلی و لا دلیل یثبت حرمة الإعانة علی الإثم و إن ذهب المشهور و بعض العامة </w:t>
      </w:r>
      <w:r>
        <w:rPr>
          <w:rStyle w:val="FootnoteAnchor"/>
          <w:rtl w:val="true"/>
        </w:rPr>
        <w:footnoteReference w:id="583"/>
      </w:r>
      <w:r>
        <w:rPr>
          <w:rFonts w:ascii="IRNazanin" w:hAnsi="IRNazanin" w:eastAsia="IRNazanin"/>
          <w:color w:val="111111"/>
          <w:sz w:val="28"/>
          <w:sz w:val="28"/>
          <w:szCs w:val="28"/>
          <w:rtl w:val="true"/>
          <w:lang w:bidi="fa-IR"/>
        </w:rPr>
        <w:t xml:space="preserve">إلی الحرمة،و علیه فالحکم هو جواز الإعانة علیه إلاّ ما خرج بالدلیل،کإعانة الظالمین و إعانة أعوانهم و تهیئة مقدّمات ظلمهم،لاستفاضة الروایات علی حرمة إعانتهم و تقویتهم و تعظیم شوکتهم و لو بمدة قلم أو بکتابة رقعة أو بجبایة خراج و نحوها و ستأتی هذه الروایات فی البحث عن معونة الظالمین </w:t>
      </w:r>
      <w:r>
        <w:rPr>
          <w:rStyle w:val="FootnoteAnchor"/>
          <w:rtl w:val="true"/>
        </w:rPr>
        <w:footnoteReference w:id="584"/>
      </w:r>
      <w:r>
        <w:rPr>
          <w:rFonts w:ascii="IRNazanin" w:hAnsi="IRNazanin" w:eastAsia="IRNazanin"/>
          <w:color w:val="111111"/>
          <w:sz w:val="28"/>
          <w:sz w:val="28"/>
          <w:szCs w:val="28"/>
          <w:rtl w:val="true"/>
          <w:lang w:bidi="fa-IR"/>
        </w:rPr>
        <w:t xml:space="preserve">،بل الحرمة فی هذا النحو من الإعانة ممّا استقل به العقل،و قامت علیه ضرورة العقلاء،بل قال فی العروة فی 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المسافر إنّه لو کانت تبعیة التابع إعانة للجائر فی جوره وجب علیه التمام و إن کان سفر الجائر طاعة،فإنّ التابع حینئذ یتم مع أنّ المتبوع یقصّر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bookmarkStart w:id="365" w:name="pg5064_65389"/>
    </w:p>
    <w:p>
      <w:pPr>
        <w:pStyle w:val="Heading5"/>
        <w:numPr>
          <w:ilvl w:val="4"/>
          <w:numId w:val="1"/>
        </w:numPr>
        <w:rPr/>
      </w:pPr>
      <w:bookmarkStart w:id="366" w:name="__RefHeading___Toc910202_774463916"/>
      <w:bookmarkStart w:id="367" w:name="_Toc135"/>
      <w:bookmarkEnd w:id="365"/>
      <w:bookmarkEnd w:id="366"/>
      <w:r>
        <w:rPr>
          <w:rtl w:val="true"/>
        </w:rPr>
        <w:t>الاستدلال علی حرمة الإعانة و الجواب عنه</w:t>
      </w:r>
      <w:bookmarkEnd w:id="36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بعموم النهی عن التعاون علی الإثم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استدلّوا علی حرمة الإعانة علی الإثم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عَلَی الْبِرِّ وَ التَّقْوی وَ لا تَعاوَنُوا عَلَی الْإِثْمِ وَ الْعُدْوانِ </w:t>
      </w:r>
      <w:r>
        <w:rPr>
          <w:rStyle w:val="FootnoteAnchor"/>
          <w:rtl w:val="true"/>
        </w:rPr>
        <w:footnoteReference w:id="586"/>
      </w:r>
      <w:r>
        <w:rPr>
          <w:rFonts w:ascii="IRNazanin" w:hAnsi="IRNazanin" w:eastAsia="IRNazanin"/>
          <w:color w:val="111111"/>
          <w:sz w:val="28"/>
          <w:sz w:val="28"/>
          <w:szCs w:val="28"/>
          <w:rtl w:val="true"/>
          <w:lang w:bidi="fa-IR"/>
        </w:rPr>
        <w:t>فإنّ ظاهرها حرمة المعاونة علی الإثم و العدوان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التعاون عبارة عن اجتماع عدّة من الأشخاص لإیجاد أمر من الخیر أو الشرّ لیکون صادرا من جمیعهم،کنهب الأموال و قتل النفوس و بناء المساجد و القناطر،و هذا بخلاف الإعانة فإنّها من الأفعال،و هی عبارة عن تهیئة مقدّمات فعل الغیر مع استقلال ذلک الغیر فی فعله،و علیه فالنهی عن المعاونة علی الإثم لا یستلزم النهی عن الإعانة علی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عصی أحد فأعانه الآخر فإنه لا یصدق علیه التعاون بوجه،فإنّ باب التفاعل یقتضی صدور المادّة من کلا الشخصین و من الظاهر عدم تحقّق ذلک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عرفت فیما سبق </w:t>
      </w:r>
      <w:r>
        <w:rPr>
          <w:rStyle w:val="FootnoteAnchor"/>
          <w:rtl w:val="true"/>
        </w:rPr>
        <w:footnoteReference w:id="587"/>
      </w:r>
      <w:r>
        <w:rPr>
          <w:rFonts w:ascii="IRNazanin" w:hAnsi="IRNazanin" w:eastAsia="IRNazanin"/>
          <w:color w:val="111111"/>
          <w:sz w:val="28"/>
          <w:sz w:val="28"/>
          <w:szCs w:val="28"/>
          <w:rtl w:val="true"/>
          <w:lang w:bidi="fa-IR"/>
        </w:rPr>
        <w:t>حرمة التسبیب إلی الحرام و جعل الداعی إلیه لکن حرمة ذلک لا تستلزم الحرمة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الإجماع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دعوی جزافیة،لاحتمال کون مدرک المجمعین هی الوجوه المذکورة فی المسألة،فلا یکون إجماعا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حجّیة الإجماع المنقول فی نفسه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الإعانة علی الإثم دفع للمنکر،و دفع المنکر واجب کرفعه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إلیه أشار المحقّق الأردبیلی </w:t>
      </w:r>
      <w:r>
        <w:rPr>
          <w:rStyle w:val="FootnoteAnchor"/>
          <w:rtl w:val="true"/>
        </w:rPr>
        <w:footnoteReference w:id="588"/>
      </w:r>
      <w:r>
        <w:rPr>
          <w:rFonts w:ascii="IRNazanin" w:hAnsi="IRNazanin" w:eastAsia="IRNazanin"/>
          <w:color w:val="111111"/>
          <w:sz w:val="28"/>
          <w:sz w:val="28"/>
          <w:szCs w:val="28"/>
          <w:rtl w:val="true"/>
          <w:lang w:bidi="fa-IR"/>
        </w:rPr>
        <w:t>فی محکی کلامه،حیث استدل علی حرمة بیع</w:t>
      </w:r>
    </w:p>
    <w:p>
      <w:pPr>
        <w:pStyle w:val="BookText"/>
        <w:rPr/>
      </w:pPr>
      <w:r>
        <w:rPr>
          <w:rFonts w:ascii="IRNazanin" w:hAnsi="IRNazanin" w:eastAsia="IRNazanin"/>
          <w:color w:val="111111"/>
          <w:sz w:val="28"/>
          <w:sz w:val="28"/>
          <w:szCs w:val="28"/>
          <w:rtl w:val="true"/>
          <w:lang w:bidi="fa-IR"/>
        </w:rPr>
        <w:t>العنب فی المسألة بأدلة النهی عن المنکر،و استشهد له المصنّف بروایة علی بن أبی حمزة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لو لا أنّ بنی امیة وجدوا لهم من یکتب و یجبی لهم الفیء،و یقاتل عنهم و یشهد جماعتهم لما سلبوا حقّنا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بدفع المنکر هنا إنما یتّجه إذا علم المعین بانحصار دفع الإثم بترکه الإعانة علیه،و أمّا مع الجهل بالحال أو العلم بوقوع الإثم بإعانة الغیر علیه فلا یتحقّق مفهوم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دفع المنکر إنّما یجب إذا کان المنکر ممّا اهتمّ الشارع بعدم وقوعه کقتل النفوس المحترمة،و هتک الأعراض المحترمة،و نهب الأموال المحترمة و هدم أساس الدین،و کسر شوکة المسلمین،و ترویج بدع المضلّین و نحو ذلک،فإنّ دفع المنکر فی هذه الأمثلة و نحوها واجب بضرورة العقل و اتّفاق المسلمین،و قد ورد الاهتمام به فی بعض الأحادیث </w:t>
      </w:r>
      <w:r>
        <w:rPr>
          <w:rStyle w:val="FootnoteAnchor"/>
          <w:rtl w:val="true"/>
        </w:rPr>
        <w:footnoteReference w:id="590"/>
      </w:r>
      <w:r>
        <w:rPr>
          <w:rFonts w:ascii="IRNazanin" w:hAnsi="IRNazanin" w:eastAsia="IRNazanin"/>
          <w:color w:val="111111"/>
          <w:sz w:val="28"/>
          <w:sz w:val="28"/>
          <w:szCs w:val="28"/>
          <w:rtl w:val="true"/>
          <w:lang w:bidi="fa-IR"/>
        </w:rPr>
        <w:t>و أمّا فی غیر ما یهتم الشارع بعدمه من الامور فلا دلیل علی وجوب دفع المنکر،و علی کلا الوجهین فالدلیل أخصّ من المدّعی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النهی عن المنکر فإنه و إن کان سبیل الأنبیاء و منهاج الصلحاء و فریضة</w:t>
      </w:r>
    </w:p>
    <w:p>
      <w:pPr>
        <w:pStyle w:val="BookText"/>
        <w:rPr/>
      </w:pPr>
      <w:r>
        <w:rPr>
          <w:rFonts w:ascii="IRNazanin" w:hAnsi="IRNazanin" w:eastAsia="IRNazanin"/>
          <w:color w:val="111111"/>
          <w:sz w:val="28"/>
          <w:sz w:val="28"/>
          <w:szCs w:val="28"/>
          <w:rtl w:val="true"/>
          <w:lang w:bidi="fa-IR"/>
        </w:rPr>
        <w:t>عظیمة بها تقام الفرائض و تحل المکاسب و ترد المظالم،إلاّ أنه لا یدل علی وجوب دفع المنکر،فإنّ معنی دفع المنکر هو تعجیز فاعله عن الإتیان به و إیجاده فی الخارج سواء ارتدع عنه باختیاره أم لم یرتدع،و النهی عن المنکر لیس إلاّ ردع الفاعل و زجره عنه علی مراتبه المقرّرة فی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لقیاس دفع المنکر علی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علی بن أبی حمزة فمضافا إلی ضعف السند فیها أنّها أجنبیة عن رفع المنکر فضلا عن دفعه،لاختصاصها بحرمة إعانة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الإیروانی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الرفع هنا لیس إلاّ الدفع،فمن شرع بشرب الخمر فبالنسبة إلی جرعة شرب لا معنی للنهی عنه،و بالنسبة إلی ما لم یشرب کان النهی دفعا عنه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الرفع و إن کان إلی الدفع بالتحلیل و التدقیق،إلاّ أنّ الأحکام الشرعیة و موضوعاتها لا تبتنی علی التدقیقات العقلیة،و لا شبهة فی صدق رفع المنکر فی العرف و الشرع علی منع العاصی عن إتمام المعصیة التی ارتکبها بخلاف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أنّ البیع حرام علی کل أحد فلا یسوغ لهذا الشخص فعله معتذرا بأنه لو ترکه لفعله غیره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محصّل الإشکال ما ذکره المحقّق الإیروانی </w:t>
      </w:r>
      <w:r>
        <w:rPr>
          <w:rStyle w:val="FootnoteAnchor"/>
          <w:rtl w:val="true"/>
        </w:rPr>
        <w:footnoteReference w:id="592"/>
      </w:r>
      <w:r>
        <w:rPr>
          <w:rFonts w:ascii="IRNazanin" w:hAnsi="IRNazanin" w:eastAsia="IRNazanin"/>
          <w:color w:val="111111"/>
          <w:sz w:val="28"/>
          <w:sz w:val="28"/>
          <w:szCs w:val="28"/>
          <w:rtl w:val="true"/>
          <w:lang w:bidi="fa-IR"/>
        </w:rPr>
        <w:t>من أنّ النهی عن الطبیعة ینحل إلی نواه متعدّدة حسب تعدّد أفراد تلک الطبیعة علی سبیل العموم الاستغراقی فکان کل فرد تحت نهی مستقل،و علی هذا فترک بیع فرد من العنب دفع لتخمیر هذا</w:t>
      </w:r>
    </w:p>
    <w:p>
      <w:pPr>
        <w:pStyle w:val="BookText"/>
        <w:rPr/>
      </w:pPr>
      <w:r>
        <w:rPr>
          <w:rFonts w:ascii="IRNazanin" w:hAnsi="IRNazanin" w:eastAsia="IRNazanin"/>
          <w:color w:val="111111"/>
          <w:sz w:val="28"/>
          <w:sz w:val="28"/>
          <w:szCs w:val="28"/>
          <w:rtl w:val="true"/>
          <w:lang w:bidi="fa-IR"/>
        </w:rPr>
        <w:t>الفرد و إن علم أنّ عنبا آخر یباع و یخمّر لو لم یبع هو هذا،فإذا تراکمت التروک بترک هذا للبیع و ترک ذاک له و هکذا،حصل ترک التخمیر رأسا،و کان کل ترک مقدّمة لترک فرد من الحرام،لا أنّ مجموع التروک یکون مقدّمة لترک حرام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إنما ینحل إلی أفراد الطبیعة لأنّ معنی النهی عن الشیء عبارة عن الزجر عنه لما فیه من المفسدة الإلزامیة،فإذا توجّه النهی إلی طبیعة ما و کان کل واحد من أفرادها مشتملا علی المفسدة الإلزامیة فلا محالة ینحل ذلک النهی إلی نواه عدیدة حسب تعدّد الأفراد،و أمّا فی مثل المقام فإنّ منشأ النهی فیه هو أن لا یتحقّق الإثم فی الخارج،فالغرض منه إنّما هو الوصول إلی ذلک،فإذا علم صدور الإثم فی الخارج و لو مع ترک الإعانة من شخص خاص فلا موجب لحرمتها،و هذا کما إذا نهی المولی عبیده عن الدخول علیه فی ساعة عیّنها لفراغه،فإنّ غرضه یفوت إذا دخل علیه واحد منهم،فترتفع المبغوضیة عن دخول غیره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یدلّنا علی ذلک ما فی الروایات المتقدّمة </w:t>
      </w:r>
      <w:r>
        <w:rPr>
          <w:rStyle w:val="FootnoteAnchor"/>
          <w:rtl w:val="true"/>
        </w:rPr>
        <w:footnoteReference w:id="593"/>
      </w:r>
      <w:r>
        <w:rPr>
          <w:rFonts w:ascii="IRNazanin" w:hAnsi="IRNazanin" w:eastAsia="IRNazanin"/>
          <w:color w:val="111111"/>
          <w:sz w:val="28"/>
          <w:sz w:val="28"/>
          <w:szCs w:val="28"/>
          <w:rtl w:val="true"/>
          <w:lang w:bidi="fa-IR"/>
        </w:rPr>
        <w:t>من تجویزهم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العنب و التمر و عصیرهما ممّن یصنعها خمرا،إذ لو لم تدل تلک الروایات علی عدم حرمة الإعانة علی الإثم مطلقا فلا أقل من دلالتها علی عدم الحرمة فیما إذا علم المعین تحقّق الحرام فی الخارج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فما نحن فیه من قبیل رفع الحجر الثقیل الذی لا یرفعه إلاّ جماعة من الناس،فإنّ الوجوب یرتفع عن الجماعة بمخالفة شخص واحد منهم،و هکذا ما نحن فیه،لأنّ عدم تحقّق المعصیة من مشتری العنب یتوقّف علی ترک کل أرباب العنب للبیع،لأنّ ترک المجموع سبب واحد لترک المعصیة،کما أنّ بیع أی واحد منهم علی البدل شرط لتحقّق المعصیة من المشتری</w:t>
      </w:r>
      <w:r>
        <w:rPr>
          <w:rFonts w:eastAsia="IRNazanin" w:cs="IRNazanin"/>
          <w:color w:val="111111"/>
          <w:sz w:val="28"/>
          <w:szCs w:val="28"/>
          <w:rtl w:val="true"/>
          <w:lang w:bidi="fa-IR"/>
        </w:rPr>
        <w:t>.</w:t>
      </w:r>
      <w:bookmarkStart w:id="368" w:name="pg5064_65393"/>
    </w:p>
    <w:p>
      <w:pPr>
        <w:pStyle w:val="Heading5"/>
        <w:numPr>
          <w:ilvl w:val="4"/>
          <w:numId w:val="1"/>
        </w:numPr>
        <w:rPr/>
      </w:pPr>
      <w:bookmarkStart w:id="369" w:name="__RefHeading___Toc910204_774463916"/>
      <w:bookmarkStart w:id="370" w:name="_Toc136"/>
      <w:bookmarkEnd w:id="368"/>
      <w:bookmarkEnd w:id="369"/>
      <w:r>
        <w:rPr>
          <w:rtl w:val="true"/>
        </w:rPr>
        <w:t>تتمیم و فیه تأسیس</w:t>
      </w:r>
      <w:bookmarkEnd w:id="370"/>
    </w:p>
    <w:p>
      <w:pPr>
        <w:pStyle w:val="BookText"/>
        <w:rPr/>
      </w:pPr>
      <w:r>
        <w:rPr>
          <w:rFonts w:ascii="IRNazanin" w:hAnsi="IRNazanin" w:eastAsia="IRNazanin"/>
          <w:color w:val="111111"/>
          <w:sz w:val="28"/>
          <w:sz w:val="28"/>
          <w:szCs w:val="28"/>
          <w:rtl w:val="true"/>
          <w:lang w:bidi="fa-IR"/>
        </w:rPr>
        <w:t>قد عرفت فیما تقدّم أنّ جواز الإعانة علی الإثم هو مقتضی الأصل،لعدم الدلیل علی التحریم،و یمکن الاستدلال علیه مضافا إلی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تجز الإعانة علی الإثم لما جاز سقی الکافر،لکونه إعانة علی الإثم،لتنجّس الماء بمباشرته إیّاه فیحرم علیه شربه،لکن السقی جائز،لقوله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إبراد الکبد الحرّاء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تقدّم تفصیله فی البحث عن بیع المیتة المختلطة مع المذکّی </w:t>
      </w:r>
      <w:r>
        <w:rPr>
          <w:rStyle w:val="FootnoteAnchor"/>
          <w:rtl w:val="true"/>
        </w:rPr>
        <w:footnoteReference w:id="595"/>
      </w:r>
      <w:r>
        <w:rPr>
          <w:rFonts w:ascii="IRNazanin" w:hAnsi="IRNazanin" w:eastAsia="IRNazanin"/>
          <w:color w:val="111111"/>
          <w:sz w:val="28"/>
          <w:sz w:val="28"/>
          <w:szCs w:val="28"/>
          <w:rtl w:val="true"/>
          <w:lang w:bidi="fa-IR"/>
        </w:rPr>
        <w:t>فتجوز الإعانة علی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الاعتذار عن ذلک بعدم قدرتهم علی شرب الماء الطاهر فی حال الکفر اعتذار غیر موجّه،إذ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علمت سابقا </w:t>
      </w:r>
      <w:r>
        <w:rPr>
          <w:rStyle w:val="FootnoteAnchor"/>
          <w:rtl w:val="true"/>
        </w:rPr>
        <w:footnoteReference w:id="596"/>
      </w:r>
      <w:r>
        <w:rPr>
          <w:rFonts w:ascii="IRNazanin" w:hAnsi="IRNazanin" w:eastAsia="IRNazanin"/>
          <w:color w:val="111111"/>
          <w:sz w:val="28"/>
          <w:sz w:val="28"/>
          <w:szCs w:val="28"/>
          <w:rtl w:val="true"/>
          <w:lang w:bidi="fa-IR"/>
        </w:rPr>
        <w:t>استفاضة الروایات علی جواز بیع العنب و التمر و عصیرهما ممّن یجعلها خمرا،و جواز بیع الخشب ممّن یجعله برابط،و من الواضح جدّا کون هذا البیع إعانة علی الإثم،و من أنکره فإنّما أنکره بلسانه أو هو مکابر لوجدانه،و بعدم القول بالفصل یثبت الجواز فی غیر موارد الروایات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فی بعضها إشعارا إلی کلّیة الحکم و عدم اختصاصه بالامور المذکورة فیها،کقول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بعته قبل أن یکون خمرا و هو حلال،فلا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العصیر ممّن یجعله حراما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به،تبیعه حلالا فیجعله حراما،أبعده اللّه و أسحقه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اذینة عن بیع العنب و التمر ممّن یعلم أنه یجعله خمرا،فقال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باعه حلالا فی</w:t>
      </w:r>
    </w:p>
    <w:p>
      <w:pPr>
        <w:pStyle w:val="BookText"/>
        <w:rPr/>
      </w:pPr>
      <w:r>
        <w:rPr>
          <w:rFonts w:ascii="IRNazanin" w:hAnsi="IRNazanin" w:eastAsia="IRNazanin"/>
          <w:color w:val="111111"/>
          <w:sz w:val="28"/>
          <w:sz w:val="28"/>
          <w:szCs w:val="28"/>
          <w:rtl w:val="true"/>
          <w:lang w:bidi="fa-IR"/>
        </w:rPr>
        <w:t>الأبان الذی یحلّ شربه أو أکله،فلا بأس ببیعه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 هذه الروایات أنّ المناط فی صحة البیع هی حلّیة المبیع للبائع حین البیع و إن کان بیعه هذا إعانة علی المحرّم،و مثل هذه الروایات غیرها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السیرة القطعیة علی الجواز،ضرورة جواز المعاملة مع الکفّار و غیر المبالین فی أمر الدین من المسلمین ببیع الطعام منهم و لو کان متنجّسا کاللحم و إعارة الأوانی إیّاهم للطبخ و غیره،مع أنه إعانة علی أکل الطعام المتنجّس بمباشرتهم إیّاه،و وجوب تمکین الزوجة للزوج و إن علمت بعدم اغتساله عن الجنابة فیکون التمکین إعانة علی الإثم،و أیضا قامت السیرة القطعیة علی جواز تجارة التاجر و مسیر الحاج و الزوّار و إعطائهم الضریبة المعینة للظلمة،مع أنّه من أظهر مصادیق الإعانة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قضت الضرورة بجواز إجارة الدواب و السفن و السیارات و الطیارات من المسافرین مع العلم إجمالا بأنّ فیهم من یقصد فی رکوبه معصیة و أیضا قامت السیرة القطعیة علی جواز عقد الأندیة و المجالس لتبلیغ الأحکام و إقامة شعائر الأفراح و الأحزان،بل علی وجوبها فی بعض الأحیان إذا توقّف علیها إحیاء الدین و تعظیم الشعائر،مع العلم بوقوع بعض المعاصی فیها من الغیبة و الاستهزاء و الکذب و الافتراء و نظر کل من الرجال و النساء إلی من لا یجوز النظر إلیه و غیرها من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یمکن التفصیل فی شروط الحرام المعان علیها بین ما ینحصر فائدته و منفعته عرفا فی المشروط المحرّم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ذکرناه أنّ المیزان فی حرمة المقدّمة هو کونها سببا لوقوع ذی المقدّمة،و إلاّ فلا وجه للتحریم و إن انحصرت فائدته فی الحرام</w:t>
      </w:r>
      <w:r>
        <w:rPr>
          <w:rFonts w:eastAsia="IRNazanin" w:cs="IRNazanin"/>
          <w:color w:val="111111"/>
          <w:sz w:val="28"/>
          <w:szCs w:val="28"/>
          <w:rtl w:val="true"/>
          <w:lang w:bidi="fa-IR"/>
        </w:rPr>
        <w:t>.</w:t>
      </w:r>
      <w:bookmarkStart w:id="371" w:name="pg5064_65395"/>
    </w:p>
    <w:p>
      <w:pPr>
        <w:pStyle w:val="BookText"/>
        <w:rPr/>
      </w:pPr>
      <w:bookmarkEnd w:id="371"/>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الثابت من النقل و العقل القاضی بوجوب اللطف وجوب ردع من 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المنکر مثل قتل النفس و نحوه ممّا یهتم الشارع بعدم تحقّقه فلا ریب فی وجوب رفعه،بل دفعه شرعا و عقلا کما تقدّم </w:t>
      </w:r>
      <w:r>
        <w:rPr>
          <w:rStyle w:val="FootnoteAnchor"/>
          <w:rtl w:val="true"/>
        </w:rPr>
        <w:footnoteReference w:id="597"/>
      </w:r>
      <w:r>
        <w:rPr>
          <w:rFonts w:ascii="IRNazanin" w:hAnsi="IRNazanin" w:eastAsia="IRNazanin"/>
          <w:color w:val="111111"/>
          <w:sz w:val="28"/>
          <w:sz w:val="28"/>
          <w:szCs w:val="28"/>
          <w:rtl w:val="true"/>
          <w:lang w:bidi="fa-IR"/>
        </w:rPr>
        <w:t xml:space="preserve">،و أمّا فی غیر الموارد التی یهتم الشارع بعدم تحقّقها فلا وجه لدعوی الوجوب العقلی فیها و إن ادّعاه المشهور مطلقا،لمنع استقلال العقل بذلک فی جمیع الموارد،و لذا ذهب جمع من المحقّقین </w:t>
      </w:r>
      <w:r>
        <w:rPr>
          <w:rStyle w:val="FootnoteAnchor"/>
          <w:rtl w:val="true"/>
        </w:rPr>
        <w:footnoteReference w:id="598"/>
      </w:r>
      <w:r>
        <w:rPr>
          <w:rFonts w:ascii="IRNazanin" w:hAnsi="IRNazanin" w:eastAsia="IRNazanin"/>
          <w:color w:val="111111"/>
          <w:sz w:val="28"/>
          <w:sz w:val="28"/>
          <w:szCs w:val="28"/>
          <w:rtl w:val="true"/>
          <w:lang w:bidi="fa-IR"/>
        </w:rPr>
        <w:t>إلی الوجوب الشرعی</w:t>
      </w:r>
      <w:r>
        <w:rPr>
          <w:rFonts w:eastAsia="IRNazanin" w:cs="IRNazanin"/>
          <w:color w:val="111111"/>
          <w:sz w:val="28"/>
          <w:szCs w:val="28"/>
          <w:rtl w:val="true"/>
          <w:lang w:bidi="fa-IR"/>
        </w:rPr>
        <w:t>.</w:t>
      </w:r>
    </w:p>
    <w:p>
      <w:pPr>
        <w:pStyle w:val="Heading5"/>
        <w:numPr>
          <w:ilvl w:val="4"/>
          <w:numId w:val="1"/>
        </w:numPr>
        <w:rPr/>
      </w:pPr>
      <w:bookmarkStart w:id="372" w:name="__RefHeading___Toc910206_774463916"/>
      <w:bookmarkStart w:id="373" w:name="_Toc137"/>
      <w:bookmarkEnd w:id="372"/>
      <w:r>
        <w:rPr>
          <w:rtl w:val="true"/>
        </w:rPr>
        <w:t>حرمة الإعانة علی الإثم کحرمة الکذب تقبل التخصیص</w:t>
      </w:r>
      <w:bookmarkEnd w:id="373"/>
    </w:p>
    <w:p>
      <w:pPr>
        <w:pStyle w:val="BookText"/>
        <w:rPr/>
      </w:pPr>
      <w:r>
        <w:rPr>
          <w:rFonts w:ascii="IRNazanin" w:hAnsi="IRNazanin" w:eastAsia="IRNazanin"/>
          <w:color w:val="111111"/>
          <w:sz w:val="28"/>
          <w:sz w:val="28"/>
          <w:szCs w:val="28"/>
          <w:rtl w:val="true"/>
          <w:lang w:bidi="fa-IR"/>
        </w:rPr>
        <w:t>إنّ حرمة الإعانة علی الإثم علی فرض ثبوتها هل تقبل التخصیص و التقیید أم لا؟قد ظهر من مطاوی ما ذکرناه أنّ حرمة ذلک علی فرض ثبوتها إنّما هی کحرمة الکذب تقبل التخصیص و التقیید،و تختلف بالوجوه و الاعتبار،و لیست هی کحرمة الظلم التی لا تختلف بذلک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عدم إمکان تخصیصها بعد تحقّق موضوعها لأنّ هذه من العناوین الغیر قابلة للتخصیص،فإنّها کنفس المعصیة و کالظلم فإنه کما لا یمکن أن یکون معصیة خاصة مباحة فکذلک لا یمکن أن تکون الإعانة</w:t>
      </w:r>
    </w:p>
    <w:p>
      <w:pPr>
        <w:pStyle w:val="BookText"/>
        <w:rPr/>
      </w:pPr>
      <w:r>
        <w:rPr>
          <w:rFonts w:ascii="IRNazanin" w:hAnsi="IRNazanin" w:eastAsia="IRNazanin"/>
          <w:color w:val="111111"/>
          <w:sz w:val="28"/>
          <w:sz w:val="28"/>
          <w:szCs w:val="28"/>
          <w:rtl w:val="true"/>
          <w:lang w:bidi="fa-IR"/>
        </w:rPr>
        <w:t>علی المعصیة مباحة،فما عن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حکی عن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القول بالحرمة فی مسألتنا من جهة کونها إعانة علی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جید فی حدّ ذاته لو سلم من المعارضة بأخبار الجواز،لا وجه له،لأنه لو کان بیع العنب ممّن یعلم بأنه یعمله خمرا داخلا فی عنوان الإعانة فلا یمکن أن یدل دلیل علی جوازه،فمع ورود الدلیل علی الجواز نستکشف بأنه لیس داخلا فی هذا العنوان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الوجوه المتقدّمة الدالّة علی الجواز حجّة علیه،و من هنا لو أکره الجائر أحدا علی الإعانة علی الإثم أو اضطر إلیها فإنه لا شبهة حینئذ فی جوازها،و لو کانت حرمتها کحرمة الظلم لا تختلف بالوجوه و الاعتبار و لا تقبل التخصیص و التقیید لما کانت جائزة فی صورتی الإکراه و الاضطرار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تلخّص ممّا ذکرنا أنّ فعل ما هو من قبیل الشرط لتحقّق المعصیة من الغیر من دون قصد توصّل الغیر به إلی المعصیة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علمت أنه لا دلیل علی حرمة الإعانة علی الإثم،و لا علی اعتبار القصد فی مفهوم الإعانة و لا فی حکمها،فلا وجه لما ذهب إلیه المصنّف و أتعب به نفسه من التطویل و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القول بحرمة الإعانة علی الإثم فلا وجه للحکم بحرمة البیع فی شیء من الشقوق التی ذکرها المصنّف،إذ الإعانة علی الإثم إنما تتحقّق بالتسلیم و التسلّم فی الخارج،و من الواضح أنّ بینهما و بین البیع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 أو ظن عدم قیام الغیر سقط عنه وجوب الترک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البیع علی تقدیر ترک الآخرین محرّما فلا إشکال فی ارتفاع الحرمة عند العلم ببیع غیره،و أمّا مع الشک فیه فلا مانع من استصحاب ترکه</w:t>
      </w:r>
      <w:bookmarkStart w:id="374" w:name="pg5064_65397"/>
    </w:p>
    <w:p>
      <w:pPr>
        <w:pStyle w:val="BookText"/>
        <w:rPr/>
      </w:pPr>
      <w:bookmarkEnd w:id="374"/>
      <w:r>
        <w:rPr>
          <w:rFonts w:ascii="IRNazanin" w:hAnsi="IRNazanin" w:eastAsia="IRNazanin"/>
          <w:color w:val="111111"/>
          <w:sz w:val="28"/>
          <w:sz w:val="28"/>
          <w:szCs w:val="28"/>
          <w:rtl w:val="true"/>
          <w:lang w:bidi="fa-IR"/>
        </w:rPr>
        <w:t>و الحکم بحرمة البیع،و أمّا الظن ببیع الغیر فما لم تثبت حجّیته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 مورد حکم فیه بحرمة البیع من هذه الموارد الخمسة فالظاهر عدم فساد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ملازمة بین الحرمة التکلیفیة و الحرمة الوضعیة فی المعاملات،فالبیع وقت النداء لصلاة الجمعة مثلا صحیح و إن کان محرّما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الملازمة بینهما فلا نسلّمها فیما إذا تعلّق النهی بعنوان عرضی ینطبق علی البیع،کتعلّقه بعنوان الإعانة فی بیع العنب ممّن یعلم أنه یجعله خمرا،إذ بین عنوان الإعانة علی الإثم و بین البیع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بالفساد مطلقا أو فی الجملة فلا یفرق فی ذلک بین علم المتبایعین بالحال و بین علم أحدهما مع جهل الآخر،فإنّ حقیقة البیع عبارة عن المبادلة بین العوض و المعوّض فی جهة الإضافة،فإذا بطل من أحد الطرفین بطل من الطرف الآخر أیضا،إذ لا یعقل التبعیض من حیث الصحة و الفساد فی بیع واحد کما هو واضح</w:t>
      </w:r>
      <w:r>
        <w:rPr>
          <w:rFonts w:eastAsia="IRNazanin" w:cs="IRNazanin"/>
          <w:color w:val="111111"/>
          <w:sz w:val="28"/>
          <w:szCs w:val="28"/>
          <w:rtl w:val="true"/>
          <w:lang w:bidi="fa-IR"/>
        </w:rPr>
        <w:t>.</w:t>
      </w:r>
    </w:p>
    <w:p>
      <w:pPr>
        <w:pStyle w:val="Heading3"/>
        <w:numPr>
          <w:ilvl w:val="2"/>
          <w:numId w:val="1"/>
        </w:numPr>
        <w:rPr/>
      </w:pPr>
      <w:bookmarkStart w:id="375" w:name="__RefHeading___Toc910208_774463916"/>
      <w:bookmarkStart w:id="376" w:name="_Toc138"/>
      <w:bookmarkEnd w:id="375"/>
      <w:r>
        <w:rPr>
          <w:rtl w:val="true"/>
        </w:rPr>
        <w:t>الثالث ما یحرم لتحریم ما یقصد منه شأنا</w:t>
      </w:r>
      <w:bookmarkEnd w:id="376"/>
    </w:p>
    <w:p>
      <w:pPr>
        <w:pStyle w:val="Heading4"/>
        <w:numPr>
          <w:ilvl w:val="3"/>
          <w:numId w:val="1"/>
        </w:numPr>
        <w:rPr/>
      </w:pPr>
      <w:bookmarkStart w:id="377" w:name="__RefHeading___Toc910210_774463916"/>
      <w:bookmarkStart w:id="378" w:name="_Toc139"/>
      <w:bookmarkEnd w:id="377"/>
      <w:r>
        <w:rPr>
          <w:rtl w:val="true"/>
        </w:rPr>
        <w:t>حرمة بیع السلاح من أعداء الدین</w:t>
      </w:r>
      <w:bookmarkEnd w:id="378"/>
    </w:p>
    <w:p>
      <w:pPr>
        <w:pStyle w:val="Heading5"/>
        <w:numPr>
          <w:ilvl w:val="4"/>
          <w:numId w:val="1"/>
        </w:numPr>
        <w:rPr/>
      </w:pPr>
      <w:bookmarkStart w:id="379" w:name="__RefHeading___Toc910212_774463916"/>
      <w:bookmarkStart w:id="380" w:name="_Toc140"/>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یحرم لتحریم ما یقصد منه شأنا،بمعنی أنّ من شأنه أن یقصد منه الحرام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العنوان یعم جمیع الأشیاء و لو کانت مباحة،إذ ما من شیء إلاّ و له شأنیة الانتفاع به بالمنافع المحرّمة،فلا یصح أن یجعل عنوانا للبحث،و لا بدّ من</w:t>
      </w:r>
      <w:bookmarkStart w:id="381" w:name="pg5064_65398"/>
    </w:p>
    <w:p>
      <w:pPr>
        <w:pStyle w:val="BookText"/>
        <w:rPr/>
      </w:pPr>
      <w:bookmarkEnd w:id="381"/>
      <w:r>
        <w:rPr>
          <w:rFonts w:ascii="IRNazanin" w:hAnsi="IRNazanin" w:eastAsia="IRNazanin"/>
          <w:color w:val="111111"/>
          <w:sz w:val="28"/>
          <w:sz w:val="28"/>
          <w:szCs w:val="28"/>
          <w:rtl w:val="true"/>
          <w:lang w:bidi="fa-IR"/>
        </w:rPr>
        <w:t>تخصیصه بالموارد المنصوصة،و لذا خصّه الفقهاء ببیع السلاح من 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تحقیق هذه المسألة یقع فی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حرمة بیعه و جوازه فی الجملة أو مطلقا،و الأقوال فی ذلک و إن کانت کثیرة قد أنهاها السید فی حاشیته </w:t>
      </w:r>
      <w:r>
        <w:rPr>
          <w:rStyle w:val="FootnoteAnchor"/>
          <w:rtl w:val="true"/>
        </w:rPr>
        <w:footnoteReference w:id="601"/>
      </w:r>
      <w:r>
        <w:rPr>
          <w:rFonts w:ascii="IRNazanin" w:hAnsi="IRNazanin" w:eastAsia="IRNazanin"/>
          <w:color w:val="111111"/>
          <w:sz w:val="28"/>
          <w:sz w:val="28"/>
          <w:szCs w:val="28"/>
          <w:rtl w:val="true"/>
          <w:lang w:bidi="fa-IR"/>
        </w:rPr>
        <w:t xml:space="preserve">إلی ثمانیة إلاّ أنّ الأظهر منها هی حرمة بیعه من الکفّار مطلقا و من المخالفین عند محاربتهم مع الشیعة الناجیة،و ذهب بعض العامّة إلی حرمة بیعه فی حال الفتنة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910214_774463916"/>
      <w:bookmarkStart w:id="383" w:name="_Toc141"/>
      <w:bookmarkEnd w:id="382"/>
      <w:r>
        <w:rPr>
          <w:rtl w:val="true"/>
        </w:rPr>
        <w:t>تفصیل المصنّف بین حالتی الحرب و الصلح</w:t>
      </w:r>
      <w:bookmarkEnd w:id="38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حالتی الحرب و الصلح،فذهب إلی الحرمة فی الاولی و إلی الجواز فی الثانیة،و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الواردة فی المقام علی طوائف،الاولی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جواز بیعه من أعداء الدین فی حال الهدنة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جواز بیعه منهم مطلقا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حرمة بیعه منهم</w:t>
      </w:r>
    </w:p>
    <w:p>
      <w:pPr>
        <w:pStyle w:val="BookText"/>
        <w:rPr/>
      </w:pPr>
      <w:r>
        <w:rPr>
          <w:rFonts w:ascii="IRNazanin" w:hAnsi="IRNazanin" w:eastAsia="IRNazanin"/>
          <w:color w:val="111111"/>
          <w:sz w:val="28"/>
          <w:sz w:val="28"/>
          <w:szCs w:val="28"/>
          <w:rtl w:val="true"/>
          <w:lang w:bidi="fa-IR"/>
        </w:rPr>
        <w:t xml:space="preserve">کذلک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الجمع بینها بحمل الطائفة المانعة علی صورة قیام الحرب بینهم و بین المسلمین،و حمل الطائفة المجوّزة علی صورة الهدنة فی مقابل المباینة و المنازعة و شاهد الجمع الطائفة الاولی المفصّلة بین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الهدنة و المنازعة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الشهید فی حواشیه </w:t>
      </w:r>
      <w:r>
        <w:rPr>
          <w:rStyle w:val="FootnoteAnchor"/>
          <w:rtl w:val="true"/>
        </w:rPr>
        <w:footnoteReference w:id="606"/>
      </w:r>
      <w:r>
        <w:rPr>
          <w:rFonts w:ascii="IRNazanin" w:hAnsi="IRNazanin" w:eastAsia="IRNazanin"/>
          <w:color w:val="111111"/>
          <w:sz w:val="28"/>
          <w:sz w:val="28"/>
          <w:szCs w:val="28"/>
          <w:rtl w:val="true"/>
          <w:lang w:bidi="fa-IR"/>
        </w:rPr>
        <w:t>أنه لا یجوز مطلقا،لأنّ فیه تقویة الکافر علی المسلم،فلا یجوز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المساعدة علی دلیله،لأنّ بیع السلاح علیهم قد لا یوجب تقویتهم علی المسلمین،لإمکان کونه فی حال الصلح،أو عند حربهم مع الکفّار الآخرین،أو کان مشروطا بأن لا یسلّمه إیّاهم إلاّ بعد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رأیه هذا شبه اجتهاد فی مقابل النص،فإنه أخذ بظهور المطلقات الدالّة علی المنع،و ترک العمل بالمقیّد الذی هو نص فی مفهومه،و هو و إن لم یکن اجتهادا فی مقابل النص،و لکنّه شبیه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حاصل کلام المصنّف</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 ما ذهب إلیه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 جدّا،و لا یرد علیه شیء ممّا ذکره المصنّف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جعله وجها للجمع بین المطلقات لا یصلح لذلک،فإنّ مورده هم الجائرون من سلاطین الإسلام کما دلّ علیه السؤال فی روایتی الحضرمی و هند السرّاج عن حمل السلاح إلی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ذکرناهما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شبهة فی إسلامهم فی ذلک الزمان و إن کانوا مخالفین،فتکون الطائفة الاولی المفصّلة بین الهدنة و قیام الحرب مختصّة بغیر الکفّار من المخالفین،فلا یجوز بیعه منهم عند قیام الحرب بینهم و بین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غیر تلک الحالة فلا شبهة فی جوازه خصوصا عند حربهم مع الکفّار،لأنّ اللّه یدفع بهم أعداءه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المطلقات فأجنبیة عن الطائفة المفصّلة لاختصاصها بالمحاربین من الکفّار و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لرد کلام الشهید تارة برمیه إلی شبه الاجتهاد فی مقابل النص،و اخری بتضعیف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فلأنّه لا مناص هنا من العمل بالمطلقات لما عرفت من عدم صلاحیة الطائفة المفصّلة للتقیید،فلا یکون ترک العمل بها و الأخذ بالمطلقات شبه اجتهاد فی مقابل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تقویة شخص الکافر بالسقی و نحوه و إن کان جائزا،إلاّ أنّ تقویته لجهة کفره غیر جائزة قطعا و من الواضح أنّ تمکین المشرکین و المحاربین من السلاح یوجب تقویتهم علی المسلمین،بل ربما یستقل العقل بقبح ذلک،لأنّ تقویتهم تؤدّی إلی قتل النفوس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لو تقارن البیع مع التسلیم و التسلّم الخارجی،و إلاّ فلا شبهة فی جوازه،لما عرفت من أنّ بین البیع و عنوان الإعانة عموما من وجه،فلا یلزم من البیع المجرّد تقویة للکافر علی المسلم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أمر فی الآیة الشریفة </w:t>
      </w:r>
      <w:r>
        <w:rPr>
          <w:rStyle w:val="FootnoteAnchor"/>
          <w:rtl w:val="true"/>
        </w:rPr>
        <w:footnoteReference w:id="607"/>
      </w:r>
      <w:r>
        <w:rPr>
          <w:rFonts w:ascii="IRNazanin" w:hAnsi="IRNazanin" w:eastAsia="IRNazanin"/>
          <w:color w:val="111111"/>
          <w:sz w:val="28"/>
          <w:sz w:val="28"/>
          <w:szCs w:val="28"/>
          <w:rtl w:val="true"/>
          <w:lang w:bidi="fa-IR"/>
        </w:rPr>
        <w:t>بجمع الأسلحة و غیرها للاستعداد</w:t>
      </w:r>
    </w:p>
    <w:p>
      <w:pPr>
        <w:pStyle w:val="BookText"/>
        <w:rPr/>
      </w:pPr>
      <w:r>
        <w:rPr>
          <w:rFonts w:ascii="IRNazanin" w:hAnsi="IRNazanin" w:eastAsia="IRNazanin"/>
          <w:color w:val="111111"/>
          <w:sz w:val="28"/>
          <w:sz w:val="28"/>
          <w:szCs w:val="28"/>
          <w:rtl w:val="true"/>
          <w:lang w:bidi="fa-IR"/>
        </w:rPr>
        <w:t>و التهیئة إلی إرهاب الکفّار و قتالهم،فبیعها منهم و لو فی حال الهدنة نقض للغرض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 علی الجواز فإنه لضعف سنده لا یقاوم الروایات المانعة،و یضاف إلیه أنه ظاهر فی سلاطین الجور من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حاشیته </w:t>
      </w:r>
      <w:r>
        <w:rPr>
          <w:rStyle w:val="FootnoteAnchor"/>
          <w:rtl w:val="true"/>
        </w:rPr>
        <w:footnoteReference w:id="608"/>
      </w:r>
      <w:r>
        <w:rPr>
          <w:rFonts w:ascii="IRNazanin" w:hAnsi="IRNazanin" w:eastAsia="IRNazanin"/>
          <w:color w:val="111111"/>
          <w:sz w:val="28"/>
          <w:sz w:val="28"/>
          <w:szCs w:val="28"/>
          <w:rtl w:val="true"/>
          <w:lang w:bidi="fa-IR"/>
        </w:rPr>
        <w:t>احتمل دخول هذا القسم الذی هو مورد بحثنا تحت الإعانة علی الإثم،بناء علی عدم اعتبار القصد فیها و کون المدار فیها هو الصدق العرفی،لحصول الصدق فی المقام،و حینئذ فیتعدّی إلی کل ما کان کذلک،و یؤیّده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یستعینون به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الإعانة علی الإثم و إن لم یعتبر فی مفهومها القصد،إلاّ أنّک قد عرفت أنّها لیست محرّمة فی نفسها،و علی القول بحرمتها فبینها و بین ما نحن فیه عموم من وجه کما هو واضح،و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هند السراج المتقدّمة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حمل إلی عدوّنا سلاحا یستعینون به علینا فهو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فخارج عن حدود الإعانة علی الإثم،و إنّما یدل علی حرمة إعانة الظلمة،و لا سیّما إذا کانت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الموجبة لزوال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مظنّة ذلک بحسب غلبة ذلک مع قیام الحرب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أنّ الروایات المانعة تقتضی حرمة بیع السلاح من أعداء الدین و لو مع العلم بعدم صرفه فی محاربة المسلمین،أو عدم حصول التقوّی لهم بالبیع،و علیه فلا وجه لما ذکره المصنّف من تقیید حرمة البیع بوجود المظنّة بصرف السلاح فی الحرب لغلبة ذلک عند قیامها بحیث یصدق حصول التقوّی لهم بالبیع</w:t>
      </w:r>
      <w:r>
        <w:rPr>
          <w:rFonts w:eastAsia="IRNazanin" w:cs="IRNazanin"/>
          <w:color w:val="111111"/>
          <w:sz w:val="28"/>
          <w:szCs w:val="28"/>
          <w:rtl w:val="true"/>
          <w:lang w:bidi="fa-IR"/>
        </w:rPr>
        <w:t>.</w:t>
      </w:r>
      <w:bookmarkStart w:id="384" w:name="pg5064_65403"/>
    </w:p>
    <w:p>
      <w:pPr>
        <w:pStyle w:val="Heading5"/>
        <w:numPr>
          <w:ilvl w:val="4"/>
          <w:numId w:val="1"/>
        </w:numPr>
        <w:rPr/>
      </w:pPr>
      <w:bookmarkStart w:id="385" w:name="__RefHeading___Toc910216_774463916"/>
      <w:bookmarkStart w:id="386" w:name="_Toc142"/>
      <w:bookmarkEnd w:id="384"/>
      <w:bookmarkEnd w:id="385"/>
      <w:r>
        <w:rPr>
          <w:rtl w:val="true"/>
        </w:rPr>
        <w:t>شمول التحریم لمطلق آلات الحرب</w:t>
      </w:r>
      <w:bookmarkEnd w:id="386"/>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شمول التحریم لمطلق آلة الحرب و حدیدتها،سواء کانت ممّا یدافع به فی الحرب أم ممّا یقاتل،و 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السلاح فی اللغة </w:t>
      </w:r>
      <w:r>
        <w:rPr>
          <w:rStyle w:val="FootnoteAnchor"/>
          <w:rtl w:val="true"/>
        </w:rPr>
        <w:footnoteReference w:id="610"/>
      </w:r>
      <w:r>
        <w:rPr>
          <w:rFonts w:ascii="IRNazanin" w:hAnsi="IRNazanin" w:eastAsia="IRNazanin"/>
          <w:color w:val="111111"/>
          <w:sz w:val="28"/>
          <w:sz w:val="28"/>
          <w:szCs w:val="28"/>
          <w:rtl w:val="true"/>
          <w:lang w:bidi="fa-IR"/>
        </w:rPr>
        <w:t xml:space="preserve">اسم لمطلق ما یکن،فیشمل مثل المجن </w:t>
      </w:r>
      <w:r>
        <w:rPr>
          <w:rStyle w:val="FootnoteAnchor"/>
          <w:rtl w:val="true"/>
        </w:rPr>
        <w:footnoteReference w:id="611"/>
      </w:r>
      <w:r>
        <w:rPr>
          <w:rFonts w:ascii="IRNazanin" w:hAnsi="IRNazanin" w:eastAsia="IRNazanin"/>
          <w:color w:val="111111"/>
          <w:sz w:val="28"/>
          <w:sz w:val="28"/>
          <w:szCs w:val="28"/>
          <w:rtl w:val="true"/>
          <w:lang w:bidi="fa-IR"/>
        </w:rPr>
        <w:t xml:space="preserve">و الدرع و المغفر </w:t>
      </w:r>
      <w:r>
        <w:rPr>
          <w:rStyle w:val="FootnoteAnchor"/>
          <w:rtl w:val="true"/>
        </w:rPr>
        <w:footnoteReference w:id="612"/>
      </w:r>
      <w:r>
        <w:rPr>
          <w:rFonts w:ascii="IRNazanin" w:hAnsi="IRNazanin" w:eastAsia="IRNazanin"/>
          <w:color w:val="111111"/>
          <w:sz w:val="28"/>
          <w:sz w:val="28"/>
          <w:szCs w:val="28"/>
          <w:rtl w:val="true"/>
          <w:lang w:bidi="fa-IR"/>
        </w:rPr>
        <w:t xml:space="preserve">و سائر ما یکن </w:t>
      </w:r>
      <w:r>
        <w:rPr>
          <w:rStyle w:val="FootnoteAnchor"/>
          <w:rtl w:val="true"/>
        </w:rPr>
        <w:footnoteReference w:id="613"/>
      </w:r>
      <w:r>
        <w:rPr>
          <w:rFonts w:ascii="IRNazanin" w:hAnsi="IRNazanin" w:eastAsia="IRNazanin"/>
          <w:color w:val="111111"/>
          <w:sz w:val="28"/>
          <w:sz w:val="28"/>
          <w:szCs w:val="28"/>
          <w:rtl w:val="true"/>
          <w:lang w:bidi="fa-IR"/>
        </w:rPr>
        <w:t>به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أمر فی الآیة المتقدّمة بالتهیئة و الاستعداد إلی قتال الکفّار و إرهابهم،فبیع السلاح منهم و لو بمثل المغفر و الدرع نقض لغرضه تعالی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تمکین الکفّار من مطلق ما یکن به فی الحرب تقویة لهم،فهو محرّم</w:t>
      </w:r>
    </w:p>
    <w:p>
      <w:pPr>
        <w:pStyle w:val="BookText"/>
        <w:rPr/>
      </w:pPr>
      <w:r>
        <w:rPr>
          <w:rFonts w:ascii="IRNazanin" w:hAnsi="IRNazanin" w:eastAsia="IRNazanin"/>
          <w:color w:val="111111"/>
          <w:sz w:val="28"/>
          <w:sz w:val="28"/>
          <w:szCs w:val="28"/>
          <w:rtl w:val="true"/>
          <w:lang w:bidi="fa-IR"/>
        </w:rPr>
        <w:t>عقلا و شرعا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یحرم حمل السروج و أداتها إلی أهل الشام و بیعها منهم و إعانتهم عند قیام الحرب بینهم و بین الشیعة،لروایتی الحضرمی و هند السراج </w:t>
      </w:r>
      <w:r>
        <w:rPr>
          <w:rStyle w:val="FootnoteAnchor"/>
          <w:rtl w:val="true"/>
        </w:rPr>
        <w:footnoteReference w:id="614"/>
      </w:r>
      <w:r>
        <w:rPr>
          <w:rFonts w:ascii="IRNazanin" w:hAnsi="IRNazanin" w:eastAsia="IRNazanin"/>
          <w:color w:val="111111"/>
          <w:sz w:val="28"/>
          <w:sz w:val="28"/>
          <w:szCs w:val="28"/>
          <w:rtl w:val="true"/>
          <w:lang w:bidi="fa-IR"/>
        </w:rPr>
        <w:t>،فبیعها من الکفّار أولی 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الوجه یختص بحال الحرب،علی أنّ کلتا الروایتین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یتوهّم أنّ المراد بالسروج المذکورة فی روایة الحضرمی هی السیوف السریجیة،فلا تکون لها دلالة و لو بالفحوی علی حرمة بیع ما یکن من 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فاسد،فإنه مضافا إلی أنّ الظاهر من کون السائل سرّاجا أنّ سؤاله متصل بصنعته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عمل السروج و 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ربط له بالسیوف و بیعها أنّ حمل السروج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السیوف السریجیة لا تساعده القواعد اللغویة،لأنّ السریجی یجمع علی سریجیات لا علی سروج،و إنّما السروج جمع سرج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یساعده صدر الروایة،لاشتماله علی کلمة الأداة،و لیست للسیف أدوات،بخلاف السرج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علی أدوات السیف من الغمد و نحوه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أنّ التفصیل قاطع للشرکة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یقال بجواز بیع ما یکن من الکفّار،لصحیحة محمد بن قیس </w:t>
      </w:r>
      <w:r>
        <w:rPr>
          <w:rStyle w:val="FootnoteAnchor"/>
          <w:rtl w:val="true"/>
        </w:rPr>
        <w:footnoteReference w:id="615"/>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بیع السلاح من فئتین تلتقیان من أهل الباطل؟فقال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بعهما ما یکنهما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عدم دلالتها علی المطلوب،و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بین السلاح و بین ما یکن،فلا بدّ و أن یکون بیع السلاح حراما بعد ما جوّز الإمام بیع الثانی،لأنّ التفصیل قاطع للشرکة فی الحکم،و إلاّ لکان التفصیل لغوا،و علیه فترفع الید عن ظهور الصحیحة،و تحمل علی فریقین محقونی الدماء من أهل الخلاف،إذ لو کان کلاهما أو أحدهما مهدور الدم لم یکن وجه لمنع بیع السلاح منهم،و حینئذ فیجب أن یباع منهما ما یکن لیتحفّظ کل منهما عن صاحبه،و یتترّس به عنه،بل لو لم یشتروا وجب إعطاؤهم إیّاه مجانا،فإنّ اضمحلالهم یوجب اضمحلال وجهة الإسلام فی الجملة،و لذا سکت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مطالبة حقّه من الطغاة خوفا من انهدام حوزة الإسلام،و من هنا أفتی بعض الأعاظم فی سالف الأیّام بوجوب الجهاد مع الکفّار حفظا للدولة العثمانیة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مقتضی الاقتصار علی مورد النص عدم التعدّی إلی غیر أعداء الدین کقطّاع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السلاح من السرقة و قطّاع الطریق و نحوهم خارج عن حریم بحثنا و إنّما هی من صغریات المسألة المتقدّمة،فإن قلنا بحرمة الإعانة علی الإثم فلا یجوز بیعه منهم،و إلاّ جاز،کما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المستفاد من روایة تحف العقول إناطة الحکم بتقوّی الباطل و وهن الحق</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ذلک فی روایة تحف العقول،بل المذکور فیها هی حرمة و هن</w:t>
      </w:r>
      <w:bookmarkStart w:id="387" w:name="pg5064_65406"/>
    </w:p>
    <w:p>
      <w:pPr>
        <w:pStyle w:val="BookText"/>
        <w:rPr/>
      </w:pPr>
      <w:bookmarkEnd w:id="387"/>
      <w:r>
        <w:rPr>
          <w:rFonts w:ascii="IRNazanin" w:hAnsi="IRNazanin" w:eastAsia="IRNazanin"/>
          <w:color w:val="111111"/>
          <w:sz w:val="28"/>
          <w:sz w:val="28"/>
          <w:szCs w:val="28"/>
          <w:rtl w:val="true"/>
          <w:lang w:bidi="fa-IR"/>
        </w:rPr>
        <w:t>الحق و تقویة الکفر،و علیه فلا یمکن التمسّک بها علی حرمة بیع السلاح من قطّاع الطریق و نحوهم،نعم یجوز الاستدلال علی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فیه وجه من وجوه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أنّک علمت فی أوّل الکتاب أنّ الروایة ضعیفة السند</w:t>
      </w:r>
      <w:r>
        <w:rPr>
          <w:rFonts w:eastAsia="IRNazanin" w:cs="IRNazanin"/>
          <w:color w:val="111111"/>
          <w:sz w:val="28"/>
          <w:szCs w:val="28"/>
          <w:rtl w:val="true"/>
          <w:lang w:bidi="fa-IR"/>
        </w:rPr>
        <w:t>.</w:t>
      </w:r>
    </w:p>
    <w:p>
      <w:pPr>
        <w:pStyle w:val="Heading5"/>
        <w:numPr>
          <w:ilvl w:val="4"/>
          <w:numId w:val="1"/>
        </w:numPr>
        <w:rPr/>
      </w:pPr>
      <w:bookmarkStart w:id="388" w:name="__RefHeading___Toc910218_774463916"/>
      <w:bookmarkStart w:id="389" w:name="_Toc143"/>
      <w:bookmarkEnd w:id="388"/>
      <w:r>
        <w:rPr>
          <w:rtl w:val="true"/>
        </w:rPr>
        <w:t>هل الحرمة فی المقام تکلیفیة فقط أو وضعیة أیضا؟</w:t>
      </w:r>
      <w:bookmarkEnd w:id="38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النهی فی هذه الأخبار لا یدل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الحرمة الوضعیة متقوّمة بکون النهی إرشادیا إلی الفساد و لا نظر له إلی مبغوضیة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قوام الحرمة التکلیفیة بکون النهی مولویا تکلیفیا ناظرا إلی مبغوضیة متعلّقه،و لا نظر له إلی فساده و عدم تأثیره،فهما لا یجتمعان فی استعمال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النهی من حیث هو تحریم بحت لا یقتضی الفساد لا شرعا و لا عرفا و لا عقلا،سواء تعلّق بذات المعاملة أو بوصفها أو بأمر خارج منطبق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ملازمة بین الحرمة الوضعیة و الحرمة التکلیفیة علی ما عرفت مرارا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فإن کان المراد بالنهی المتوجّه إلی المعاملة هو النهی التکلیفی المولوی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منه بحسب الوضع و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خصوص الحرمة التکلیفیة کالنهی عن البیع وقت النداء لصلاة الجمعة،إذ لیس الغرض منه إلاّ بیان مبغوضیة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ترد منه المولویة التکلیفیة کان إرشادا إلی الفساد کالنهی المتوجّه إلی سائر المعاملات،أو إلی المانعیة کالنهی المتوجّه إلی أجزاء الصلاة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بیع السلاح من أعداء الدین لیس إلاّ لأجل مبغوضیة ذات البیع فی نظر الشارع،فیحرم تکلیفا فقط،و لا یکون دالا علی الفساد،و یتّضح ذلک جلیا لو کان النهی عنه لأجل حرمة تقویة الکفر،لعدم تعلّق النهی به،بل بأمر خارج یتّحد معه</w:t>
      </w:r>
      <w:r>
        <w:rPr>
          <w:rFonts w:eastAsia="IRNazanin" w:cs="IRNazanin"/>
          <w:color w:val="111111"/>
          <w:sz w:val="28"/>
          <w:szCs w:val="28"/>
          <w:rtl w:val="true"/>
          <w:lang w:bidi="fa-IR"/>
        </w:rPr>
        <w:t>.</w:t>
      </w:r>
      <w:bookmarkStart w:id="390" w:name="pg5064_65407"/>
    </w:p>
    <w:p>
      <w:pPr>
        <w:pStyle w:val="Heading2"/>
        <w:numPr>
          <w:ilvl w:val="1"/>
          <w:numId w:val="1"/>
        </w:numPr>
        <w:rPr/>
      </w:pPr>
      <w:bookmarkStart w:id="391" w:name="__RefHeading___Toc910220_774463916"/>
      <w:bookmarkStart w:id="392" w:name="_Toc144"/>
      <w:bookmarkEnd w:id="390"/>
      <w:bookmarkEnd w:id="391"/>
      <w:r>
        <w:rPr>
          <w:rtl w:val="true"/>
        </w:rPr>
        <w:t>النوع الثالث</w:t>
      </w:r>
      <w:r>
        <w:rPr>
          <w:rtl w:val="true"/>
        </w:rPr>
        <w:t>:</w:t>
      </w:r>
      <w:r>
        <w:rPr>
          <w:rtl w:val="true"/>
        </w:rPr>
        <w:t>ما لا منفعة فیه محلّلة معتدا بها</w:t>
      </w:r>
      <w:bookmarkEnd w:id="392"/>
    </w:p>
    <w:p>
      <w:pPr>
        <w:pStyle w:val="Heading3"/>
        <w:numPr>
          <w:ilvl w:val="2"/>
          <w:numId w:val="1"/>
        </w:numPr>
        <w:rPr/>
      </w:pPr>
      <w:bookmarkStart w:id="393" w:name="__RefHeading___Toc910222_774463916"/>
      <w:bookmarkStart w:id="394" w:name="_Toc145"/>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جواز بیع ما لا نفع فیه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الثالث ممّا یحرم الاکتساب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منفعة فیه محلّلة معتدا بها عند العقلاء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هذا النوع لیس علی نسق البحث فی الأنواع السابقة لتمحّضه هنا لبیان الحرمة الوضعیة،بخلافه فی المسألة السابقة فإنّ البحث فیها کان ناظرا إلی الحرمة التکلیفیة،و من ذلک یعلم أنه لا وجه لهذا البحث هنا إلاّ استطرادا فإنّ المناسب لهذا ذکره فی شرائط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 عدم جواز بیع المصحف من الکافر فی شروط الصحّة،مع أنه أولی بالذکر هنا،لإمکان دعوی کونه حراما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لا نفع فیه تارة یکون لقلّته کحبّة من الشعیر و الحنطة و غیرهما،فإنّ هذه الامور و إن کانت تعد عند العرف و الشرع من الأموال بل من مهمّاتها،إلاّ أنّ قلّتها أخرجتها عن حدودها و حدود إمکان الانتفاع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اخری یکون لخسّته و رداءته،کحشرات الأرض من العقارب و الحیّات و الخنافس و الجعلان و الضفادع و الدیدان،و کبعض أقسام الطیور من بغاثها </w:t>
      </w:r>
      <w:r>
        <w:rPr>
          <w:rStyle w:val="FootnoteAnchor"/>
          <w:rtl w:val="true"/>
        </w:rPr>
        <w:footnoteReference w:id="617"/>
      </w:r>
      <w:r>
        <w:rPr>
          <w:rFonts w:ascii="IRNazanin" w:hAnsi="IRNazanin" w:eastAsia="IRNazanin"/>
          <w:color w:val="111111"/>
          <w:sz w:val="28"/>
          <w:sz w:val="28"/>
          <w:szCs w:val="28"/>
          <w:rtl w:val="true"/>
          <w:lang w:bidi="fa-IR"/>
        </w:rPr>
        <w:t xml:space="preserve">و النسر و الغربان و الرخم </w:t>
      </w:r>
      <w:r>
        <w:rPr>
          <w:rStyle w:val="FootnoteAnchor"/>
          <w:rtl w:val="true"/>
        </w:rPr>
        <w:footnoteReference w:id="618"/>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تکمیل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تطابقت کلمات الأصحاب علی فساد المعاملة علی ما لا</w:t>
      </w:r>
      <w:bookmarkStart w:id="395" w:name="pg5064_65408"/>
    </w:p>
    <w:p>
      <w:pPr>
        <w:pStyle w:val="BookText"/>
        <w:rPr/>
      </w:pPr>
      <w:bookmarkEnd w:id="395"/>
      <w:r>
        <w:rPr>
          <w:rFonts w:ascii="IRNazanin" w:hAnsi="IRNazanin" w:eastAsia="IRNazanin"/>
          <w:color w:val="111111"/>
          <w:sz w:val="28"/>
          <w:sz w:val="28"/>
          <w:szCs w:val="28"/>
          <w:rtl w:val="true"/>
          <w:lang w:bidi="fa-IR"/>
        </w:rPr>
        <w:t>نفع فیه نفعا یعتدّ به،قال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ممّا لا ینتفع به فلا یجوز بیعه بلا خلاف،مثل الأسد و الذئب و سائر الحشرات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 منع عن بیع تلک الامور لخسّتها،و عدم التفات نظر الشرع إلی مثلها فی التقویم،و لا تثبت الملکیة لأحد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بما یورد فی الخواص من منافعها،فإنّها مع ذلک لا تعد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عند الشافعی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الجواهر ادّعی الإجماع محصّلا و منقولا علی حرمة بیع ما لا ینتفع به نفعا مجوّزا للتکسّب به علی وجه یرفع السفه عن ذلک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المنهج فقهاء العامّة أیضا،و إن جوّز بعضهم بیع الحشرات و الهوام إذا کانت ممّا ینتفع بها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910224_774463916"/>
      <w:bookmarkStart w:id="397" w:name="_Toc146"/>
      <w:bookmarkEnd w:id="396"/>
      <w:r>
        <w:rPr>
          <w:rtl w:val="true"/>
        </w:rPr>
        <w:t>الاستدلال علی فساد بیعه و الجواب عنه</w:t>
      </w:r>
      <w:bookmarkEnd w:id="397"/>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المتحصّل من کلمات الفقهاء لفساد بیع ما لا نفع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حقیقة البیع کما عن المصباح عبارة عن مبادلة مال بمال </w:t>
      </w:r>
      <w:r>
        <w:rPr>
          <w:rStyle w:val="FootnoteAnchor"/>
          <w:rtl w:val="true"/>
        </w:rPr>
        <w:footnoteReference w:id="623"/>
      </w:r>
      <w:r>
        <w:rPr>
          <w:rFonts w:ascii="IRNazanin" w:hAnsi="IRNazanin" w:eastAsia="IRNazanin"/>
          <w:color w:val="111111"/>
          <w:sz w:val="28"/>
          <w:sz w:val="28"/>
          <w:szCs w:val="28"/>
          <w:rtl w:val="true"/>
          <w:lang w:bidi="fa-IR"/>
        </w:rPr>
        <w:t>فلا یصح بیع ما لیس بمال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 فی مفهوم البیع و صدقه لغة و عرفا عنوان المبادلة بین المالین،و من هنا ذکر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ترک شیئا و تمسّک بغیره فقد</w:t>
      </w:r>
    </w:p>
    <w:p>
      <w:pPr>
        <w:pStyle w:val="BookText"/>
        <w:rPr/>
      </w:pPr>
      <w:r>
        <w:rPr>
          <w:rFonts w:ascii="IRNazanin" w:hAnsi="IRNazanin" w:eastAsia="IRNazanin"/>
          <w:color w:val="111111"/>
          <w:sz w:val="28"/>
          <w:sz w:val="28"/>
          <w:szCs w:val="28"/>
          <w:rtl w:val="true"/>
          <w:lang w:bidi="fa-IR"/>
        </w:rPr>
        <w:t xml:space="preserve">اشتراه </w:t>
      </w:r>
      <w:r>
        <w:rPr>
          <w:rStyle w:val="FootnoteAnchor"/>
          <w:rtl w:val="true"/>
        </w:rPr>
        <w:footnoteReference w:id="624"/>
      </w:r>
      <w:r>
        <w:rPr>
          <w:rFonts w:ascii="IRNazanin" w:hAnsi="IRNazanin" w:eastAsia="IRNazanin"/>
          <w:color w:val="111111"/>
          <w:sz w:val="28"/>
          <w:sz w:val="28"/>
          <w:szCs w:val="28"/>
          <w:rtl w:val="true"/>
          <w:lang w:bidi="fa-IR"/>
        </w:rPr>
        <w:t>،و من الواضح جدّا عدم تحقّق الاشتراء بدون البیع،للملازمة بینهما،و لذا قال الراغب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الشراء و البیع یتلازمان،بل کثر فی الکتاب العزیز استعمال البیع و الشراء فی غیر المبادلة المالیة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عن المصباح فمضافا إلی عدم حجّیة قوله،أنه کسائر التعاریف لیس تعریفا حقیقیا،بل لمجرّد شرح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یبحث فیه طردا و عکسا،نقضا و إبراما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ثبت ذلک فغایة ما یلزم منه أنه لا یمکن تصحیح البیع بالعمومات الدالّة علی صحة البیع،و هو لا یمنع عن التمسّک بالعمومات الدالّة علی صحة العقد و التجارة عن تراض،بداهة صدقها علی تبدیل ما لا نفع فیه بمثله،أو بما هو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الإیضاح من أنّ المعاملة علی ما لیس له نفع محلّل أکل للمال بالباطل،فتکون فاسدة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سمعته مرارا من أنّ الآیة </w:t>
      </w:r>
      <w:r>
        <w:rPr>
          <w:rStyle w:val="FootnoteAnchor"/>
          <w:rtl w:val="true"/>
        </w:rPr>
        <w:footnoteReference w:id="627"/>
      </w:r>
      <w:r>
        <w:rPr>
          <w:rFonts w:ascii="IRNazanin" w:hAnsi="IRNazanin" w:eastAsia="IRNazanin"/>
          <w:color w:val="111111"/>
          <w:sz w:val="28"/>
          <w:sz w:val="28"/>
          <w:szCs w:val="28"/>
          <w:rtl w:val="true"/>
          <w:lang w:bidi="fa-IR"/>
        </w:rPr>
        <w:t>أجنبیة عن بیان شرائط العوضین،بل هی ناظرة إلی تمییز الأسباب الصحیحة للمعاملة عن الأسباب الفاسدة لها،و علیه فلا یکون الأکل فی محل الکلام من أکل المال بالباطل بعد کون سببه تجارة عن</w:t>
      </w:r>
    </w:p>
    <w:p>
      <w:pPr>
        <w:pStyle w:val="BookText"/>
        <w:rPr/>
      </w:pPr>
      <w:r>
        <w:rPr>
          <w:rFonts w:ascii="IRNazanin" w:hAnsi="IRNazanin" w:eastAsia="IRNazanin"/>
          <w:color w:val="111111"/>
          <w:sz w:val="28"/>
          <w:sz w:val="28"/>
          <w:szCs w:val="28"/>
          <w:rtl w:val="true"/>
          <w:lang w:bidi="fa-IR"/>
        </w:rPr>
        <w:t>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 ما لا نفع فیه من المعاملات السفهیة فهی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ممنوع صغری و کبری،أمّا الوجه فی منع الصغری فهو أنّ المعاملة إنّما تکون سفهیة إذا انتفت عنها الأغراض النوعیة و الشخصیة کلتاهما،و لیس المقام کذلک،إذ ربما تتعلّق الأغراض الشخصیة باشتراء ما لا نفع فیه من الحشرات و غیرها،و هی کافیة فی خروج المعاملة عن السفهیة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 فی منع الکبری فلأنّه لا دلیل علی فساد المعاملة السفهیة بعد أن شملتها العمومات کما أشرنا إلی ذلک مرارا،نعم قام الدلیل علی فساد معاملة السفیه،لکونه محجورا عن التصرف و المعاملة السفهیة غیر معاملة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استدل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یکون لهم فیه الصلاح من جهة من الجهات فذلک کلّه حلال بیعه و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یراد منه مجرّد المنفعة و إلاّ لعمّ الأشیاء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اللّه الصناعة التی یجیء منها الفساد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کثیرا من الأمثلة المذکورة هناک لها منافع محلّلة فالأشربة المحرّمة مثلا کثیرا ما ینتفع بها فی معالجة الدواب بل المرضی،فجعلها ممّا یجیء منه الفساد محضا باعتبار عدم الاعتناء بهذه المصالح لندرتها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هاتین القطعتین من الروایة إنما سیقتا لبیان حکم الأشیاء التی تمحّضت للصلاح أو للفساد،أو تساوت فیها الجهتان،أو غلبت إحداهما علی الاخری،فیحکم بصحة بیعها أو فساده حسب ما اقتضته تلک الجهة التعلیلیة المکنونة فیها،و أمّا الأشیاء التی لها نفع محلّل نادر فخارجة عن حدود الروایة،إذ لیس فیها تعرّض لذلک بوجه،لا من حیث صحة البیع و لا من حیث فساده،و علیه فلا مانع من صحة المعاملة علیها للعمومات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أنّها لو تمّت فإنما تدل علی فساد بیع ما لا نفع فیه لخسّته،لکونه ممّا یجیء منه الفساد محضا،و لا تشمل ما لا نفع فیه لقلّته کحبّة من الحنطة،إذ لیست فیه جهة فساد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الإغضاء عن جمیع ما ذکرناه فهی مختصة بالحرمة التکلیفیة علی ما تقدّم فی أول الکتاب </w:t>
      </w:r>
      <w:r>
        <w:rPr>
          <w:rStyle w:val="FootnoteAnchor"/>
          <w:rtl w:val="true"/>
        </w:rPr>
        <w:footnoteReference w:id="628"/>
      </w:r>
      <w:r>
        <w:rPr>
          <w:rFonts w:ascii="IRNazanin" w:hAnsi="IRNazanin" w:eastAsia="IRNazanin"/>
          <w:color w:val="111111"/>
          <w:sz w:val="28"/>
          <w:sz w:val="28"/>
          <w:szCs w:val="28"/>
          <w:rtl w:val="true"/>
          <w:lang w:bidi="fa-IR"/>
        </w:rPr>
        <w:t>فلا تشمل الحرمة الوضعیة،و یضاف إلی ما ذکرناه کلّه أنّها ضعیفة السند،فلا یصح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غیر واحد من الأعاظم الإجماع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المحصّل منه غیر حاصل،و المنقول منه لیس بحجّة،علی أنّا لا نطمئن بوجود الإجماع التعبّدی الکاشف عن الحجّة المعتبرة،لاحتمال استناد المجمعین إلی الوجوه المذکورة فی المسألة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یؤید القول بالجواز بصحیحة محمد بن مسلم الصریحة فی جواز بیع الهر </w:t>
      </w:r>
      <w:r>
        <w:rPr>
          <w:rStyle w:val="FootnoteAnchor"/>
          <w:rtl w:val="true"/>
        </w:rPr>
        <w:footnoteReference w:id="629"/>
      </w:r>
      <w:r>
        <w:rPr>
          <w:rFonts w:ascii="IRNazanin" w:hAnsi="IRNazanin" w:eastAsia="IRNazanin"/>
          <w:color w:val="111111"/>
          <w:sz w:val="28"/>
          <w:sz w:val="28"/>
          <w:szCs w:val="28"/>
          <w:rtl w:val="true"/>
          <w:lang w:bidi="fa-IR"/>
        </w:rPr>
        <w:t>،مع أنه ممّا لا نفع فیه،بل کثیرا ما یضر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ببیع الهر عند علمائنا،و به قال ابن عباس و الحسن و ابن سیرین و الحکم و حمّاد و الثوری و مالک و الشافعی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و إسحاق و أصحاب الرأی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العجب من المصنّف حیث منع عن بیع القرد لکون المصلحة المقصودة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حفظ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نادرة بخلاف الهرّة،لورود غیر واحد من الروایات علی جواز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العجب أنّ منافع القرد المحلّلة لیست بنادرة،بل هی من مهمّات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الوجه فی المنع عن بیع القرد هو الروایات التی تقدّمت فی بیع المسوخ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الشک فی صدق المال علی مثل هذه الأشیاء المستلزم للشک فی صدق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بعدم صدق المال علی شیء لا یمنع عن وقوع البیع علیه فضلا عن الشک فی صدقه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وجه لرفع الید عن عموم ما دل علی صحة البیع و التمسّک بعمومات التجارة و الصلح و العقود و الهبة المعوّضة و غیرها کما صنعه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ظاهر تحریمها علیهم تحریم أکلها أو سائر منافعها المتعارفة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ینافی ما تقدّم منه فی بیع الأبوال </w:t>
      </w:r>
      <w:r>
        <w:rPr>
          <w:rStyle w:val="FootnoteAnchor"/>
          <w:rtl w:val="true"/>
        </w:rPr>
        <w:footnoteReference w:id="633"/>
      </w:r>
      <w:r>
        <w:rPr>
          <w:rFonts w:ascii="IRNazanin" w:hAnsi="IRNazanin" w:eastAsia="IRNazanin"/>
          <w:color w:val="111111"/>
          <w:sz w:val="28"/>
          <w:sz w:val="28"/>
          <w:szCs w:val="28"/>
          <w:rtl w:val="true"/>
          <w:lang w:bidi="fa-IR"/>
        </w:rPr>
        <w:t>من حمل النبوی علی کون</w:t>
      </w:r>
      <w:bookmarkStart w:id="398" w:name="pg5064_65413"/>
    </w:p>
    <w:p>
      <w:pPr>
        <w:pStyle w:val="BookText"/>
        <w:rPr/>
      </w:pPr>
      <w:bookmarkEnd w:id="398"/>
      <w:r>
        <w:rPr>
          <w:rFonts w:ascii="IRNazanin" w:hAnsi="IRNazanin" w:eastAsia="IRNazanin"/>
          <w:color w:val="111111"/>
          <w:sz w:val="28"/>
          <w:sz w:val="28"/>
          <w:szCs w:val="28"/>
          <w:rtl w:val="true"/>
          <w:lang w:bidi="fa-IR"/>
        </w:rPr>
        <w:t>الشحوم محرّمة الانتفاع علی الیهود بجمیع الانتفاعات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أنّ الأقوی جواز بیع السباع بناء علی وقوع التذکیة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بیع جلود السباع و الانتفاع بها علی وجه الإطلاق،لجملة من الأخبار التی ذکرناها </w:t>
      </w:r>
      <w:r>
        <w:rPr>
          <w:rStyle w:val="FootnoteAnchor"/>
          <w:rtl w:val="true"/>
        </w:rPr>
        <w:footnoteReference w:id="634"/>
      </w:r>
      <w:r>
        <w:rPr>
          <w:rFonts w:ascii="IRNazanin" w:hAnsi="IRNazanin" w:eastAsia="IRNazanin"/>
          <w:color w:val="111111"/>
          <w:sz w:val="28"/>
          <w:sz w:val="28"/>
          <w:szCs w:val="28"/>
          <w:rtl w:val="true"/>
          <w:lang w:bidi="fa-IR"/>
        </w:rPr>
        <w:t>فی بیع المسوخ و السباع،و علیه فلا وجه لدعوی أنّ النصّ إنّما ورد ببعضها فقط فیجب تقیید جواز البیع به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السباع ممّا یقبل التذکیة کما هو المشهور،بل عن السرائر الإجماع علیه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علیه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تقدّمت فی مبحث جواز الانتفاع بالمیتة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جلود السباع ینتفع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و سمّیت فانتفع بجلده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وجه لتعلیق جواز بیعها علی قبول التذکیة إلاّ علی القول بحرمة الانتفاع بالمیتة،و إلاّ فلا مانع من بیعها فی حال الحیاة للانتفاع بجلودها بعد الموت</w:t>
      </w:r>
      <w:r>
        <w:rPr>
          <w:rFonts w:eastAsia="IRNazanin" w:cs="IRNazanin"/>
          <w:color w:val="111111"/>
          <w:sz w:val="28"/>
          <w:szCs w:val="28"/>
          <w:rtl w:val="true"/>
          <w:lang w:bidi="fa-IR"/>
        </w:rPr>
        <w:t>.</w:t>
      </w:r>
    </w:p>
    <w:p>
      <w:pPr>
        <w:pStyle w:val="Heading3"/>
        <w:numPr>
          <w:ilvl w:val="2"/>
          <w:numId w:val="1"/>
        </w:numPr>
        <w:rPr/>
      </w:pPr>
      <w:bookmarkStart w:id="399" w:name="__RefHeading___Toc910226_774463916"/>
      <w:bookmarkStart w:id="400" w:name="_Toc147"/>
      <w:bookmarkEnd w:id="399"/>
      <w:r>
        <w:rPr>
          <w:rtl w:val="true"/>
        </w:rPr>
        <w:t>ضمان ما لا نفع فیه لو غصب</w:t>
      </w:r>
      <w:bookmarkEnd w:id="40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غصبه غاصب کان علیه مثله إن کان مثلیا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علی الضمان إنّما هو السیرة القطعیة من العقلاء و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بدّ و أن یخرج من عهدة الضمان إمّا بردّ عینه أو مثله،و مع فقدهما لا یمکن الخروج منها بأداء القیمة،بل أصبح الغاصب مشغول الذمّة لصاحب العین إلی یوم القیامة مثل المفلّس،إذ الانتقال إلی القیمة إنّما هو فیما إذا کان التالف من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ینتقل إلیها إذا لم یکن التالف مالا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یتمسّک للقول بالضمان بقاعدة ضمان الید،لشمولها لمطلق المأخوذ بالغصب،سواء کان من الأموال أو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القاعدة و إن ذکرت فی بعض الأحادیث </w:t>
      </w:r>
      <w:r>
        <w:rPr>
          <w:rStyle w:val="FootnoteAnchor"/>
          <w:rtl w:val="true"/>
        </w:rPr>
        <w:footnoteReference w:id="637"/>
      </w:r>
      <w:r>
        <w:rPr>
          <w:rFonts w:ascii="IRNazanin" w:hAnsi="IRNazanin" w:eastAsia="IRNazanin"/>
          <w:color w:val="111111"/>
          <w:sz w:val="28"/>
          <w:sz w:val="28"/>
          <w:szCs w:val="28"/>
          <w:rtl w:val="true"/>
          <w:lang w:bidi="fa-IR"/>
        </w:rPr>
        <w:t xml:space="preserve">و استند إلیها المشهور فی موارد الضمان،و لکنّها ضعیفة السند و غیر منجبرة بشیء کما سیأتی التعرّض لها فی المقبوض بالعقد الفاسد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یتمسّک للضمان بقاعدة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واضح الفساد،لاختصاص موردها بالأموال،فلا تشمل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انفصلت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اللام و ارید من الأول الموصول و من الثانی حرف الجر بحیث تکون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 للغیر الخ،لشملت هذه القاعدة صورة إتلاف المال و غیره،إلاّ أنه بعید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القاعدة المذکورة متصیّدة و لیست بمتن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کان،فموردها خصوص الإتلاف،فلا تدل علی الضمان عند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دلیل علی الضمان إلاّ السیرة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للتذکرة فلم یوجب شیئا کغیر المثلی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ضعّفه بعضهم </w:t>
      </w:r>
      <w:r>
        <w:rPr>
          <w:rStyle w:val="FootnoteAnchor"/>
          <w:rtl w:val="true"/>
        </w:rPr>
        <w:footnoteReference w:id="639"/>
      </w:r>
      <w:r>
        <w:rPr>
          <w:rFonts w:ascii="IRNazanin" w:hAnsi="IRNazanin" w:eastAsia="IRNazanin"/>
          <w:color w:val="111111"/>
          <w:sz w:val="28"/>
          <w:sz w:val="28"/>
          <w:szCs w:val="28"/>
          <w:rtl w:val="true"/>
          <w:lang w:bidi="fa-IR"/>
        </w:rPr>
        <w:t>بأنّ اللازم حینئذ عدم الغرامة فیما لو غصب صبرة</w:t>
      </w:r>
      <w:bookmarkStart w:id="401" w:name="pg5064_65415"/>
    </w:p>
    <w:p>
      <w:pPr>
        <w:pStyle w:val="BookText"/>
        <w:rPr/>
      </w:pPr>
      <w:bookmarkEnd w:id="401"/>
      <w:r>
        <w:rPr>
          <w:rFonts w:ascii="IRNazanin" w:hAnsi="IRNazanin" w:eastAsia="IRNazanin"/>
          <w:color w:val="111111"/>
          <w:sz w:val="28"/>
          <w:sz w:val="28"/>
          <w:szCs w:val="28"/>
          <w:rtl w:val="true"/>
          <w:lang w:bidi="fa-IR"/>
        </w:rPr>
        <w:t>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نظر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لیس عدم الضمان مطلقا،بل فیما إذا لم یکن المغصوب مقدارا یصدق علیه عنوان المال،و من البدیهی أنّ کل حبة من الصبرة و إن لم تکن مالا بشرط لا و مجرّدة عن الانضمام إلی حبّة اخری،إلاّ أنها إذا انضمت إلی غیرها من الحبّات صارت مالا،فتشملها أدلّة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حاز ما لا نفع له کالحشرات ثبت له الاختصاص به،فیکون أولی به من غیره،فلیس لأحد أن یزاحمه فی تصرفاته فیه،للسیرة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أخذ المحاز من المحیز قهرا علیه ظلم،فهو حرام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ما لم یسبق إلیه أحد من المسلمین فهو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تقدّم </w:t>
      </w:r>
      <w:r>
        <w:rPr>
          <w:rStyle w:val="FootnoteAnchor"/>
          <w:rtl w:val="true"/>
        </w:rPr>
        <w:footnoteReference w:id="641"/>
      </w:r>
      <w:r>
        <w:rPr>
          <w:rFonts w:ascii="IRNazanin" w:hAnsi="IRNazanin" w:eastAsia="IRNazanin"/>
          <w:color w:val="111111"/>
          <w:sz w:val="28"/>
          <w:sz w:val="28"/>
          <w:szCs w:val="28"/>
          <w:rtl w:val="true"/>
          <w:lang w:bidi="fa-IR"/>
        </w:rPr>
        <w:t>أنه ضعیف السند و غیر منجبر بشیء</w:t>
      </w:r>
      <w:r>
        <w:rPr>
          <w:rFonts w:eastAsia="IRNazanin" w:cs="IRNazanin"/>
          <w:color w:val="111111"/>
          <w:sz w:val="28"/>
          <w:szCs w:val="28"/>
          <w:rtl w:val="true"/>
          <w:lang w:bidi="fa-IR"/>
        </w:rPr>
        <w:t>.</w:t>
      </w:r>
    </w:p>
    <w:p>
      <w:pPr>
        <w:pStyle w:val="Heading2"/>
        <w:numPr>
          <w:ilvl w:val="1"/>
          <w:numId w:val="1"/>
        </w:numPr>
        <w:rPr/>
      </w:pPr>
      <w:bookmarkStart w:id="402" w:name="__RefHeading___Toc910228_774463916"/>
      <w:bookmarkStart w:id="403" w:name="_Toc148"/>
      <w:bookmarkEnd w:id="402"/>
      <w:r>
        <w:rPr>
          <w:rtl w:val="true"/>
        </w:rPr>
        <w:t>النوع الرابع</w:t>
      </w:r>
      <w:r>
        <w:rPr>
          <w:rtl w:val="true"/>
        </w:rPr>
        <w:t>:</w:t>
      </w:r>
      <w:r>
        <w:rPr>
          <w:rtl w:val="true"/>
        </w:rPr>
        <w:t>ما یحرم الاکتساب به لکونه عملا محرّما فی نفسه</w:t>
      </w:r>
      <w:bookmarkEnd w:id="403"/>
    </w:p>
    <w:p>
      <w:pPr>
        <w:pStyle w:val="Heading3"/>
        <w:numPr>
          <w:ilvl w:val="2"/>
          <w:numId w:val="1"/>
        </w:numPr>
        <w:rPr/>
      </w:pPr>
      <w:bookmarkStart w:id="404" w:name="__RefHeading___Toc910230_774463916"/>
      <w:bookmarkStart w:id="405" w:name="_Toc149"/>
      <w:bookmarkEnd w:id="404"/>
      <w:r>
        <w:rPr>
          <w:rtl w:val="true"/>
        </w:rPr>
        <w:t>حکم تدلیس الماشطة</w:t>
      </w:r>
      <w:bookmarkEnd w:id="405"/>
    </w:p>
    <w:p>
      <w:pPr>
        <w:pStyle w:val="Heading4"/>
        <w:numPr>
          <w:ilvl w:val="3"/>
          <w:numId w:val="1"/>
        </w:numPr>
        <w:rPr/>
      </w:pPr>
      <w:bookmarkStart w:id="406" w:name="__RefHeading___Toc910232_774463916"/>
      <w:bookmarkStart w:id="407" w:name="_Toc150"/>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الاکتساب به لکونه عملا محرّما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جرت عادة الأصحاب بالبحث عن جملة من الأعمال المحرّمة فی مقدّمة أبحاث التجارة،و تبعهم المصنّف بذکر أکثرها فی مسائل شتّی بترتیب حروف أوائل عنواناتها،و نحن أیضا نقتفی أثرهم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إنّک قد علمت </w:t>
      </w:r>
      <w:r>
        <w:rPr>
          <w:rStyle w:val="FootnoteAnchor"/>
          <w:rtl w:val="true"/>
        </w:rPr>
        <w:footnoteReference w:id="642"/>
      </w:r>
      <w:r>
        <w:rPr>
          <w:rFonts w:ascii="IRNazanin" w:hAnsi="IRNazanin" w:eastAsia="IRNazanin"/>
          <w:color w:val="111111"/>
          <w:sz w:val="28"/>
          <w:sz w:val="28"/>
          <w:szCs w:val="28"/>
          <w:rtl w:val="true"/>
          <w:lang w:bidi="fa-IR"/>
        </w:rPr>
        <w:t>فی البحث عن معنی حرمة البیع تکلیفا أنه یکفی فی عدم جواز المعاملة علی الأعمال المحرّمة ما دلّ علی حرمتها من الأدلّة الأولیة،إذ مقتضی أدلّة صحة العقود لزوم الوفاء بها،و مقتضی أدلة المحرّمات حرمة الإتیان بها،و هما</w:t>
      </w:r>
    </w:p>
    <w:p>
      <w:pPr>
        <w:pStyle w:val="BookText"/>
        <w:rPr/>
      </w:pPr>
      <w:r>
        <w:rPr>
          <w:rFonts w:ascii="IRNazanin" w:hAnsi="IRNazanin" w:eastAsia="IRNazanin"/>
          <w:color w:val="111111"/>
          <w:sz w:val="28"/>
          <w:sz w:val="28"/>
          <w:szCs w:val="28"/>
          <w:rtl w:val="true"/>
          <w:lang w:bidi="fa-IR"/>
        </w:rPr>
        <w:t>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موجب للبحث فی کل مسألة من المسائل الآتیة عن صحة المعاملة علیها و فسادها،بل فی جهات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حاشیة السید من عدم جواز أخذ الاجرة علی العمل المحرّم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فإنّ المراد من الثمن مطلق العوض </w:t>
      </w:r>
      <w:r>
        <w:rPr>
          <w:rStyle w:val="FootnoteAnchor"/>
          <w:rtl w:val="true"/>
        </w:rPr>
        <w:footnoteReference w:id="644"/>
      </w:r>
      <w:r>
        <w:rPr>
          <w:rFonts w:ascii="IRNazanin" w:hAnsi="IRNazanin" w:eastAsia="IRNazanin"/>
          <w:color w:val="111111"/>
          <w:sz w:val="28"/>
          <w:sz w:val="28"/>
          <w:szCs w:val="28"/>
          <w:rtl w:val="true"/>
          <w:lang w:bidi="fa-IR"/>
        </w:rPr>
        <w:t>،فهو فاسد،فإنه مضافا إلی ضعف سند هذا الحدیث،أنّا نمنع صدق الثمن علی مطلق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تدلیس الماشطة المرأة التی یراد تزویجها أو الأمة التی یراد بیعها حرام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الماشطة و المشّاطة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تحسن المشط،و تتّخذ ذلک حرفة لنفسها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 لا خلاف فی حرمة تدلیسها إذا أظهرت فی المرأة التی یراد تزویجها،أو الأمة التی یراد بیعها ما لیس فیهما من المحاسن،بل ادّعی علیه الإجماع کما فی الریاض </w:t>
      </w:r>
      <w:r>
        <w:rPr>
          <w:rStyle w:val="FootnoteAnchor"/>
          <w:rtl w:val="true"/>
        </w:rPr>
        <w:footnoteReference w:id="64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تجارة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بأس بکسب الماشطة إذا لم تشارط و قبلت ما تعطی،و لا تصل شعر المرأة بشعر امرأة غیرها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المکاسب المحظورة من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المواشط حلال إذا لم یغششن و لا یدلسن فی عملهن فیصلن شعر النساء بشعر غیرهن من الناس،و یوشمن الخدود،و یستعملن ما لا</w:t>
      </w:r>
      <w:bookmarkStart w:id="408" w:name="pg5064_65417"/>
    </w:p>
    <w:p>
      <w:pPr>
        <w:pStyle w:val="BookText"/>
        <w:rPr/>
      </w:pPr>
      <w:bookmarkEnd w:id="408"/>
      <w:r>
        <w:rPr>
          <w:rFonts w:ascii="IRNazanin" w:hAnsi="IRNazanin" w:eastAsia="IRNazanin"/>
          <w:color w:val="111111"/>
          <w:sz w:val="28"/>
          <w:sz w:val="28"/>
          <w:szCs w:val="28"/>
          <w:rtl w:val="true"/>
          <w:lang w:bidi="fa-IR"/>
        </w:rPr>
        <w:t xml:space="preserve">یجوز فی شریعة الإسلام </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فتاوی العامّة أنه لا یجوز وصل شعر الإنسان بشعر المرأة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تحقیق هذه المسألة فی ثلاث جهات</w:t>
      </w:r>
      <w:r>
        <w:rPr>
          <w:rFonts w:eastAsia="IRNazanin" w:cs="IRNazanin"/>
          <w:color w:val="111111"/>
          <w:sz w:val="28"/>
          <w:szCs w:val="28"/>
          <w:rtl w:val="true"/>
          <w:lang w:bidi="fa-IR"/>
        </w:rPr>
        <w:t>:</w:t>
      </w:r>
    </w:p>
    <w:p>
      <w:pPr>
        <w:pStyle w:val="Heading4"/>
        <w:numPr>
          <w:ilvl w:val="3"/>
          <w:numId w:val="1"/>
        </w:numPr>
        <w:rPr/>
      </w:pPr>
      <w:bookmarkStart w:id="409" w:name="__RefHeading___Toc910234_774463916"/>
      <w:bookmarkStart w:id="410" w:name="_Toc151"/>
      <w:bookmarkEnd w:id="409"/>
      <w:r>
        <w:rPr>
          <w:rtl w:val="true"/>
        </w:rPr>
        <w:t>هل یحرم التدلیس فی المقام؟</w:t>
      </w:r>
      <w:bookmarkEnd w:id="410"/>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تدلیس الماشطة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لا دلیل علی حرمة التدلیس و الغش من حیث هما تدلیس و غش،إلاّ فی بیع أو شراء أو تزویج،للروایات الخاصّة التی سنتعرّض لها فی البحث عن حرمة الغش </w:t>
      </w:r>
      <w:r>
        <w:rPr>
          <w:rStyle w:val="FootnoteAnchor"/>
          <w:rtl w:val="true"/>
        </w:rPr>
        <w:footnoteReference w:id="650"/>
      </w:r>
      <w:r>
        <w:rPr>
          <w:rFonts w:ascii="IRNazanin" w:hAnsi="IRNazanin" w:eastAsia="IRNazanin"/>
          <w:color w:val="111111"/>
          <w:sz w:val="28"/>
          <w:sz w:val="28"/>
          <w:szCs w:val="28"/>
          <w:rtl w:val="true"/>
          <w:lang w:bidi="fa-IR"/>
        </w:rPr>
        <w:t>،بل ربما یکونان مطلوبین للعقلاء،کتزیین الدور و الألبسة و الأمتعة لإظهار العظمة و الشوکة و حفظ الکیان و إراءة أنّها جدیدة،نعم لو قلنا بحرمة الإعانة علی الإثم لکان تزیین المرأة التی فی معرض التزویج أو الأمتعة التی فی معرض البیع حراما،لکونه مقدّمة للغش المحرّم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أجاد المحقّق الإیروانی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الماشطة لا ینطبق علی فعلها غش و لا تدلیس،و إنّما الغش یکون بفعل من یعرض المغشوش و المدلس فیه علی البیع نعم الماشطة أعدّت المرأة لأن یغش بها،و حالها کحال الحائک الذی بفعله تعد العمامة لأن یدلس بلبسها،و کفعل صانع السبحة لأن یدلس بالتسبیح بها ریاء</w:t>
      </w:r>
      <w:bookmarkStart w:id="411" w:name="pg5064_65418"/>
    </w:p>
    <w:p>
      <w:pPr>
        <w:pStyle w:val="BookText"/>
        <w:rPr/>
      </w:pPr>
      <w:bookmarkEnd w:id="411"/>
      <w:r>
        <w:rPr>
          <w:rFonts w:ascii="IRNazanin" w:hAnsi="IRNazanin" w:eastAsia="IRNazanin"/>
          <w:color w:val="111111"/>
          <w:sz w:val="28"/>
          <w:sz w:val="28"/>
          <w:szCs w:val="28"/>
          <w:rtl w:val="true"/>
          <w:lang w:bidi="fa-IR"/>
        </w:rPr>
        <w:t xml:space="preserve">و أمّا نفس التمشیط فلا دلیل یدل علی المنع عنه بقول مطلق،بل الأخبار رخّصت فیه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910236_774463916"/>
      <w:bookmarkStart w:id="413" w:name="_Toc152"/>
      <w:bookmarkEnd w:id="412"/>
      <w:r>
        <w:rPr>
          <w:rtl w:val="true"/>
        </w:rPr>
        <w:t>حکم تمشیط الماشطة</w:t>
      </w:r>
      <w:bookmarkEnd w:id="41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تمشیط الماشطة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لا دلیل علی المنع عنه بقول مطلق و إن ورد النهی عن خصوص وصل الشعر بالشعر،بل یتجلّی من الأخبار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الکثیرة جوازه مطلقا،سواء اشترطت فیه الاجرة أم لم تشترط،بل فی روایة قاسم ابن محمد صرّح بجواز تعیّش الماشطة بالتمشیط إذا لم تصل الشعر بالشعر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بتقییدها بمفهوم مرسلة الفقیه و فقه الرضا </w:t>
      </w:r>
      <w:r>
        <w:rPr>
          <w:rStyle w:val="FootnoteAnchor"/>
          <w:rtl w:val="true"/>
        </w:rPr>
        <w:footnoteReference w:id="653"/>
      </w:r>
      <w:r>
        <w:rPr>
          <w:rFonts w:ascii="Amiri" w:hAnsi="Amiri" w:eastAsia="Amiri" w:cs="Amiri"/>
          <w:color w:val="111111"/>
          <w:sz w:val="28"/>
          <w:sz w:val="28"/>
          <w:szCs w:val="28"/>
          <w:rtl w:val="true"/>
          <w:lang w:bidi="ar-SA"/>
        </w:rPr>
        <w:t>فإنّهما تدلاّن علی</w:t>
      </w:r>
    </w:p>
    <w:p>
      <w:pPr>
        <w:pStyle w:val="BookText"/>
        <w:rPr/>
      </w:pPr>
      <w:r>
        <w:rPr>
          <w:rFonts w:ascii="IRNazanin" w:hAnsi="IRNazanin" w:eastAsia="IRNazanin"/>
          <w:color w:val="111111"/>
          <w:sz w:val="28"/>
          <w:sz w:val="28"/>
          <w:szCs w:val="28"/>
          <w:rtl w:val="true"/>
          <w:lang w:bidi="fa-IR"/>
        </w:rPr>
        <w:t>جواز کسب الماشطة ما لم تشارط و قبلت ما تعطی،إذ مفهومهما یدل علی حرمة کسبها مع انتفاء القیدین أو أحدهما،فتقیّد به المطلقات،و علیه فالنتیجة أنه لا بأس بکسب الماشطة إذا لم تشارط الاجرة و قبلت ما تعطی،و إلاّ فیحرم کسبها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أنّهما ضعیفتا السند،فلا یجوز الاستدلال بهما علی الحرمة،نعم لا بأس بالاستدلال بهما علی الکراهة،بناء علی شمول أخبار من بلغ </w:t>
      </w:r>
      <w:r>
        <w:rPr>
          <w:rStyle w:val="FootnoteAnchor"/>
          <w:rtl w:val="true"/>
        </w:rPr>
        <w:footnoteReference w:id="654"/>
      </w:r>
      <w:r>
        <w:rPr>
          <w:rFonts w:ascii="IRNazanin" w:hAnsi="IRNazanin" w:eastAsia="IRNazanin"/>
          <w:color w:val="111111"/>
          <w:sz w:val="28"/>
          <w:sz w:val="28"/>
          <w:szCs w:val="28"/>
          <w:rtl w:val="true"/>
          <w:lang w:bidi="fa-IR"/>
        </w:rPr>
        <w:t>للمکروهات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المصنّف من أنّ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قبلت ما 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ذلک حین العمل و إلاّ فلا یلحق العمل بعد وقوعه ما یوجب کراهته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الخلل،فإنه لا موجب لهذا التوجیه بعد إمکان الشرط المتأخّر و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غرو فی تأثیر عدم القبول بعد العمل فی کراهة ذلک العمل،کتأثیر الأغسال اللیلیة فی صحة الصوم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فی أولویة قبول ما تعطی و عدم مطالبتها بالزیادة إنّما هو أحد أمرین علی سبیل منع الخلو</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یعطی للماشطة و الحجّام و الختّان و الحلاّق و أمثالهم لا ینقص غالبا عن اجرة مثل عملهم،إلاّ أنهم لکثرة حرصهم و دناءة طباعهم یتوقّعون الزیادة،خصوصا من اولی المروّة و الثروة،بل لو منعوا عمّا یطلبونه بادروا إلی السبّ و هتک العرض،و لذا امروا فی الشریعة المقدّسة بالقناعة بما یعطون و ترک</w:t>
      </w:r>
    </w:p>
    <w:p>
      <w:pPr>
        <w:pStyle w:val="BookText"/>
        <w:rPr/>
      </w:pPr>
      <w:r>
        <w:rPr>
          <w:rFonts w:ascii="Amiri" w:hAnsi="Amiri" w:eastAsia="Amiri" w:cs="Amiri"/>
          <w:color w:val="111111"/>
          <w:sz w:val="28"/>
          <w:sz w:val="28"/>
          <w:szCs w:val="28"/>
          <w:rtl w:val="true"/>
          <w:lang w:bidi="ar-SA"/>
        </w:rPr>
        <w:t>المطالبة بالزائد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المشارطة و المماکسة فی مثل تلک الامور لا تناسب المحترمین من ذوی المجد و الفخامة،کما أنّ المسامحة فیها ربما توجب المطالبة بأضعاف اجرة المثل فلذلک أمر الشارع أصحاب هذه الأعمال بترک المشارطة و الرضا بما یعطی لهم و هذا کلّه لا ینافی جواز المطالبة بالزائد و الامتناع عن قبول ما یعطی إذا اتّفق کونه أقل من اجرة المثل،إذ لا یجوز إعطاء أقل من ذلک،لاحترام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الأولی فی حق العامل قصد 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المرسلة إنّما دلّت علی عدم المشارطة،المستلزم لعدم تحقّق الإجارة المعتبر فیها تعیین الاجرة،و هذا لا یستلزم قصد التبرّع،لجواز أن یکون إیجاد العمل بأمر الآمر،فیکون أمره هذا موجبا للضمان باجرة المثل،کما هو متعارف فی السوق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ینافی ذلک ما ورد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تم ما ذکره المصنّف من حمل المرسلة علی أنّ الأولی بالعامل أن یقصد التبرّع کانت المرسلة خارجة عن حدود الإجارة موضوعا،و إن لم یتم ذلک فلا بدّ و أن یلتزم بتخصیص ما دل علی اعتبار تعیین الاجرة قبل العمل </w:t>
      </w:r>
      <w:r>
        <w:rPr>
          <w:rStyle w:val="FootnoteAnchor"/>
          <w:rtl w:val="true"/>
        </w:rPr>
        <w:footnoteReference w:id="655"/>
      </w:r>
      <w:r>
        <w:rPr>
          <w:rFonts w:ascii="Amiri" w:hAnsi="Amiri" w:eastAsia="Amiri" w:cs="Amiri"/>
          <w:color w:val="111111"/>
          <w:sz w:val="28"/>
          <w:sz w:val="28"/>
          <w:szCs w:val="28"/>
          <w:rtl w:val="true"/>
          <w:lang w:bidi="ar-SA"/>
        </w:rPr>
        <w:t>بواسطة</w:t>
      </w:r>
      <w:bookmarkStart w:id="414" w:name="pg5064_65422"/>
    </w:p>
    <w:p>
      <w:pPr>
        <w:pStyle w:val="BookText"/>
        <w:rPr/>
      </w:pPr>
      <w:bookmarkEnd w:id="414"/>
      <w:r>
        <w:rPr>
          <w:rFonts w:ascii="IRNazanin" w:hAnsi="IRNazanin" w:eastAsia="IRNazanin"/>
          <w:color w:val="111111"/>
          <w:sz w:val="28"/>
          <w:sz w:val="28"/>
          <w:szCs w:val="28"/>
          <w:rtl w:val="true"/>
          <w:lang w:bidi="fa-IR"/>
        </w:rPr>
        <w:t>المرسلة إذا کانت حجّة،و إلاّ فیرد علمها إلی أهلها</w:t>
      </w:r>
      <w:r>
        <w:rPr>
          <w:rFonts w:eastAsia="IRNazanin" w:cs="IRNazanin"/>
          <w:color w:val="111111"/>
          <w:sz w:val="28"/>
          <w:szCs w:val="28"/>
          <w:rtl w:val="true"/>
          <w:lang w:bidi="fa-IR"/>
        </w:rPr>
        <w:t>.</w:t>
      </w:r>
    </w:p>
    <w:p>
      <w:pPr>
        <w:pStyle w:val="Heading4"/>
        <w:numPr>
          <w:ilvl w:val="3"/>
          <w:numId w:val="1"/>
        </w:numPr>
        <w:rPr/>
      </w:pPr>
      <w:bookmarkStart w:id="415" w:name="__RefHeading___Toc910238_774463916"/>
      <w:bookmarkStart w:id="416" w:name="_Toc153"/>
      <w:bookmarkEnd w:id="415"/>
      <w:r>
        <w:rPr>
          <w:rtl w:val="true"/>
        </w:rPr>
        <w:t>البحث فیما ورد من لعن الماشطة علی الوصل و النمص</w:t>
      </w:r>
      <w:bookmarkEnd w:id="416"/>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 فی بعض الأخبار </w:t>
      </w:r>
      <w:r>
        <w:rPr>
          <w:rStyle w:val="FootnoteAnchor"/>
          <w:rtl w:val="true"/>
        </w:rPr>
        <w:footnoteReference w:id="656"/>
      </w:r>
      <w:r>
        <w:rPr>
          <w:rFonts w:ascii="IRNazanin" w:hAnsi="IRNazanin" w:eastAsia="IRNazanin"/>
          <w:color w:val="111111"/>
          <w:sz w:val="28"/>
          <w:sz w:val="28"/>
          <w:szCs w:val="28"/>
          <w:rtl w:val="true"/>
          <w:lang w:bidi="fa-IR"/>
        </w:rPr>
        <w:t>لعن الماشطة علی خصال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الوصل،و النمص،و الوشم،و الوشر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الوصل فإن کان المراد به ما هو المذکور فی روایتی سعد الإسکاف و المکارم المتقدّمتین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الحاشیة</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من تفسیر الواصلة بالفاجرة و القوّادة فحرمته من ضروریات الإسلام،و سیأتی التعرّض لذلک فی البحث عن حرمة القیادة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المراد به ما فی تفسیر علی بن غراب من أنّ الواصلة التی تصل شعر المرأة بشعر امرأة غیرها،فقد یقال بحرمته أیضا،لظهور اللعن فیها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حجّیة فی تفسیر ابن غراب،لعدم کونه من</w:t>
      </w:r>
      <w:bookmarkStart w:id="417" w:name="pg5064_65423"/>
    </w:p>
    <w:p>
      <w:pPr>
        <w:pStyle w:val="BookText"/>
        <w:rPr/>
      </w:pPr>
      <w:bookmarkEnd w:id="417"/>
      <w:r>
        <w:rPr>
          <w:rFonts w:ascii="IRNazanin" w:hAnsi="IRNazanin" w:eastAsia="IRNazanin"/>
          <w:color w:val="111111"/>
          <w:sz w:val="28"/>
          <w:sz w:val="28"/>
          <w:szCs w:val="28"/>
          <w:rtl w:val="true"/>
          <w:lang w:bidi="fa-IR"/>
        </w:rPr>
        <w:t>المعصوم،مع ورود الرد علیه فی روایتی سعد الإسکاف و المکارم و تفسیر الواصلة و الموصولة فیهما بمعنی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قریبا أنه أخذ هذا التفسیر من العامة،فإنّ مضمونه مذکور فی سنن البیهقی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910240_774463916"/>
      <w:bookmarkStart w:id="419" w:name="_Toc154"/>
      <w:bookmarkEnd w:id="418"/>
      <w:r>
        <w:rPr>
          <w:rtl w:val="true"/>
        </w:rPr>
        <w:t>الجمع بین الروایات الواردة فی وصل الشعر بشعر امرأة</w:t>
      </w:r>
      <w:bookmarkEnd w:id="419"/>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اعتباره فإنه لا بدّ و أن یحمل علی الکراهة کما هو مقتضی الجمع بین الروایات،و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الواردة فی وصل الشعر بشعر امرأة علی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الجواز مطلقا،کروایة سعد الإسکاف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القرامل التی تضعها النساء فی رؤوسهن تصلنه بشعورهن؟فقال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 المرأة بما تزیّنت به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کروایة مکارم الأخلاق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التفصیل بین شعر المرأة و شعر غیرها،و جوّز الوصل فی الثانی دون الأول،کقوله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مرسلة الفقیه المتقدّمة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بکسب الماشطة ما لم تشارط و قبلت ما تعطی،و لا تصل شعر المرأة بشعر امرأة غیرها،و أمّا شعر المعز فلا بأس بأن توصله بشعر المرأة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تظهر منه الحرمة فی مطلق وصل الشعر بالشعر،کجملة من الروایات المتقدّمة </w:t>
      </w:r>
      <w:r>
        <w:rPr>
          <w:rStyle w:val="FootnoteAnchor"/>
          <w:rtl w:val="true"/>
        </w:rPr>
        <w:footnoteReference w:id="662"/>
      </w:r>
      <w:r>
        <w:rPr>
          <w:rFonts w:ascii="IRNazanin" w:hAnsi="IRNazanin" w:eastAsia="IRNazanin"/>
          <w:color w:val="111111"/>
          <w:sz w:val="28"/>
          <w:sz w:val="28"/>
          <w:szCs w:val="28"/>
          <w:rtl w:val="true"/>
          <w:lang w:bidi="fa-IR"/>
        </w:rPr>
        <w:t xml:space="preserve">من الفریقین،و کروایتی عبد اللّه بن الحسن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ثابت بن أبی</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هاتان الروایتان تدلاّن أیضا علی جواز وصل الصوف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الجمع بینها أن یلتزم بجواز وصل شعر المعز بشعر المرأة بلا کراهة و بجواز وصل شعر المرأة بشعر امرأة اخری مع الکراهة،فإنّ ما دلّ علی المنع مطلقا یقیّد بما دل علی جواز الوصل بشعر المعز،و ما دل علی حرمة وصل شعر المرأة بشعر امرأة اخری یحمل علی الکراهة،لما دل علی جواز تزیّن المرأة لزوجها مطلقا،فإنّ روایة سعد الاسکاف و إن کانت بصراحتها تدفع توهّم السائل من حیث الموضوع و هو إرادة وصل الشعر بالشعر من الواصلة و الموصولة،و لکنّها ظاهرة أیضا فی جواز وصل الشعر بالشعر مطلقا،إذ لو لم یکن جائزا لکان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یدفع توهّم السائل من حیث الحکم،فیقول 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وصل شعر المرأة بشعر امرأة اخری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روایتی عبد اللّه بن الحسن و ثابت غیر ظاهرتین فی الحرمة کما هو واضح لمن یلاحظهما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سعد مختصة بزینة المرأة لزوجها،فلا تدل علی جواز الوصل</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 إن کانت واردة فی ذلک،إلاّ أنّ من المقطوع به أنّ جواز تزیّن المرأة لزوجها لا یسوّغ التزیّن بالمحرّم کما تقدّم،فیعلم من ذلک أنّ وصل الشعر بالشعر و لو بشعر امرأة کان من الامور السائغة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سعد مطلقة،تدل علی جواز وصل الشعر بالشعر مطلقا و لو کان شعر امرأة اخری،فتقیّد بما اشتمل علی النهی عن وصل شعر المرأة بشعر امرأة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سعد و إن کانت مطلقة و لکنّ السؤال فیها کان عن خصوص وصل الشعر بالشعر،فلو کان فی بعض أفراده فرد محرّم لوجب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یتعرّض لبیان حرمته فی مقام الجواب،فیعلم من ذلک أنه لیس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صحّة الروایات،و لکنّها جمیعا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فمقتضی الأصل هو الجواز مطلقا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لعن الواصلة فی النبوی صریح فی الحرمة،فلا یجوز حمله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ضعف سنده،و استعمال اللعن فی الامور المکروهة فی بعض الأحادیث </w:t>
      </w:r>
      <w:r>
        <w:rPr>
          <w:rStyle w:val="FootnoteAnchor"/>
          <w:rtl w:val="true"/>
        </w:rPr>
        <w:footnoteReference w:id="663"/>
      </w:r>
      <w:r>
        <w:rPr>
          <w:rFonts w:ascii="IRNazanin" w:hAnsi="IRNazanin" w:eastAsia="IRNazanin"/>
          <w:color w:val="111111"/>
          <w:sz w:val="28"/>
          <w:sz w:val="28"/>
          <w:szCs w:val="28"/>
          <w:rtl w:val="true"/>
          <w:lang w:bidi="fa-IR"/>
        </w:rPr>
        <w:t>أنّ اللعن لیس بصریح فی الحرمة حتی لا یجوز حمله علی</w:t>
      </w:r>
    </w:p>
    <w:p>
      <w:pPr>
        <w:pStyle w:val="BookText"/>
        <w:rPr/>
      </w:pPr>
      <w:r>
        <w:rPr>
          <w:rFonts w:ascii="IRNazanin" w:hAnsi="IRNazanin" w:eastAsia="IRNazanin"/>
          <w:color w:val="111111"/>
          <w:sz w:val="28"/>
          <w:sz w:val="28"/>
          <w:szCs w:val="28"/>
          <w:rtl w:val="true"/>
          <w:lang w:bidi="fa-IR"/>
        </w:rPr>
        <w:t>الکراهة،و إنّما هو دعاء بالإبعاد المطلق الشامل للکراهة أیضا،نظیر الرجحان المطلق الشامل للوجوب و الاستحباب کلیهما،غایة الأمر أن یدعی کونه ظاهرا فی التحریم،لکنّه لا بدّ من رفع الید عن ظهوره و حمله علی الکراهة إذا تعارض مع ما یدل علی الجواز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جواز بقیة الامور المذکورة فی النبوی کالنمص و الوشم و الوشر و إن کانت مکروهة،بل ربما یشکل الحکم بالکراهة أیضا،لضعف الروایة،إلاّ أن یتمسّک فی ذلک بقاعدة التسامح فی أدلة السنن،بناء علی شمولها للمکروهات أیضا بل ورد جواز النمص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حف الشعر من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الخبر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جمیع ما ذکرناه ظهر الجواب أیضا عن روایة عبد اللّه بن سنان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المشتملة علی اللعن علی الواشمة و الموتشمة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أنه ثبت بالأخبار المستفیضة المذکورة فی أبواب النکاح و بالسیرة القطعیة جواز تزیّن المرأة لزوجها،بل کونه من الامور المستحبّة و مقتضی ما دل علی حرمة الوصل و النمص و الوشم و الوشر هو عدم جواز التزیّن بها،سواء کان ذلک للزوج أو لغیره،فیتعارضان فیما کان التزیّن بالامور المذکورة للزوج،و یتساقطان،فیرجع إلی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تم ما دلّ علی حرمة الامور المزبورة فالنسبة بینه و بین ما دل علی جواز التزیّن هی العموم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بجواز التزیّن مطلقا إلاّ بالأشیاء المذکورة،بیان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المذکور فی الروایات و إن کان هو جواز تزیّن الزوجة لزوجها فقط،و لکنّا نقطع بعدم مدخلیة الزوجیة فی الحکم بحیث لولاها لکان التزیّن للنساء حراما،بل هو أمر مشروع للنساء کلّها کما علیه السیرة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بدّ من تخصیص الحکم بما دلّ علی حرمة الامور المذکورة فی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صرف الإمام للنبوی الوارد فی الواصلة عن ظاهره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النبوی عن ظاهره بالتصرف فی معنی الواصلة و المستوصلة بإرادة القیادة من الواصلة یقتضی حرمة الوصل و النمص و الوشم و الوشر المذکورة فی النبوی،لاتّحاد السیاق،دون الکراهة،نعم لو کان معنی اللعن فی الروایة هو مطلق الإبعاد الذی یجتمع مع الکراهة لصار مؤیّدا لحمل ما عدا الوصل علی</w:t>
      </w:r>
      <w:bookmarkStart w:id="420" w:name="pg5064_65428"/>
    </w:p>
    <w:p>
      <w:pPr>
        <w:pStyle w:val="BookText"/>
        <w:rPr/>
      </w:pPr>
      <w:bookmarkEnd w:id="420"/>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p>
    <w:p>
      <w:pPr>
        <w:pStyle w:val="Heading4"/>
        <w:numPr>
          <w:ilvl w:val="3"/>
          <w:numId w:val="1"/>
        </w:numPr>
        <w:rPr/>
      </w:pPr>
      <w:bookmarkStart w:id="421" w:name="__RefHeading___Toc910242_774463916"/>
      <w:bookmarkStart w:id="422" w:name="_Toc155"/>
      <w:bookmarkEnd w:id="421"/>
      <w:r>
        <w:rPr>
          <w:rtl w:val="true"/>
        </w:rPr>
        <w:t>حکم وشم الأطفال</w:t>
      </w:r>
      <w:bookmarkEnd w:id="42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یشکل الأمر فی وشم الأطفال من حیث إنه إیذاء لهم بغیر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أنّ الوشم لا یلازم الإیذاء دائما،بل بینهما عموم من وجه فإنه قد یتحقّق الإیذاء حیث یتحقّق الوشم کما هو الکثیر،و قد یتحقّق الوشم حیث لا یتحقّق الإیذاء،لأجل استعمال بعض المخدّرات المعروفة الیوم،و قد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الملازمة بینهما فالسیرة القطعیة قائمة علی جواز الإیذاء إذا کان لمصلحة التزیّن،کما فی ثقب الآذان و الآناف</w:t>
      </w:r>
      <w:r>
        <w:rPr>
          <w:rFonts w:eastAsia="IRNazanin" w:cs="IRNazanin"/>
          <w:color w:val="111111"/>
          <w:sz w:val="28"/>
          <w:szCs w:val="28"/>
          <w:rtl w:val="true"/>
          <w:lang w:bidi="fa-IR"/>
        </w:rPr>
        <w:t>.</w:t>
      </w:r>
    </w:p>
    <w:p>
      <w:pPr>
        <w:pStyle w:val="Heading4"/>
        <w:numPr>
          <w:ilvl w:val="3"/>
          <w:numId w:val="1"/>
        </w:numPr>
        <w:rPr/>
      </w:pPr>
      <w:bookmarkStart w:id="423" w:name="__RefHeading___Toc910244_774463916"/>
      <w:bookmarkStart w:id="424" w:name="_Toc156"/>
      <w:bookmarkEnd w:id="423"/>
      <w:r>
        <w:rPr>
          <w:rtl w:val="true"/>
        </w:rPr>
        <w:t>معنی التدلیس</w:t>
      </w:r>
      <w:bookmarkEnd w:id="42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التدلیس بما ذکرنا إنّما یحصل بمجرد رغبة الخاطب أو المشتری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التدلیس فی اللغة </w:t>
      </w:r>
      <w:r>
        <w:rPr>
          <w:rStyle w:val="FootnoteAnchor"/>
          <w:rtl w:val="true"/>
        </w:rPr>
        <w:footnoteReference w:id="666"/>
      </w:r>
      <w:r>
        <w:rPr>
          <w:rFonts w:ascii="IRNazanin" w:hAnsi="IRNazanin" w:eastAsia="IRNazanin"/>
          <w:color w:val="111111"/>
          <w:sz w:val="28"/>
          <w:sz w:val="28"/>
          <w:szCs w:val="28"/>
          <w:rtl w:val="true"/>
          <w:lang w:bidi="fa-IR"/>
        </w:rPr>
        <w:t>عبارة عن تلبیس الأمر علی الغیر،أو کتمان عیب السلعة عن المشتری و إخفائه علیه بإظهار کمال لیس فیها،و أمّا ما یوجب رغبة المشتری و الخاطب فلیس بتدلیس ما لم یستلزم کتمان عیب،أو إظهار ما لیس فیه من الکمال،و إلاّ لحرم تزیین السلعة،لکون ذلک سببا لرغبة المشتری،و لحرم أیضا لبس المرأة الثیاب الحمر و الخضر الموجبة لظهور بیاض البدن و صفائه،بداهة کونه سببا لرغبة الخاطبین،و لا نظنّ أن یلتزم بذلک فقیه أو متفقّه</w:t>
      </w:r>
      <w:r>
        <w:rPr>
          <w:rFonts w:eastAsia="IRNazanin" w:cs="IRNazanin"/>
          <w:color w:val="111111"/>
          <w:sz w:val="28"/>
          <w:szCs w:val="28"/>
          <w:rtl w:val="true"/>
          <w:lang w:bidi="fa-IR"/>
        </w:rPr>
        <w:t>.</w:t>
      </w:r>
      <w:bookmarkStart w:id="425" w:name="pg5064_65429"/>
    </w:p>
    <w:p>
      <w:pPr>
        <w:pStyle w:val="Heading3"/>
        <w:numPr>
          <w:ilvl w:val="2"/>
          <w:numId w:val="1"/>
        </w:numPr>
        <w:rPr/>
      </w:pPr>
      <w:bookmarkStart w:id="426" w:name="__RefHeading___Toc910246_774463916"/>
      <w:bookmarkStart w:id="427" w:name="_Toc157"/>
      <w:bookmarkEnd w:id="425"/>
      <w:bookmarkEnd w:id="426"/>
      <w:r>
        <w:rPr>
          <w:rtl w:val="true"/>
        </w:rPr>
        <w:t>تزیین الرجل بما یحرم علیه</w:t>
      </w:r>
      <w:bookmarkEnd w:id="42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تزیین الرجل بما یحرم علیه من لبس الحریر و الذهب حرام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فقهاؤنا و فقهاء العامة </w:t>
      </w:r>
      <w:r>
        <w:rPr>
          <w:rStyle w:val="FootnoteAnchor"/>
          <w:rtl w:val="true"/>
        </w:rPr>
        <w:footnoteReference w:id="668"/>
      </w:r>
      <w:r>
        <w:rPr>
          <w:rFonts w:ascii="IRNazanin" w:hAnsi="IRNazanin" w:eastAsia="IRNazanin"/>
          <w:color w:val="111111"/>
          <w:sz w:val="28"/>
          <w:sz w:val="28"/>
          <w:szCs w:val="28"/>
          <w:rtl w:val="true"/>
          <w:lang w:bidi="fa-IR"/>
        </w:rPr>
        <w:t xml:space="preserve">و استفاضت الأخبار من طرقنا </w:t>
      </w:r>
      <w:r>
        <w:rPr>
          <w:rStyle w:val="FootnoteAnchor"/>
          <w:rtl w:val="true"/>
        </w:rPr>
        <w:footnoteReference w:id="669"/>
      </w:r>
      <w:r>
        <w:rPr>
          <w:rFonts w:ascii="Amiri" w:hAnsi="Amiri" w:eastAsia="Amiri" w:cs="Amiri"/>
          <w:color w:val="111111"/>
          <w:sz w:val="28"/>
          <w:sz w:val="28"/>
          <w:szCs w:val="28"/>
          <w:rtl w:val="true"/>
          <w:lang w:bidi="ar-SA"/>
        </w:rPr>
        <w:t xml:space="preserve">و من طرق السنّة </w:t>
      </w:r>
      <w:r>
        <w:rPr>
          <w:rStyle w:val="FootnoteAnchor"/>
          <w:rtl w:val="true"/>
        </w:rPr>
        <w:footnoteReference w:id="670"/>
      </w:r>
      <w:r>
        <w:rPr>
          <w:rFonts w:ascii="IRNazanin" w:hAnsi="IRNazanin" w:eastAsia="IRNazanin"/>
          <w:color w:val="111111"/>
          <w:sz w:val="28"/>
          <w:sz w:val="28"/>
          <w:szCs w:val="28"/>
          <w:rtl w:val="true"/>
          <w:lang w:bidi="fa-IR"/>
        </w:rPr>
        <w:t>علی حرمة لبس الرجل الحریر و الذهب إلاّ فی موارد خاصة و لکن الأخبار خالیة عن حرمة تزیّن الرجال بهما،فعقد المسألة بهذا العنوان کما صنعه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مسامحة واضحة،نعم ورد فی بعض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تختم بالذهب،فإنه زینتک فی الآخرة</w:t>
      </w:r>
      <w:r>
        <w:rPr>
          <w:rFonts w:eastAsia="IRNazanin" w:cs="IRNazanin"/>
          <w:color w:val="111111"/>
          <w:sz w:val="28"/>
          <w:szCs w:val="28"/>
          <w:rtl w:val="true"/>
          <w:lang w:bidi="fa-IR"/>
        </w:rPr>
        <w:t xml:space="preserve">» </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الذهب فی</w:t>
      </w:r>
    </w:p>
    <w:p>
      <w:pPr>
        <w:pStyle w:val="BookText"/>
        <w:rPr/>
      </w:pPr>
      <w:r>
        <w:rPr>
          <w:rFonts w:ascii="IRNazanin" w:hAnsi="IRNazanin" w:eastAsia="IRNazanin"/>
          <w:color w:val="111111"/>
          <w:sz w:val="28"/>
          <w:sz w:val="28"/>
          <w:szCs w:val="28"/>
          <w:rtl w:val="true"/>
          <w:lang w:bidi="fa-IR"/>
        </w:rPr>
        <w:t>الدنیا زینة النساء،فحرم علی الرجال لبسه و الصلاة فیه</w:t>
      </w:r>
      <w:r>
        <w:rPr>
          <w:rFonts w:eastAsia="IRNazanin" w:cs="IRNazanin"/>
          <w:color w:val="111111"/>
          <w:sz w:val="28"/>
          <w:szCs w:val="28"/>
          <w:rtl w:val="true"/>
          <w:lang w:bidi="fa-IR"/>
        </w:rPr>
        <w:t xml:space="preserve">»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مضافا إلی ضعف السند فیهما،أنّهما لا تدلان علی حرمة تزیّن الرجل بالذهب حتی یشمل النهی غیر صورة اللبس أیضا،بل تفریعه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الثانیة حرمة لبس الذهب علی کونه زینة النساء فی الدنیا لا یخلو عن الإشعار بجواز تزیّن الرجل بالذهب ما لم یصدق علیه عنوان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عنوان التزیّن بالذهب و الحریر و إن لم یذکر فی الأخبار،إلاّ أنّ لبس الحریر و الذهب یلازم التزیّن بهما،فالنهی عن لبسهما یلازم النهی عن التزیّن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دعوی جزافیة،لمنع الملازمة،بل بین العنوانین عموم من وجه فإنّ التزیّن قد یصدق حیث لا یصدق اللبس،کما إذا جعلت أزرار الثوب من الذهب أو من الحریر،و کما إذا خیط بهما الثوب،کما تتعارف خیاطة الفراء بالحریر و الدیباج،و کما إذا صاغ الإنسان أسنانه من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یصدق اللبس و لا یصدق التزیّن،کلبس الحریر و الذهب تحت سائر الألبسة،و تختّم الرجل بالذهب للتجربة و 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یجتمع العنوانان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تفصیل الکلام فی البحث عن لباس المصلّی فی کتاب الصلاة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ظهر أنه لا وجه لما ذهب إلیه فی العروة فی المسألة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لباس المصلّی </w:t>
      </w:r>
      <w:r>
        <w:rPr>
          <w:rStyle w:val="FootnoteAnchor"/>
          <w:rtl w:val="true"/>
        </w:rPr>
        <w:footnoteReference w:id="6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زنجیر الساعة من الذهب و علّقه علی رقبته أو وضعه فی جیبه لکن علّق رأس الزنجیر یحرم،لأنه تزیین بالذهب،و لا تصحّ الصلاة فیه أیضا</w:t>
      </w:r>
      <w:r>
        <w:rPr>
          <w:rFonts w:eastAsia="IRNazanin" w:cs="IRNazanin"/>
          <w:color w:val="111111"/>
          <w:sz w:val="28"/>
          <w:szCs w:val="28"/>
          <w:rtl w:val="true"/>
          <w:lang w:bidi="fa-IR"/>
        </w:rPr>
        <w:t>.</w:t>
      </w:r>
      <w:bookmarkStart w:id="428" w:name="pg5064_65431"/>
    </w:p>
    <w:p>
      <w:pPr>
        <w:pStyle w:val="Heading3"/>
        <w:numPr>
          <w:ilvl w:val="2"/>
          <w:numId w:val="1"/>
        </w:numPr>
        <w:rPr/>
      </w:pPr>
      <w:bookmarkStart w:id="429" w:name="__RefHeading___Toc910248_774463916"/>
      <w:bookmarkStart w:id="430" w:name="_Toc158"/>
      <w:bookmarkEnd w:id="428"/>
      <w:bookmarkEnd w:id="429"/>
      <w:r>
        <w:rPr>
          <w:rtl w:val="true"/>
        </w:rPr>
        <w:t>تشبّه الرجل بالمرأة و تشبّه المرأة بالرجل</w:t>
      </w:r>
      <w:bookmarkEnd w:id="430"/>
    </w:p>
    <w:p>
      <w:pPr>
        <w:pStyle w:val="Heading4"/>
        <w:numPr>
          <w:ilvl w:val="3"/>
          <w:numId w:val="1"/>
        </w:numPr>
        <w:rPr/>
      </w:pPr>
      <w:bookmarkStart w:id="431" w:name="__RefHeading___Toc910250_774463916"/>
      <w:bookmarkStart w:id="432" w:name="_Toc159"/>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هل یجوز تشبّه الرجل بالمرأة و بالعکس،أو لا،بأن یلبس الرجل ما یختص بالنساء من الألبسة،و تلبس المرأة ما یختص بالرجل منها کالمنطقة و العمامة و نحوهما؟و لا ریب أنّ ذلک یختلف باختلاف العادات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ورد النهی عن التشبّه فی الأخبار المتظافرة </w:t>
      </w:r>
      <w:r>
        <w:rPr>
          <w:rStyle w:val="FootnoteAnchor"/>
          <w:rtl w:val="true"/>
        </w:rPr>
        <w:footnoteReference w:id="675"/>
      </w:r>
      <w:r>
        <w:rPr>
          <w:rFonts w:ascii="IRNazanin" w:hAnsi="IRNazanin" w:eastAsia="IRNazanin"/>
          <w:color w:val="111111"/>
          <w:sz w:val="28"/>
          <w:sz w:val="28"/>
          <w:szCs w:val="28"/>
          <w:rtl w:val="true"/>
          <w:lang w:bidi="fa-IR"/>
        </w:rPr>
        <w:t>و لعن اللّه و رسوله</w:t>
      </w:r>
    </w:p>
    <w:p>
      <w:pPr>
        <w:pStyle w:val="BookText"/>
        <w:rPr/>
      </w:pPr>
      <w:r>
        <w:rPr>
          <w:rFonts w:ascii="IRNazanin" w:hAnsi="IRNazanin" w:eastAsia="IRNazanin"/>
          <w:color w:val="111111"/>
          <w:sz w:val="28"/>
          <w:sz w:val="28"/>
          <w:szCs w:val="28"/>
          <w:rtl w:val="true"/>
          <w:lang w:bidi="fa-IR"/>
        </w:rPr>
        <w:t>المتشبّهین من الرجال بالنساء و المتشبّهات من النساء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الأخبار کلّها ضعیفة السند،فلا تصلح دلیلا للقول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عن ذلک فلا دلالة فیها علی حرمة التشبّه فی اللباس،لأنّ التشبّه فیها إمّا أن یراد به مطلق التشبّه،أو التشبّه فی الطبیعة کتأنّث الرجل و تذکّر المرأة،أو التشبّه الجامع بین التشبّه فی الطبیعة و التشبّه فی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فبدیهی البطلان،فإنّ لازمه حرمة اشتغال الرجل بأعمال المرأة کالغزل و غسل الثوب و تنظیف البیت و الکنس و نحوها من الامور التی تعملها المرأة فی العادة،و حرمة اشتغال المرأة بشغل الرجل،کالاحتطاب و الاصطیاد و السقی و الزرع و الحصد و نحوها،مع أنه لم یلتزم به أحد،بل و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فلا یمکن أخذه کذلک،إذ لا جامع بین التشبّه فی اللباس و التشبّه فی الطبیعة،فلا یکون أمرا مضبوطا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فیتعیّن الثانی،و یکون المراد من تشبّه کل منهما بالآخر هو تأنّث الرجل باللواط،و تذکّر المرأة بالسحق،و هو الظاهر من لفظ التشبّه فی المقام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ذکرناه تطبیق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النبوی علی المخنّثین و المساحقات فی جملة روایات من الخاصّة </w:t>
      </w:r>
      <w:r>
        <w:rPr>
          <w:rStyle w:val="FootnoteAnchor"/>
          <w:rtl w:val="true"/>
        </w:rPr>
        <w:footnoteReference w:id="67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طرق العامة </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ضعیفة السند</w:t>
      </w:r>
      <w:r>
        <w:rPr>
          <w:rFonts w:eastAsia="IRNazanin" w:cs="IRNazanin"/>
          <w:color w:val="111111"/>
          <w:sz w:val="28"/>
          <w:szCs w:val="28"/>
          <w:rtl w:val="true"/>
          <w:lang w:bidi="fa-IR"/>
        </w:rPr>
        <w:t>.</w:t>
      </w:r>
      <w:bookmarkStart w:id="433" w:name="pg5064_65434"/>
    </w:p>
    <w:p>
      <w:pPr>
        <w:pStyle w:val="BookText"/>
        <w:rPr/>
      </w:pPr>
      <w:bookmarkEnd w:id="433"/>
      <w:r>
        <w:rPr>
          <w:rFonts w:ascii="IRNazanin" w:hAnsi="IRNazanin" w:eastAsia="IRNazanin"/>
          <w:color w:val="111111"/>
          <w:sz w:val="28"/>
          <w:sz w:val="28"/>
          <w:szCs w:val="28"/>
          <w:rtl w:val="true"/>
          <w:lang w:bidi="fa-IR"/>
        </w:rPr>
        <w:t>و قد اتّضح ممّا تلوناه بطلان ما ادّعاه المحقّق الإیروانی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التشبّه یشمل التشبّه فی کل شیء،و دعوی انصرافه إلی التشبّه فیما هو من مقتضیات طبع صاحبه لا ما هو مختص به بالجعل کاللباس،فی حیّز المنع،بل کون المساحقة من تشبّه الانثی بالذکر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التخنّث أیضا لیس تشبّها بالانثی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ما فی حاشیة السید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اختصاص النبوی بالتشبّه فی التأنّث و التذکّر،لإمکان شموله للتشبّه فی اللباس أیضا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من المحقّق الإیروانی حیث قال فی توجیه روایة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الرجل الذی أخرجه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المسجد کان متزیّنا بزینة النساء،کما هو الشائع فی شبّان عصرنا،و کان هو المراد من التأنّث،لا التخنّث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أعرف بمقاله</w:t>
      </w:r>
      <w:r>
        <w:rPr>
          <w:rFonts w:eastAsia="IRNazanin" w:cs="IRNazanin"/>
          <w:color w:val="111111"/>
          <w:sz w:val="28"/>
          <w:szCs w:val="28"/>
          <w:rtl w:val="true"/>
          <w:lang w:bidi="fa-IR"/>
        </w:rPr>
        <w:t>.</w:t>
      </w:r>
    </w:p>
    <w:p>
      <w:pPr>
        <w:pStyle w:val="Heading4"/>
        <w:numPr>
          <w:ilvl w:val="3"/>
          <w:numId w:val="1"/>
        </w:numPr>
        <w:rPr/>
      </w:pPr>
      <w:bookmarkStart w:id="434" w:name="__RefHeading___Toc910252_774463916"/>
      <w:bookmarkStart w:id="435" w:name="_Toc160"/>
      <w:bookmarkEnd w:id="434"/>
      <w:r>
        <w:rPr>
          <w:rtl w:val="true"/>
        </w:rPr>
        <w:t>التشبّه فی اللباس</w:t>
      </w:r>
      <w:bookmarkEnd w:id="435"/>
    </w:p>
    <w:p>
      <w:pPr>
        <w:pStyle w:val="BookText"/>
        <w:rPr/>
      </w:pPr>
      <w:r>
        <w:rPr>
          <w:rFonts w:ascii="IRNazanin" w:hAnsi="IRNazanin" w:eastAsia="IRNazanin"/>
          <w:color w:val="111111"/>
          <w:sz w:val="28"/>
          <w:sz w:val="28"/>
          <w:szCs w:val="28"/>
          <w:rtl w:val="true"/>
          <w:lang w:bidi="fa-IR"/>
        </w:rPr>
        <w:t xml:space="preserve">ثم إنه قد ورد فی بعض الأحادیث النهی عن التشبّه فی اللباس </w:t>
      </w:r>
      <w:r>
        <w:rPr>
          <w:rStyle w:val="FootnoteAnchor"/>
          <w:rtl w:val="true"/>
        </w:rPr>
        <w:footnoteReference w:id="681"/>
      </w:r>
      <w:r>
        <w:rPr>
          <w:rFonts w:ascii="IRNazanin" w:hAnsi="IRNazanin" w:eastAsia="IRNazanin"/>
          <w:color w:val="111111"/>
          <w:sz w:val="28"/>
          <w:sz w:val="28"/>
          <w:szCs w:val="28"/>
          <w:rtl w:val="true"/>
          <w:lang w:bidi="fa-IR"/>
        </w:rPr>
        <w:t>،کروایة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یجرّ ثیابه،قال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لأکره أن یتشبّه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ینهی المرأة أن تتشبّه بالرجال فی لباسها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یستفاد منهما تحریم التشبّه فی اللباس</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المراد من التشبّه فی الروایتین مجرد لبس کل من الرجل</w:t>
      </w:r>
    </w:p>
    <w:p>
      <w:pPr>
        <w:pStyle w:val="BookText"/>
        <w:rPr/>
      </w:pPr>
      <w:r>
        <w:rPr>
          <w:rFonts w:ascii="IRNazanin" w:hAnsi="IRNazanin" w:eastAsia="IRNazanin"/>
          <w:color w:val="111111"/>
          <w:sz w:val="28"/>
          <w:sz w:val="28"/>
          <w:szCs w:val="28"/>
          <w:rtl w:val="true"/>
          <w:lang w:bidi="fa-IR"/>
        </w:rPr>
        <w:t>و المرأة لباس الآخر،و إلاّ لحرم لبس أحد الزوجین لباس الآخر لبعض الدواعی کبرد و نحوه،بل الظاهر من التشبّه فی اللباس المذکور فی الروایتین هو أن یتزیّا کل من الرجل و المرأة بزی الآخر،کالمطربات اللاتی أخذن زی الرجال،و المطربین الذین أخذوا زی النساء،و من البدیهی أنه من المحرّمات فی الشریعة،بل من أخبث الخبائث و أشد الجرائم و أکبر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المراد فی الروایة الاولی هو الکراهة إذ من المقطوع به أنّ جرّ الثوب لیس من المحرّمات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تجلّی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جواز لبس الرجل لباس المرأة لإظهار الحزن،و تجسّم قضیة الطف،و إقامة التعزیة لسید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حرمته لأخبار النهی عن التشبّه ناشئ من الوساوس الشیطانیة،فإنّک قد عرفت عدم دلالتها علی حرمة التشبّه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ممّا تقدّم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لاعتبار القصد فی مفهوم التشبّه و صدقه بل المناط فی صدقه وقوع وجه الشبه فی الخارج مع العلم و الالتفات کاعتبار وقوع المعان علیه فی صدق الإعانة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قد أطلق التشبّه فی الأخبار علی جر الثوب و التخنّث و المساحقة،مع أنه لا یصدر شیء منها بقصد التشبّه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التشبّه من التفعّل الذی لا یتحقّق إلاّ بالقصد دعوی جزافیة،لصدقه بدون القصد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الاولی بقرینة المورد ظهور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ممّا ذکرناه أنه لا وجه لحمل ما ورد فی التشبّه فی اللباس علی الکراهة بدعوی ظهوره فیها،إذ لا نعرف منشأ لهذه الدعوی إلاّ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سماعة فی رجل یجر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لأکره أن یتشبّه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أنّ الکراهة المذکورة فی الروایات أعم من الکراهة الاصطلاحیة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روایة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bookmarkStart w:id="436" w:name="pg5064_65436"/>
    </w:p>
    <w:p>
      <w:pPr>
        <w:pStyle w:val="BookText"/>
        <w:rPr/>
      </w:pPr>
      <w:bookmarkEnd w:id="436"/>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یزجر الرجل أن یتشبّه بالنساء،و ینهی المرأة أن تتشبّه بالرجال فی لباسها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کالصریحة فی الحرمة،لعدم إطلاق الزجر فی موارد الکراهة الاصطلاحیة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الخنثی یجب علیها ترک الزینتین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اختلفوا فی الخنثی هل هو من صنف الرجال،أو من صنف الإناث،أو هو طبیعة ثالثة تقابل کلا من الصنفین علی أقوال قد ذکرت فی محلّها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علیها ترک الزینتین المختصتین بکل من الرجل و المرأة،مبنی علی کونه داخلا تحت أحد العنوانین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الانثی،و إلاّ فأصالة البراءة بالنسبة إلی التکالیف المختصّة بهما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بناء علی کون مدرک الحکم حرمة التشبّه بأنّ الظاهر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التشبّه صورة علم المتشبّه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اعتبار العلم بصدور الفعل فی تحقّق عنوان التشبّه،إلاّ أنه لا یختص بالعلم التفصیلی،بل یکفی فی ذلک العلم الإجمالی أیضا،فهو موجود فی الخنثی</w:t>
      </w:r>
      <w:r>
        <w:rPr>
          <w:rFonts w:eastAsia="IRNazanin" w:cs="IRNazanin"/>
          <w:color w:val="111111"/>
          <w:sz w:val="28"/>
          <w:szCs w:val="28"/>
          <w:rtl w:val="true"/>
          <w:lang w:bidi="fa-IR"/>
        </w:rPr>
        <w:t>.</w:t>
      </w:r>
    </w:p>
    <w:p>
      <w:pPr>
        <w:pStyle w:val="Heading3"/>
        <w:numPr>
          <w:ilvl w:val="2"/>
          <w:numId w:val="1"/>
        </w:numPr>
        <w:rPr/>
      </w:pPr>
      <w:bookmarkStart w:id="437" w:name="__RefHeading___Toc910254_774463916"/>
      <w:bookmarkStart w:id="438" w:name="_Toc161"/>
      <w:bookmarkEnd w:id="437"/>
      <w:r>
        <w:rPr>
          <w:rtl w:val="true"/>
        </w:rPr>
        <w:t>التشبیب بالمرأة الأجنبیة</w:t>
      </w:r>
      <w:bookmarkEnd w:id="438"/>
    </w:p>
    <w:p>
      <w:pPr>
        <w:pStyle w:val="Heading4"/>
        <w:numPr>
          <w:ilvl w:val="3"/>
          <w:numId w:val="1"/>
        </w:numPr>
        <w:rPr/>
      </w:pPr>
      <w:bookmarkStart w:id="439" w:name="__RefHeading___Toc910256_774463916"/>
      <w:bookmarkStart w:id="440" w:name="_Toc162"/>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التشبیب بالمرأة المعروفة المؤمنة المحترمة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فی جامع المقاصد ذکر محاسنها و إظهار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حبّها بالشعر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حرمة ذکر الأجنبیات و التشبیب بهنّ کحرمة ذکر الغلمان</w:t>
      </w:r>
      <w:bookmarkStart w:id="441" w:name="pg5064_65437"/>
    </w:p>
    <w:p>
      <w:pPr>
        <w:pStyle w:val="BookText"/>
        <w:rPr/>
      </w:pPr>
      <w:bookmarkEnd w:id="441"/>
      <w:r>
        <w:rPr>
          <w:rFonts w:ascii="IRNazanin" w:hAnsi="IRNazanin" w:eastAsia="IRNazanin"/>
          <w:color w:val="111111"/>
          <w:sz w:val="28"/>
          <w:sz w:val="28"/>
          <w:szCs w:val="28"/>
          <w:rtl w:val="true"/>
          <w:lang w:bidi="fa-IR"/>
        </w:rPr>
        <w:t>و التشبیب بهم،بالشعر و غیره،إذا کان التشبیب لتمنّی الحرام و ترجّی الوصول إلی المعاصی و الفواحش کالزنا و اللواط و نحوهما،فإنّ ذلک هتک لأحکام الشارع و جرأة علی معصیته،و من هنا حرم طلب الحرام من اللّه بالدعاء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بین کون المذکورة مؤمنة أو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فحرمة ذلک لیس من جهة التشبیب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التشبیب بالمعنی الذی ذکره المحقّق الثانی فی جامع المقاصد </w:t>
      </w:r>
      <w:r>
        <w:rPr>
          <w:rStyle w:val="FootnoteAnchor"/>
          <w:rtl w:val="true"/>
        </w:rPr>
        <w:footnoteReference w:id="684"/>
      </w:r>
      <w:r>
        <w:rPr>
          <w:rFonts w:ascii="IRNazanin" w:hAnsi="IRNazanin" w:eastAsia="IRNazanin"/>
          <w:color w:val="111111"/>
          <w:sz w:val="28"/>
          <w:sz w:val="28"/>
          <w:szCs w:val="28"/>
          <w:rtl w:val="true"/>
          <w:lang w:bidi="fa-IR"/>
        </w:rPr>
        <w:t xml:space="preserve">مع القیود التی اعتبرها المصنّف ففی حرمته خلاف،فذهب جمع من الأکابر إلی الحرمة و ذهب بعض آخر إلی الجواز،و ذهب جمع من العامّة إلی حرمة مطلق التشبیب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910258_774463916"/>
      <w:bookmarkStart w:id="443" w:name="_Toc163"/>
      <w:bookmarkEnd w:id="442"/>
      <w:r>
        <w:rPr>
          <w:rtl w:val="true"/>
        </w:rPr>
        <w:t>الاستدلال علی حرمة ذلک و الجواب عنه</w:t>
      </w:r>
      <w:bookmarkEnd w:id="443"/>
    </w:p>
    <w:p>
      <w:pPr>
        <w:pStyle w:val="BookText"/>
        <w:rPr/>
      </w:pPr>
      <w:r>
        <w:rPr>
          <w:rFonts w:ascii="Amiri" w:hAnsi="Amiri" w:eastAsia="Amiri" w:cs="Amiri"/>
          <w:color w:val="111111"/>
          <w:sz w:val="28"/>
          <w:sz w:val="28"/>
          <w:szCs w:val="28"/>
          <w:rtl w:val="true"/>
          <w:lang w:bidi="ar-SA"/>
        </w:rPr>
        <w:t>و قد استدل القائلون بالحرمة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التشبیب هتک للمشبّب بها و إهانة لها،فیکون حراما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کون التشبیب هتکا لها فإنّ ذلک لا یختص بالشعر،کما لا یختص بالمؤمنة المعروفة المحترمة،فإنه لا فرق فی حرمة الهتک بین أفراد الناس من المحرم و غیر المحرم،و الزوجة و غیر الزوجة،و المخطوبة و غیر المخطوبة،فإنّ هتک جمیعها حرام عقلا و شرعا،و أیضا لا فرق فی الشعر بین الإنشاء و الإنشاد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بین عنوانی الإهانة و التشبیب هی العموم من وجه،فإنّ الشاعر أو غیره قد یذکر محاسن امرأة أجنبیة فی حال الخلوة بحیث لا یطّلع علیه أحد لیلزم منه الهتک،أو یکون التوصیف و إظهار محاسنها و ذکر جمالها مطلوبا سواء کان ذلک بالنظم أم بغیره،کما إذا سأل سائل عن بنات أحد الأعاظم و الملوک لیخطب منهنّ واحدة،فهل یتوهّم أحد أنّ توصیفها بالجمال و الکمال و الأدب و الأخلاق حرام؟و کثیرا ما یتحقّق عنوان الهتک من دون تحقّق التشبیب،و قد یجتمعان،و علیه فلا ملازمة بینهما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کلامنا فی المقام فی حرمة التشبیب بعنوانه الأوّلی،فإثبات حرمته لعنوان آخر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الهتک أو الإهانة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إیذاء للمشبّب بها،و 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حرمة فعل یترتّب علیه أذی الغیر قهرا إذا کان الفعل سائغا فی نفسه،و لم یقصد العامل أذیة الغیر من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لزم القول بحرمة کل فعل یترتّب علیه أذی الغیر و إن کان الفعل فی نفسه مباحا أو مستحبا أو واجبا،کتأذّی بعض الناس من اشتغال بعض آخر بالتجارة و التعلیم و التعلّم و العبادة و نحوها و کثیرا ما یتأذّی بعض التجّار باستیراد البعض الآخر مال التجارة،و یتأذّی الجار بعلو جدار جاره أو من کثرة أمواله،مع أنّ أحدا لا یتفوّه بحرمة ذلک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النسبة بین التشبیب و الإیذاء أیضا عموم من وجه،إذ قد یتحقّق التشبیب و لا یتحقّق الإیذاء کالتشبیب بالمتبرّجات،و قد یتحقّق الإیذاء حیث لا یتحقّق التشبیب،و هو واضح،و قد یجتمعان</w:t>
      </w:r>
      <w:r>
        <w:rPr>
          <w:rFonts w:eastAsia="IRNazanin" w:cs="IRNazanin"/>
          <w:color w:val="111111"/>
          <w:sz w:val="28"/>
          <w:szCs w:val="28"/>
          <w:rtl w:val="true"/>
          <w:lang w:bidi="fa-IR"/>
        </w:rPr>
        <w:t>.</w:t>
      </w:r>
      <w:bookmarkStart w:id="444" w:name="pg5064_65439"/>
    </w:p>
    <w:p>
      <w:pPr>
        <w:pStyle w:val="Heading4"/>
        <w:numPr>
          <w:ilvl w:val="3"/>
          <w:numId w:val="1"/>
        </w:numPr>
        <w:rPr/>
      </w:pPr>
      <w:bookmarkStart w:id="445" w:name="__RefHeading___Toc910260_774463916"/>
      <w:bookmarkStart w:id="446" w:name="_Toc164"/>
      <w:bookmarkEnd w:id="444"/>
      <w:bookmarkEnd w:id="445"/>
      <w:r>
        <w:rPr>
          <w:rtl w:val="true"/>
        </w:rPr>
        <w:t>ما استدل به علی حرمة التشبیب و الجواب عنه</w:t>
      </w:r>
      <w:bookmarkEnd w:id="44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یستدل علیه بما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أشکل المصنّف علی الوجوه المتقدّمة،و اعترف بعدم نهوضها لإثبات حرمة التشبیب أخذ بالاستدلال علیه بوجوه أضعف من الوجوه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التشبیب من اللهو و الباطل فیکون حراما،لما سیأتی </w:t>
      </w:r>
      <w:r>
        <w:rPr>
          <w:rStyle w:val="FootnoteAnchor"/>
          <w:rtl w:val="true"/>
        </w:rPr>
        <w:footnoteReference w:id="686"/>
      </w:r>
      <w:r>
        <w:rPr>
          <w:rFonts w:ascii="IRNazanin" w:hAnsi="IRNazanin" w:eastAsia="IRNazanin"/>
          <w:color w:val="111111"/>
          <w:sz w:val="28"/>
          <w:sz w:val="28"/>
          <w:szCs w:val="28"/>
          <w:rtl w:val="true"/>
          <w:lang w:bidi="fa-IR"/>
        </w:rPr>
        <w:t>من دلالة جملة من الآیات و الروایات علی حرمتهما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الدعوی ممنوعة صغری و کبری،أمّا الوجه فی منع الصغری فلأنّه لا دلیل علی کون التشبیب من اللهو و الباطل،إذ قد یشتمل الکلام الذی یشبّب به علی المطالب الراقیة و المدائح العالیة المطلوبة للعقلاء،خصوصا إذا کان شعرا کما هو مورد البحث</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الوجه فی منع الکبری فلعدم العمل بها مطلقا،لأنّ اللهو و الباطل لو کانا علی إطلاقهما من المحرّمات لزم القول بحرمة کل ما فی العالم،فإنّ کل ما أشغل عن ذکر اللّه و ذکر الرسول و ذکر القیامة و ذکر النار و الجنّة و الحور و القصور لهو و باطل و قد نطق بذلک القرآن الکریم أیضا فی آیات عدیدة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من المصنّف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الاعتراف بعدم حرمة اللهو إلاّ علی نحو الموجبة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ورد النهی فی الکتاب العزیز عن الفحشاء و المنکر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منهما التشبیب،فیکون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نمنع کون التشبیب من الفحشاء و المنکر،علی أنّ هذا الوجه مع الوجه السابق و سائر الوجوه الآتیة لو دلّت علی الحرمة لدلّت علیها مطلقا،سواء أکان بالشعر أم بغیره،و سواء أکان التشبیب بانثی أم بذکر،و سواء أکانت الانثی مؤمنة أم غیر مؤمنة،فلا وجه لتخصیص الحرمة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 أنّ النسبة بین التشبیب و بین تلک العناوین المحرّمة هی العموم من وجه،فلا تدل حرمتها علی حرمة التشبیب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الکلام فی التشبیب بعنوانه الأوّلی،فحرمته بعنوان اللهو أو الفحشاء أو غیرهما من العناوین المحرّمة خارج عن حدود البحث و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مناف للعفاف الذی اعتبر فی العدالة بمقتضی بعض الروایات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حیث إنّ العفاف واجب فیحرم الإخلال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نمنع اعتبار أی عفاف فی العدالة،و إنّما المعتبر فیها العفاف عن المحرّمات،و کون التشبیب منها أوّل الکلام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حرمة ما یثیر الشهوة إلی غیر الحلیلة حتی بالأسباب البعیدة،و هی کثیرة قد ذکرت فی مواضع شتّی</w:t>
      </w:r>
      <w:r>
        <w:rPr>
          <w:rFonts w:eastAsia="IRNazanin" w:cs="IRNazanin"/>
          <w:color w:val="111111"/>
          <w:sz w:val="28"/>
          <w:szCs w:val="28"/>
          <w:rtl w:val="true"/>
          <w:lang w:bidi="fa-IR"/>
        </w:rPr>
        <w:t>:</w:t>
      </w:r>
      <w:bookmarkStart w:id="447" w:name="pg5064_65441"/>
    </w:p>
    <w:p>
      <w:pPr>
        <w:pStyle w:val="Heading4"/>
        <w:numPr>
          <w:ilvl w:val="3"/>
          <w:numId w:val="1"/>
        </w:numPr>
        <w:rPr/>
      </w:pPr>
      <w:bookmarkStart w:id="448" w:name="__RefHeading___Toc910262_774463916"/>
      <w:bookmarkStart w:id="449" w:name="_Toc165"/>
      <w:bookmarkEnd w:id="447"/>
      <w:bookmarkEnd w:id="448"/>
      <w:r>
        <w:rPr>
          <w:rtl w:val="true"/>
        </w:rPr>
        <w:t>الأخبار الناهیة عن النظر إلی الأجنبیة</w:t>
      </w:r>
      <w:bookmarkEnd w:id="44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النهی عن النظر إلی الأجنبیة لأنه سهم مسموم من سهام إبلیس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النکتة فی إطلاق لفظ السهم علی النظر هی تأثیره فی قلب الناظر و إیمانه</w:t>
      </w:r>
      <w:bookmarkStart w:id="450" w:name="pg5064_65442"/>
    </w:p>
    <w:p>
      <w:pPr>
        <w:pStyle w:val="BookText"/>
        <w:rPr/>
      </w:pPr>
      <w:bookmarkEnd w:id="450"/>
      <w:r>
        <w:rPr>
          <w:rFonts w:ascii="IRNazanin" w:hAnsi="IRNazanin" w:eastAsia="IRNazanin"/>
          <w:color w:val="111111"/>
          <w:sz w:val="28"/>
          <w:sz w:val="28"/>
          <w:szCs w:val="28"/>
          <w:rtl w:val="true"/>
          <w:lang w:bidi="fa-IR"/>
        </w:rPr>
        <w:t>کتأثیر السهم الخارجی فی الغرض،و من هنا اطلق علیه زنا العین کما فی روایة أبی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دلالة هذه الأخبار علی حرمة التشبیب هو أنّ النظر إلی الأجنبیات إذا کان سهما مسموما مؤثّرا فی هدم الإیمان و قلعه عن قلوب الناظرین،فالتشبیب أولی بالتحریم،فإنّ تأثیر الکلام أشد من تأثیر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عدم الملازمة بین التشبیب و بین سائر العناوین المحرّمة و کذلک فی المقام،إذ قد یکون التشبیب مهیجا للقوّة الشهویة فلا یکون حراما کالتشبیب بالزوجة،و قد یکون التشبیب غیر مهیّج للشهوة کما إذا شبّب بإحدی محارمه،و قد یجتمعان،فلا ملازمة بینهما</w:t>
      </w:r>
      <w:r>
        <w:rPr>
          <w:rFonts w:eastAsia="IRNazanin" w:cs="IRNazanin"/>
          <w:color w:val="111111"/>
          <w:sz w:val="28"/>
          <w:szCs w:val="28"/>
          <w:rtl w:val="true"/>
          <w:lang w:bidi="fa-IR"/>
        </w:rPr>
        <w:t>.</w:t>
      </w:r>
    </w:p>
    <w:p>
      <w:pPr>
        <w:pStyle w:val="Heading4"/>
        <w:numPr>
          <w:ilvl w:val="3"/>
          <w:numId w:val="1"/>
        </w:numPr>
        <w:rPr/>
      </w:pPr>
      <w:bookmarkStart w:id="451" w:name="__RefHeading___Toc910264_774463916"/>
      <w:bookmarkStart w:id="452" w:name="_Toc166"/>
      <w:bookmarkEnd w:id="451"/>
      <w:r>
        <w:rPr>
          <w:rtl w:val="true"/>
        </w:rPr>
        <w:t>الأخبار الناهیة عن الخلوة بالأجنبیة</w:t>
      </w:r>
      <w:bookmarkEnd w:id="45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المنع عن الخلوة بالأجنبیة </w:t>
      </w:r>
      <w:r>
        <w:rPr>
          <w:rStyle w:val="FootnoteAnchor"/>
          <w:rtl w:val="true"/>
        </w:rPr>
        <w:footnoteReference w:id="688"/>
      </w:r>
      <w:r>
        <w:rPr>
          <w:rFonts w:ascii="IRNazanin" w:hAnsi="IRNazanin" w:eastAsia="IRNazanin"/>
          <w:color w:val="111111"/>
          <w:sz w:val="28"/>
          <w:sz w:val="28"/>
          <w:szCs w:val="28"/>
          <w:rtl w:val="true"/>
          <w:lang w:bidi="fa-IR"/>
        </w:rPr>
        <w:t>،و هی کثیرة،منها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مسمع فی قضیة أخذ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یقعدن مع الرجال فی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روایة 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روایة موسی بن إبراهیم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یبیت فی موضع یسمع نفس امرأة لیست له بمحرم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محمد بن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الرجل و المرأة إذا خلیا فی بیت کان ثالثهما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الروایات التی دلّت علی حرمة الخلوة مع الأجنبیة،ففی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یخلونّ رجل بامرأة فإنّ ثالثهما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إنّ الشیطان لا یغیب عن الإنسان فی موضع خلوّ الرجل مع امرأة أجنبیة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النهج أحادیث العامّة </w:t>
      </w:r>
      <w:r>
        <w:rPr>
          <w:rStyle w:val="FootnoteAnchor"/>
          <w:rtl w:val="true"/>
        </w:rPr>
        <w:footnoteReference w:id="689"/>
      </w:r>
      <w:r>
        <w:rPr>
          <w:rFonts w:ascii="IRNazanin" w:hAnsi="IRNazanin" w:eastAsia="IRNazanin"/>
          <w:color w:val="111111"/>
          <w:sz w:val="28"/>
          <w:sz w:val="28"/>
          <w:szCs w:val="28"/>
          <w:rtl w:val="true"/>
          <w:lang w:bidi="fa-IR"/>
        </w:rPr>
        <w:t>فیستفاد من جمیعها حرمة خلو الرجل مع امرأة أجنبیة،لأنّ الشیطان لا یغیب عنه فی هذه الحالة،فیهیج قوّته الشهویة لیلقیه إلی</w:t>
      </w:r>
    </w:p>
    <w:p>
      <w:pPr>
        <w:pStyle w:val="BookText"/>
        <w:rPr/>
      </w:pPr>
      <w:r>
        <w:rPr>
          <w:rFonts w:ascii="IRNazanin" w:hAnsi="IRNazanin" w:eastAsia="IRNazanin"/>
          <w:color w:val="111111"/>
          <w:sz w:val="28"/>
          <w:sz w:val="28"/>
          <w:szCs w:val="28"/>
          <w:rtl w:val="true"/>
          <w:lang w:bidi="fa-IR"/>
        </w:rPr>
        <w:t>المهلکة و المضلّة،و بما أنّ التشبیب بالمرأة الأجنبیة یهیّج الشهوة أزید ممّا تهیّجه الخلوة بها فیکون أولی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دلالة فی شیء من تلک الأخبار علی حرمة الخلوة مع الأجنبیة فضلا عن دلالتها علی حرمة التشبیب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روایتا مسمع و مکارم الأخلاق فالمستفاد منهما حرمة قعود الرجل مع المرأة فی بیت الخلاء،فقد کان من المتعارف فی زمان الجاهلیة أنّهم یهیّئون مکانا لقضاء الحاجة و یسمّونه بیت الخلاء،و یقعد فیه الرجال و النساء و الصبیان،و لا یستتر بعضهم عن بعض،کبعض أهل البادیة فی الزمن الحاضر،و لمّا بعث نبی الرحمة نهی عن ذلک،و أخذ البیعة علی النساء أن لا یقعدن مع الرجال فی الخلاء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الخلوة مع الأجنبیة إذا کانت محرّمة فلا تختص بحالة القعود،بل هی محرّمة مطلقا و إن کانت بغیر 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ما ذکرناه من المعنی أنّ النهی فی الروایتین قد تعلّق بقعود الرجال مع النساء فی الخلاء مطلقا و إن کن من المحارم،و من الواضح أنه لا مانع من خلوة الرجل مع محارمه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للروایتین ظهور فیما ادّعیناه فلا ظهور لهما فی حرمة الخلوة أیضا و لا أقل من الشک،فتسقطان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جملة ما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به علی النساء أن لا یزنین،و لعلّ أخذ البیعة علیهنّ أن لا یقعدن مع الرجال فی الخلاء من جهة عدم تحقّق الزنا،فإنّ حالة الخلوة مظنّة الوقوع فی الزنا،و علیه فلا موضوعیة لعنوان الخلوة بوجه،و الغرض المهم هو النهی عن الزنا،و إنما تعلّق بالخلوة لکونها من المقدّمات القریبة له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ذکرناه أیضا ما ورد فی جملة من الروایات من تعلیل النهی عن</w:t>
      </w:r>
    </w:p>
    <w:p>
      <w:pPr>
        <w:pStyle w:val="BookText"/>
        <w:rPr/>
      </w:pPr>
      <w:r>
        <w:rPr>
          <w:rFonts w:ascii="IRNazanin" w:hAnsi="IRNazanin" w:eastAsia="IRNazanin"/>
          <w:color w:val="111111"/>
          <w:sz w:val="28"/>
          <w:sz w:val="28"/>
          <w:szCs w:val="28"/>
          <w:rtl w:val="true"/>
          <w:lang w:bidi="fa-IR"/>
        </w:rPr>
        <w:t>الخلوة بأنّ الثالث هو الشیطان،فإنّ الظاهر منها هو أنّه لو خلا الرجل مع المرأة الأجنبیة فإنّ الشیطان یکاد أن یوقعهما فی البغی و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أنه لا یجوز الاستدلال أیضا بهذه الروایات المشتملة علی التعلیل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جمیع هذه الروایات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موسی بن إبراهیم فهی خارجة عمّا نحن فیه،فإنّها دلّت علی حرمة نوم الرجل فی موضع یسمع نفس الامرأة الأجنبیة،و لا ملازمة بین سماع النفس و الخلوة دائما،بل بینهما 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النهی عن نوم الرجل مع المرأة تحت لحاف واحد کما فی بعض الأحادیث </w:t>
      </w:r>
      <w:r>
        <w:rPr>
          <w:rStyle w:val="FootnoteAnchor"/>
          <w:rtl w:val="true"/>
        </w:rPr>
        <w:footnoteReference w:id="690"/>
      </w:r>
      <w:r>
        <w:rPr>
          <w:rFonts w:ascii="IRNazanin" w:hAnsi="IRNazanin" w:eastAsia="IRNazanin"/>
          <w:color w:val="111111"/>
          <w:sz w:val="28"/>
          <w:sz w:val="28"/>
          <w:szCs w:val="28"/>
          <w:rtl w:val="true"/>
          <w:lang w:bidi="fa-IR"/>
        </w:rPr>
        <w:t>لا یدل علی حرمة عنوان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نهی الرجل عن النوم فی مکان یسمع نفس الامرأة الأجنبیة من جهة کون سماع نفس المرأة من المقدّمات القریبة للزنا،کما أنّ النهی عن النوم تحت لحاف واحد کذلک،فإنّ سماع النفس فی الأشخاص العادیین لا یکون إلاّ مع نومهم فی محل واحد،و من القریب جدّا أنّ هذا یوجب الزنا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ورد نص صریح فی النهی عن الخلوة مع الأجنبیة فلا موضوعیة لها أیضا،و إنّما نهی عنها لکونها من المقدّمات القریبة للزنا،فإنّ أهمیة حفظ الأعراض فی نظر الشارع المقدّس تقتضی النهی عن الزنا و عن کل ما یؤدّی إلیه عرفا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الروایات المشتملة علی أنّ إبلیس لا یغیب عن الإنسان فی مواضع منها موضع خلوة الرجل مع امرأة أجنبیة،فإنّ المستفاد منها أنّ الشیطان یقظان فی تلک</w:t>
      </w:r>
    </w:p>
    <w:p>
      <w:pPr>
        <w:pStyle w:val="BookText"/>
        <w:rPr/>
      </w:pPr>
      <w:r>
        <w:rPr>
          <w:rFonts w:ascii="IRNazanin" w:hAnsi="IRNazanin" w:eastAsia="IRNazanin"/>
          <w:color w:val="111111"/>
          <w:sz w:val="28"/>
          <w:sz w:val="28"/>
          <w:szCs w:val="28"/>
          <w:rtl w:val="true"/>
          <w:lang w:bidi="fa-IR"/>
        </w:rPr>
        <w:t>المواضع،یجر الناس إلی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دلالة فیها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 حرمة الخلوة بما هی خلوة،و إنّما النهی عنها للمقدّمیة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إلی جمیع ما ذکرناه أنّ الروایات الواردة فی النهی عن الخلوة بالأجنبیة کلّها ضعیفة السند و غیر منجبرة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وجود الدلیل علی ذلک فإنّه لا ملازمة بین حرمة الخلوة و حرمة التشبیب و لو بالفحوی،إذ لا طریق لنا إلی العلم بأنّ ملاک الحرمة فی الخلوة هو إثارة القوّة الشهویة حتّی یقاس علیها کل ما یوجب تهیّجها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علم أنه لا وجه لقیاس التشبیب علی شیء یوجب تهیّج القوّة الشهویة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کراهة جلوس الرجل فی مکان المرأة حتی یبرد المکان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المصنّف علی حرمة التشبیب بفحوی امور مکروهة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کراهة الجلوس فی مجلس المرأة حتی یبرد المکان </w:t>
      </w:r>
      <w:r>
        <w:rPr>
          <w:rStyle w:val="FootnoteAnchor"/>
          <w:rtl w:val="true"/>
        </w:rPr>
        <w:footnoteReference w:id="691"/>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رجحان تستّر المرأة عن نساء أهل الذمّة </w:t>
      </w:r>
      <w:r>
        <w:rPr>
          <w:rStyle w:val="FootnoteAnchor"/>
          <w:rtl w:val="true"/>
        </w:rPr>
        <w:footnoteReference w:id="692"/>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التستر عن الصبی</w:t>
      </w:r>
    </w:p>
    <w:p>
      <w:pPr>
        <w:pStyle w:val="BookText"/>
        <w:rPr/>
      </w:pPr>
      <w:r>
        <w:rPr>
          <w:rFonts w:ascii="Amiri" w:hAnsi="Amiri" w:eastAsia="Amiri" w:cs="Amiri"/>
          <w:color w:val="111111"/>
          <w:sz w:val="28"/>
          <w:sz w:val="28"/>
          <w:szCs w:val="28"/>
          <w:rtl w:val="true"/>
          <w:lang w:bidi="ar-SA"/>
        </w:rPr>
        <w:t xml:space="preserve">الممیّز </w:t>
      </w:r>
      <w:r>
        <w:rPr>
          <w:rStyle w:val="FootnoteAnchor"/>
          <w:rtl w:val="true"/>
        </w:rPr>
        <w:footnoteReference w:id="693"/>
      </w:r>
      <w:r>
        <w:rPr>
          <w:rFonts w:ascii="IRNazanin" w:hAnsi="IRNazanin" w:eastAsia="IRNazanin"/>
          <w:color w:val="111111"/>
          <w:sz w:val="28"/>
          <w:sz w:val="28"/>
          <w:szCs w:val="28"/>
          <w:rtl w:val="true"/>
          <w:lang w:bidi="fa-IR"/>
        </w:rPr>
        <w:t>إلی غیر ذلک من الموارد التی نهی الشارع عنها تنزیها،لکونها موجبة لتهیّج الشهوة،فتدل بالفحوی علی حرمة التشبیب،لکونه أقوی فی إثارة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لکنّا لا نعرف وجها صحیحا لهذا الاستدلال،إذ لا معنی لإثبات الحرمة لموضوع لثبوت الکراهة لموضوع آخر حتی بناء علی العمل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أنّا لا نعلم أنّ مناط الکراهة فی تلک الامور هو تهیّج الشهوة حتی یلتزم بالحرمة فیما إذا کان التهیّج أشد و أقوی،و قد تقدّم نظیر ذلک من المصنّف فی البحث عن حرمة إلقاء الغیر فی الحرام الواقعی </w:t>
      </w:r>
      <w:r>
        <w:rPr>
          <w:rStyle w:val="FootnoteAnchor"/>
          <w:rtl w:val="true"/>
        </w:rPr>
        <w:footnoteReference w:id="694"/>
      </w:r>
      <w:r>
        <w:rPr>
          <w:rFonts w:ascii="IRNazanin" w:hAnsi="IRNazanin" w:eastAsia="IRNazanin"/>
          <w:color w:val="111111"/>
          <w:sz w:val="28"/>
          <w:sz w:val="28"/>
          <w:szCs w:val="28"/>
          <w:rtl w:val="true"/>
          <w:lang w:bidi="fa-IR"/>
        </w:rPr>
        <w:t>،حیث استدل علی الحرمة بکراهة إطعام النجس للبهیمة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رجحان التستّر عن نساء أهل الذمّة إنّما هو لئلاّ یطلعن رجالهنّ علی محاسن نساء المسلمین،و رجحان التستّر عن الصبی الممیّز إنّما هو لکونه ممیّزا فی نفسه کما یظهر من الروایة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فی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 النهی فی الکتاب الشریف عن خضوع النساء بالقول لئلاّ یطمع الذی فی قلبه مرض </w:t>
      </w:r>
      <w:r>
        <w:rPr>
          <w:rStyle w:val="FootnoteAnchor"/>
          <w:rtl w:val="true"/>
        </w:rPr>
        <w:footnoteReference w:id="695"/>
      </w:r>
      <w:r>
        <w:rPr>
          <w:rFonts w:ascii="IRNazanin" w:hAnsi="IRNazanin" w:eastAsia="IRNazanin"/>
          <w:color w:val="111111"/>
          <w:sz w:val="28"/>
          <w:sz w:val="28"/>
          <w:szCs w:val="28"/>
          <w:rtl w:val="true"/>
          <w:lang w:bidi="fa-IR"/>
        </w:rPr>
        <w:t xml:space="preserve">،و عن أن یضربن بأرجلهنّ لیعلم ما یخفین من زینتهنّ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لا دلالة فی شیء من ذلک علی حرمة التشبیب،کما لا دلالة علیها فی</w:t>
      </w:r>
      <w:bookmarkStart w:id="453" w:name="pg5064_65449"/>
    </w:p>
    <w:p>
      <w:pPr>
        <w:pStyle w:val="BookText"/>
        <w:rPr/>
      </w:pPr>
      <w:bookmarkEnd w:id="453"/>
      <w:r>
        <w:rPr>
          <w:rFonts w:ascii="IRNazanin" w:hAnsi="IRNazanin" w:eastAsia="IRNazanin"/>
          <w:color w:val="111111"/>
          <w:sz w:val="28"/>
          <w:sz w:val="28"/>
          <w:szCs w:val="28"/>
          <w:rtl w:val="true"/>
          <w:lang w:bidi="fa-IR"/>
        </w:rPr>
        <w:t>حرمة التعریض بالخطبة لذات البعل و لذات العدّة الرجعیة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التعریض هو الإتیان بلفظ یحتمل الرغبة فی النکاح مع کونه ظاهرا فی النکاح،کأن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راغب فیک،و حریص علیک،أو إنّی راغب فیک،أو أنت علیّ کریمة،أو عزیزة،أو إنّ اللّه لسائق إلیک خیرا،أو رزقا،أو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علم السامع إجمالا بقصد معیّنة أم لا ففیه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ثبتت حرمة التشبیب و حرمة سماعه فلا یحرم سماعه إذا کان المشبّب بها امرأة غیر معیّنة،لعدم علم السامع بها حتی یترتّب علیه ما تقدّم من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من جهة اختلاف الوجوه المتقدّمة للتحریم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عدم دلالة شیء من الوجوه المتقدّمة علی حرمة التشبیب و لو سلّم ذلک فلا دلالة فیها علی حرمة التشبیب بامرأة مبهمة أو خیالیة،إلاّ إذا کان مرجعه إلی تمنّی الحرام،و قد عرفت </w:t>
      </w:r>
      <w:r>
        <w:rPr>
          <w:rStyle w:val="FootnoteAnchor"/>
          <w:rtl w:val="true"/>
        </w:rPr>
        <w:footnoteReference w:id="697"/>
      </w:r>
      <w:r>
        <w:rPr>
          <w:rFonts w:ascii="IRNazanin" w:hAnsi="IRNazanin" w:eastAsia="IRNazanin"/>
          <w:color w:val="111111"/>
          <w:sz w:val="28"/>
          <w:sz w:val="28"/>
          <w:szCs w:val="28"/>
          <w:rtl w:val="true"/>
          <w:lang w:bidi="fa-IR"/>
        </w:rPr>
        <w:t>أنه خارج عمّا نحن فیه</w:t>
      </w:r>
      <w:r>
        <w:rPr>
          <w:rFonts w:eastAsia="IRNazanin" w:cs="IRNazanin"/>
          <w:color w:val="111111"/>
          <w:sz w:val="28"/>
          <w:szCs w:val="28"/>
          <w:rtl w:val="true"/>
          <w:lang w:bidi="fa-IR"/>
        </w:rPr>
        <w:t>.</w:t>
      </w:r>
    </w:p>
    <w:p>
      <w:pPr>
        <w:pStyle w:val="Heading4"/>
        <w:numPr>
          <w:ilvl w:val="3"/>
          <w:numId w:val="1"/>
        </w:numPr>
        <w:rPr/>
      </w:pPr>
      <w:bookmarkStart w:id="454" w:name="__RefHeading___Toc910266_774463916"/>
      <w:bookmarkStart w:id="455" w:name="_Toc167"/>
      <w:bookmarkEnd w:id="454"/>
      <w:r>
        <w:rPr>
          <w:rtl w:val="true"/>
        </w:rPr>
        <w:t>التشبیب بالغلام</w:t>
      </w:r>
      <w:bookmarkEnd w:id="45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التشبیب بالغلام فهو محرّم علی کل حال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التشبیب بالغلام إن کان داخلا فی عنوان تمنّی الحرام فلا ریب فی حرمته،لکونه جرأة علی حرمات المولی کما تقدّم،و إلاّ فلا وجه لحرمته فضلا عن کونه حراما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ربما یکون التشبیب به مطلوبا،و لذا یجوز مدح الأبطال و الشجعان و مدح الشبّان بتشبیههم بالقمر و النجوم،و لا شبهة فی صدق التشبیب علیه لغة </w:t>
      </w:r>
      <w:r>
        <w:rPr>
          <w:rStyle w:val="FootnoteAnchor"/>
          <w:rtl w:val="true"/>
        </w:rPr>
        <w:footnoteReference w:id="698"/>
      </w:r>
      <w:r>
        <w:rPr>
          <w:rFonts w:ascii="IRNazanin" w:hAnsi="IRNazanin" w:eastAsia="IRNazanin"/>
          <w:color w:val="111111"/>
          <w:sz w:val="28"/>
          <w:sz w:val="28"/>
          <w:szCs w:val="28"/>
          <w:rtl w:val="true"/>
          <w:lang w:bidi="fa-IR"/>
        </w:rPr>
        <w:t>و عرفا</w:t>
      </w:r>
      <w:r>
        <w:rPr>
          <w:rFonts w:eastAsia="IRNazanin" w:cs="IRNazanin"/>
          <w:color w:val="111111"/>
          <w:sz w:val="28"/>
          <w:szCs w:val="28"/>
          <w:rtl w:val="true"/>
          <w:lang w:bidi="fa-IR"/>
        </w:rPr>
        <w:t>.</w:t>
      </w:r>
      <w:bookmarkStart w:id="456" w:name="pg5064_65450"/>
    </w:p>
    <w:p>
      <w:pPr>
        <w:pStyle w:val="BookText"/>
        <w:rPr/>
      </w:pPr>
      <w:bookmarkEnd w:id="456"/>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فحش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حرمة الفحش و السب کما سیأتی،إلاّ أنه لا یرتبط ذلک بالتشبیب بعنوانه الأوّلی الذی هو محل الکلام فی المقام</w:t>
      </w:r>
      <w:r>
        <w:rPr>
          <w:rFonts w:eastAsia="IRNazanin" w:cs="IRNazanin"/>
          <w:color w:val="111111"/>
          <w:sz w:val="28"/>
          <w:szCs w:val="28"/>
          <w:rtl w:val="true"/>
          <w:lang w:bidi="fa-IR"/>
        </w:rPr>
        <w:t>.</w:t>
      </w:r>
    </w:p>
    <w:p>
      <w:pPr>
        <w:pStyle w:val="Heading3"/>
        <w:numPr>
          <w:ilvl w:val="2"/>
          <w:numId w:val="1"/>
        </w:numPr>
        <w:rPr/>
      </w:pPr>
      <w:bookmarkStart w:id="457" w:name="__RefHeading___Toc910268_774463916"/>
      <w:bookmarkStart w:id="458" w:name="_Toc168"/>
      <w:bookmarkEnd w:id="457"/>
      <w:r>
        <w:rPr>
          <w:rtl w:val="true"/>
        </w:rPr>
        <w:t>حرمة التصویر</w:t>
      </w:r>
      <w:bookmarkEnd w:id="458"/>
    </w:p>
    <w:p>
      <w:pPr>
        <w:pStyle w:val="Heading4"/>
        <w:numPr>
          <w:ilvl w:val="3"/>
          <w:numId w:val="1"/>
        </w:numPr>
        <w:rPr/>
      </w:pPr>
      <w:bookmarkStart w:id="459" w:name="__RefHeading___Toc910270_774463916"/>
      <w:bookmarkStart w:id="460" w:name="_Toc169"/>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صور ذوات الأرواح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الصورة مجسّمة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بین الشیعة و السنّة </w:t>
      </w:r>
      <w:r>
        <w:rPr>
          <w:rStyle w:val="FootnoteAnchor"/>
          <w:rtl w:val="true"/>
        </w:rPr>
        <w:footnoteReference w:id="699"/>
      </w:r>
      <w:r>
        <w:rPr>
          <w:rFonts w:ascii="IRNazanin" w:hAnsi="IRNazanin" w:eastAsia="IRNazanin"/>
          <w:color w:val="111111"/>
          <w:sz w:val="28"/>
          <w:sz w:val="28"/>
          <w:szCs w:val="28"/>
          <w:rtl w:val="true"/>
          <w:lang w:bidi="fa-IR"/>
        </w:rPr>
        <w:t>فی حرمة التصویر فی الجملة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المستند ادّعی الإجماع علی حرمة عمل الصور لذوات الأرواح إذا کانت</w:t>
      </w:r>
      <w:bookmarkStart w:id="461" w:name="pg5064_65451"/>
    </w:p>
    <w:p>
      <w:pPr>
        <w:pStyle w:val="BookText"/>
        <w:rPr/>
      </w:pPr>
      <w:bookmarkEnd w:id="461"/>
      <w:r>
        <w:rPr>
          <w:rFonts w:ascii="IRNazanin" w:hAnsi="IRNazanin" w:eastAsia="IRNazanin"/>
          <w:color w:val="111111"/>
          <w:sz w:val="28"/>
          <w:sz w:val="28"/>
          <w:szCs w:val="28"/>
          <w:rtl w:val="true"/>
          <w:lang w:bidi="fa-IR"/>
        </w:rPr>
        <w:t xml:space="preserve">الصورة مجسّمة،و ذکر الخلاف فی غیر هذا القسم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التماثیل المجسّمة و غیر المجسّمة و 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التماثیل و الصور ذوات الأرواح مجسّمة کانت أو غیرها و أبو الصلاح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التماثیل و أطلق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المحقّق الثانی أنّه قسّم التصویر إلی أربعة أقسام،و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أحدها محرّم إجماعا،و هو عمل الصور المجسّمة لذوات الأرواح،و باقی الأقسام مختلف فیها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910272_774463916"/>
      <w:bookmarkStart w:id="463" w:name="_Toc170"/>
      <w:bookmarkEnd w:id="462"/>
      <w:r>
        <w:rPr>
          <w:rtl w:val="true"/>
        </w:rPr>
        <w:t>الأقوال فی حرمته</w:t>
      </w:r>
      <w:bookmarkEnd w:id="463"/>
    </w:p>
    <w:p>
      <w:pPr>
        <w:pStyle w:val="BookText"/>
        <w:rPr/>
      </w:pPr>
      <w:r>
        <w:rPr>
          <w:rFonts w:ascii="IRNazanin" w:hAnsi="IRNazanin" w:eastAsia="IRNazanin"/>
          <w:color w:val="111111"/>
          <w:sz w:val="28"/>
          <w:sz w:val="28"/>
          <w:szCs w:val="28"/>
          <w:rtl w:val="true"/>
          <w:lang w:bidi="fa-IR"/>
        </w:rPr>
        <w:t>فالمتحصّل من کلمات الأصحاب أنّ الأقوال فی حرمة التصویر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التصویر حرام إذا کانت الصورة مجسّمة لذی روح،و هذا ممّا لا خلاف فی حرمته بین الأصحاب،بل ادّعی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تصویر ذوات الأرواح حرام،سواء کانت الصورة مجسّمة أم غیر مجسّمة،و قد اختاره المصنّف وفاقا لما ذهب إلیه الحلّی </w:t>
      </w:r>
      <w:r>
        <w:rPr>
          <w:rStyle w:val="FootnoteAnchor"/>
          <w:rtl w:val="true"/>
        </w:rPr>
        <w:footnoteReference w:id="703"/>
      </w:r>
      <w:r>
        <w:rPr>
          <w:rFonts w:ascii="IRNazanin" w:hAnsi="IRNazanin" w:eastAsia="IRNazanin"/>
          <w:color w:val="111111"/>
          <w:sz w:val="28"/>
          <w:sz w:val="28"/>
          <w:szCs w:val="28"/>
          <w:rtl w:val="true"/>
          <w:lang w:bidi="fa-IR"/>
        </w:rPr>
        <w:t xml:space="preserve">و القاضی </w:t>
      </w:r>
      <w:r>
        <w:rPr>
          <w:rStyle w:val="FootnoteAnchor"/>
          <w:rtl w:val="true"/>
        </w:rPr>
        <w:footnoteReference w:id="704"/>
      </w:r>
      <w:r>
        <w:rPr>
          <w:rFonts w:ascii="IRNazanin" w:hAnsi="IRNazanin" w:eastAsia="IRNazanin"/>
          <w:color w:val="111111"/>
          <w:sz w:val="28"/>
          <w:sz w:val="28"/>
          <w:szCs w:val="28"/>
          <w:rtl w:val="true"/>
          <w:lang w:bidi="fa-IR"/>
        </w:rPr>
        <w:t>و غیرهما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التصاویر مطلقا إذا کانت مجسّمة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بحرمتها علی وجه الإطلاق،سواء کانت مجسّمة أم غیرها و سواء کانت لذوات الأرواح أم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القولان الأخیران و إن کانا أیضا مورد الخلاف بین الفقهاء کما أشار إلیه النراقی و المحقّق الثانی،إلاّ أنّا لم نجد قائلا بهما عدا ما</w:t>
      </w:r>
      <w:bookmarkStart w:id="464" w:name="pg5064_65452"/>
    </w:p>
    <w:p>
      <w:pPr>
        <w:pStyle w:val="BookText"/>
        <w:rPr/>
      </w:pPr>
      <w:bookmarkEnd w:id="464"/>
      <w:r>
        <w:rPr>
          <w:rFonts w:ascii="IRNazanin" w:hAnsi="IRNazanin" w:eastAsia="IRNazanin"/>
          <w:color w:val="111111"/>
          <w:sz w:val="28"/>
          <w:sz w:val="28"/>
          <w:szCs w:val="28"/>
          <w:rtl w:val="true"/>
          <w:lang w:bidi="fa-IR"/>
        </w:rPr>
        <w:t>یستفاد من ظاهر بعض العبائر</w:t>
      </w:r>
      <w:r>
        <w:rPr>
          <w:rFonts w:eastAsia="IRNazanin" w:cs="IRNazanin"/>
          <w:color w:val="111111"/>
          <w:sz w:val="28"/>
          <w:szCs w:val="28"/>
          <w:rtl w:val="true"/>
          <w:lang w:bidi="fa-IR"/>
        </w:rPr>
        <w:t>.</w:t>
      </w:r>
    </w:p>
    <w:p>
      <w:pPr>
        <w:pStyle w:val="Heading4"/>
        <w:numPr>
          <w:ilvl w:val="3"/>
          <w:numId w:val="1"/>
        </w:numPr>
        <w:rPr/>
      </w:pPr>
      <w:bookmarkStart w:id="465" w:name="__RefHeading___Toc910274_774463916"/>
      <w:bookmarkStart w:id="466" w:name="_Toc171"/>
      <w:bookmarkEnd w:id="465"/>
      <w:r>
        <w:rPr>
          <w:rtl w:val="true"/>
        </w:rPr>
        <w:t>هل یحرم التصویر مطلقا؟</w:t>
      </w:r>
      <w:bookmarkEnd w:id="46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کان،فالمهم فی المقام هو التکلّم فی مدرک الأقوال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من بعض المطلقات المنقولة من طرق الشیعة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و من طرق العامّة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حرمة التصاویر مطلقا و لو کانت لغیر ذوات الأرواح و لم تکن مجسّمة،کقول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عمل الصور فإنّکم تسألون عنها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کالنبوی المذکور فی سنن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الناس عذابا عند اللّه یوم القیامة المصوّرون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 بدّ من تقیید هذه المطلقات بما دل علی جواز التصویر لغیر ذوات الأرواح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علیه فتحمل المطلقات علی تصویر ذوات الأرواح،و یحکم بجواز</w:t>
      </w:r>
    </w:p>
    <w:p>
      <w:pPr>
        <w:pStyle w:val="BookText"/>
        <w:rPr/>
      </w:pPr>
      <w:r>
        <w:rPr>
          <w:rFonts w:ascii="IRNazanin" w:hAnsi="IRNazanin" w:eastAsia="IRNazanin"/>
          <w:color w:val="111111"/>
          <w:sz w:val="28"/>
          <w:sz w:val="28"/>
          <w:szCs w:val="28"/>
          <w:rtl w:val="true"/>
          <w:lang w:bidi="fa-IR"/>
        </w:rPr>
        <w:t>التصویر لغیرها،سواء کانت الصورة مجسّمة أم غیر مجسّمة،و هو الموافق للأصل و الإطلاقات و العمومات من الآیات و الروایات الواردة فی طلب الرزق و جواز الاکتساب بأی کیفیة کان إلاّ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إلی ما ذکرناه أنّ المطلقات المذکورة بأجمعها ضعیفة السند و غیر منجبرة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مقتضی السیرة القطعیة المستمرّة من 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التصویر لغیر ذوات الأرواح،و لم نر و لم نسمع من أنکر جواز تصویر الأشجار و الفواکه و الجبال و البحار و الشطوط و الحدائق،بل السیرة المذکورة ثابتة فی تعلّم بعض الأشیاء،خصوصا فی بعض العلوم الریاضیة حیث یعملون الصور لتسهیل التفهیم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ما ذکرناه ما ورد فی بعض الأحادیث </w:t>
      </w:r>
      <w:r>
        <w:rPr>
          <w:rStyle w:val="FootnoteAnchor"/>
          <w:rtl w:val="true"/>
        </w:rPr>
        <w:footnoteReference w:id="706"/>
      </w:r>
      <w:r>
        <w:rPr>
          <w:rFonts w:ascii="Amiri" w:hAnsi="Amiri" w:eastAsia="Amiri" w:cs="Amiri"/>
          <w:color w:val="111111"/>
          <w:sz w:val="28"/>
          <w:sz w:val="28"/>
          <w:szCs w:val="28"/>
          <w:rtl w:val="true"/>
          <w:lang w:bidi="ar-SA"/>
        </w:rPr>
        <w:t>من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w:t>
      </w:r>
      <w:bookmarkStart w:id="467" w:name="pg5064_65455"/>
    </w:p>
    <w:p>
      <w:pPr>
        <w:pStyle w:val="BookText"/>
        <w:rPr/>
      </w:pPr>
      <w:bookmarkEnd w:id="467"/>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هدم القبور و کسر الصور،و أیضا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صورة إلاّ محوتها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من المعهود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الصور التی لغیر ذوات الأرواح،و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أیضا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یضاف إلی ما ذکرناه أنّ الصورة فی اللغة </w:t>
      </w:r>
      <w:r>
        <w:rPr>
          <w:rStyle w:val="FootnoteAnchor"/>
          <w:rtl w:val="true"/>
        </w:rPr>
        <w:footnoteReference w:id="707"/>
      </w:r>
      <w:r>
        <w:rPr>
          <w:rFonts w:ascii="IRNazanin" w:hAnsi="IRNazanin" w:eastAsia="IRNazanin"/>
          <w:color w:val="111111"/>
          <w:sz w:val="28"/>
          <w:sz w:val="28"/>
          <w:szCs w:val="28"/>
          <w:rtl w:val="true"/>
          <w:lang w:bidi="fa-IR"/>
        </w:rPr>
        <w:t>و إن کانت مساوقة للشکل و شاملة لصور ذوات الأرواح و غیرها،إلاّ أنّ المراد بها فی المقام صور ذوات الأرواح فقط،لما ورد فی جملة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سنذکرها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 صورة کلّفه اللّه تعالی یوم القیامة أن ینفخ فیها و لیس بنافخ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الأمر بالنفخ و لو کان تعجیزا إنّما یمکن إذا کان المورد قابلا لذلک،و لا شبهة أنّ نفس الأشجار و الأحجار و البحار و الشطوط و نحوها غیر قابلة للنفخ فضلا عن صورها فإنّ عدم القدرة علی النفخ فیها لیس من جهة عجز الفاعل فقط،بل لعدم قابلیة المورد</w:t>
      </w:r>
      <w:r>
        <w:rPr>
          <w:rFonts w:eastAsia="IRNazanin" w:cs="IRNazanin"/>
          <w:color w:val="111111"/>
          <w:sz w:val="28"/>
          <w:szCs w:val="28"/>
          <w:rtl w:val="true"/>
          <w:lang w:bidi="fa-IR"/>
        </w:rPr>
        <w:t>.</w:t>
      </w:r>
    </w:p>
    <w:p>
      <w:pPr>
        <w:pStyle w:val="Heading4"/>
        <w:numPr>
          <w:ilvl w:val="3"/>
          <w:numId w:val="1"/>
        </w:numPr>
        <w:rPr/>
      </w:pPr>
      <w:bookmarkStart w:id="468" w:name="__RefHeading___Toc910276_774463916"/>
      <w:bookmarkStart w:id="469" w:name="_Toc172"/>
      <w:bookmarkEnd w:id="468"/>
      <w:r>
        <w:rPr>
          <w:rtl w:val="true"/>
        </w:rPr>
        <w:t>الدلیل علی حرمة تصویر ذوات الأرواح</w:t>
      </w:r>
      <w:bookmarkEnd w:id="46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حرمة تصویر الصور لذی الروح،سواء کانت الصورة مجسّمة أم غیر مجسّمة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فتدل علیه الأخبار المستفیضة من الفریقین </w:t>
      </w:r>
      <w:r>
        <w:rPr>
          <w:rStyle w:val="FootnoteAnchor"/>
          <w:rtl w:val="true"/>
        </w:rPr>
        <w:footnoteReference w:id="708"/>
      </w:r>
      <w:r>
        <w:rPr>
          <w:rFonts w:ascii="IRNazanin" w:hAnsi="IRNazanin" w:eastAsia="IRNazanin"/>
          <w:color w:val="111111"/>
          <w:sz w:val="28"/>
          <w:sz w:val="28"/>
          <w:szCs w:val="28"/>
          <w:rtl w:val="true"/>
          <w:lang w:bidi="fa-IR"/>
        </w:rPr>
        <w:t>التی</w:t>
      </w:r>
    </w:p>
    <w:p>
      <w:pPr>
        <w:pStyle w:val="BookText"/>
        <w:rPr/>
      </w:pPr>
      <w:r>
        <w:rPr>
          <w:rFonts w:ascii="IRNazanin" w:hAnsi="IRNazanin" w:eastAsia="IRNazanin"/>
          <w:color w:val="111111"/>
          <w:sz w:val="28"/>
          <w:sz w:val="28"/>
          <w:szCs w:val="28"/>
          <w:rtl w:val="true"/>
          <w:lang w:bidi="fa-IR"/>
        </w:rPr>
        <w:t>تقدّمت الإشارة إلیها،فإنه قد ذکر فیها أنّ من صوّر صورة یعذّب یوم القیامة و یکلّف أن ینفخ فیها و لیس بنافخ،و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أحیوا ما خلقتم</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لکنّها مع کثرتها ضعیفة السند و غیر منجبرة بشیء،فلا تکون صالحة للاستناد إلیها فی الحکم الشرعی</w:t>
      </w:r>
      <w:r>
        <w:rPr>
          <w:rFonts w:eastAsia="IRNazanin" w:cs="IRNazanin"/>
          <w:color w:val="111111"/>
          <w:sz w:val="28"/>
          <w:szCs w:val="28"/>
          <w:rtl w:val="true"/>
          <w:lang w:bidi="fa-IR"/>
        </w:rPr>
        <w:t>.</w:t>
      </w:r>
      <w:bookmarkStart w:id="470" w:name="pg5064_65457"/>
    </w:p>
    <w:p>
      <w:pPr>
        <w:pStyle w:val="BookText"/>
        <w:rPr/>
      </w:pPr>
      <w:bookmarkEnd w:id="470"/>
      <w:r>
        <w:rPr>
          <w:rFonts w:ascii="IRNazanin" w:hAnsi="IRNazanin" w:eastAsia="IRNazanin"/>
          <w:color w:val="111111"/>
          <w:sz w:val="28"/>
          <w:sz w:val="28"/>
          <w:szCs w:val="28"/>
          <w:rtl w:val="true"/>
          <w:lang w:bidi="fa-IR"/>
        </w:rPr>
        <w:t>و یضاف إلی ما ذکرناه ما تقدّم فی الحاشیة من الروایات الدالّة علی حرمة خصوص التصویر لذوات الأرواح،کصحیحة البقباق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لَهُ ما یَشاءُ مِنْ مَحارِیبَ وَ تَماثِیلَ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هی تماثیل الرجال و النساء،و لکنّها الشجر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الرجال و النساء فیها من باب المثال،و یدل علی ذلک من الروایة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الشجر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 المعتبرة</w:t>
      </w:r>
      <w:r>
        <w:rPr>
          <w:rFonts w:eastAsia="IRNazanin" w:cs="IRNazanin"/>
          <w:color w:val="111111"/>
          <w:sz w:val="28"/>
          <w:szCs w:val="28"/>
          <w:rtl w:val="true"/>
          <w:lang w:bidi="fa-IR"/>
        </w:rPr>
        <w:t>.</w:t>
      </w:r>
    </w:p>
    <w:p>
      <w:pPr>
        <w:pStyle w:val="Heading4"/>
        <w:numPr>
          <w:ilvl w:val="3"/>
          <w:numId w:val="1"/>
        </w:numPr>
        <w:rPr/>
      </w:pPr>
      <w:bookmarkStart w:id="471" w:name="__RefHeading___Toc910278_774463916"/>
      <w:bookmarkStart w:id="472" w:name="_Toc173"/>
      <w:bookmarkEnd w:id="471"/>
      <w:r>
        <w:rPr>
          <w:rtl w:val="true"/>
        </w:rPr>
        <w:t>ما استدل به علی اختصاص الحرمة بالصور المجسّمة</w:t>
      </w:r>
      <w:bookmarkEnd w:id="472"/>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التحریم مختص بالصور المجسّمة،لوجوه قد أشار إلی جملة منها فی متاجر الجواهر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المشتملة علی نفخ الروح ظاهرة فی ذلک،فإنّ الظاهر منها أنّ الصورة التی صنعها المصوّر جامعة لجمیع ما یحتاج إلیه الحیوان سوی الروح،و هذا إنّما یکون فی الصورة إذا کانت مجسّمة،و واجدة للجثّة و الهیکل و مشتملة علی الأبعاد الثلاثة،إذ یستحیل الأمر بنفخ الروح فی النقوش الخالیة عن الجسم،فإنّ الأمر بالنفخ لا یکون إلاّ فی محل قابل له،و الصور المنقوشة علی الألواح و الأوراق و نحوهما غیر قابلة لذلک،لاستحالة انقلاب العرض إلی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إرادة تجسیم النقش مقدّمة للنفخ ثم النفخ فیه خلاف الظاهر من الروایات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المصنّف بوجهین،الأول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النفخ یمکن تصوّره فی النقش بملاحظة محلّه،بل بدونها،کما فی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 المنقوش علی</w:t>
      </w:r>
    </w:p>
    <w:p>
      <w:pPr>
        <w:pStyle w:val="BookText"/>
        <w:rPr/>
      </w:pPr>
      <w:r>
        <w:rPr>
          <w:rFonts w:ascii="IRNazanin" w:hAnsi="IRNazanin" w:eastAsia="IRNazanin"/>
          <w:color w:val="111111"/>
          <w:sz w:val="28"/>
          <w:sz w:val="28"/>
          <w:szCs w:val="28"/>
          <w:rtl w:val="true"/>
          <w:lang w:bidi="fa-IR"/>
        </w:rPr>
        <w:t xml:space="preserve">البساط بأخذ الساحر فی مجلس الخلیفة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خلاف ظواهر الأخبار،فإنّ الظاهر منها أنّ التکلیف إنّما هو بإحیاء نفس الصور دون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 المنقوش علی البساط بأخذ الساحر فسیأتی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النفخ إنّما هو بملاحظة لون النقش الذی هو فی الحقیقة أجزاء لطیفة من الصبغ،و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هذا لا یعد قرینة عرفا علی تخصیص الصورة بالمجسّمة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متین،و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المقصود من النفخ هو النفخ فی النقوش الخالیة عن الجسم التی هی لیست إلاّ أعراضا صرفة،فإنه لا مناص عن الإشکال المذکور،و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المقصود من النفخ فیها بملاحظة لون النقش و أجزاء الصبغ اللطیفة فهو متین،إذ النفخ حینئذ إنّما هو فی الأجزاء الصغار و لا ریب فی قابلیتها للنفخ لتکون حیوانا،و لا یلزم منه انقلاب العرض إلی الجوهر بل هو من قبیل تبدّل جوهر بجوهر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یتوجّه الإشکال المذکور علی شمول الروایات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الأخبار المشتملة علی نفخ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لصور ذی</w:t>
      </w:r>
    </w:p>
    <w:p>
      <w:pPr>
        <w:pStyle w:val="BookText"/>
        <w:rPr/>
      </w:pPr>
      <w:r>
        <w:rPr>
          <w:rFonts w:ascii="IRNazanin" w:hAnsi="IRNazanin" w:eastAsia="IRNazanin"/>
          <w:color w:val="111111"/>
          <w:sz w:val="28"/>
          <w:sz w:val="28"/>
          <w:szCs w:val="28"/>
          <w:rtl w:val="true"/>
          <w:lang w:bidi="fa-IR"/>
        </w:rPr>
        <w:t>الروح مطلقا و إن کانت غیر مجسّمة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جمیع ما ذکرناه ففیما دلّ علی حرمة تصویر الصور لذوات الأرواح مطلقا غنی و کفایة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إلی ذلک کلّه ما تقدّم من المطلقات التی دلّت علی حرمة التصویر،فإنّ الخارج منها لیس إلاّ تصویر الصور لغیر ذی الروح،فیبقی الباقی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أنّ تلک المطلقات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أنه لا استحالة فی صیرورة الصورة الأسدیة المنقوشة علی البساط أسدا حقیقیا و حیوانا مفترسا بأمر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أنه من الامور الخارقة للعادة،لکونه إعجازا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حقّقنا فی مبحث الإعجاز من مقدّمة التفسیر </w:t>
      </w:r>
      <w:r>
        <w:rPr>
          <w:rStyle w:val="FootnoteAnchor"/>
          <w:rtl w:val="true"/>
        </w:rPr>
        <w:footnoteReference w:id="712"/>
      </w:r>
      <w:r>
        <w:rPr>
          <w:rFonts w:ascii="IRNazanin" w:hAnsi="IRNazanin" w:eastAsia="IRNazanin"/>
          <w:color w:val="111111"/>
          <w:sz w:val="28"/>
          <w:sz w:val="28"/>
          <w:szCs w:val="28"/>
          <w:rtl w:val="true"/>
          <w:lang w:bidi="fa-IR"/>
        </w:rPr>
        <w:t>أنّ الإعجاز لا بدّ و أن یکون خارجا عن النوامیس الطبیعیة و خارقا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الخلق و الإیجاد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بحسب المقدّمات الإعدادیة و النوامیس الطبیعیة،فإنه تعالی و إن کان قادرا علی خلق العوالم بمجرد الإرادة التکوینیة،إلاّ أنّ حکمته قد جرت علی أن یخلقها بالسیر الطبیعی،و طی المراتب المختلفة بلبس الصور و خلعها حتی تصل إلی المقصد الأقصی و الغایة القصوی،مثلا إذا تعلّقت المشیئة الإلهیة بخلق الإنسان بحسب المقدّمات الإعدادیة و السیر الطبیعی جعل اللّه مواده الأصلیة فی کمون الأغذیة،فیأکلها البشر،فتحلّلها القوی المکنونة فیه إلی أن تصل إلی حد المنویة،ثم یستقر المنی فی الرحم،فیکون دما ثم علقة ثم مضغة ثم عظما ثمّ لحما ثم إنسانا،و هذا هو الخلق بالنوامیس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سائر المخلوقات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الخلق غیر جار علی النوامیس الطبیعیة،بل أمرا دفعیا</w:t>
      </w:r>
    </w:p>
    <w:p>
      <w:pPr>
        <w:pStyle w:val="BookText"/>
        <w:rPr/>
      </w:pPr>
      <w:r>
        <w:rPr>
          <w:rFonts w:ascii="IRNazanin" w:hAnsi="IRNazanin" w:eastAsia="IRNazanin"/>
          <w:color w:val="111111"/>
          <w:sz w:val="28"/>
          <w:sz w:val="28"/>
          <w:szCs w:val="28"/>
          <w:rtl w:val="true"/>
          <w:lang w:bidi="fa-IR"/>
        </w:rPr>
        <w:t>و خارقا للعادة،و تکون المقدّمات الطبیعیة کلّها مطویة فیه،کجعل الحبوب أشجارا و زروعا،و الأحجار لؤلؤا و یواقیت دفعة واحدة،و یسمّی ذلک بالإعجاز،و هذا من المواهب الإلهیة التی خصّ اللّه بها أنبیاءه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صیرورة الصورة الأسدیة حیوانا مفترسا بأمر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فی متاجر الجواهر،و هو أنّ فی بعض النصوص التی تقدّمت فی کتاب الصلاة من أنه لا بأس إذا غیّر رؤوسها </w:t>
      </w:r>
      <w:r>
        <w:rPr>
          <w:rStyle w:val="FootnoteAnchor"/>
          <w:rtl w:val="true"/>
        </w:rPr>
        <w:footnoteReference w:id="713"/>
      </w:r>
      <w:r>
        <w:rPr>
          <w:rFonts w:ascii="IRNazanin" w:hAnsi="IRNazanin" w:eastAsia="IRNazanin"/>
          <w:color w:val="111111"/>
          <w:sz w:val="28"/>
          <w:sz w:val="28"/>
          <w:szCs w:val="28"/>
          <w:rtl w:val="true"/>
          <w:lang w:bidi="fa-IR"/>
        </w:rPr>
        <w:t xml:space="preserve">و فی آخر قطعت </w:t>
      </w:r>
      <w:r>
        <w:rPr>
          <w:rStyle w:val="FootnoteAnchor"/>
          <w:rtl w:val="true"/>
        </w:rPr>
        <w:footnoteReference w:id="714"/>
      </w:r>
      <w:r>
        <w:rPr>
          <w:rFonts w:ascii="IRNazanin" w:hAnsi="IRNazanin" w:eastAsia="IRNazanin"/>
          <w:color w:val="111111"/>
          <w:sz w:val="28"/>
          <w:sz w:val="28"/>
          <w:szCs w:val="28"/>
          <w:rtl w:val="true"/>
          <w:lang w:bidi="fa-IR"/>
        </w:rPr>
        <w:t xml:space="preserve">و فی ثالث کسرت </w:t>
      </w:r>
      <w:r>
        <w:rPr>
          <w:rStyle w:val="FootnoteAnchor"/>
          <w:rtl w:val="true"/>
        </w:rPr>
        <w:footnoteReference w:id="715"/>
      </w:r>
      <w:r>
        <w:rPr>
          <w:rFonts w:ascii="IRNazanin" w:hAnsi="IRNazanin" w:eastAsia="IRNazanin"/>
          <w:color w:val="111111"/>
          <w:sz w:val="28"/>
          <w:sz w:val="28"/>
          <w:szCs w:val="28"/>
          <w:rtl w:val="true"/>
          <w:lang w:bidi="fa-IR"/>
        </w:rPr>
        <w:t>،نوع إشعار بالتجسّم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إشعار فی شیء من هذه الروایات بکون الصور المنهی عنها مجسّمة إلاّ فی روایة 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تکسر رؤوس التماثیل،و تلطّخ رؤوس</w:t>
      </w:r>
      <w:bookmarkStart w:id="473" w:name="pg5064_65461"/>
    </w:p>
    <w:p>
      <w:pPr>
        <w:pStyle w:val="BookText"/>
        <w:rPr/>
      </w:pPr>
      <w:bookmarkEnd w:id="473"/>
      <w:r>
        <w:rPr>
          <w:rFonts w:ascii="IRNazanin" w:hAnsi="IRNazanin" w:eastAsia="IRNazanin"/>
          <w:color w:val="111111"/>
          <w:sz w:val="28"/>
          <w:sz w:val="28"/>
          <w:szCs w:val="28"/>
          <w:rtl w:val="true"/>
          <w:lang w:bidi="fa-IR"/>
        </w:rPr>
        <w:t>التصاویر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عدم إشعار غیرها بذلک هو أنّ قطع الرأس أو تغییره کما یصدق فی الصور المجسّمة،فکذلک یصدق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المقام فی عمل الصور،و هو لا یرتبط بالصلاة فی بیت فیه تماثیل،بل الصلاة فیه کالصلاة فی الموارد المکروهة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الجواهر أیضا من أنه یظهر من مقابلة النقش للصورة فی خبر المناهی </w:t>
      </w:r>
      <w:r>
        <w:rPr>
          <w:rStyle w:val="FootnoteAnchor"/>
          <w:rtl w:val="true"/>
        </w:rPr>
        <w:footnoteReference w:id="716"/>
      </w:r>
      <w:r>
        <w:rPr>
          <w:rFonts w:ascii="IRNazanin" w:hAnsi="IRNazanin" w:eastAsia="IRNazanin"/>
          <w:color w:val="111111"/>
          <w:sz w:val="28"/>
          <w:sz w:val="28"/>
          <w:szCs w:val="28"/>
          <w:rtl w:val="true"/>
          <w:lang w:bidi="fa-IR"/>
        </w:rPr>
        <w:t>ذلک أیضا،أی کون الصور المحرّمة 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المناهی ضعیف السند و مجهول الراوی،کما عرفت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السید فی حاشیته </w:t>
      </w:r>
      <w:r>
        <w:rPr>
          <w:rStyle w:val="FootnoteAnchor"/>
          <w:rtl w:val="true"/>
        </w:rPr>
        <w:footnoteReference w:id="717"/>
      </w:r>
      <w:r>
        <w:rPr>
          <w:rFonts w:ascii="IRNazanin" w:hAnsi="IRNazanin" w:eastAsia="IRNazanin"/>
          <w:color w:val="111111"/>
          <w:sz w:val="28"/>
          <w:sz w:val="28"/>
          <w:szCs w:val="28"/>
          <w:rtl w:val="true"/>
          <w:lang w:bidi="fa-IR"/>
        </w:rPr>
        <w:t>و هو أنّ ما اشتمل علی کلمة النقش خبر آخر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مقابلة فی کلام النبی و الإمام أراد أن ینقل اللفظ الصادر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474" w:name="__RefHeading___Toc910280_774463916"/>
      <w:bookmarkStart w:id="475" w:name="_Toc174"/>
      <w:bookmarkEnd w:id="474"/>
      <w:r>
        <w:rPr>
          <w:rtl w:val="true"/>
        </w:rPr>
        <w:t>فروع مهمّة</w:t>
      </w:r>
      <w:bookmarkEnd w:id="475"/>
    </w:p>
    <w:p>
      <w:pPr>
        <w:pStyle w:val="BookText"/>
        <w:rPr/>
      </w:pPr>
      <w:r>
        <w:rPr>
          <w:rFonts w:ascii="IRNazanin" w:hAnsi="IRNazanin" w:eastAsia="IRNazanin"/>
          <w:color w:val="111111"/>
          <w:sz w:val="28"/>
          <w:sz w:val="28"/>
          <w:szCs w:val="28"/>
          <w:rtl w:val="true"/>
          <w:lang w:bidi="fa-IR"/>
        </w:rPr>
        <w:t>تصویر الملک و الجنّ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یلحق الجن و الملک بالحیوان فیحرم تصویرهما،أو لا؟فیه قولان و قد یقال بالثانی کما فی الجواهر </w:t>
      </w:r>
      <w:r>
        <w:rPr>
          <w:rStyle w:val="FootnoteAnchor"/>
          <w:rtl w:val="true"/>
        </w:rPr>
        <w:footnoteReference w:id="718"/>
      </w:r>
      <w:r>
        <w:rPr>
          <w:rFonts w:ascii="IRNazanin" w:hAnsi="IRNazanin" w:eastAsia="IRNazanin"/>
          <w:color w:val="111111"/>
          <w:sz w:val="28"/>
          <w:sz w:val="28"/>
          <w:szCs w:val="28"/>
          <w:rtl w:val="true"/>
          <w:lang w:bidi="fa-IR"/>
        </w:rPr>
        <w:t xml:space="preserve">،و حکاه عن بعض الأساطین فی شرحه علی القواعد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المطلقات المتقدّمة </w:t>
      </w:r>
      <w:r>
        <w:rPr>
          <w:rStyle w:val="FootnoteAnchor"/>
          <w:rtl w:val="true"/>
        </w:rPr>
        <w:footnoteReference w:id="720"/>
      </w:r>
      <w:r>
        <w:rPr>
          <w:rFonts w:ascii="IRNazanin" w:hAnsi="IRNazanin" w:eastAsia="IRNazanin"/>
          <w:color w:val="111111"/>
          <w:sz w:val="28"/>
          <w:sz w:val="28"/>
          <w:szCs w:val="28"/>
          <w:rtl w:val="true"/>
          <w:lang w:bidi="fa-IR"/>
        </w:rPr>
        <w:t>و إن اقتضت حرمة التصویر مطلقا،إلاّ أنّک قد عرفت أنّها مقیّدة بالروایات المعتبرة کصحیحة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یکن شیئا من الحیوان</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و غیرها،و قد عرفت ذلک آنفا،و علیه فنفی البأس عن تصویر غیر الحیوان یقتضی اندراج الملک و الجن تحت الحکم بالجواز،فإنّ من الواضح أنّهما لیسا من جنس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الحیوان هنا ما هو المعروف فی مصطلح أهل المعقول من کونه جسما حسّاسا متحرّکا بالإرادة،و من البدیهی أنّ هذا المفهوم یصدق علی کل مادّة ذات روح،سواء کانت من عالم العناصر أم من عالم آخر هو فوقه،و علیه فلا قصور فی شمول صحیحة محمد بن مسلم للملک و الجنّ و الشیطان،فیحکم بحرمة تصویرهم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الملک من عالم المجرّدات فلیس له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اشتهر فی ألسنة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جزافیة،فإنه مع الخدشة فی أدلّة القول بعالم المجرّدات ما سوی اللّه کما حقّق فی محلّه،أنه مخالف لظاهر الشرع،و من هنا حکم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فی اعتقاداته بکفر من أنکر جسمیة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الکلام فی محلّه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أبیت إلاّ إرادة المفهوم العرفی من الحیوان فاللازم هو القول بانصرافه عن الإنسان أیضا،کانصرافه عن الملک و الجن،و 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العمومات الدالّة علی حرمة الصلاة فی أجزاء ما لا یؤکل لحمه منصرفة عن الإنسان قطعا،مع أنه لم یقل أحد هنا بالانصراف،فتحصّل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تصویر الملک و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حاشیة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صحیحة ابن مسلم و ما فی خبر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صنعة صنوف التصاویر ما لم یکن مثل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عقدین،عقد ترخیصی و عقد تحریمی،فلا یکونان من الأعم و الأخص المطلقین،لوجود التعارض بین منطوق الصحیحة و بین مفهوم الخبر بالعموم من وجه فی الملک و الجن،فإنّ مقتضی الصحیحة هو جواز تصویرهما،و مقتضی مفهوم روایة تحف العقول هو حرمة تصویرهما،و حیث إنّ الترجیح بحسب الدلالة غیر موجود،و المرجّح السندی مع الصحیحة،فلا بدّ من ترجیح ما هو أقوی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تحف العقول ضعیف السند،و مضطرب الدلالة،فلا یجوز العمل به فی نفسه،فضلا عمّا إذا کان معارضا لخبر صحیح،و قد تقدّم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سلّمنا جواز العمل به،و لکنّا قد حقّقنا فی باب التعادل و الترجیح من الاصول </w:t>
      </w:r>
      <w:r>
        <w:rPr>
          <w:rStyle w:val="FootnoteAnchor"/>
          <w:rtl w:val="true"/>
        </w:rPr>
        <w:footnoteReference w:id="724"/>
      </w:r>
      <w:r>
        <w:rPr>
          <w:rFonts w:ascii="IRNazanin" w:hAnsi="IRNazanin" w:eastAsia="IRNazanin"/>
          <w:color w:val="111111"/>
          <w:sz w:val="28"/>
          <w:sz w:val="28"/>
          <w:szCs w:val="28"/>
          <w:rtl w:val="true"/>
          <w:lang w:bidi="fa-IR"/>
        </w:rPr>
        <w:t>أنّ أقوائیة السند لا تکون مرجّحة فی التعارض بالعموم من وجه بل لا بدّ من الرجوع إلی المرجّحات الاخر،و حیث لا ترجیح لکل منهما علی الآخر فیحکم بالتساقط و یرجع إلی المطلقات الدالّة علی حرمة التصویر مطلقا،و علیه فیحرم تصویر الملک و الجن لهذه المطلقات،إلاّ أنّک قد عرفت آنفا أنّ المطلقات بأجمعها ضعیفة السند،فلا تکون مرجعا فی المقام،فلا بدّ و أن یرجع إلی البراءة و سیأتی أنّ صحیحة محمد بن مسلم غریبة عن حرمة التصویر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المتعارف من تصویر الملک و الجن ما یکون بشکل أحد الحیوانات،فیحرم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یرد علیه أنّ من یصوّر صورة الملک و الجنّ</w:t>
      </w:r>
      <w:bookmarkStart w:id="476" w:name="pg5064_65464"/>
    </w:p>
    <w:p>
      <w:pPr>
        <w:pStyle w:val="BookText"/>
        <w:rPr/>
      </w:pPr>
      <w:bookmarkEnd w:id="476"/>
      <w:r>
        <w:rPr>
          <w:rFonts w:ascii="IRNazanin" w:hAnsi="IRNazanin" w:eastAsia="IRNazanin"/>
          <w:color w:val="111111"/>
          <w:sz w:val="28"/>
          <w:sz w:val="28"/>
          <w:szCs w:val="28"/>
          <w:rtl w:val="true"/>
          <w:lang w:bidi="fa-IR"/>
        </w:rPr>
        <w:t>إنّما یقصد صورتهما،لا صورة الحیوان و لا ما هو أعمّ منهما و من الحیوان،إلاّ أن یکونا معدودین من أفراد الحیوان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استفادة الحرمة من صحیحة البقباق المتقدّمة </w:t>
      </w:r>
      <w:r>
        <w:rPr>
          <w:rStyle w:val="FootnoteAnchor"/>
          <w:rtl w:val="true"/>
        </w:rPr>
        <w:footnoteReference w:id="725"/>
      </w:r>
      <w:r>
        <w:rPr>
          <w:rFonts w:ascii="IRNazanin" w:hAnsi="IRNazanin" w:eastAsia="IRNazanin"/>
          <w:color w:val="111111"/>
          <w:sz w:val="28"/>
          <w:sz w:val="28"/>
          <w:szCs w:val="28"/>
          <w:rtl w:val="true"/>
          <w:lang w:bidi="fa-IR"/>
        </w:rPr>
        <w:t>بدعوی 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هی تماثیل الرجال و النساء،و لکنّها الشجر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المقابلة بین ذی الروح و غیره من حیث جواز التصویر و عدمه،و ذکر الامور المذکورة فیها إنّما هو من باب المثال،و اللّه العالم</w:t>
      </w:r>
      <w:r>
        <w:rPr>
          <w:rFonts w:eastAsia="IRNazanin" w:cs="IRNazanin"/>
          <w:color w:val="111111"/>
          <w:sz w:val="28"/>
          <w:szCs w:val="28"/>
          <w:rtl w:val="true"/>
          <w:lang w:bidi="fa-IR"/>
        </w:rPr>
        <w:t>.</w:t>
      </w:r>
    </w:p>
    <w:p>
      <w:pPr>
        <w:pStyle w:val="Heading4"/>
        <w:numPr>
          <w:ilvl w:val="3"/>
          <w:numId w:val="1"/>
        </w:numPr>
        <w:rPr/>
      </w:pPr>
      <w:bookmarkStart w:id="477" w:name="__RefHeading___Toc910282_774463916"/>
      <w:bookmarkStart w:id="478" w:name="_Toc175"/>
      <w:bookmarkEnd w:id="477"/>
      <w:r>
        <w:rPr>
          <w:rtl w:val="true"/>
        </w:rPr>
        <w:t>حرمة التصویر غیر مقیّدة بکون الصورة معجبة</w:t>
      </w:r>
      <w:bookmarkEnd w:id="478"/>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عمّمنا الحکم لغیر الحیوان مطلقا أو مع التجسیم فالظاهر أنّ المراد به ما کان مخلوقا للّه سبحانه علی هیئة خاصّة معجبة للناظر،و إلاّ فلا وجه للحرمة،و علی هذا فلا یحرم تصویر الصور لما هو من صنع البشر و إن کان علی هیئة معجبة،کالسیوف و الأبنیة و القصور و السیارات و الطیارات و الدبابات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یحرم تصویر الصور لما هو مخلوق للّه و لکن لا بهیئة معجبة،کالخشب و القصب و الشطوط و البحار و الأودیة و العرصات و نحوها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الإشکال فیما حکاه المصنّف عن کاشف اللثام فی مسألة کراهة الصلاة فی الثوب المشتمل علی التماثیل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عمّت الکراهة لتماثیل ذی الروح و غیرها کرهت الثیاب ذوات الأعلام،لشبه الأعلام بالأخشاب و القصبات و نحوها،و الثیاب المحشوة لشبه طرائقها المخیطة بها،بل الثیاب قاطبة لشبه خیوطها</w:t>
      </w:r>
    </w:p>
    <w:p>
      <w:pPr>
        <w:pStyle w:val="BookText"/>
        <w:rPr/>
      </w:pPr>
      <w:r>
        <w:rPr>
          <w:rFonts w:ascii="IRNazanin" w:hAnsi="IRNazanin" w:eastAsia="IRNazanin"/>
          <w:color w:val="111111"/>
          <w:sz w:val="28"/>
          <w:sz w:val="28"/>
          <w:szCs w:val="28"/>
          <w:rtl w:val="true"/>
          <w:lang w:bidi="fa-IR"/>
        </w:rPr>
        <w:t xml:space="preserve">الأخشاب و نحوها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دل علی حرمة التصویر لم یقیّد بکون الصورة أو ذی الصورة معجبة،فلا وجه لجعل الإعجاب شرطا فی حرمة التصویر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الإیروانی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الإعجاب الحاصل عند مشاهدة الصورة إنّما هو من نفس الصورة،لکشفها عن کمال مهارة النقاش و لو کانت صورة نمل أو دود،و لذا لا یحصل ذلک الإعجاب من مشاهدة ذی الصورة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حکاه عن کاشف اللثام فیرد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البحث هنا إنّما هو الشبه الخاص،بحیث یقال فی العرف إنّ هذا صورة ذاک،و من البدیهی أنّ مجرد کون الأعلام و الطرائق و الخیوط فی الثیاب علی هیئة الأخشاب و القصب لا یحقّق الشبه المذکور،و إلاّ فلا محیص عن الإشکال حتی بناء علی اختصاص الحکم بذوات الأرواح،لشبه أعلام الثیاب و طرائقها المخیطة بالحیات و الدیدان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حرمة التصویر قصد الحکایة کما سیأتی فی الفرع الآتی فصانع الثوب لم یقصد شباهته بشیء من ذوات الأرواح و غیرها،بل غرضه نسج الثوب فقط،و علیه فلا بأس بشباهته بشیء من الحیوانات و غیرها شباهة اتّفاقیة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قلنا بتعمیم الحکم لغیر الحیوان مطلقا أو فی الجملة فلا مناص من الالتزام بانصراف الأدلّة عمّا هو مصنوع للعباد،بدیهة أنّ إیجاد نفس ذی الصورة جائز،فإیجاد صورته أولی بالجواز</w:t>
      </w:r>
      <w:r>
        <w:rPr>
          <w:rFonts w:eastAsia="IRNazanin" w:cs="IRNazanin"/>
          <w:color w:val="111111"/>
          <w:sz w:val="28"/>
          <w:szCs w:val="28"/>
          <w:rtl w:val="true"/>
          <w:lang w:bidi="fa-IR"/>
        </w:rPr>
        <w:t>.</w:t>
      </w:r>
      <w:bookmarkStart w:id="479" w:name="pg5064_65466"/>
    </w:p>
    <w:p>
      <w:pPr>
        <w:pStyle w:val="Heading4"/>
        <w:numPr>
          <w:ilvl w:val="3"/>
          <w:numId w:val="1"/>
        </w:numPr>
        <w:rPr/>
      </w:pPr>
      <w:bookmarkStart w:id="480" w:name="__RefHeading___Toc910284_774463916"/>
      <w:bookmarkStart w:id="481" w:name="_Toc176"/>
      <w:bookmarkEnd w:id="479"/>
      <w:bookmarkEnd w:id="480"/>
      <w:r>
        <w:rPr>
          <w:rtl w:val="true"/>
        </w:rPr>
        <w:t>اعتبار قصد الحکایة فی حرمة التصویر</w:t>
      </w:r>
      <w:bookmarkEnd w:id="481"/>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قصد الحکایة و التمثیل،فلو دعت الحاجة إلی عمل شیء یکون شبیها بشیء من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حیوانا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قصد الحکایة فلا بأس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اعتبار قصد حکایة ذی الصورة فی حرمة التصویر،لأنّ المذکور فی الروایات النهی عن التصویر و التمثیل،و لا یصدق ذلک إذا حصل التشابه بالمصادفة و الاتّفاق من غیر قصد للحکایة،و هذا نظیر اعتبار قصد الحکایة فی صحة استعمال الألفاظ فی معانیها،و بدون ذلک لیس هناک استعمال و علیه فإذا احتاج أحد إلی عمل شیء من المکائن أو آلاتها أو غیرهما من الأشیاء اللازمة علی صورة حیوان فلا یکون ذلک حراما،لعدم صدق التصویر علیه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المثال الواضح لذلک الطائرات المصنوعة فی زماننا،فإنّها شبیهة بالطیور و مع ذلک لم یفعل صانعها فعلا محرّما،و لا یتوهّم أحد حتی الصبیان أنّ صانع الطائرة یصوّر صورة الطیر،بل إنّما غرضه صنع شیء آخر للمصلحة العامة،و کونه علی هیئة الطیر إنّما هو 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وجه لما توهّمه کاشف اللثام علی ما عرفت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عمّت الکراهة لتماثیل ذی الروح و غیرها کرهت الثیاب ذوات الأعلام،لشبه الأعلام بالأخشاب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النساج لم یقصد الحکایة فی فعله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بعضهم أنّ مراد المصنّف من کلامه فی هذا الفرع هو أن یکون الداعی إلی التصویر هو الاکتساب دون التمثیل،بأن یکون غرض المصوّر نظر الناس إلی الصور و التماثیل و إعطاء شیء بازاء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العجائب،لکونه غریبا عن کلام المصنّف،علی أنه من أوضح أفراد التصویر المحرّم،فکیف یحمل کلام المصنّف علیه</w:t>
      </w:r>
      <w:r>
        <w:rPr>
          <w:rFonts w:eastAsia="IRNazanin" w:cs="IRNazanin"/>
          <w:color w:val="111111"/>
          <w:sz w:val="28"/>
          <w:szCs w:val="28"/>
          <w:rtl w:val="true"/>
          <w:lang w:bidi="fa-IR"/>
        </w:rPr>
        <w:t>.</w:t>
      </w:r>
      <w:bookmarkStart w:id="482" w:name="pg5064_65467"/>
    </w:p>
    <w:p>
      <w:pPr>
        <w:pStyle w:val="Heading4"/>
        <w:numPr>
          <w:ilvl w:val="3"/>
          <w:numId w:val="1"/>
        </w:numPr>
        <w:rPr/>
      </w:pPr>
      <w:bookmarkStart w:id="483" w:name="__RefHeading___Toc910286_774463916"/>
      <w:bookmarkStart w:id="484" w:name="_Toc177"/>
      <w:bookmarkEnd w:id="482"/>
      <w:bookmarkEnd w:id="483"/>
      <w:r>
        <w:rPr>
          <w:rtl w:val="true"/>
        </w:rPr>
        <w:t>اعتبار الصدق العرفی فی حرمة التصویر</w:t>
      </w:r>
      <w:bookmarkEnd w:id="484"/>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أیضا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المرجع فی الصورة إلی العرف فلا یقدح فی الحرمة نقص بعض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تحقّق الصورة فی الخارج الصدق العرفی،فإنّ الأدلّة المتقدّمة التی دلّت علی حرمة التصویر إنّما تقتضی حرمة الصورة العرفیة التامّة الأعضاء و الجوارح،بحیث یصدق علیها أنّها مثال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صوّر أحد نصف حیوان من رأسه إلی وسطه أو بعض أجزائه فإن قدّر الباقی موجودا فهو حرام،کما إذا صوّر إنسانا جالسا لا یتبیّن نصف بدنه،أو کان بعض أجزائه ظاهرا و بعضه مقدّرا،بأن صوّر إنسانا وراء جدار أو فرس،أو یسبح فی الماء و رأسه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النصف فقط فلا یکون حراما،فإنّ الحیوان لا یصدق علی بعض أجزائه کرجله و یده و رأسه،نعم إذا صدق الحیوان علی هذا النصف کان تصویره حراما،و علی هذا فإذا صوّر صورة حیوان متفرّق الأجزاء فلا یکون ذلک حراما،فإذا رکّبها کان حراما لصدق التصویر علی الترکیب،و إذا کان الغرض تصویر بعض الأجزاء فقط ثم بدا له الإکمال حرم الإتمام فقط،فإنه مع قطع النظر عن الإتمام لیس تصویرا لذی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ظهر بطلان قول المحقّق الإیروانی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المحتمل قریبا حرمة کل جزء جزء أو حرمة ما یعم الجزء و الکل،فنقش کل جزء حرام مستقل إذا لم ینضم إلیه نقش بقیة الأجزاء،و إلاّ کان الکل مصداقا واحدا للحرام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کل فاعلا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اجتمع جمع علی قتل واحد،فإنّ الهیئة تحصل بفعل الجمیع،فلو لا نقش السابق للأجزاء السابقة لم تتحصّل الهیئة بفعل</w:t>
      </w:r>
      <w:bookmarkStart w:id="485" w:name="pg5064_65468"/>
    </w:p>
    <w:p>
      <w:pPr>
        <w:pStyle w:val="BookText"/>
        <w:rPr/>
      </w:pPr>
      <w:bookmarkEnd w:id="485"/>
      <w:r>
        <w:rPr>
          <w:rFonts w:ascii="IRNazanin" w:hAnsi="IRNazanin" w:eastAsia="IRNazanin"/>
          <w:color w:val="111111"/>
          <w:sz w:val="28"/>
          <w:sz w:val="28"/>
          <w:szCs w:val="28"/>
          <w:rtl w:val="true"/>
          <w:lang w:bidi="fa-IR"/>
        </w:rPr>
        <w:t xml:space="preserve">اللاحق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المقام لا یقاس باجتماع جمع علی قتل واحد،فإنّ الإعانة علی القتل حرام بالروایات المستفیضة بل المتواترة،بخلاف ما نحن فیه،فإنّ التصویر المحرم إنما یتحقّق بفعل اللاحق،و تحصل الهیئة المحرّمة بذلک،غایة الأمر أنّ نقش السابق للأجزاء السابقة یکون إعانة علی الإثم،و هی لیست بحرام کما عرفت فیما سبق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910288_774463916"/>
      <w:bookmarkStart w:id="487" w:name="_Toc178"/>
      <w:bookmarkEnd w:id="486"/>
      <w:r>
        <w:rPr>
          <w:rtl w:val="true"/>
        </w:rPr>
        <w:t>جواز أخذ العکس المتعارف</w:t>
      </w:r>
      <w:bookmarkEnd w:id="487"/>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الأدلّة المتقدّمة الناهیة عن التصویر و التمثیل هو النهی عن إیجاد الصورة،کما أنّ النهی عن سائر الأفعال المحرّمة نهی عن إیجادها فی الخارج،و علیه فلا یفرق فی حرمة التصویر بین أن یکون بالید أو بالطبع أو بالصیاغة أو بالنسج،سواء أکان ذلک أمرا دفعیا کما إذا کان بالآلة الطابعة أم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المنهج فلا یحرم أخذ العکس المتعارف فی زماننا،لعدم کونه إیجادا للصورة المحرّمة،و إنّما هو أخذ للظل و إبقاء له بواسطة الدواء،فإنّ الإنسان إذا وقف فی مقابل المکینة العکاسة کان حائلا بینها و بین النور،فیقع ظلّه علی المکینة،و یثبت فیها لأجل الدواء،فیکون صورة لذی ظل،و أین هذا من التصویر المحرّم؟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 قبیل وضع شیء من الأدویة علی الجدران أو الأجسام الصیقلیة لتثبت فیها الأظلال و الصور المرتسمة،فهل یتوهّم أحد حرمته من جهة حرمة</w:t>
      </w:r>
    </w:p>
    <w:p>
      <w:pPr>
        <w:pStyle w:val="BookText"/>
        <w:rPr/>
      </w:pPr>
      <w:r>
        <w:rPr>
          <w:rFonts w:ascii="IRNazanin" w:hAnsi="IRNazanin" w:eastAsia="IRNazanin"/>
          <w:color w:val="111111"/>
          <w:sz w:val="28"/>
          <w:sz w:val="28"/>
          <w:szCs w:val="28"/>
          <w:rtl w:val="true"/>
          <w:lang w:bidi="fa-IR"/>
        </w:rPr>
        <w:t>التصویر،و إلاّ لزمه القول بحرمة النظر إلی المرآة،إذ لا یفرق فی حرمة التصویر بین بقاء الصورة مدّة قلیلة أو مدّة مدیدة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اشتهر انطباع صور الأشیاء فی شجرة الجوز فی بعض الأحیان،و لا نحتمل أن یتفوّه أحد بحرمة الوقوف فی مقابلها فی ذلک الوقت بدعوی کونه تصویرا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نتصوّر حرمة أخذ العکس المتعارف،لا من جهة الوقوف فی مقابل المکینة العکاسة،و لا من جهة إبقاء الظل فیها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آنفا أنّ المناط فی حرمة التصویر قصد الحکایة و الصدق العرفی،و علیه فیحرم تصویر الصورة للحیوانات مطلقا،سواء ما کان منها فردا لنوع من الحیوانات الموجودة و ما لم یکن کذلک،کالعنقاء و نحوه من الحیوانات الخیالیة،و ذلک لإطلاق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صوّر صورة مشترکة بین الحیوان و غیره لم یکن ذلک حراما،إلاّ إذا قصد الحکایة عن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اشترک أشخاص عدیدون فی صنعة صورة محرّمة،فإن قصد کل واحد منهم التصویر المحرّم فهو حرام،و إلاّ فلا یحرم غیر ترکیب الأجزاء المتشتّتة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فی البحث عن حرمة تغریر الجاهل </w:t>
      </w:r>
      <w:r>
        <w:rPr>
          <w:rStyle w:val="FootnoteAnchor"/>
          <w:rtl w:val="true"/>
        </w:rPr>
        <w:footnoteReference w:id="730"/>
      </w:r>
      <w:r>
        <w:rPr>
          <w:rFonts w:ascii="IRNazanin" w:hAnsi="IRNazanin" w:eastAsia="IRNazanin"/>
          <w:color w:val="111111"/>
          <w:sz w:val="28"/>
          <w:sz w:val="28"/>
          <w:szCs w:val="28"/>
          <w:rtl w:val="true"/>
          <w:lang w:bidi="fa-IR"/>
        </w:rPr>
        <w:t>أنّ إلقاء الغیر فی الحرام الواقعی حرام،و علیه فلا فرق فی حرمة التصویر بین المباشرة و التسبیب</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عرفت فی المبحث المذکور أنّ نفس الأدلّة الأولیة تقتضی عدم الفرق بین المباشرة و التسبیب فی إیجاد المحرّمات،و علی هذا فلا نحتاج فی استفادة التعمیم إلی</w:t>
      </w:r>
      <w:bookmarkStart w:id="488" w:name="pg5064_65470"/>
    </w:p>
    <w:p>
      <w:pPr>
        <w:pStyle w:val="BookText"/>
        <w:rPr/>
      </w:pPr>
      <w:bookmarkEnd w:id="488"/>
      <w:r>
        <w:rPr>
          <w:rFonts w:ascii="IRNazanin" w:hAnsi="IRNazanin" w:eastAsia="IRNazanin"/>
          <w:color w:val="111111"/>
          <w:sz w:val="28"/>
          <w:sz w:val="28"/>
          <w:szCs w:val="28"/>
          <w:rtl w:val="true"/>
          <w:lang w:bidi="fa-IR"/>
        </w:rPr>
        <w:t>القرینة و ملاحظة المناط کما فی حاشیة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910290_774463916"/>
      <w:bookmarkStart w:id="490" w:name="_Toc179"/>
      <w:bookmarkEnd w:id="489"/>
      <w:r>
        <w:rPr>
          <w:rtl w:val="true"/>
        </w:rPr>
        <w:t>ما استدل به علی حرمة اقتناء الصور المحرّمة</w:t>
      </w:r>
      <w:bookmarkEnd w:id="490"/>
    </w:p>
    <w:p>
      <w:pPr>
        <w:pStyle w:val="Heading4"/>
        <w:numPr>
          <w:ilvl w:val="3"/>
          <w:numId w:val="1"/>
        </w:numPr>
        <w:rPr/>
      </w:pPr>
      <w:bookmarkStart w:id="491" w:name="__RefHeading___Toc910292_774463916"/>
      <w:bookmarkStart w:id="492" w:name="_Toc180"/>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و الجواب عنه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 جواز اقتناء ما حرم عمله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یجوز اقتناء الصور المحرّمة أو لا؟فیه قولان،فالمحکی عن شرح الإرشاد للمحقّق الأردبیلی </w:t>
      </w:r>
      <w:r>
        <w:rPr>
          <w:rStyle w:val="FootnoteAnchor"/>
          <w:rtl w:val="true"/>
        </w:rPr>
        <w:footnoteReference w:id="732"/>
      </w:r>
      <w:r>
        <w:rPr>
          <w:rFonts w:ascii="IRNazanin" w:hAnsi="IRNazanin" w:eastAsia="IRNazanin"/>
          <w:color w:val="111111"/>
          <w:sz w:val="28"/>
          <w:sz w:val="28"/>
          <w:szCs w:val="28"/>
          <w:rtl w:val="true"/>
          <w:lang w:bidi="fa-IR"/>
        </w:rPr>
        <w:t xml:space="preserve">،و عن جامع المقاصد للمحقّق الثانی </w:t>
      </w:r>
      <w:r>
        <w:rPr>
          <w:rStyle w:val="FootnoteAnchor"/>
          <w:rtl w:val="true"/>
        </w:rPr>
        <w:footnoteReference w:id="733"/>
      </w:r>
      <w:r>
        <w:rPr>
          <w:rFonts w:ascii="IRNazanin" w:hAnsi="IRNazanin" w:eastAsia="IRNazanin"/>
          <w:color w:val="111111"/>
          <w:sz w:val="28"/>
          <w:sz w:val="28"/>
          <w:szCs w:val="28"/>
          <w:rtl w:val="true"/>
          <w:lang w:bidi="fa-IR"/>
        </w:rPr>
        <w:t>هو الجواز إلاّ أنّ المعروف بین القدماء حرمة بیع التماثیل و ابتیاعها و التکسّب بها،بل حرمة اقتنائها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حرمة اقتنائها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و الإیجاد فی الحقیقة شیء واحد،و إنّما یختلفان بالاعتبار،فإنّ الصادر من الفاعل بالنسبة إلیه إیجاد،و بالنسبة إلی القابل وجود فإذا حرم الإیجاد حرم الوجود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الإیجاد و إن کان ملازما لحرمة الوجود،إلاّ أنّ الکلام هنا لیس فی الوجود الأول الذی هو عین الإیجاد أو لازمه،بل فی الوجود فی الآن الثانی الذی هو عبارة عن البقاء،و من البدیهی أنه لا ملازمة بین الحدوث و البقاء لا حکما و لا موضوعا،و علیه فما یدل علی حرمة الإیجاد لا یدل علی حرمة الوجود بقاء سواء کان صدوره من الفاعل عصیانا أم نسیانا أم غفلة،إلاّ إذا قامت قرینة علی</w:t>
      </w:r>
    </w:p>
    <w:p>
      <w:pPr>
        <w:pStyle w:val="BookText"/>
        <w:rPr/>
      </w:pPr>
      <w:r>
        <w:rPr>
          <w:rFonts w:ascii="IRNazanin" w:hAnsi="IRNazanin" w:eastAsia="IRNazanin"/>
          <w:color w:val="111111"/>
          <w:sz w:val="28"/>
          <w:sz w:val="28"/>
          <w:szCs w:val="28"/>
          <w:rtl w:val="true"/>
          <w:lang w:bidi="fa-IR"/>
        </w:rPr>
        <w:t>ذلک،کدلالة حرمة تنجیس المسجد علی وجوب إزالة النجاسة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یجب إبقاء النتیجة و إن کان الفعل حراما،کما إذا کتب القرآن علی ورق مغصوب أو بحبر مغصوب،أو کتبه العبد بدون إذن مولاه،أو بنی مسجدا بدون إذنه،أو تولّد أحد من الزنا،فإنّ فی ذلک کلّه یجب حفظ النتیجة و إن کانت المقدّمة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متّحد مع الإیجاد لیس موردا للبحث،و ما هو مورد للبحث لا دلیل علی اتّحاده مع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الإیجاد کاشف عن مبغوضیة الوجود المستمر فی عمود الزمان،کما أنّ النهی عن بیع العبد المسلم من الکافر حدوثا یکشف عن حرمة ملکیته له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النهی عن بیع العبد المسلم من الکافر إن تم فهو یدل علی وجوب إزالة علاقة الکافر عنه کما سیأتی بیان ذلک فی محلّه </w:t>
      </w:r>
      <w:r>
        <w:rPr>
          <w:rStyle w:val="FootnoteAnchor"/>
          <w:rtl w:val="true"/>
        </w:rPr>
        <w:footnoteReference w:id="734"/>
      </w:r>
      <w:r>
        <w:rPr>
          <w:rFonts w:ascii="IRNazanin" w:hAnsi="IRNazanin" w:eastAsia="IRNazanin"/>
          <w:color w:val="111111"/>
          <w:sz w:val="28"/>
          <w:sz w:val="28"/>
          <w:szCs w:val="28"/>
          <w:rtl w:val="true"/>
          <w:lang w:bidi="fa-IR"/>
        </w:rPr>
        <w:t>و لا یفرق فی ذلک بین الحدوث و البقاء،بخلاف ما نحن فیه،إذ قد عرفت أنّ مجرد وجود الدلیل علی حرمة الإیجاد لا یدل علی حرمة الإبقاء إلاّ إذا کان محفوفا بالقرائن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إذا سلّمنا الملازمة بین مبغوضیة الإیجاد و بین مبغوضیة الوجود فإنّما یتم بالنسبة إلی الفاعل فقط،فیجب علیه إتلافه دون غیره،مع أنّ المدّعی وجوب إتلافه علی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فالدلیل أخص منه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صنعة التصاویر لذوات الأرواح من المحرّمات الشرعیة و قد 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صنعة صنوف التصاویر ما لم یکن مثال الروحانی</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و کل صنعة یجیء منها الفساد محضا من دون أن</w:t>
      </w:r>
    </w:p>
    <w:p>
      <w:pPr>
        <w:pStyle w:val="BookText"/>
        <w:rPr/>
      </w:pPr>
      <w:r>
        <w:rPr>
          <w:rFonts w:ascii="IRNazanin" w:hAnsi="IRNazanin" w:eastAsia="IRNazanin"/>
          <w:color w:val="111111"/>
          <w:sz w:val="28"/>
          <w:sz w:val="28"/>
          <w:szCs w:val="28"/>
          <w:rtl w:val="true"/>
          <w:lang w:bidi="fa-IR"/>
        </w:rPr>
        <w:t>یکون فیها وجه من وجوه الصلاح فهی محرّمة،و قد دلّ علی ذلک ما فی روایة تحف العقول من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اللّه الصناعة التی هی حرام کلّها التی یجیء منها الفساد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منه و فیه شیء من وجوه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یجیء منه الفساد محضا یحرم جمیع التقلّب فیه،و منه الاقتناء و البیع،و قد 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التقلّب فیه من جمیع وجوه الحرکات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أمر یکون فیه الفساد ممّا هو منهی عنه،إلی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حرام محرّم بیعه و شراؤه و إمساکه و ملکه و هبته و عاریته و جمیع التقلّب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السند،فلا یجوز الاستناد إلیها فی شیء من المسائل الشرعیة کما عرفته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لا ملازمة بین حرمة عمل شیء و بین حرمة بیعه و اقتنائه و التصرف فیه و التکسّب به،و من هنا نقول بحرمة الزنا و لا نقول بحرمة تربیة أولاد الزنا،بل یجب حفظهم لکونهم محقونی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عمل التصاویر ممّا یجیء منه الفساد محضا،فإنه کثیرا ما تترتّب علیه المنافع المحلّلة من التعلیم و التعلّم و حفظ صور بعض الأعاظم و نحو ذلک من المنافع المباحة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الخبر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صورة إلاّ محوتها</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الإیروانی من أنه وارد فی موضوع شخصی،فلعلّ تصاویر المدینة کانت أصناما،و کلابها مؤذیات</w:t>
      </w:r>
    </w:p>
    <w:p>
      <w:pPr>
        <w:pStyle w:val="BookText"/>
        <w:rPr/>
      </w:pPr>
      <w:r>
        <w:rPr>
          <w:rFonts w:ascii="IRNazanin" w:hAnsi="IRNazanin" w:eastAsia="IRNazanin"/>
          <w:color w:val="111111"/>
          <w:sz w:val="28"/>
          <w:sz w:val="28"/>
          <w:szCs w:val="28"/>
          <w:rtl w:val="true"/>
          <w:lang w:bidi="fa-IR"/>
        </w:rPr>
        <w:t xml:space="preserve">و قبورها مسنمات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عدم صلاحیة اللعب بالتماثیل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الصلاحیة أعم من الحرمة،فلا یدل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دلالته علی حرمة اللعب بها فلا ملازمة بین حرمته و حرمة اقتنائها،فإنّ حرمة اللعب أعم من حرمة الاقتناء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غریب عمّا نحن فیه،إذ من المحتمل القریب أن یراد من التماثیل فی هذه الطائفة من الروایة الشطرنج،و الوجه فی صحة إطلاق التماثیل علیه هو أنّ القطع التی یلعب بها فی الشطرنج علی ستّة أصناف،و کل صنف علی صورة،کالشاة و الفرزان </w:t>
      </w:r>
      <w:r>
        <w:rPr>
          <w:rStyle w:val="FootnoteAnchor"/>
          <w:rtl w:val="true"/>
        </w:rPr>
        <w:footnoteReference w:id="739"/>
      </w:r>
      <w:r>
        <w:rPr>
          <w:rFonts w:ascii="IRNazanin" w:hAnsi="IRNazanin" w:eastAsia="IRNazanin"/>
          <w:color w:val="111111"/>
          <w:sz w:val="28"/>
          <w:sz w:val="28"/>
          <w:szCs w:val="28"/>
          <w:rtl w:val="true"/>
          <w:lang w:bidi="fa-IR"/>
        </w:rPr>
        <w:t xml:space="preserve">و الفیل و الفرس و الرخ </w:t>
      </w:r>
      <w:r>
        <w:rPr>
          <w:rStyle w:val="FootnoteAnchor"/>
          <w:rtl w:val="true"/>
        </w:rPr>
        <w:footnoteReference w:id="740"/>
      </w:r>
      <w:r>
        <w:rPr>
          <w:rFonts w:ascii="IRNazanin" w:hAnsi="IRNazanin" w:eastAsia="IRNazanin"/>
          <w:color w:val="111111"/>
          <w:sz w:val="28"/>
          <w:sz w:val="28"/>
          <w:szCs w:val="28"/>
          <w:rtl w:val="true"/>
          <w:lang w:bidi="fa-IR"/>
        </w:rPr>
        <w:t xml:space="preserve">و البیذق </w:t>
      </w:r>
      <w:r>
        <w:rPr>
          <w:rStyle w:val="FootnoteAnchor"/>
          <w:rtl w:val="true"/>
        </w:rPr>
        <w:footnoteReference w:id="741"/>
      </w:r>
      <w:r>
        <w:rPr>
          <w:rFonts w:ascii="IRNazanin" w:hAnsi="IRNazanin" w:eastAsia="IRNazanin"/>
          <w:color w:val="111111"/>
          <w:sz w:val="28"/>
          <w:sz w:val="28"/>
          <w:szCs w:val="28"/>
          <w:rtl w:val="true"/>
          <w:lang w:bidi="fa-IR"/>
        </w:rPr>
        <w:t>و قد صوّر هذه القطع فی کتاب المنجد فراجع</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ذکرناه من إرادة الشطرنج من التماثیل أنّا لا نتصوّر معنی لحرمة</w:t>
      </w:r>
    </w:p>
    <w:p>
      <w:pPr>
        <w:pStyle w:val="BookText"/>
        <w:rPr/>
      </w:pPr>
      <w:r>
        <w:rPr>
          <w:rFonts w:ascii="IRNazanin" w:hAnsi="IRNazanin" w:eastAsia="IRNazanin"/>
          <w:color w:val="111111"/>
          <w:sz w:val="28"/>
          <w:sz w:val="28"/>
          <w:szCs w:val="28"/>
          <w:rtl w:val="true"/>
          <w:lang w:bidi="fa-IR"/>
        </w:rPr>
        <w:t>اللعب بالتصاویر المتعارفة کما هو واضح،و علیه فما دل علی حرمة اللعب بها إنّما هو من أدلّة حرمة اللعب بالشطرنج،و لا أقل من الاحتمال،فلا یبقی له ظهور فی إرادة الصور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البقباق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 عند الاستدلال علی حرمة التصویر</w:t>
      </w:r>
      <w:r>
        <w:rPr>
          <w:rFonts w:eastAsia="IRNazanin" w:cs="IRNazanin"/>
          <w:color w:val="111111"/>
          <w:sz w:val="28"/>
          <w:szCs w:val="28"/>
          <w:rtl w:val="true"/>
          <w:lang w:bidi="fa-IR"/>
        </w:rPr>
        <w:t xml:space="preserve">- </w:t>
      </w:r>
      <w:r>
        <w:rPr>
          <w:rStyle w:val="FootnoteAnchor"/>
          <w:rtl w:val="true"/>
        </w:rPr>
        <w:footnoteReference w:id="742"/>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w:t>
      </w:r>
      <w:r>
        <w:rPr>
          <w:rStyle w:val="FootnoteAnchor"/>
          <w:rtl w:val="true"/>
        </w:rPr>
        <w:footnoteReference w:id="74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هی تماثیل الرجال و النساء و لکنّها الشجر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ظاهر الروایة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أنکر مشیئة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الصنف من التماثیل،فتکون دالّة علی مبغوضیة وجود التماثیل و حرمة اقتنائها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الروایة رجوع الإنکار إلی کون التصاویر المعمولة لسلیمان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الرجال و النساء،فلا تدل الروایة علی مبغوضیة العمل فضلا عن مبغوضیة المعمول،و الوجه فیه هو أنّ عمل تصاویر الرجال و النساء و اقتناءها من الامور اللاهیة غیر اللائقة بمنصب الأعاظم و المراجع من العلماء و الروحانیین،فضلا عن مقام النبوّة،فإنّ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و أن یکون راغبا عن الدنیا و زخرفها،و أمّا عمل الصور و جمعها فمن لعب الصبیان و شغل المجانین و السفهاء،فلا یلیق بمنصب النبوّة،بخلاف تصاویر الشجر و شبهه فإنّها غیر منافیة لذلک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الصانعین للتماثیل هم الجن،و إنّما یتم الاستدلال بالروایة علی</w:t>
      </w:r>
    </w:p>
    <w:p>
      <w:pPr>
        <w:pStyle w:val="BookText"/>
        <w:rPr/>
      </w:pPr>
      <w:r>
        <w:rPr>
          <w:rFonts w:ascii="IRNazanin" w:hAnsi="IRNazanin" w:eastAsia="IRNazanin"/>
          <w:color w:val="111111"/>
          <w:sz w:val="28"/>
          <w:sz w:val="28"/>
          <w:szCs w:val="28"/>
          <w:rtl w:val="true"/>
          <w:lang w:bidi="fa-IR"/>
        </w:rPr>
        <w:t>حرمة اقتناء الصور إذا قلنا بحرمة التصویر علی الجن کحرمته علی الإنس،و 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لیس فی عمل الصور،بل فی اقتنائها،و من الواضح أنه یعود إلی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حسنة زرارة المتقدّمة فی الحاشیة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یکون التماثیل فی البیوت إذا غیّرت رؤوسها منها و ترک ما 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بمفهومها دالّة علی ثبوت البأس إذا لم یغیّر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حمل البأس فیها علی الکراهة للصلاة،و علیه فتدل الروایة علی جواز اقتناء الصور مع قطع النظر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فی روایة قرب الاسناد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فیما لا یعلم شیء،فإذا علم فلینزع الستر و لیکسر رؤوس التماثیل</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فإنّ الظاهر أنّ الأمر بکسر رؤوس التصاویر لأجل کون البیت معدّا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عمّا ذکرناه و تسلیم أنّ البأس ظاهر فی المنع فالروایة معارضة بما دلّ علی جواز الاقتناء کما سیأتی،و یضاف إلی جمیع ذلک أنّها ضعیفة السند و مجهولة الراوی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کراهة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الصور فی البیوت </w:t>
      </w:r>
      <w:r>
        <w:rPr>
          <w:rStyle w:val="FootnoteAnchor"/>
          <w:rtl w:val="true"/>
        </w:rPr>
        <w:footnoteReference w:id="746"/>
      </w:r>
      <w:r>
        <w:rPr>
          <w:rFonts w:ascii="IRNazanin" w:hAnsi="IRNazanin" w:eastAsia="IRNazanin"/>
          <w:color w:val="111111"/>
          <w:sz w:val="28"/>
          <w:sz w:val="28"/>
          <w:szCs w:val="28"/>
          <w:rtl w:val="true"/>
          <w:lang w:bidi="fa-IR"/>
        </w:rPr>
        <w:t>،فإنّه بضمیمة ما دل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یکره الحلال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یدل علی حرمة اقتناء الصور فی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الحلال الذی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یکرهه المباح المتساوی طرفاه،لا ما یقابل الحرمة،لأنّ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یکره المکروه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 الکراهة المذکورة فی الروایة الاولی أعم من الحرمة و الکراهة المصطلحة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دلالة فیها أیضا علی حرمة اقتناء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الحلبی </w:t>
      </w:r>
      <w:r>
        <w:rPr>
          <w:rStyle w:val="FootnoteAnchor"/>
          <w:rtl w:val="true"/>
        </w:rPr>
        <w:footnoteReference w:id="748"/>
      </w:r>
      <w:r>
        <w:rPr>
          <w:rFonts w:ascii="IRNazanin" w:hAnsi="IRNazanin" w:eastAsia="IRNazanin"/>
          <w:color w:val="111111"/>
          <w:sz w:val="28"/>
          <w:sz w:val="28"/>
          <w:szCs w:val="28"/>
          <w:rtl w:val="true"/>
          <w:lang w:bidi="fa-IR"/>
        </w:rPr>
        <w:t>فقد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بتغییر رأس الصورة و جعلها کهیئة الشجر،فتدل علی حرمة إبقاء الصور من غیر تغییر فیها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بتغییر الصورة فی الطنفسة التی اهدیت إلیه لیس إلاّ کفعله بنفسه،و من الواضح أنّ فعل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الوجوب،و لا یقاس ذلک بسائر الأوامر الصادرة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الدالّة علی الوجوب،و قد تقدّم </w:t>
      </w:r>
      <w:r>
        <w:rPr>
          <w:rStyle w:val="FootnoteAnchor"/>
          <w:rtl w:val="true"/>
        </w:rPr>
        <w:footnoteReference w:id="749"/>
      </w:r>
      <w:r>
        <w:rPr>
          <w:rFonts w:ascii="IRNazanin" w:hAnsi="IRNazanin" w:eastAsia="IRNazanin"/>
          <w:color w:val="111111"/>
          <w:sz w:val="28"/>
          <w:sz w:val="28"/>
          <w:szCs w:val="28"/>
          <w:rtl w:val="true"/>
          <w:lang w:bidi="fa-IR"/>
        </w:rPr>
        <w:t xml:space="preserve">نظیر ذلک فی البحث عن بیع الدراهم المغشوشة من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الدرهم المغشوش و إلقائه فی البالوعة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الروایة مرسلة فلا یجوز الاستناد إلیها</w:t>
      </w:r>
      <w:r>
        <w:rPr>
          <w:rFonts w:eastAsia="IRNazanin" w:cs="IRNazanin"/>
          <w:color w:val="111111"/>
          <w:sz w:val="28"/>
          <w:szCs w:val="28"/>
          <w:rtl w:val="true"/>
          <w:lang w:bidi="fa-IR"/>
        </w:rPr>
        <w:t>.</w:t>
      </w:r>
      <w:bookmarkStart w:id="493" w:name="pg5064_65477"/>
    </w:p>
    <w:p>
      <w:pPr>
        <w:pStyle w:val="BookText"/>
        <w:rPr/>
      </w:pPr>
      <w:bookmarkEnd w:id="493"/>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محمد بن مسلم المتقدّمة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تماثیل الشجر و الشمس و القمر،فقال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یکن شیئا من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ظاهرة فی حرمة اقتناء الصور المحرّمة،فإنّ التماثیل جمع تمثال بالفتح،و یجمع علی تمثالات و علیه فالسؤال عن التماثیل إنّما هو سؤال عن الصور الموجودة فی الخارج،فلا بدّ و أن یحمل علی الامور المناسبة لها من البیع و الشراء و الاقتناء و التزیین و نحوها،لا علی نفس عمل الصور،کما أنّ السؤال عن بقیة الأشیاء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المأکولات و المشروبات و المرکوبات و المنکوحات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عن الأفعال المناسبة لها و الطارئة علیها بعد کونها موجودة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فالصحیحة دالّة علی حرمة اقتناء الصور المحرّمة و بیعها و شرائها و التزیین بها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الإیروانی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أمّا عن الصحیحة فبعد تسلیم أنّ السؤال فیها عن حکم الاقتناء و کون اقتنائها من منافعها،أنّ غایة ما یستفاد منها ثبوت البأس،و هو أعمّ من التحریم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 البأس ظاهرة فی المنع ما لم یثبت الترخیص من القرائن الحالیة أو المقالیة،کما أنّ مقابلها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کلمة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الجواز المطلق</w:t>
      </w:r>
      <w:r>
        <w:rPr>
          <w:rFonts w:eastAsia="IRNazanin" w:cs="IRNazanin"/>
          <w:color w:val="111111"/>
          <w:sz w:val="28"/>
          <w:szCs w:val="28"/>
          <w:rtl w:val="true"/>
          <w:lang w:bidi="fa-IR"/>
        </w:rPr>
        <w:t>.</w:t>
      </w:r>
    </w:p>
    <w:p>
      <w:pPr>
        <w:pStyle w:val="Heading4"/>
        <w:numPr>
          <w:ilvl w:val="3"/>
          <w:numId w:val="1"/>
        </w:numPr>
        <w:rPr/>
      </w:pPr>
      <w:bookmarkStart w:id="494" w:name="__RefHeading___Toc910294_774463916"/>
      <w:bookmarkStart w:id="495" w:name="_Toc181"/>
      <w:bookmarkEnd w:id="494"/>
      <w:r>
        <w:rPr>
          <w:rtl w:val="true"/>
        </w:rPr>
        <w:t>مقتضی الجمع بین الروایات هو کراهة الاقتناء</w:t>
      </w:r>
      <w:bookmarkEnd w:id="49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ظاهرة فی التحریم،إلاّ أنّها معارضة بما دلّ علی جواز اقتناء الصور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،فلا بدّ من حملها علی الکراهة،کغیرها من الأخبار المتقدّمة لو سلّمت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دلالتها علی الحرمة،بل الظاهر من بعضها أنّ النهی عن اقتناء الصور فی البیوت إنّما هو من جهة کراهة الصلاة إلیها،و علیه فلا یکره الاقتناء فی غیر بیوت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المصنّف هنا جملة من الروایات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لکنّها ضعیفة السند</w:t>
      </w:r>
      <w:r>
        <w:rPr>
          <w:rFonts w:eastAsia="IRNazanin" w:cs="IRNazanin"/>
          <w:color w:val="111111"/>
          <w:sz w:val="28"/>
          <w:szCs w:val="28"/>
          <w:rtl w:val="true"/>
          <w:lang w:bidi="fa-IR"/>
        </w:rPr>
        <w:t>.</w:t>
      </w:r>
      <w:bookmarkStart w:id="496" w:name="pg5064_65480"/>
    </w:p>
    <w:p>
      <w:pPr>
        <w:pStyle w:val="BookText"/>
        <w:rPr/>
      </w:pPr>
      <w:bookmarkEnd w:id="496"/>
      <w:r>
        <w:rPr>
          <w:rFonts w:ascii="IRNazanin" w:hAnsi="IRNazanin" w:eastAsia="IRNazanin"/>
          <w:color w:val="111111"/>
          <w:sz w:val="28"/>
          <w:sz w:val="28"/>
          <w:szCs w:val="28"/>
          <w:rtl w:val="true"/>
          <w:lang w:bidi="fa-IR"/>
        </w:rPr>
        <w:t>ثم إنّ مقتضی العمومات الدالّة علی حلّیة البیع و نفوذه هو جواز بیع الصور و إن کان عملها حراما،لعدم الدلیل علی حرمة بیعها وضعا و تکلیفا،بل الظاهر من بعض الأحادیث الدالّة علی جواز إبقاء الصور هو جواز بیعها،فإنّ المذکور فیها جواز اقتناء الثیاب و البسط و الوسائد التی فیها الصور،و من الواضح جدّا أنها تبتاع من السوق غالبا،و قد ذکرنا جملة منها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المحرّم هو خصوص تصویر الصور لذوات الأرواح فقط،و أمّا اقتناؤها و تزیین البیوت بها و بیعها و شراؤها فلا إشکال فی جوازها</w:t>
      </w:r>
      <w:r>
        <w:rPr>
          <w:rFonts w:eastAsia="IRNazanin" w:cs="IRNazanin"/>
          <w:color w:val="111111"/>
          <w:sz w:val="28"/>
          <w:szCs w:val="28"/>
          <w:rtl w:val="true"/>
          <w:lang w:bidi="fa-IR"/>
        </w:rPr>
        <w:t>.</w:t>
      </w:r>
    </w:p>
    <w:p>
      <w:pPr>
        <w:pStyle w:val="Heading4"/>
        <w:numPr>
          <w:ilvl w:val="3"/>
          <w:numId w:val="1"/>
        </w:numPr>
        <w:rPr/>
      </w:pPr>
      <w:bookmarkStart w:id="497" w:name="__RefHeading___Toc910296_774463916"/>
      <w:bookmarkStart w:id="498" w:name="_Toc182"/>
      <w:bookmarkEnd w:id="497"/>
      <w:r>
        <w:rPr>
          <w:rtl w:val="true"/>
        </w:rPr>
        <w:t>جواز بیع الصور المحرّمة</w:t>
      </w:r>
      <w:bookmarkEnd w:id="4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الکراهة الجمع بین اقتناء الصور و التماثیل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لا دلیل علی حرمة اقتناء الصور المحرّمة،و أنّ مقتضی الجمع بین ما دلّ علی جواز الاقتناء و بین ما دلّ علی الحرمة هو حمل الثانی علی الکراهة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ذلک أیضا الأخبار المستفیضة </w:t>
      </w:r>
      <w:r>
        <w:rPr>
          <w:rStyle w:val="FootnoteAnchor"/>
          <w:rtl w:val="true"/>
        </w:rPr>
        <w:footnoteReference w:id="752"/>
      </w:r>
      <w:r>
        <w:rPr>
          <w:rFonts w:ascii="IRNazanin" w:hAnsi="IRNazanin" w:eastAsia="IRNazanin"/>
          <w:color w:val="111111"/>
          <w:sz w:val="28"/>
          <w:sz w:val="28"/>
          <w:szCs w:val="28"/>
          <w:rtl w:val="true"/>
          <w:lang w:bidi="fa-IR"/>
        </w:rPr>
        <w:t>المصرّحة بأنّ الملائکة لا تدخل بیتا</w:t>
      </w:r>
    </w:p>
    <w:p>
      <w:pPr>
        <w:pStyle w:val="BookText"/>
        <w:rPr/>
      </w:pPr>
      <w:r>
        <w:rPr>
          <w:rFonts w:ascii="IRNazanin" w:hAnsi="IRNazanin" w:eastAsia="IRNazanin"/>
          <w:color w:val="111111"/>
          <w:sz w:val="28"/>
          <w:sz w:val="28"/>
          <w:szCs w:val="28"/>
          <w:rtl w:val="true"/>
          <w:lang w:bidi="fa-IR"/>
        </w:rPr>
        <w:t xml:space="preserve">فیه صورة أو کلب أو إناء یبال فیه،و فی بعض أحادیث العامّة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الملائکة بیتا فیه کلب و لا صورة 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أحادیثنا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إضافة الجنب إلی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الجنب و الکلب و الإناء الذی یبال فیه فی البیوت لیس من الامور المحرّمة فی الشریعة المقدّسة،بل هو مکروه،و اتّحاد السیاق یقتضی کون اقتناء الصور فیها أیضا مکروها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فیما ذکرناه من جواز اقتناء الصور و بیعها و شرائها بین کونها مجسّمة و غیر مجسّمة،لاتّحاد الأدلّة نفیا و إثباتا کما عرفت</w:t>
      </w:r>
      <w:r>
        <w:rPr>
          <w:rFonts w:eastAsia="IRNazanin" w:cs="IRNazanin"/>
          <w:color w:val="111111"/>
          <w:sz w:val="28"/>
          <w:szCs w:val="28"/>
          <w:rtl w:val="true"/>
          <w:lang w:bidi="fa-IR"/>
        </w:rPr>
        <w:t>.</w:t>
      </w:r>
      <w:bookmarkStart w:id="499" w:name="pg5064_65482"/>
    </w:p>
    <w:p>
      <w:pPr>
        <w:pStyle w:val="Heading3"/>
        <w:numPr>
          <w:ilvl w:val="2"/>
          <w:numId w:val="1"/>
        </w:numPr>
        <w:rPr/>
      </w:pPr>
      <w:bookmarkStart w:id="500" w:name="__RefHeading___Toc910298_774463916"/>
      <w:bookmarkStart w:id="501" w:name="_Toc183"/>
      <w:bookmarkEnd w:id="499"/>
      <w:bookmarkEnd w:id="500"/>
      <w:r>
        <w:rPr>
          <w:rtl w:val="true"/>
        </w:rPr>
        <w:t>حرمة التطفیف و البخس</w:t>
      </w:r>
      <w:bookmarkEnd w:id="501"/>
    </w:p>
    <w:p>
      <w:pPr>
        <w:pStyle w:val="Heading4"/>
        <w:numPr>
          <w:ilvl w:val="3"/>
          <w:numId w:val="1"/>
        </w:numPr>
        <w:rPr/>
      </w:pPr>
      <w:bookmarkStart w:id="502" w:name="__RefHeading___Toc910300_774463916"/>
      <w:bookmarkStart w:id="503" w:name="_Toc184"/>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التطفیف حرام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التطفیف </w:t>
      </w:r>
      <w:r>
        <w:rPr>
          <w:rStyle w:val="FootnoteAnchor"/>
          <w:rtl w:val="true"/>
        </w:rPr>
        <w:footnoteReference w:id="754"/>
      </w:r>
      <w:r>
        <w:rPr>
          <w:rFonts w:ascii="IRNazanin" w:hAnsi="IRNazanin" w:eastAsia="IRNazanin"/>
          <w:color w:val="111111"/>
          <w:sz w:val="28"/>
          <w:sz w:val="28"/>
          <w:szCs w:val="28"/>
          <w:rtl w:val="true"/>
          <w:lang w:bidi="fa-IR"/>
        </w:rPr>
        <w:t>مثل التقلیل وزنا و معنی،و المراد به هنا أن یجعل الإنسان نفسه کیّالا أو وزّانا،فیقلّل نصیب المکیل له فی إیفائه و استیفائه علی وجه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البخس </w:t>
      </w:r>
      <w:r>
        <w:rPr>
          <w:rStyle w:val="FootnoteAnchor"/>
          <w:rtl w:val="true"/>
        </w:rPr>
        <w:footnoteReference w:id="755"/>
      </w:r>
      <w:r>
        <w:rPr>
          <w:rFonts w:ascii="IRNazanin" w:hAnsi="IRNazanin" w:eastAsia="IRNazanin"/>
          <w:color w:val="111111"/>
          <w:sz w:val="28"/>
          <w:sz w:val="28"/>
          <w:szCs w:val="28"/>
          <w:rtl w:val="true"/>
          <w:lang w:bidi="fa-IR"/>
        </w:rPr>
        <w:t>نقص الشیء عن الحدّ الذی یوجبه الحقّ علی سبیل الظلم</w:t>
      </w:r>
      <w:r>
        <w:rPr>
          <w:rFonts w:eastAsia="IRNazanin" w:cs="IRNazanin"/>
          <w:color w:val="111111"/>
          <w:sz w:val="28"/>
          <w:szCs w:val="28"/>
          <w:rtl w:val="true"/>
          <w:lang w:bidi="fa-IR"/>
        </w:rPr>
        <w:t>.</w:t>
      </w:r>
    </w:p>
    <w:p>
      <w:pPr>
        <w:pStyle w:val="Heading4"/>
        <w:numPr>
          <w:ilvl w:val="3"/>
          <w:numId w:val="1"/>
        </w:numPr>
        <w:rPr/>
      </w:pPr>
      <w:bookmarkStart w:id="504" w:name="__RefHeading___Toc910302_774463916"/>
      <w:bookmarkStart w:id="505" w:name="_Toc185"/>
      <w:bookmarkEnd w:id="504"/>
      <w:r>
        <w:rPr>
          <w:rtl w:val="true"/>
        </w:rPr>
        <w:t>أدلّة حرمتهما</w:t>
      </w:r>
      <w:bookmarkEnd w:id="505"/>
    </w:p>
    <w:p>
      <w:pPr>
        <w:pStyle w:val="BookText"/>
        <w:rPr/>
      </w:pPr>
      <w:r>
        <w:rPr>
          <w:rFonts w:ascii="IRNazanin" w:hAnsi="IRNazanin" w:eastAsia="IRNazanin"/>
          <w:color w:val="111111"/>
          <w:sz w:val="28"/>
          <w:sz w:val="28"/>
          <w:szCs w:val="28"/>
          <w:rtl w:val="true"/>
          <w:lang w:bidi="fa-IR"/>
        </w:rPr>
        <w:t>و کیف کان،فلا إشکال فی حرمتهما عند المسلمین قاطبة،و تدلّ علی ذلک الأدلّة الأربعة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الکتاب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w:t>
      </w:r>
      <w:r>
        <w:rPr>
          <w:rStyle w:val="FootnoteAnchor"/>
          <w:rtl w:val="true"/>
        </w:rPr>
        <w:footnoteReference w:id="75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أَشْیاءَهُمْ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تَنْقُصُوا الْمِکْیالَ وَ الْمِیزانَ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السنّة فقد ورد النهی عن البخس و التطفیف فی جملة من الروایات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الإجماع فإنّه و إن کان قائما علی حرمة التطفیف و البخس،إلاّ أنه لیس إجماعا تعبّدیا،بل من المحتمل القریب أن یکون مدرکه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فلأنّ تنقیص حقّ الناس و عدم الوفاء به ظلم،و قد استقلّ العقل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ظهر ما فی کلام المحقّق الإیروانی من الوهن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بل المقطوع به أنّ التطفیف بنفسه لیس عنوانا من العناوین المحرّمة،أعنی الکیل بالمکیال الناقص،و کذا البخس فی المیزان مع وفاء الحق کاملا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التطفیف قد اخذ فیه عدم الوفاء بالحق،و البخس هو نقص الشیء علی سبیل الظلم،و هما بنفسهما من المحرّمات الشرعیة و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قد ثبت الذم فی الآیة الشریفة علی نفس عنوان التطفیف،فإنّ الویل کلمة موضوعة للوعید و التهدید،و تقال لمن وقع فی هلاک و عقاب،و کذلک نهی فی الآیات المتعدّدة عن البخس کما عرفت آنفا،و ظاهر ذلک کون التطفیف و البخس بنفسهما من المحرّمات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البخس فی العدّ و الذرع یلحق به حکما و إن خرج عن موضوعه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التطفیف و البخس مطلق التقلیل و النقص علی سبیل</w:t>
      </w:r>
      <w:bookmarkStart w:id="506" w:name="pg5064_65485"/>
    </w:p>
    <w:p>
      <w:pPr>
        <w:pStyle w:val="BookText"/>
        <w:rPr/>
      </w:pPr>
      <w:bookmarkEnd w:id="506"/>
      <w:r>
        <w:rPr>
          <w:rFonts w:ascii="IRNazanin" w:hAnsi="IRNazanin" w:eastAsia="IRNazanin"/>
          <w:color w:val="111111"/>
          <w:sz w:val="28"/>
          <w:sz w:val="28"/>
          <w:szCs w:val="28"/>
          <w:rtl w:val="true"/>
          <w:lang w:bidi="fa-IR"/>
        </w:rPr>
        <w:t>الخیانة و الظلم فی إیفاء الحق و استیفائه،و علیه فذکر الکیل و الوزن فی الآیة و غیرها إنّما هو من جهة الغلبة،فلا وجه لإخراج النقص فی العدد و الذرع عن البخس و التطفیف موضوعا و إلحاقهما بهما حکما</w:t>
      </w:r>
      <w:r>
        <w:rPr>
          <w:rFonts w:eastAsia="IRNazanin" w:cs="IRNazanin"/>
          <w:color w:val="111111"/>
          <w:sz w:val="28"/>
          <w:szCs w:val="28"/>
          <w:rtl w:val="true"/>
          <w:lang w:bidi="fa-IR"/>
        </w:rPr>
        <w:t>.</w:t>
      </w:r>
    </w:p>
    <w:p>
      <w:pPr>
        <w:pStyle w:val="Heading4"/>
        <w:numPr>
          <w:ilvl w:val="3"/>
          <w:numId w:val="1"/>
        </w:numPr>
        <w:rPr/>
      </w:pPr>
      <w:bookmarkStart w:id="507" w:name="__RefHeading___Toc910304_774463916"/>
      <w:bookmarkStart w:id="508" w:name="_Toc186"/>
      <w:bookmarkEnd w:id="507"/>
      <w:r>
        <w:rPr>
          <w:rtl w:val="true"/>
        </w:rPr>
        <w:t>صحّة المعاملة المطفّف فیها و فسادها</w:t>
      </w:r>
      <w:bookmarkEnd w:id="50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وازن الربوی بجنسه فطفّف فی أحدهما فإن جرت المعاوضة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أنه لا إشکال فی حرمة التطفیف تکلیفا،فاجارة نفسه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کإجارة نفسه علی سائر الأفعال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وضعا و تکلیفا کما عرفت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صحة المعاملة المطفّف فیها و فسادها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المعاملة قد تقع علی الکلّی فی الذمّة،و قد تقع علی الکلّی فی المعیّن الخارجی،و قد تقع علی الشخص المعیّن الموجود فی الخارج المشار إلیه بالإشارة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الصورتین الأوّلتین فلا إشکال فی صحة المعاملة و عدم فسادها بالتطفیف الخارجی،فإنّ المعاملة قد انعقدت صحیحة،و لکن البائع أو من یباشر الإقباض و التسلیم طفّف فی الکیل و الوزن أو فی الذرع و العدد،و هو لا یوجب فسادها،بل یکون الدافع مشغول الذمّة بما نقص عن الحق،و لا یفرق فی ذلک بین کون المعاملة ربویة أو غیر ربویة کما هو واضح،و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هاتین الصورتین خارجتان عمّا نحن فیه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الصورة الثالثة فربما یقال ببطلان المعاملة إذا وقعت علی المتاع الخارجی بما أنه مقدّر بمقدار کذا فظهر عدم انطباق العنوان الملحوظ فی البیع علی المشار إلیه الخارجی،و وجه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هو معنون بعنوان کذا غیر موجود فی الخارج،و ما هو موجود فی الخارج غیر معنون بذلک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إلغاء الإشارة</w:t>
      </w:r>
    </w:p>
    <w:p>
      <w:pPr>
        <w:pStyle w:val="BookText"/>
        <w:rPr/>
      </w:pPr>
      <w:r>
        <w:rPr>
          <w:rFonts w:ascii="IRNazanin" w:hAnsi="IRNazanin" w:eastAsia="IRNazanin"/>
          <w:color w:val="111111"/>
          <w:sz w:val="28"/>
          <w:sz w:val="28"/>
          <w:szCs w:val="28"/>
          <w:rtl w:val="true"/>
          <w:lang w:bidi="fa-IR"/>
        </w:rPr>
        <w:t>أو الوصف فاسد،فإنّ اللازم هو الأخذ بکلیهما،لتعلّق قصد المتبایعین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للبطلان إذا تخلّف العنوان،فإنه لیس من العناوین المقوّمة بل هو إمّا أن یکون مأخوذا علی نحو الشرطیة أو علی نحو الجزئیة کما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یقاس ذلک بتخلّف العناوین التی تعدّ من الصور النوعیة عند العرف،کما إذا باع صندوقا فظهر أنه طبل،أو باع ذهبا فظهر أنه مذهّب،أو باع بغلا فظهر أنه حمار فإنّ البطلان فی أمثالها لیس من انفکاک العنوان عن الإشارة،بل من جهة عدم وجود المبیع أصلا،و قد تقدّم ذلک فی البحث عن بیع هیاکل العبادة و عن بیع الدراهم المغشوشة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المورد من صغریات تعارض الإشارة و العنوان،و تقدیم أحدهما علی الآخر یختلف بحسب 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الکبری و إن کانت مذکورة فی کتب الشیعة و السنّة </w:t>
      </w:r>
      <w:r>
        <w:rPr>
          <w:rStyle w:val="FootnoteAnchor"/>
          <w:rtl w:val="true"/>
        </w:rPr>
        <w:footnoteReference w:id="762"/>
      </w:r>
      <w:r>
        <w:rPr>
          <w:rFonts w:ascii="IRNazanin" w:hAnsi="IRNazanin" w:eastAsia="IRNazanin"/>
          <w:color w:val="111111"/>
          <w:sz w:val="28"/>
          <w:sz w:val="28"/>
          <w:szCs w:val="28"/>
          <w:rtl w:val="true"/>
          <w:lang w:bidi="fa-IR"/>
        </w:rPr>
        <w:t>إلاّ أنّها لا تنطبق علی ما نحن فیه،فإنّ البیع من الامور القصدیة،فلا معنی لتردّد المتبایعین فیما قصداه،نعم قد یقع التردّد منهما فی مقام الإثبات من جهة اشتباه ما هو المقصود بالذات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الصور المتصوّرة فی المقام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إنشاء البیع معلّقا علی کون المبیع متّصفا بصفة خاصة،بأن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المتاع الخارجی علی أن یکون منّا فظهر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 بطلانه،لا من جهة التطفیف،و لا من جهة تخلّف الوصف،بل لقیام الإجماع علی بطلان التعلیق فی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ینشأ البیع منجزا علی المتاع الخارجی بشرط کونه کذا مقدار ثم ظهر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 صحته،فإنّ تخلّف الأوصاف غیر المقوّمة للصورة النوعیة لا یوجب بطلان المعاملة،غایة الأمر أنه یوجب الخیار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مقصود البائع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المتاع الخارجی بدینارین علی أن یکون کذا مقدار،بیع الموجود الخارجی فقط،و کان غرضه من الاشتراط الإشارة إلی تعیین مقدار العوضین،و وقوع کل منهما فی مقابل الآخر بحیث یقسّط الثمن علی أجزاء المثمن،و علیه فإذا ظهر الخلاف صح البیع فی المقدار الموجود و بطل فی غیره،نظیر بیع ما یملک و ما لا یملک،کالخنزیر مع الشاة و الخمر مع 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الصورة الأخیرة،فإنّ مقصود البائع من الاشتراط المذکور لیس إلاّ بیان مقدار المبیع فقط،من غیر تعلیق فی الإنشاء،و لا اعتبار شرط فی المعاملة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یکن البیع ربویا،و أمّا إذا کان ربویا،فإن کان من قبیل الصورة الاولی بطل البیع للتعلیق،مع قطع النظر عن التخلّف و کون المعاملة ربویة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 قبیل الصورة الثانیة بطل البیع،لکونه ربویا،مع قطع النظر عن تخلّف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قبیل الصورة الثالثة قسّط الثمن علی الأجزاء،و صح البیع فی المقدار الموجود و بطل فی غیره</w:t>
      </w:r>
      <w:r>
        <w:rPr>
          <w:rFonts w:eastAsia="IRNazanin" w:cs="IRNazanin"/>
          <w:color w:val="111111"/>
          <w:sz w:val="28"/>
          <w:szCs w:val="28"/>
          <w:rtl w:val="true"/>
          <w:lang w:bidi="fa-IR"/>
        </w:rPr>
        <w:t>.</w:t>
      </w:r>
      <w:bookmarkStart w:id="509" w:name="pg5064_65488"/>
    </w:p>
    <w:p>
      <w:pPr>
        <w:pStyle w:val="Heading3"/>
        <w:numPr>
          <w:ilvl w:val="2"/>
          <w:numId w:val="1"/>
        </w:numPr>
        <w:rPr/>
      </w:pPr>
      <w:bookmarkStart w:id="510" w:name="__RefHeading___Toc910306_774463916"/>
      <w:bookmarkStart w:id="511" w:name="_Toc187"/>
      <w:bookmarkEnd w:id="509"/>
      <w:bookmarkEnd w:id="510"/>
      <w:r>
        <w:rPr>
          <w:rtl w:val="true"/>
        </w:rPr>
        <w:t>التنجیم</w:t>
      </w:r>
      <w:bookmarkEnd w:id="511"/>
    </w:p>
    <w:p>
      <w:pPr>
        <w:pStyle w:val="Heading4"/>
        <w:numPr>
          <w:ilvl w:val="3"/>
          <w:numId w:val="1"/>
        </w:numPr>
        <w:rPr/>
      </w:pPr>
      <w:bookmarkStart w:id="512" w:name="__RefHeading___Toc910308_774463916"/>
      <w:bookmarkStart w:id="513" w:name="_Toc188"/>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التنجیم </w:t>
      </w:r>
      <w:r>
        <w:rPr>
          <w:rStyle w:val="FootnoteAnchor"/>
          <w:rtl w:val="true"/>
        </w:rPr>
        <w:footnoteReference w:id="763"/>
      </w:r>
      <w:r>
        <w:rPr>
          <w:rFonts w:ascii="IRNazanin" w:hAnsi="IRNazanin" w:eastAsia="IRNazanin"/>
          <w:color w:val="111111"/>
          <w:sz w:val="28"/>
          <w:sz w:val="28"/>
          <w:szCs w:val="28"/>
          <w:rtl w:val="true"/>
          <w:lang w:bidi="fa-IR"/>
        </w:rPr>
        <w:t xml:space="preserve">حرام،و هو کما فی جامع المقاصد الإخبار عن أحکام النجوم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910310_774463916"/>
      <w:bookmarkStart w:id="515" w:name="_Toc189"/>
      <w:bookmarkEnd w:id="514"/>
      <w:r>
        <w:rPr>
          <w:rtl w:val="true"/>
        </w:rPr>
        <w:t>بیان المقدمتین</w:t>
      </w:r>
      <w:bookmarkEnd w:id="515"/>
    </w:p>
    <w:p>
      <w:pPr>
        <w:pStyle w:val="Heading5"/>
        <w:numPr>
          <w:ilvl w:val="4"/>
          <w:numId w:val="1"/>
        </w:numPr>
        <w:rPr/>
      </w:pPr>
      <w:bookmarkStart w:id="516" w:name="__RefHeading___Toc910312_774463916"/>
      <w:bookmarkStart w:id="517" w:name="_Toc190"/>
      <w:bookmarkEnd w:id="516"/>
      <w:r>
        <w:rPr>
          <w:rtl w:val="true"/>
        </w:rPr>
        <w:t>اشارة</w:t>
      </w:r>
      <w:bookmarkEnd w:id="5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المرام یبتنی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أمرین</w:t>
      </w:r>
      <w:r>
        <w:rPr>
          <w:rFonts w:eastAsia="IRNazanin" w:cs="IRNazanin"/>
          <w:color w:val="111111"/>
          <w:sz w:val="28"/>
          <w:szCs w:val="28"/>
          <w:rtl w:val="true"/>
          <w:lang w:bidi="fa-IR"/>
        </w:rPr>
        <w:t>:</w:t>
      </w:r>
    </w:p>
    <w:p>
      <w:pPr>
        <w:pStyle w:val="Heading5"/>
        <w:numPr>
          <w:ilvl w:val="4"/>
          <w:numId w:val="1"/>
        </w:numPr>
        <w:rPr/>
      </w:pPr>
      <w:bookmarkStart w:id="518" w:name="__RefHeading___Toc910314_774463916"/>
      <w:bookmarkStart w:id="519" w:name="_Toc191"/>
      <w:bookmarkEnd w:id="518"/>
      <w:r>
        <w:rPr>
          <w:rtl w:val="true"/>
        </w:rPr>
        <w:t>اصول الإسلام أربعة</w:t>
      </w:r>
      <w:bookmarkEnd w:id="519"/>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اصول الإسلام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باللّه،و الإقرار بوجوده،و کونه صانعا للعالم و بجمیع ما یحدث فیه من غرائب الصنع و آثار الرحمة و عجائب الخلق،و اختلاف الموجودات من الشمس و القمر و النجوم و الریاح و السحاب و الجبال و البحار و الأشجار و الأثمار و اختلاف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أنکر ذلک کان کافرا،کالدهریة القائلین بکون الامور کلّها تحت سلطان الدهر،بلا احتیاج إلی 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کفره ثابت بالضرورة من المسلمین،بل و من جمیع الملّیین،و قد دلّت الآیات الکثیرة علی أنّ من لم یؤمن باللّه و أنکره 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بتوحیده تعالی،و یقابله الشرک و القول بأنّ للعالم أکثر من صانع واحد،کما یقوله الثنویة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منکر التوحید ثابت بکثیر من الآیات،کقوله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الْمُشْرِکُونَ نَجَسٌ </w:t>
      </w:r>
      <w:r>
        <w:rPr>
          <w:rStyle w:val="FootnoteAnchor"/>
          <w:rtl w:val="true"/>
        </w:rPr>
        <w:footnoteReference w:id="765"/>
      </w:r>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الاعتراف بکونه نبیّا مرسلا</w:t>
      </w:r>
    </w:p>
    <w:p>
      <w:pPr>
        <w:pStyle w:val="BookText"/>
        <w:rPr/>
      </w:pP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766"/>
      </w:r>
      <w:r>
        <w:rPr>
          <w:rFonts w:ascii="IRNazanin" w:hAnsi="IRNazanin" w:eastAsia="IRNazanin"/>
          <w:color w:val="111111"/>
          <w:sz w:val="28"/>
          <w:sz w:val="28"/>
          <w:szCs w:val="28"/>
          <w:rtl w:val="true"/>
          <w:lang w:bidi="fa-IR"/>
        </w:rPr>
        <w:t>و من أنکر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کالیهود و النصاری و أشباههم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کافرا بحکم الضرورة من المسلمین،و قد دلّت علیه جملة من الآیات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الإقرار بالأنبیاء السابقین فهو داخل فی الإقرار بما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،فانکاره یوجب الکفر من جهة تکذیب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بالمعاد الجسمانی،و الإقرار بیوم القیامة و الحشر و النشر،و جمع العظام البالیة،و إرجاع الأرواح فیها،فمن أنکر المعاد أو أنکر کونه جسمانیا فهو کافر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و أن یعلم أنّ الإقرار بهذه الامور الأربعة له موضوعیة فی التلبّس بحلیة الإسلام،و إنکار أی واحد منها فی حد نفسه موجب للکفر،سواء أکان مستندا إلی العناد و اللجاج أم کان مستندا إلی الغفلة و عدم الالتفات الناشئ عن التقصیر أو القصور،و قد دلّت الآیات الکثیرة أیضا علی کفر منکر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 العباد الاعتراف بفرائض اللّه و سنن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بماء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ترکها جاحدا و هو عالم بأنّ إنکاره هذا یستلزم تکذیب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کافر،و إلاّ فلا ملازمة بین الإنکار و بین الکفر،و من هنا لا یحکم بکفر المخالفین فی الظاهر مع إنکارهم الولایة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دلّت الآیات و روایات الفریقین علی اعتبار الامور المذکورة فی الإسلام،و حقن الدماء،و حفظ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شهادة أن لا إله إلاّ اللّه و التصدیق برسول اللّه،به حقنت الدماء،و علیه جرت المناکح و المواریث</w:t>
      </w:r>
      <w:bookmarkStart w:id="520" w:name="pg5064_65490"/>
    </w:p>
    <w:p>
      <w:pPr>
        <w:pStyle w:val="BookText"/>
        <w:rPr/>
      </w:pPr>
      <w:bookmarkEnd w:id="520"/>
      <w:r>
        <w:rPr>
          <w:rFonts w:ascii="IRNazanin" w:hAnsi="IRNazanin" w:eastAsia="IRNazanin"/>
          <w:color w:val="111111"/>
          <w:sz w:val="28"/>
          <w:sz w:val="28"/>
          <w:szCs w:val="28"/>
          <w:rtl w:val="true"/>
          <w:lang w:bidi="fa-IR"/>
        </w:rPr>
        <w:t>و علی ظاهره جماعة الناس</w:t>
      </w:r>
      <w:r>
        <w:rPr>
          <w:rFonts w:eastAsia="IRNazanin" w:cs="IRNazanin"/>
          <w:color w:val="111111"/>
          <w:sz w:val="28"/>
          <w:szCs w:val="28"/>
          <w:rtl w:val="true"/>
          <w:lang w:bidi="fa-IR"/>
        </w:rPr>
        <w:t xml:space="preserve">»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داود بن کثیر الرقی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فرض فرائض موجبات علی العباد،فمن ترک فریضة من الموجبات و جحدها کان کافرا</w:t>
      </w:r>
      <w:r>
        <w:rPr>
          <w:rFonts w:eastAsia="IRNazanin" w:cs="IRNazanin"/>
          <w:color w:val="111111"/>
          <w:sz w:val="28"/>
          <w:szCs w:val="28"/>
          <w:rtl w:val="true"/>
          <w:lang w:bidi="fa-IR"/>
        </w:rPr>
        <w:t xml:space="preserve">»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 العامة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اقاتل الناس حتی یشهدوا أن لا إله إلاّ اللّه و یؤمنوا بی و بما جئت به،فإذا فعلوا ذلک عصموا منّی دماءهم و أموالهم</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910316_774463916"/>
      <w:bookmarkStart w:id="522" w:name="_Toc192"/>
      <w:bookmarkEnd w:id="521"/>
      <w:r>
        <w:rPr>
          <w:rtl w:val="true"/>
        </w:rPr>
        <w:t>تأثیر الکیفیات الخاصّة بین الفلکیات فی الأوضاع الأرضیة</w:t>
      </w:r>
      <w:bookmarkEnd w:id="522"/>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إشکال فی اختلاف الأجرام العلویة و الکیفیات الخاصة الحاصلة بین الفلکیات بعضها مع بعض،و تأثیرها فی الأوضاع الأرضیة و الأجسام العنصریة،کتأثیر قرب الشمس من خط الاستواء و بعدها عنه فی اختلاف الفصول،و کزیادة الرطوبة فی الأبدان بزیادة نور القمر و نقصانها بنقصانه و زیادة أدمغة الحیوانات و ألبانها بزیادة نوره و نقصانها بنقصانه،و زیادة البقول و الثمار نموا و نضجا احمرارا و اخضرارا عند زیادة نور القمر،بل ذکر المحقّق البهائی فی الحدیقة الهلالیة </w:t>
      </w:r>
      <w:r>
        <w:rPr>
          <w:rStyle w:val="FootnoteAnchor"/>
          <w:rtl w:val="true"/>
        </w:rPr>
        <w:footnoteReference w:id="770"/>
      </w:r>
      <w:r>
        <w:rPr>
          <w:rFonts w:ascii="IRNazanin" w:hAnsi="IRNazanin" w:eastAsia="IRNazanin"/>
          <w:color w:val="111111"/>
          <w:sz w:val="28"/>
          <w:sz w:val="28"/>
          <w:szCs w:val="28"/>
          <w:rtl w:val="true"/>
          <w:lang w:bidi="fa-IR"/>
        </w:rPr>
        <w:t>أنّ المزاولین لها یسمعون صوتا من القثاء و القرع و البطیخ عند تمدّده وقت زیادة النور،و کزیادة المیاه فی البحار و الشطوط و الینابیع فی کل یوم من النصف الأول من الشهر و نقصانها یوما فیوما فی النصف الأخیر منه،إلی غیر ذلک من الآثار الواضحة التی یجوز الاعتقاد بها و الإخبار عنها،من دون أن یترتّب علیه محذور شرعا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إشکال فی جواز النظر إلی أوضاع الکواکب و سیرها،و ملاحظة</w:t>
      </w:r>
      <w:bookmarkStart w:id="523" w:name="pg5064_65491"/>
    </w:p>
    <w:p>
      <w:pPr>
        <w:pStyle w:val="BookText"/>
        <w:rPr/>
      </w:pPr>
      <w:bookmarkEnd w:id="523"/>
      <w:r>
        <w:rPr>
          <w:rFonts w:ascii="IRNazanin" w:hAnsi="IRNazanin" w:eastAsia="IRNazanin"/>
          <w:color w:val="111111"/>
          <w:sz w:val="28"/>
          <w:sz w:val="28"/>
          <w:szCs w:val="28"/>
          <w:rtl w:val="true"/>
          <w:lang w:bidi="fa-IR"/>
        </w:rPr>
        <w:t xml:space="preserve">اقتران بعضها مع بعض،و الإذعان بها و الإخبار عنها،کالإخبار عن سیر الکواکب حرکة سریعة من المشرق إلی المغرب فی یوم و لیلة،التی بها یتحقّق طلوعها و غروبها،و یتحقّق اللیل و النهار کما حقّق فی الهیئة القدیمة،و کالإخبار عن الخسوف و الکسوف،و عن ممازجات الکواکب و مقارناتها،و اختفائها و احتراقها،و نحوها من الامور الواضحة المقرّرة فی علم معرفة التقویم و علم الهیئة،فإنّ الإخبار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الإخبار عن طلوع الشمس فی أول الیوم و عن غروبها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التجربة و الامتحان و الحساب الصحیح الذی لا یتخلّف غالبا،و من الواضح جدّا أنه لا یرتبط شیء منها بما نحن فیه،بل هی خارجة عن علم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استند المخبر عن تلک الامور إلی الظنون غیر المعتبرة عقلا،و کان کلامه ظاهرا فی الإخبار الجزمی،کان الإخبار حراما من جهة الکذب،و علیه فلا وجه لما ذکره المصنّف من تجویز الإخبار عن سیر الکواکب مع الاستناد إلی الأمارات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هاتین المقدّمتین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اختلفت الأقوال فی جواز تعلّم النجوم و تعلیمها و النظر فیها مع عدم اعتقاد تأثیرها أصلا و عدم جوازه،و تنقیح المسألة و تهذیبها یقع فی امور</w:t>
      </w:r>
      <w:r>
        <w:rPr>
          <w:rFonts w:eastAsia="IRNazanin" w:cs="IRNazanin"/>
          <w:color w:val="111111"/>
          <w:sz w:val="28"/>
          <w:szCs w:val="28"/>
          <w:rtl w:val="true"/>
          <w:lang w:bidi="fa-IR"/>
        </w:rPr>
        <w:t>:</w:t>
      </w:r>
    </w:p>
    <w:p>
      <w:pPr>
        <w:pStyle w:val="Heading4"/>
        <w:numPr>
          <w:ilvl w:val="3"/>
          <w:numId w:val="1"/>
        </w:numPr>
        <w:rPr/>
      </w:pPr>
      <w:bookmarkStart w:id="524" w:name="__RefHeading___Toc910318_774463916"/>
      <w:bookmarkStart w:id="525" w:name="_Toc193"/>
      <w:bookmarkEnd w:id="524"/>
      <w:r>
        <w:rPr>
          <w:rtl w:val="true"/>
        </w:rPr>
        <w:t>رأی الفلاسفة فی النفوس الفلکیة</w:t>
      </w:r>
      <w:bookmarkEnd w:id="52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جمع من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للأفلاک نفوسا ترتسم فیها صور المقدّرات و یقال لها لوح المحو و الإثبات،و إنّ الأفلاک متحرّکة علی الاستدارة و الدوام حرکة إرادیة اختیاریة،للشبه بعالم العقول،و الوصول إلی المقصد الأقصی،و إنّها مؤثّرة فیما یحدث فی عالم العناصر من الموت و المرض و الصحة و الفقر و الغنی،و إنّ نظام الکل بشخصیته هو الإنسان الکبیر،و العقول و النفوس بمنزلة القوی العاقلة و العاملة التی هی مبادئ الإدراکات و التحریکات،و النفوس المنطبعة بمنزلة الروح الحیوانی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التزموا بأنّ الموجودات الممکنة برمّتها مفوّضة إلی النفوس الفلکیة</w:t>
      </w:r>
      <w:bookmarkStart w:id="526" w:name="pg5064_65492"/>
    </w:p>
    <w:p>
      <w:pPr>
        <w:pStyle w:val="BookText"/>
        <w:rPr/>
      </w:pPr>
      <w:bookmarkEnd w:id="526"/>
      <w:r>
        <w:rPr>
          <w:rFonts w:ascii="IRNazanin" w:hAnsi="IRNazanin" w:eastAsia="IRNazanin"/>
          <w:color w:val="111111"/>
          <w:sz w:val="28"/>
          <w:sz w:val="28"/>
          <w:szCs w:val="28"/>
          <w:rtl w:val="true"/>
          <w:lang w:bidi="fa-IR"/>
        </w:rPr>
        <w:t>و العقول الطولیة،و أنّ اللّه تعالی بعد خلقه العقل الأول منعزل عن التصرّف فی مخلوقه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خلاف ضرورة الدین و إجماع المسلمین،و الاعتقاد به کفر و زندقة،لکونه إنکارا للصانع،فإنّ الأدلّة العقلیة و السمعیة من الآیات و الروایات مطبقة علی إثبات الصانع،و إثبات القدرة المطلقة له تعالی،و أنّ أزمّة المخلوقات کلّها فی قبضة قدرته،یفعل فیها ما یشاء،و لا یسأل عمّا یفعل و هم یسألون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مراد الفلاسفة أنّ الفیّاض علی الإطلاق فی جمیع الحالات هو البارئ تعالی و لکن إفاضة الوجود بواسطة النفوس الفلکیة،و هی طرق لوصول الفیض،و لیست مؤثّرة فی عالم العناصر لیلزم منه إنکار 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هذا من کلام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الظاهر من الآیات و الروایات أنّ حرکة الأفلاک إنّما هی حرکة قسریة،و بمباشرة الملائکة،فالاعتقاد علی خلافه مخالف للشرع،و تکذیب للنبی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إخباره،فیکون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النفوس الفلکیة من الملائکة من تأویلات الملاحدة،کما صرّح به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اعتقاداته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الاعتقاد بالامور المذکورة إنّما یوجب الکفر إذا علم المعتقد بالملازمة بینها و بین إنکار الصانع أو تکذیب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فلا محذور فیه کما عرفت فی المقدّمة الثانیة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910320_774463916"/>
      <w:bookmarkStart w:id="528" w:name="_Toc194"/>
      <w:bookmarkEnd w:id="527"/>
      <w:r>
        <w:rPr>
          <w:rtl w:val="true"/>
        </w:rPr>
        <w:t>تأثیر الأوضاع الفلکیة بنفسها فی الحوادث</w:t>
      </w:r>
      <w:bookmarkEnd w:id="52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یلتزم بتأثیر الأوضاع الفلکیة و الکیفیات الکوکبیة بنفسها فی حوادث العوالم السفلیة،کتوسعة الرزق،و انوثة الولد و رجولته،و صحّة المزاج و سقمه،و ازدیاد الأموال و نقصانها،و غیرها من الخیرات و الشرور،سواء قلنا</w:t>
      </w:r>
    </w:p>
    <w:p>
      <w:pPr>
        <w:pStyle w:val="BookText"/>
        <w:rPr/>
      </w:pPr>
      <w:r>
        <w:rPr>
          <w:rFonts w:ascii="IRNazanin" w:hAnsi="IRNazanin" w:eastAsia="IRNazanin"/>
          <w:color w:val="111111"/>
          <w:sz w:val="28"/>
          <w:sz w:val="28"/>
          <w:szCs w:val="28"/>
          <w:rtl w:val="true"/>
          <w:lang w:bidi="fa-IR"/>
        </w:rPr>
        <w:t>بالنفوس الفلکیة أم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علّة تامّة لحدوث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شریکا للعلّة فی الامور المذکورة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 الوجهین باطل،لأنه إنکار للصانع أو لتوحیده جلّ و علا،و الظاهر أنه لا خلاف فی ذلک بین الشیعة و السنّة </w:t>
      </w:r>
      <w:r>
        <w:rPr>
          <w:rStyle w:val="FootnoteAnchor"/>
          <w:rtl w:val="true"/>
        </w:rPr>
        <w:footnoteReference w:id="773"/>
      </w:r>
      <w:r>
        <w:rPr>
          <w:rFonts w:ascii="IRNazanin" w:hAnsi="IRNazanin" w:eastAsia="IRNazanin"/>
          <w:color w:val="111111"/>
          <w:sz w:val="28"/>
          <w:sz w:val="28"/>
          <w:szCs w:val="28"/>
          <w:rtl w:val="true"/>
          <w:lang w:bidi="fa-IR"/>
        </w:rPr>
        <w:t>بل قامت الضرورة بین المسلمین علی کفر من اعتقد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فی 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باستقلال النجوم فی تأثیرها کفر و خلاف لضرورة الدین،و أنّ القول بالتأثیر الناقص إمّا کفر أو</w:t>
      </w:r>
      <w:bookmarkStart w:id="529" w:name="pg5064_65494"/>
    </w:p>
    <w:p>
      <w:pPr>
        <w:pStyle w:val="BookText"/>
        <w:rPr/>
      </w:pPr>
      <w:bookmarkEnd w:id="529"/>
      <w:r>
        <w:rPr>
          <w:rFonts w:ascii="IRNazanin" w:hAnsi="IRNazanin" w:eastAsia="IRNazanin"/>
          <w:color w:val="111111"/>
          <w:sz w:val="28"/>
          <w:sz w:val="28"/>
          <w:szCs w:val="28"/>
          <w:rtl w:val="true"/>
          <w:lang w:bidi="fa-IR"/>
        </w:rPr>
        <w:t xml:space="preserve">فسق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المحقّق البهائی فی الحدیقة الهلالیة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الالتزام بأنّ تلک الأجرام هی العلّة المؤثّرة فی تلک الحوادث بالاستقلال أو أنّها شریکة فی التأثیر فهذا لا یحل للمسلم اعتقاده،و علم النجوم المبتنی علی هذا کفر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غیر ذلک من کلمات الأعاظم الصریحة فیما ذکرناه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910322_774463916"/>
      <w:bookmarkStart w:id="531" w:name="_Toc195"/>
      <w:bookmarkEnd w:id="530"/>
      <w:r>
        <w:rPr>
          <w:rtl w:val="true"/>
        </w:rPr>
        <w:t>علامیة أوضاع الکواکب علی الحوادث الأرضیة</w:t>
      </w:r>
      <w:bookmarkEnd w:id="531"/>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یلتزم بکون أوضاع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التقارن و التباعد و الاتّصال و التربیع و الاختفاء و غیرها من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علی حوادث عالم العناصر التی تحدث بقدرة اللّه و إرادته،بأن یجعل الوضع الفلانی علامة رجولة الولد و الوضع الفلانی علامة انوثته و هکذا،کما أنّ سرعة حرکة النبض علامة علی الحمی و اختلاج بعض الأعضاء علامة علی بعض الحوادث المستقبلة،و نصب العلم علامة علی التعزیة و الرثاء</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الوجه قد اختاره السید ابن طاووس فی محکی کلامه فی رسالته النجومیة </w:t>
      </w:r>
      <w:r>
        <w:rPr>
          <w:rStyle w:val="FootnoteAnchor"/>
          <w:rtl w:val="true"/>
        </w:rPr>
        <w:footnoteReference w:id="777"/>
      </w:r>
      <w:r>
        <w:rPr>
          <w:rFonts w:ascii="IRNazanin" w:hAnsi="IRNazanin" w:eastAsia="IRNazanin"/>
          <w:color w:val="111111"/>
          <w:sz w:val="28"/>
          <w:sz w:val="28"/>
          <w:szCs w:val="28"/>
          <w:rtl w:val="true"/>
          <w:lang w:bidi="fa-IR"/>
        </w:rPr>
        <w:t xml:space="preserve">،و وافقه علیه جمع من الأعاظم،کالمحقّق البهائی فی الحدیقة الهلالیة </w:t>
      </w:r>
      <w:r>
        <w:rPr>
          <w:rStyle w:val="FootnoteAnchor"/>
          <w:rtl w:val="true"/>
        </w:rPr>
        <w:footnoteReference w:id="778"/>
      </w:r>
      <w:r>
        <w:rPr>
          <w:rFonts w:ascii="IRNazanin" w:hAnsi="IRNazanin" w:eastAsia="IRNazanin"/>
          <w:color w:val="111111"/>
          <w:sz w:val="28"/>
          <w:sz w:val="28"/>
          <w:szCs w:val="28"/>
          <w:rtl w:val="true"/>
          <w:lang w:bidi="fa-IR"/>
        </w:rPr>
        <w:t xml:space="preserve">و السید الجزائری فی شرح الصحیفة السجّادیة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المحدّث النوری فی المستدرک </w:t>
      </w:r>
      <w:r>
        <w:rPr>
          <w:rStyle w:val="FootnoteAnchor"/>
          <w:rtl w:val="true"/>
        </w:rPr>
        <w:footnoteReference w:id="780"/>
      </w:r>
      <w:r>
        <w:rPr>
          <w:rFonts w:ascii="IRNazanin" w:hAnsi="IRNazanin" w:eastAsia="IRNazanin"/>
          <w:color w:val="111111"/>
          <w:sz w:val="28"/>
          <w:sz w:val="28"/>
          <w:szCs w:val="28"/>
          <w:rtl w:val="true"/>
          <w:lang w:bidi="fa-IR"/>
        </w:rPr>
        <w:t>و غیرهم،و حملوا علیه ما روی من صحة علم النجوم و جواز تعلّمه</w:t>
      </w:r>
      <w:r>
        <w:rPr>
          <w:rFonts w:eastAsia="IRNazanin" w:cs="IRNazanin"/>
          <w:color w:val="111111"/>
          <w:sz w:val="28"/>
          <w:szCs w:val="28"/>
          <w:rtl w:val="true"/>
          <w:lang w:bidi="fa-IR"/>
        </w:rPr>
        <w:t>.</w:t>
      </w:r>
      <w:bookmarkStart w:id="532" w:name="pg5064_65495"/>
    </w:p>
    <w:p>
      <w:pPr>
        <w:pStyle w:val="Heading4"/>
        <w:numPr>
          <w:ilvl w:val="3"/>
          <w:numId w:val="1"/>
        </w:numPr>
        <w:rPr/>
      </w:pPr>
      <w:bookmarkStart w:id="533" w:name="__RefHeading___Toc910324_774463916"/>
      <w:bookmarkStart w:id="534" w:name="_Toc196"/>
      <w:bookmarkEnd w:id="532"/>
      <w:bookmarkEnd w:id="533"/>
      <w:r>
        <w:rPr>
          <w:rtl w:val="true"/>
        </w:rPr>
        <w:t>الالتزام بأنّه تعالی أودع فیها ما یقتضی حدوث بعض الحوادث</w:t>
      </w:r>
      <w:bookmarkEnd w:id="534"/>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یلتزم بأنّ اللّه تعالی قد أودع فی طبائع أوضاع الکواکب خصوصیات تقتضی حدوث بعض الحوادث،من غیر أن یکون لها استقلال فی التأثیر و لو بنحو الشرکة،و تلک الخصوصیات کالحرارة و البرودة المقتضیتین للإحراق و التبرید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الوجهان و إن لم یکن الاعتقاد بهما موجبا للکفر بنفسیهما،إلاّ أنّهما باطلان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طریق لنا إلی کشف هذا المعنی فی مقام الإثبات،و إن کان ممکنا فی مقام الثبوت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مناف لإطلاق الروایات الدالّة علی حرمة العمل بعلم النجوم و جعلها علامة علی الحوادث </w:t>
      </w:r>
      <w:r>
        <w:rPr>
          <w:rStyle w:val="FootnoteAnchor"/>
          <w:rtl w:val="true"/>
        </w:rPr>
        <w:footnoteReference w:id="781"/>
      </w:r>
      <w:r>
        <w:rPr>
          <w:rFonts w:ascii="IRNazanin" w:hAnsi="IRNazanin" w:eastAsia="IRNazanin"/>
          <w:color w:val="111111"/>
          <w:sz w:val="28"/>
          <w:sz w:val="28"/>
          <w:szCs w:val="28"/>
          <w:rtl w:val="true"/>
          <w:lang w:bidi="fa-IR"/>
        </w:rPr>
        <w:t>،و ظاهر جملة من الروایات أنّ لعلم النجوم حقیقة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واقعیة،و لکن لا یحیط بها غیر علاّم الغیوب و من ارتضاه لغیبه،فلا یجوز لغیره أن یجعلها علامة علی الحوادث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قال الشهید فی محکی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یقال من أنّ استناد الأفعال إلیها کاستناد الإحراق إلی النار،و غیرها من العادیات،إلی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لا یکفر معتقده،و لکنّه مخطئ أیضا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مناف للأخبار المتواترة الواردة فی الحثّ علی الدعاء و الصدقات و سائر وجوه البرّ،و الدالّة علی أنّها تردّ القضاء الذی نزل من السماء و ابرم إبراما،و أنّها تردّ البلاء المبرم،و من الواضح جدّا أنّ الالتزام بالوجهین المذکورین إنکار لذلک،و هو مستلزم للکفر،من حیث إنّه تکذیب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بین کون الالتزام بأنّ أوضاع الکواکب مجرّد علامة</w:t>
      </w:r>
      <w:bookmarkStart w:id="535" w:name="pg5064_65499"/>
    </w:p>
    <w:p>
      <w:pPr>
        <w:pStyle w:val="BookText"/>
        <w:rPr/>
      </w:pPr>
      <w:bookmarkEnd w:id="535"/>
      <w:r>
        <w:rPr>
          <w:rFonts w:ascii="IRNazanin" w:hAnsi="IRNazanin" w:eastAsia="IRNazanin"/>
          <w:color w:val="111111"/>
          <w:sz w:val="28"/>
          <w:sz w:val="28"/>
          <w:szCs w:val="28"/>
          <w:rtl w:val="true"/>
          <w:lang w:bidi="fa-IR"/>
        </w:rPr>
        <w:t>علی الحوادث،أو مؤثّرة فیها و لو بغیر شعور و اختیار نظیر الحرارة و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 فی بعض الأحادیث أنه یکره التزویج فی بعض الأیّام و الساعات لنحوستها،کمحاق الشهر،و عند کون القمر فی برج العقرب </w:t>
      </w:r>
      <w:r>
        <w:rPr>
          <w:rStyle w:val="FootnoteAnchor"/>
          <w:rtl w:val="true"/>
        </w:rPr>
        <w:footnoteReference w:id="784"/>
      </w:r>
      <w:r>
        <w:rPr>
          <w:rFonts w:ascii="IRNazanin" w:hAnsi="IRNazanin" w:eastAsia="IRNazanin"/>
          <w:color w:val="111111"/>
          <w:sz w:val="28"/>
          <w:sz w:val="28"/>
          <w:szCs w:val="28"/>
          <w:rtl w:val="true"/>
          <w:lang w:bidi="fa-IR"/>
        </w:rPr>
        <w:t>فیستفاد من ذلک أنّ سیر الکواکب و أوضاعها علامة علی بعض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لا ینافی ما قدّمنا بعد أن کان المبیّن له هو الشارع علی ألسنة امنائه و قد عرفت دلالة بعض الأخبار علی أنّ لعلم النجوم حقیقة و لکن لا یعلم بها غیر علاّم الغیوب و من ارتضاه لغیبه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ذلک أجنبی عمّا نحن فیه،فإنّ کراهة التزویج فی تلک الأوقات ککراهة الصلاة فی المواضع المکروهة،و کراهة الجماع فی الأوقات المخصوصة،فلا دلالة فی ذلک علی المطلوب</w:t>
      </w:r>
      <w:r>
        <w:rPr>
          <w:rFonts w:eastAsia="IRNazanin" w:cs="IRNazanin"/>
          <w:color w:val="111111"/>
          <w:sz w:val="28"/>
          <w:szCs w:val="28"/>
          <w:rtl w:val="true"/>
          <w:lang w:bidi="fa-IR"/>
        </w:rPr>
        <w:t>.</w:t>
      </w:r>
    </w:p>
    <w:p>
      <w:pPr>
        <w:pStyle w:val="Heading4"/>
        <w:numPr>
          <w:ilvl w:val="3"/>
          <w:numId w:val="1"/>
        </w:numPr>
        <w:rPr/>
      </w:pPr>
      <w:bookmarkStart w:id="536" w:name="__RefHeading___Toc910326_774463916"/>
      <w:bookmarkStart w:id="537" w:name="_Toc197"/>
      <w:bookmarkEnd w:id="536"/>
      <w:r>
        <w:rPr>
          <w:rtl w:val="true"/>
        </w:rPr>
        <w:t>تعلّم علم النجوم</w:t>
      </w:r>
      <w:bookmarkEnd w:id="53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یجوز تعلّم علم النجوم فی حدّ ذاته من غیر إذعان بتأثیر الکواکب أم لا؟نسب الشهید فی محکی الدروس القول بالحرمة إلی بعض الأصحاب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الظاهر من بعض الأحادیث </w:t>
      </w:r>
      <w:r>
        <w:rPr>
          <w:rStyle w:val="FootnoteAnchor"/>
          <w:rtl w:val="true"/>
        </w:rPr>
        <w:footnoteReference w:id="786"/>
      </w:r>
      <w:r>
        <w:rPr>
          <w:rFonts w:ascii="IRNazanin" w:hAnsi="IRNazanin" w:eastAsia="IRNazanin"/>
          <w:color w:val="111111"/>
          <w:sz w:val="28"/>
          <w:sz w:val="28"/>
          <w:szCs w:val="28"/>
          <w:rtl w:val="true"/>
          <w:lang w:bidi="fa-IR"/>
        </w:rPr>
        <w:t>هو الجواز إذا کان ذلک لمجرّد</w:t>
      </w:r>
      <w:bookmarkStart w:id="538" w:name="pg5064_65500"/>
    </w:p>
    <w:p>
      <w:pPr>
        <w:pStyle w:val="BookText"/>
        <w:rPr/>
      </w:pPr>
      <w:bookmarkEnd w:id="538"/>
      <w:r>
        <w:rPr>
          <w:rFonts w:ascii="IRNazanin" w:hAnsi="IRNazanin" w:eastAsia="IRNazanin"/>
          <w:color w:val="111111"/>
          <w:sz w:val="28"/>
          <w:sz w:val="28"/>
          <w:szCs w:val="28"/>
          <w:rtl w:val="true"/>
          <w:lang w:bidi="fa-IR"/>
        </w:rPr>
        <w:t>معرفة سیر الکواکب و أوضاعها الخاصّة،وفاقا لجمع من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یوهم حرمة تعلّم النجوم من أحادیث الشیعة </w:t>
      </w:r>
      <w:r>
        <w:rPr>
          <w:rStyle w:val="FootnoteAnchor"/>
          <w:rtl w:val="true"/>
        </w:rPr>
        <w:footnoteReference w:id="787"/>
      </w:r>
      <w:r>
        <w:rPr>
          <w:rFonts w:ascii="Amiri" w:hAnsi="Amiri" w:eastAsia="Amiri" w:cs="Amiri"/>
          <w:color w:val="111111"/>
          <w:sz w:val="28"/>
          <w:sz w:val="28"/>
          <w:szCs w:val="28"/>
          <w:rtl w:val="true"/>
          <w:lang w:bidi="ar-SA"/>
        </w:rPr>
        <w:t xml:space="preserve">و السنّة </w:t>
      </w:r>
      <w:r>
        <w:rPr>
          <w:rStyle w:val="FootnoteAnchor"/>
          <w:rtl w:val="true"/>
        </w:rPr>
        <w:footnoteReference w:id="788"/>
      </w:r>
      <w:r>
        <w:rPr>
          <w:rFonts w:ascii="IRNazanin" w:hAnsi="IRNazanin" w:eastAsia="IRNazanin"/>
          <w:color w:val="111111"/>
          <w:sz w:val="28"/>
          <w:sz w:val="28"/>
          <w:szCs w:val="28"/>
          <w:rtl w:val="true"/>
          <w:lang w:bidi="fa-IR"/>
        </w:rPr>
        <w:t>فمحمول علی غیر هذه الصورة،و اللّه العالم</w:t>
      </w:r>
      <w:r>
        <w:rPr>
          <w:rFonts w:eastAsia="IRNazanin" w:cs="IRNazanin"/>
          <w:color w:val="111111"/>
          <w:sz w:val="28"/>
          <w:szCs w:val="28"/>
          <w:rtl w:val="true"/>
          <w:lang w:bidi="fa-IR"/>
        </w:rPr>
        <w:t>.</w:t>
      </w:r>
    </w:p>
    <w:p>
      <w:pPr>
        <w:pStyle w:val="Heading3"/>
        <w:numPr>
          <w:ilvl w:val="2"/>
          <w:numId w:val="1"/>
        </w:numPr>
        <w:rPr/>
      </w:pPr>
      <w:bookmarkStart w:id="539" w:name="__RefHeading___Toc910328_774463916"/>
      <w:bookmarkStart w:id="540" w:name="_Toc198"/>
      <w:bookmarkEnd w:id="539"/>
      <w:r>
        <w:rPr>
          <w:rtl w:val="true"/>
        </w:rPr>
        <w:t>حفظ کتب الضلال</w:t>
      </w:r>
      <w:bookmarkEnd w:id="540"/>
    </w:p>
    <w:p>
      <w:pPr>
        <w:pStyle w:val="Heading4"/>
        <w:numPr>
          <w:ilvl w:val="3"/>
          <w:numId w:val="1"/>
        </w:numPr>
        <w:rPr/>
      </w:pPr>
      <w:bookmarkStart w:id="541" w:name="__RefHeading___Toc910330_774463916"/>
      <w:bookmarkStart w:id="542" w:name="_Toc199"/>
      <w:bookmarkEnd w:id="541"/>
      <w:r>
        <w:rPr>
          <w:rtl w:val="true"/>
        </w:rPr>
        <w:t>اشارة</w:t>
      </w:r>
      <w:bookmarkEnd w:id="54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کتب الضلال حرام فی الجملة بلا خلاف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غنائم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فی المغنم کتب نظر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کتبا لا یحلّ إمساکه کالکفر و الزندقة و ما أشبه ذلک لا یجوز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حکم بوجوب تمزیقها و إتلافها،و حکم بکون التوراة و الإنجیل من هذا القبیل،لوقوع التحریف فیهما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العلاّمة فی غنائم التذکرة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بکتب الضلال کل ما وضع لغرض الإضلال و إغواء الناس و أوجب الضلالة و الغوایة فی الاعتقادات أو الفروع،فیشمل کتب الفحش و الهجو و السخریة،و کتب القصص و الحکایات و الجرائد المشتملة علی الضلالة</w:t>
      </w:r>
      <w:bookmarkStart w:id="543" w:name="pg5064_65501"/>
    </w:p>
    <w:p>
      <w:pPr>
        <w:pStyle w:val="BookText"/>
        <w:rPr/>
      </w:pPr>
      <w:bookmarkEnd w:id="543"/>
      <w:r>
        <w:rPr>
          <w:rFonts w:ascii="IRNazanin" w:hAnsi="IRNazanin" w:eastAsia="IRNazanin"/>
          <w:color w:val="111111"/>
          <w:sz w:val="28"/>
          <w:sz w:val="28"/>
          <w:szCs w:val="28"/>
          <w:rtl w:val="true"/>
          <w:lang w:bidi="fa-IR"/>
        </w:rPr>
        <w:t>و بعض کتب الحکمة و العرفان و السحر و الکهانة و نحوها ممّا یوجب الإضلال</w:t>
      </w:r>
      <w:r>
        <w:rPr>
          <w:rFonts w:eastAsia="IRNazanin" w:cs="IRNazanin"/>
          <w:color w:val="111111"/>
          <w:sz w:val="28"/>
          <w:szCs w:val="28"/>
          <w:rtl w:val="true"/>
          <w:lang w:bidi="fa-IR"/>
        </w:rPr>
        <w:t>.</w:t>
      </w:r>
    </w:p>
    <w:p>
      <w:pPr>
        <w:pStyle w:val="Heading4"/>
        <w:numPr>
          <w:ilvl w:val="3"/>
          <w:numId w:val="1"/>
        </w:numPr>
        <w:rPr/>
      </w:pPr>
      <w:bookmarkStart w:id="544" w:name="__RefHeading___Toc910332_774463916"/>
      <w:bookmarkStart w:id="545" w:name="_Toc200"/>
      <w:bookmarkEnd w:id="544"/>
      <w:r>
        <w:rPr>
          <w:rtl w:val="true"/>
        </w:rPr>
        <w:t>أدلّة الحرمة و الجواب عنها</w:t>
      </w:r>
      <w:bookmarkEnd w:id="545"/>
    </w:p>
    <w:p>
      <w:pPr>
        <w:pStyle w:val="BookText"/>
        <w:rPr/>
      </w:pPr>
      <w:r>
        <w:rPr>
          <w:rFonts w:ascii="IRNazanin" w:hAnsi="IRNazanin" w:eastAsia="IRNazanin"/>
          <w:color w:val="111111"/>
          <w:sz w:val="28"/>
          <w:sz w:val="28"/>
          <w:szCs w:val="28"/>
          <w:rtl w:val="true"/>
          <w:lang w:bidi="fa-IR"/>
        </w:rPr>
        <w:t>و قد استدلّ علی حرمة الحفظ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بوجوب قلع مادّة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مدرک حکمه إن کان هو حسن العدل و قبح الظلم،بدعوی أنّ قلع مادّة الفساد حسن،و حفظها ظلم و هتک للشارع،فیرد علیه أنه لا دلیل علی وجوب دفع الظلم فی جمیع الموارد،و إلاّ لوجب علی اللّه و علی الأنبیاء و الأوصیاء الممانعة عن الظلم تکوینا،مع أنه تعالی هو الذی أقدر الإنسان علی فعل الخیر و الشرّ،و هداه السبیل إمّا شاکرا و إمّا کفورا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مدرک حکمه وجوب الإطاعة و حرمة المعصیة لأمره تعالی بقلع مادّة الفساد،فلا دلیل علی ذلک إلاّ فی موارد خاصّة،کما فی کسر الأصنام و الصلبان و سائر هیاکل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التمسّک بروایة تحف العقول فی استفادة کلّیة الحکم فسیأتی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الفساد موجبا لوهن الحقّ و سدّ بابه،و إحیاء الباطل و تشیید کلمته،وجب دفعه،لأهمیّة حفظ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أیضا وجوب شرعی فی مورد خاص،فلا یرتبط بحکم العقل بقلع مادّة الفساد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قیل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یشتری کتابا فیه لهو الحدیث</w:t>
      </w:r>
    </w:p>
    <w:p>
      <w:pPr>
        <w:pStyle w:val="BookText"/>
        <w:rPr/>
      </w:pPr>
      <w:r>
        <w:rPr>
          <w:rFonts w:ascii="IRNazanin" w:hAnsi="IRNazanin" w:eastAsia="IRNazanin"/>
          <w:color w:val="111111"/>
          <w:sz w:val="28"/>
          <w:sz w:val="28"/>
          <w:szCs w:val="28"/>
          <w:rtl w:val="true"/>
          <w:lang w:bidi="fa-IR"/>
        </w:rPr>
        <w:t>فتشمل حفظ کتب الضلال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المذموم فی ظاهر الآیة هو اشتراء لهو الحدیث للإضلال،و من الواضح أنّ هذا المعنی أجنبی عن حفظ کتب الضلال،لعدم العلم بترتّب الغایة المحرّمة علیه،غایة الأمر احتمال ترتّب الإضلال علی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إذا سلّمنا ذلک فالمستفاد من الآیة حرمة اشتراء کتب الضلال،و لا دلالة فیها علی حرمة إبقائها و حفظها بعد الشراء،کما أنّ التصویر حرام و أمّا اقتناؤه فلیس بحرام،و الزنا حرام و تربیة أولاد الزنا لیس بحرام،و قد تقدّم ذلک فی البحث عن جواز اقتناء الصور المحرّمة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قیل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قد نزلت فی النضر بن الحارث بن کلدة،فإنه کان یشتری کتبا فیها أحادیث الفرس من حدیث رستم و اسفندیار،و کان یلهی الناس بذلک،و یظرف به لیصدّهم عن سماع القرآن و تدبّر ما فیه،نظیر الجرائد المعروفة فی هذا الزمان،فإنّها مشتملة علی الامور اللاهیة التی تصدّ الناس عن الحقّ</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الإیروانی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من الاشتراء هو التعاطی و هو کنایة عن التحدّث به،و هذا داخل فی الإضلال عن سبیل اللّه بسبب التحدّث بلهو الحدیث،و لا إشکال فی حرمة الإضلال،و ذلک غیر ما نحن فیه من إعدام ما یوجب الإضلال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اجْتَنِبُوا قَوْلَ الزُّورِ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قول الزور قد فسّر بالکذب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سیأتی فی مبحث حرمة الغناء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تفسیر قول الزور بالغناء فی جملة من الروایات،و لا منافاة بین التفسیرین،فإنّ کلا منهما لبیان المصداق،و قد ذکرنا فی مبحث التفسیر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أنّ القرآن لا یختص بطائفة و لا بمصداق،و إلاّ لنفد بنفاد تلک الطائفة و انعدام ذلک المصداق،بل القرآن یجری مجری الشمس و القمر،کما فی عدّة من الروایات،و قد ذکرنا جملة منها فی مقدّمات التفسیر،و جمعها فی مرآة الأنوار المعروف بمقدّمة تفسیر البرهان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کیف کان فالآیة غریبة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تدلّ علی إعدام کتب الضلال،لکونها من أظهر مصادیق الکذب،بل هی کذب علی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یستفاد من الآیة وجوب الاجتناب عن التکلّم بالکذب و أمّا إعدامه فلا،و إلاّ لوجب إعدام جمیع ما فیه کذب،کأکثر التواریخ و نحوها،و لم یلتزم به أحد من المحصّلین فضلا عن الفقهاء</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جملة من فقرات روایة تحف العقول تدلّ علی حرمة حفظ کتب الضلال،منها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اللّه الصناعة التی یجیء منها</w:t>
      </w:r>
    </w:p>
    <w:p>
      <w:pPr>
        <w:pStyle w:val="BookText"/>
        <w:rPr/>
      </w:pPr>
      <w:r>
        <w:rPr>
          <w:rFonts w:ascii="IRNazanin" w:hAnsi="IRNazanin" w:eastAsia="IRNazanin"/>
          <w:color w:val="111111"/>
          <w:sz w:val="28"/>
          <w:sz w:val="28"/>
          <w:szCs w:val="28"/>
          <w:rtl w:val="true"/>
          <w:lang w:bidi="fa-IR"/>
        </w:rPr>
        <w:t>الفساد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مفهوم الحصر یقتضی حرمة الصناعة المحرّمة بجمیع منافعها،و منها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الصناعة لا تلازم حرمة إبقاء المصنوع کما تقدّم فی مبحث إبقاء الصور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فغایة ما تدل علیه الروایة أنّ تألیف کتب الضلال أو استنساخها من المحرّمات،لصدق الصناعة علیهما،و لا تدلّ علی حرمة الإبقاء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یکون منه و فیه الفساد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التقلّب فیه من جمیع وجوه الحرکات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 التقلّب علی الحفظ ممنوع،خصوصا إذا کان غرض الحافظ عدم وقوع کتب الضلال فی أیدی الناس لتوجب إضلالهم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یقوی به الکفر و الشرک فی جمیع وجوه المعاصی،أو باب یوهن به الحق،فهو حرام محرّم بیعه و شراؤه و إمساکه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الکبری و إن کانت مسلّمة،و لکن للمناقشة فی الصغری مجالا واسعا،لمنع کون الحفظ تقویة للکفر و إهانة للحق کما هو واضح،إلاّ أن یکون بهذا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جمیع ما ذکرناه من الأجوبة أنّها ضعیفة السند،و غیر منجبرة بشیء کما تقدّم،فلا تصلح أن تکون مستندا لشیء من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حسنة عبد الملک بن أعین التی تقدّمت فی مبحث التنجیم </w:t>
      </w:r>
      <w:r>
        <w:rPr>
          <w:rStyle w:val="FootnoteAnchor"/>
          <w:rtl w:val="true"/>
        </w:rPr>
        <w:footnoteReference w:id="797"/>
      </w:r>
      <w:r>
        <w:rPr>
          <w:rFonts w:ascii="IRNazanin" w:hAnsi="IRNazanin" w:eastAsia="IRNazanin"/>
          <w:color w:val="111111"/>
          <w:sz w:val="28"/>
          <w:sz w:val="28"/>
          <w:szCs w:val="28"/>
          <w:rtl w:val="true"/>
          <w:lang w:bidi="fa-IR"/>
        </w:rPr>
        <w:t>حیث سأل عن ابتلائه بالنجوم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 کتبک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التفصیل فیها القاطع للشرکة هو جواز الحفظ مع عدم الحکم</w:t>
      </w:r>
      <w:r>
        <w:rPr>
          <w:rFonts w:eastAsia="IRNazanin" w:cs="IRNazanin"/>
          <w:color w:val="111111"/>
          <w:sz w:val="28"/>
          <w:szCs w:val="28"/>
          <w:rtl w:val="true"/>
          <w:lang w:bidi="fa-IR"/>
        </w:rPr>
        <w:t>.</w:t>
      </w:r>
      <w:bookmarkStart w:id="546" w:name="pg5064_65505"/>
    </w:p>
    <w:p>
      <w:pPr>
        <w:pStyle w:val="BookText"/>
        <w:rPr/>
      </w:pPr>
      <w:bookmarkEnd w:id="546"/>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لا نسلّم تحقّقه علی المطلوب،و لذا قال فی الحدائق </w:t>
      </w:r>
      <w:r>
        <w:rPr>
          <w:rStyle w:val="FootnoteAnchor"/>
          <w:rtl w:val="true"/>
        </w:rPr>
        <w:footnoteReference w:id="798"/>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حرمة حفظ کتب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الوجوه التی أقاموها علی حرمته فهی تخمینیة اعتباریة لا یجوز الاعتماد علیها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تحقّقه علی المطلوب فلیس إجماعا تعبّدیا،لاحتمال استناده إلی الوجوه المذکورة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جمیع ذلک فالمتیقّن من الإجماع ما یترتّب علیه الإضلال خارجا،و لا ریب أنّ حرمة إضلال الناس عن الحقّ من الضروریات بین المسلمین،فلا یحتاج فی إثباتها إلی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حرمة حفظ کتب الضلال فإنّه لا بأس بحفظها لردّها،أو إظهار ما فیها من العقائد الخرافیة و القصص المضحکة و الأحکام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ظهر حکم المعاملة علیها وضعا و تکلیفا،و کذلک ظهر حکم کتب المخالفین المدوّنة فی الفقه و العقائد و الأخبار و غیرها</w:t>
      </w:r>
      <w:r>
        <w:rPr>
          <w:rFonts w:eastAsia="IRNazanin" w:cs="IRNazanin"/>
          <w:color w:val="111111"/>
          <w:sz w:val="28"/>
          <w:szCs w:val="28"/>
          <w:rtl w:val="true"/>
          <w:lang w:bidi="fa-IR"/>
        </w:rPr>
        <w:t>.</w:t>
      </w:r>
    </w:p>
    <w:p>
      <w:pPr>
        <w:pStyle w:val="Heading3"/>
        <w:numPr>
          <w:ilvl w:val="2"/>
          <w:numId w:val="1"/>
        </w:numPr>
        <w:rPr/>
      </w:pPr>
      <w:bookmarkStart w:id="547" w:name="__RefHeading___Toc910334_774463916"/>
      <w:bookmarkStart w:id="548" w:name="_Toc201"/>
      <w:bookmarkEnd w:id="547"/>
      <w:r>
        <w:rPr>
          <w:rtl w:val="true"/>
        </w:rPr>
        <w:t>حرمة حلق اللحیة</w:t>
      </w:r>
      <w:bookmarkEnd w:id="548"/>
    </w:p>
    <w:p>
      <w:pPr>
        <w:pStyle w:val="Heading4"/>
        <w:numPr>
          <w:ilvl w:val="3"/>
          <w:numId w:val="1"/>
        </w:numPr>
        <w:rPr/>
      </w:pPr>
      <w:bookmarkStart w:id="549" w:name="__RefHeading___Toc910336_774463916"/>
      <w:bookmarkStart w:id="550" w:name="_Toc202"/>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و لا بأس بالتعرّض لحرمة حلق اللحیة إجابة لالتماس بعض الأفاضل فنقول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بل المجمع علیه بین الشیعة و السنّة </w:t>
      </w:r>
      <w:r>
        <w:rPr>
          <w:rStyle w:val="FootnoteAnchor"/>
          <w:rtl w:val="true"/>
        </w:rPr>
        <w:footnoteReference w:id="799"/>
      </w:r>
      <w:r>
        <w:rPr>
          <w:rFonts w:ascii="IRNazanin" w:hAnsi="IRNazanin" w:eastAsia="IRNazanin"/>
          <w:color w:val="111111"/>
          <w:sz w:val="28"/>
          <w:sz w:val="28"/>
          <w:szCs w:val="28"/>
          <w:rtl w:val="true"/>
          <w:lang w:bidi="fa-IR"/>
        </w:rPr>
        <w:t>هو حرمة حلق اللحیة،و قد استدلّ</w:t>
      </w:r>
      <w:bookmarkStart w:id="551" w:name="pg5064_65506"/>
    </w:p>
    <w:p>
      <w:pPr>
        <w:pStyle w:val="BookText"/>
        <w:rPr/>
      </w:pPr>
      <w:bookmarkEnd w:id="551"/>
      <w:r>
        <w:rPr>
          <w:rFonts w:ascii="IRNazanin" w:hAnsi="IRNazanin" w:eastAsia="IRNazanin"/>
          <w:color w:val="111111"/>
          <w:sz w:val="28"/>
          <w:sz w:val="28"/>
          <w:szCs w:val="28"/>
          <w:rtl w:val="true"/>
          <w:lang w:bidi="fa-IR"/>
        </w:rPr>
        <w:t>علیها بوجوه</w:t>
      </w:r>
      <w:r>
        <w:rPr>
          <w:rFonts w:eastAsia="IRNazanin" w:cs="IRNazanin"/>
          <w:color w:val="111111"/>
          <w:sz w:val="28"/>
          <w:szCs w:val="28"/>
          <w:rtl w:val="true"/>
          <w:lang w:bidi="fa-IR"/>
        </w:rPr>
        <w:t>:</w:t>
      </w:r>
    </w:p>
    <w:p>
      <w:pPr>
        <w:pStyle w:val="Heading4"/>
        <w:numPr>
          <w:ilvl w:val="3"/>
          <w:numId w:val="1"/>
        </w:numPr>
        <w:rPr/>
      </w:pPr>
      <w:bookmarkStart w:id="552" w:name="__RefHeading___Toc910338_774463916"/>
      <w:bookmarkStart w:id="553" w:name="_Toc203"/>
      <w:bookmarkEnd w:id="552"/>
      <w:r>
        <w:rPr>
          <w:rtl w:val="true"/>
        </w:rPr>
        <w:t>أدلّة الحرمة و ما یرد علیها</w:t>
      </w:r>
      <w:bookmarkEnd w:id="553"/>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فی التحدّث عن قول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لَآمُرَنَّهُمْ فَلَیُغَیِّرُنَّ خَلْقَ اللّهِ </w:t>
      </w:r>
      <w:r>
        <w:rPr>
          <w:rStyle w:val="FootnoteAnchor"/>
          <w:rtl w:val="true"/>
        </w:rPr>
        <w:footnoteReference w:id="800"/>
      </w:r>
      <w:r>
        <w:rPr>
          <w:rFonts w:ascii="IRNazanin" w:hAnsi="IRNazanin" w:eastAsia="IRNazanin"/>
          <w:color w:val="111111"/>
          <w:sz w:val="28"/>
          <w:sz w:val="28"/>
          <w:szCs w:val="28"/>
          <w:rtl w:val="true"/>
          <w:lang w:bidi="fa-IR"/>
        </w:rPr>
        <w:t>بدعوی أنّ حلق اللحیة من تغییر الخلقة،و کل ما یکون تغییرا لها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المراد بالتغییر فی الآیة المبارکة تغییرا خاصا فلا شبهة فی حرمته علی إجماله،و لکن لا دلیل علی کون المراد به ما یعمّ حلق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به مطلق التغییر فالکبری ممنوعة،ضرورة عدم الدلیل علی حرمة تغییر الخلقة علی وجه الإطلاق،و إلاّ لزم القول بحرمة التصرف فی مصنوعاته تعالی حتی بمثل جری الأنهار و غرس الأشجار و حفر الآبار و قطع الأخشاب و قلم الأظفار،و غیرها من التغییرات فی مخلوقاته سبحانه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به تغییر دین اللّه الذی فطر الناس علیه،وفاقا للشیخ</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801"/>
      </w:r>
      <w:r>
        <w:rPr>
          <w:rFonts w:ascii="Amiri" w:hAnsi="Amiri" w:eastAsia="Amiri" w:cs="Amiri"/>
          <w:color w:val="111111"/>
          <w:sz w:val="28"/>
          <w:sz w:val="28"/>
          <w:szCs w:val="28"/>
          <w:rtl w:val="true"/>
          <w:lang w:bidi="ar-SA"/>
        </w:rPr>
        <w:t>و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لا تَبْدِیلَ لِخَلْقِ اللّهِ ذلِکَ الدِّینُ الْقَیِّمُ </w:t>
      </w:r>
      <w:r>
        <w:rPr>
          <w:rStyle w:val="FootnoteAnchor"/>
          <w:rtl w:val="true"/>
        </w:rPr>
        <w:footnoteReference w:id="802"/>
      </w:r>
      <w:r>
        <w:rPr>
          <w:rFonts w:ascii="IRNazanin" w:hAnsi="IRNazanin" w:eastAsia="IRNazanin"/>
          <w:color w:val="111111"/>
          <w:sz w:val="28"/>
          <w:sz w:val="28"/>
          <w:szCs w:val="28"/>
          <w:rtl w:val="true"/>
          <w:lang w:bidi="fa-IR"/>
        </w:rPr>
        <w:t>و قد نقل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الآیة أقوالا شتّی،و لیس منها ما یعمّ حلق اللحیة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جملة من الروایات من الأمر باعفاء اللحی و حفّ الشوارب،و النهی عن التشبّه بالیهود و المجوس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تدل علی الوجوب،فإنّ من الواضح جدّا أنّ إعفاء اللحی لیس واجبا،بل الزائد عن القبضة الواحدة مذموم نعم غایة الأمر أنّه یستفاد منها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الأمر بالإعفاء عقیب الإحفاء ثم النهی عن التشبّه بالیهود ما ذکره المحدّث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الحدیث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الیهود لا یأخذون من لحاهم بل یطیلونها،و ذکر الإعفاء عقیب الإحفاء ثم النهی عن التشبّه بالیهود دلیل علی أنّ المراد بالإعفاء أن لا یستأصل،و یؤخذ منها من دون استقصاء،بل مع توفیر و إبقاء بحیث لا یتجاوز القبضة فتستحق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دلالة فی ذلک علی حرمة حلق اللحیة،لأنّ المأمور به حینئذ هو الإعفاء و إبقاء اللحیة بما لا یزید علی القبضة،و هو لیس بواجب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عن التشبّه بالمجوس عقیب الإعفاء و الإحفاء فالمراد به أن لا تحلق اللحیة،و تترک الشوارب کما یصنعون،قال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المجوس جزّوا لحاهم و وفّروا شواربهم،و أمّا نحن نجزّ الشوارب و نعفی اللحی،و هی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یدل هذا النهی علی حرمة حلق اللحیة و ترک الشوارب معا،فإنّ نفی التشبّه یحصل بفعل 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الروایات لا تدل علی وجوب الإعفاء،لاشتمالها علی قصّ الشوارب،و هو مستحب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ظهور الأمر فی الوجوب إنّما ترفع الید عنه بمقدار ما ثبت فیه الترخیص،و قد حقّقنا ذلک فی موضعه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الجعفریات الدالّة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اللحیة من المثلة،و من</w:t>
      </w:r>
    </w:p>
    <w:p>
      <w:pPr>
        <w:pStyle w:val="BookText"/>
        <w:rPr/>
      </w:pPr>
      <w:r>
        <w:rPr>
          <w:rFonts w:ascii="Amiri" w:hAnsi="Amiri" w:eastAsia="Amiri" w:cs="Amiri"/>
          <w:color w:val="111111"/>
          <w:sz w:val="28"/>
          <w:sz w:val="28"/>
          <w:szCs w:val="28"/>
          <w:rtl w:val="true"/>
          <w:lang w:bidi="ar-SA"/>
        </w:rPr>
        <w:t>مثّل فعلیه لعنة اللّه</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مجهولة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المثلة هو التنکیل بالغیر بقصد هتکه و إهانته،بحیث تظهر آثار فعل الفاعل بالمنکّل به،و علیه فتکون الروایة دالّة علی حرمة هتک الغیر بإزالة لحیته،لکون ذلک مثلة و المثلة محرّمة،فلا ترتبط بحلق اللحیة بالاختیار،سواء أکان ذلک بمباشرة نفسه أم بمباشرة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اللعن کما یجتمع مع الحرمة فکذلک یجتمع مع الکراهة أیضا فترجیح أحدهما علی الآخر یحتاج إلی القرینة المعیّنة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هذا ورود اللعن علی فعل المکروه فی موارد عدیدة،و قد تقدّمت فی مسألة الوصل و النمص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تلک الموارد ما فی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لعن اللّه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زاده وحده،و راکب الفلاة وحده،و النائم فی بیت وحده</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بطلان الفرق بین اللعن المطلق و بین کون اللعن من اللّه أو من رسوله،بتوهّم أنّ الأول یجتمع مع الکراهة لکونه ظاهرا فی البعد المطلق،بخلاف الثانی فإنّه یختص بالحرمة،لکونه ظاهرا فی إنشاء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المذکورة ضعیفة السند،و لم نجد فی غیرها ورود اللعن من اللّه علی فعل</w:t>
      </w:r>
    </w:p>
    <w:p>
      <w:pPr>
        <w:pStyle w:val="BookText"/>
        <w:rPr/>
      </w:pPr>
      <w:r>
        <w:rPr>
          <w:rFonts w:ascii="IRNazanin" w:hAnsi="IRNazanin" w:eastAsia="IRNazanin"/>
          <w:color w:val="111111"/>
          <w:sz w:val="28"/>
          <w:sz w:val="28"/>
          <w:szCs w:val="28"/>
          <w:rtl w:val="true"/>
          <w:lang w:bidi="fa-IR"/>
        </w:rPr>
        <w:t>المکروه،و علیه فلا بأس فی ظهور ذلک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عدم جواز السلوک مسلک أعداء الدین </w:t>
      </w:r>
      <w:r>
        <w:rPr>
          <w:rStyle w:val="FootnoteAnchor"/>
          <w:rtl w:val="true"/>
        </w:rPr>
        <w:footnoteReference w:id="808"/>
      </w:r>
      <w:r>
        <w:rPr>
          <w:rFonts w:ascii="IRNazanin" w:hAnsi="IRNazanin" w:eastAsia="IRNazanin"/>
          <w:color w:val="111111"/>
          <w:sz w:val="28"/>
          <w:sz w:val="28"/>
          <w:szCs w:val="28"/>
          <w:rtl w:val="true"/>
          <w:lang w:bidi="fa-IR"/>
        </w:rPr>
        <w:t>،و من شعارهم حلق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السلوک مسلک أعداء الدین عبارة عن اتّخاذ سیرتهم شعارا و زیّا،و هذا لا یتحقّق بمجرد الاتّصاف بوصف من أوصافهم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لرسولی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ویلکما من أمرکما بهذا؟قالا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بهذا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یعنیان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ربّی أمرنی باعفاء لحیتی و قصّ شواربی</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أنّ المأمور به إنّما هو الإعفاء،و هو لیس بواجب قطعا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 حلقوا اللحی و فتلوا الشوارب فمسخوا</w:t>
      </w:r>
      <w:r>
        <w:rPr>
          <w:rFonts w:eastAsia="IRNazanin" w:cs="IRNazanin"/>
          <w:color w:val="111111"/>
          <w:sz w:val="28"/>
          <w:szCs w:val="28"/>
          <w:rtl w:val="true"/>
          <w:lang w:bidi="fa-IR"/>
        </w:rPr>
        <w:t xml:space="preserve">»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و إن کانت ظاهرة فی الحرمة،إلاّ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البزنطی الدالّة علی حرمة حلق اللحیة و أخذها و لو بالنتف و نحوه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ذلک أیضا السیرة القطعیة بین المتدیّنین المتّصلة إلی زمان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ملتزمون بحفظ اللحیة و یذمّون حالقها،بل یعاملونه معاملة الفسّاق فی الامور التی تعتبر فیها العدالة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ذکرناه دعوی الإجماع علیه کما فی کلمات جملة من الأعلام،و عدم نقلهم</w:t>
      </w:r>
      <w:bookmarkStart w:id="554" w:name="pg5064_65512"/>
    </w:p>
    <w:p>
      <w:pPr>
        <w:pStyle w:val="BookText"/>
        <w:rPr/>
      </w:pPr>
      <w:bookmarkEnd w:id="554"/>
      <w:r>
        <w:rPr>
          <w:rFonts w:ascii="IRNazanin" w:hAnsi="IRNazanin" w:eastAsia="IRNazanin"/>
          <w:color w:val="111111"/>
          <w:sz w:val="28"/>
          <w:sz w:val="28"/>
          <w:szCs w:val="28"/>
          <w:rtl w:val="true"/>
          <w:lang w:bidi="fa-IR"/>
        </w:rPr>
        <w:t>الخلاف فی المقام من الشیعة و السنّة،کما هو کذلک،و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حرمة حلق اللحیة هو إعدامها،و علیه فلا یفرق فی ذلک بین الحلق و النتف و غیرهما ممّا یوجب إزالة الشعر عن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مقدار اللحیة فی جانب القلّة فلم یرد فی تحدیده نص خاصّ،فالمدار فی ذلک هو الصدق العرفی،و علی هذا فإذا أخذت بمثل المکینة و المقراض أو غیرهما بحیث لم تصدق اللحیة علی الباقی کان حراما</w:t>
      </w:r>
      <w:r>
        <w:rPr>
          <w:rFonts w:eastAsia="IRNazanin" w:cs="IRNazanin"/>
          <w:color w:val="111111"/>
          <w:sz w:val="28"/>
          <w:szCs w:val="28"/>
          <w:rtl w:val="true"/>
          <w:lang w:bidi="fa-IR"/>
        </w:rPr>
        <w:t>.</w:t>
      </w:r>
    </w:p>
    <w:p>
      <w:pPr>
        <w:pStyle w:val="Heading3"/>
        <w:numPr>
          <w:ilvl w:val="2"/>
          <w:numId w:val="1"/>
        </w:numPr>
        <w:rPr/>
      </w:pPr>
      <w:bookmarkStart w:id="555" w:name="__RefHeading___Toc910340_774463916"/>
      <w:bookmarkStart w:id="556" w:name="_Toc204"/>
      <w:bookmarkEnd w:id="555"/>
      <w:r>
        <w:rPr>
          <w:rtl w:val="true"/>
        </w:rPr>
        <w:t>موضوع الرشوة و حقیقتها</w:t>
      </w:r>
      <w:bookmarkEnd w:id="556"/>
    </w:p>
    <w:p>
      <w:pPr>
        <w:pStyle w:val="Heading4"/>
        <w:numPr>
          <w:ilvl w:val="3"/>
          <w:numId w:val="1"/>
        </w:numPr>
        <w:rPr/>
      </w:pPr>
      <w:bookmarkStart w:id="557" w:name="__RefHeading___Toc910342_774463916"/>
      <w:bookmarkStart w:id="558" w:name="_Toc205"/>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الرشوة حرام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910344_774463916"/>
      <w:bookmarkStart w:id="560" w:name="_Toc206"/>
      <w:bookmarkEnd w:id="559"/>
      <w:r>
        <w:rPr>
          <w:rtl w:val="true"/>
        </w:rPr>
        <w:t>موضوع الرشوة</w:t>
      </w:r>
      <w:bookmarkEnd w:id="5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نصّا من طرق الخاصّة و من طرق العامّة یحقّق موضوع الرشوة و یبیّن حقیقتها،غیر أنه ورد فی بعض الروایات أنّها تکون فی الأحکام،و لکنّها لم توضّح أنّ الرشوة هل هی بذل المال علی مطلق الحکم،أو علی الحکم بالباطل،بل لا یفهم منها الاختصاص بالأحکام،و إلاّ لما صحّ إطلاقها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 بدّ فی تحقیق مفهومها من الرجوع إلی العرف و اللغة و کلمات الأصحاب</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المستند أنّ مقتضی کلام الأکثر و المتفاهم فی العرف أنّ الرشوة عامّة لکل ما یدفع من المال للحاکم،سواء أکان لحق أم کان 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ذلک عن تصریح والده،ثم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 من القاموس و الکنز و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استعمالها فیما أعطی للحق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یرشو الرجل علی أن یتحوّل عن منزله فیسکنه؟قال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الأصل فی الاستعمال إذا لم یعلم</w:t>
      </w:r>
    </w:p>
    <w:p>
      <w:pPr>
        <w:pStyle w:val="BookText"/>
        <w:rPr/>
      </w:pPr>
      <w:r>
        <w:rPr>
          <w:rFonts w:ascii="IRNazanin" w:hAnsi="IRNazanin" w:eastAsia="IRNazanin"/>
          <w:color w:val="111111"/>
          <w:sz w:val="28"/>
          <w:sz w:val="28"/>
          <w:szCs w:val="28"/>
          <w:rtl w:val="true"/>
          <w:lang w:bidi="fa-IR"/>
        </w:rPr>
        <w:t xml:space="preserve">الاستعمال فی غیره الحقیقة کما حقّق فی موضعه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کلامه،و سنذکر الروایة فی البحث عن حکم الرشوة فی غیر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حاشیة الإرشاد أنّ الرشوة ما یبذله المتحاکمان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کلمات جماعة أنّ الرشوة ما یبذله المحقّ لیحکم له بحقّ بحیث لو لم یبذله لأبطل حقّه،و لحکم علیه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کلمات الأصحاب بمضامین مختلفة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من کلمات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أهل العرف و اللغة </w:t>
      </w:r>
      <w:r>
        <w:rPr>
          <w:rStyle w:val="FootnoteAnchor"/>
          <w:rtl w:val="true"/>
        </w:rPr>
        <w:footnoteReference w:id="816"/>
      </w:r>
      <w:r>
        <w:rPr>
          <w:rFonts w:ascii="IRNazanin" w:hAnsi="IRNazanin" w:eastAsia="IRNazanin"/>
          <w:color w:val="111111"/>
          <w:sz w:val="28"/>
          <w:sz w:val="28"/>
          <w:szCs w:val="28"/>
          <w:rtl w:val="true"/>
          <w:lang w:bidi="fa-IR"/>
        </w:rPr>
        <w:t>مع ضمّ بعضها إلی بعض أنّ الرشوة ما یعطیه أحد الشخصین للآخر لإحقاق حقّ،أو تمشیة باطل،أو للتملّق،أو الوصلة إلی الحاجة بالمصانعة،أو فی عمل لا یقابل بالاجرة و الجعل عند العرف و العقلاء و إن کان محطّا لغرضهم و موردا لنظرهم،بل</w:t>
      </w:r>
      <w:bookmarkStart w:id="561" w:name="pg5064_65514"/>
    </w:p>
    <w:p>
      <w:pPr>
        <w:pStyle w:val="BookText"/>
        <w:rPr/>
      </w:pPr>
      <w:bookmarkEnd w:id="561"/>
      <w:r>
        <w:rPr>
          <w:rFonts w:ascii="IRNazanin" w:hAnsi="IRNazanin" w:eastAsia="IRNazanin"/>
          <w:color w:val="111111"/>
          <w:sz w:val="28"/>
          <w:sz w:val="28"/>
          <w:szCs w:val="28"/>
          <w:rtl w:val="true"/>
          <w:lang w:bidi="fa-IR"/>
        </w:rPr>
        <w:t>یفعلون ذلک العمل للتعاون و التعاضد فیما بینهم،کإحقاق الحقّ،و إبطال الباطل و ترک الظلم و الإیذاء أو دفعهما،و تسلیم الأوقاف من المدارس و المساجد و المعابد و نحوها،إلی غیره،کأن یرشو الرجل علی أن یتحوّل عن منزله فیسکنه غیره،أو یتحوّل عن مکان فی المساجد فیجلس فیه غیره،إلی غیر ذلک من الموارد التی لم یتعارف أخذ الاجرة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فی القاموس من تفسیر الرشوة بمطلق الجعل محمول علی التفسیر بالأعم،کما هو شأن اللغوی أحیانا،و إلاّ لشمل الجعل فی مثل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ألف درهم،مع أنه لا یقول به أحد</w:t>
      </w:r>
      <w:r>
        <w:rPr>
          <w:rFonts w:eastAsia="IRNazanin" w:cs="IRNazanin"/>
          <w:color w:val="111111"/>
          <w:sz w:val="28"/>
          <w:szCs w:val="28"/>
          <w:rtl w:val="true"/>
          <w:lang w:bidi="fa-IR"/>
        </w:rPr>
        <w:t>.</w:t>
      </w:r>
    </w:p>
    <w:p>
      <w:pPr>
        <w:pStyle w:val="Heading4"/>
        <w:numPr>
          <w:ilvl w:val="3"/>
          <w:numId w:val="1"/>
        </w:numPr>
        <w:rPr/>
      </w:pPr>
      <w:bookmarkStart w:id="562" w:name="__RefHeading___Toc910346_774463916"/>
      <w:bookmarkStart w:id="563" w:name="_Toc207"/>
      <w:bookmarkEnd w:id="562"/>
      <w:r>
        <w:rPr>
          <w:rtl w:val="true"/>
        </w:rPr>
        <w:t>أدلة حرمة الرشوة</w:t>
      </w:r>
      <w:bookmarkEnd w:id="563"/>
    </w:p>
    <w:p>
      <w:pPr>
        <w:pStyle w:val="BookText"/>
        <w:rPr/>
      </w:pPr>
      <w:r>
        <w:rPr>
          <w:rFonts w:ascii="IRNazanin" w:hAnsi="IRNazanin" w:eastAsia="IRNazanin"/>
          <w:color w:val="111111"/>
          <w:sz w:val="28"/>
          <w:sz w:val="28"/>
          <w:szCs w:val="28"/>
          <w:rtl w:val="true"/>
          <w:lang w:bidi="fa-IR"/>
        </w:rPr>
        <w:t xml:space="preserve">ما حکم الرشوة؟الظاهر بل الواقع لا خلاف بین الشیعة و السنّة </w:t>
      </w:r>
      <w:r>
        <w:rPr>
          <w:rStyle w:val="FootnoteAnchor"/>
          <w:rtl w:val="true"/>
        </w:rPr>
        <w:footnoteReference w:id="817"/>
      </w:r>
      <w:r>
        <w:rPr>
          <w:rFonts w:ascii="IRNazanin" w:hAnsi="IRNazanin" w:eastAsia="IRNazanin"/>
          <w:color w:val="111111"/>
          <w:sz w:val="28"/>
          <w:sz w:val="28"/>
          <w:szCs w:val="28"/>
          <w:rtl w:val="true"/>
          <w:lang w:bidi="fa-IR"/>
        </w:rPr>
        <w:t xml:space="preserve">فی حرمتها فی الجملة للآخذ و المعطی،بل عن جامع المقاصد أجمع أهل الإسلام علی تحریم الرشا فی الحکم،سواء أکان الحکم لحقّ أم لباطل،و سواء أکان للباذل أم علیه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تجارة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تحریمه إجماع المسلمین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علی حرمتها فی الجملة الروایات المتظافرة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سنذکرها فی الحاشیة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أَمْوالَکُمْ بَیْنَکُمْ بِالْباطِلِ وَ تُدْلُوا بِها إِلَی الْحُکّامِ لِتَأْکُلُوا</w:t>
      </w:r>
    </w:p>
    <w:p>
      <w:pPr>
        <w:pStyle w:val="BookText"/>
        <w:rPr/>
      </w:pPr>
      <w:r>
        <w:rPr>
          <w:rFonts w:ascii="Amiri" w:hAnsi="Amiri" w:eastAsia="Amiri" w:cs="Amiri"/>
          <w:color w:val="111111"/>
          <w:sz w:val="28"/>
          <w:sz w:val="28"/>
          <w:szCs w:val="28"/>
          <w:rtl w:val="true"/>
          <w:lang w:bidi="ar-SA"/>
        </w:rPr>
        <w:t xml:space="preserve">فَرِیقاً مِنْ أَمْوالِ النّاسِ بِالْإِثْمِ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نهی عن الإدلاء بالمال إلی الحکّام لإبطال الحق و إقامة الباطل حتّی یأکلوا بذلک فریقا من أموال الناس بالإثم و العدوان،و هذا هو معنی الرشوة،و إذا حرم الإعطاء حرم الأخذ أیضا،للملازمة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إنّما نزلت فی خصوص أموال الیتامی و الودیعة و المال المتنازع فیه،و قد نهی اللّه تعالی فیها عن إعطاء مقدار من تلک الأموال للقضاة و الحکّام لأکل البقیة بالإثم و العدوان،و علی هذا فهی أجنبیة عن 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فسّرت الآیة الشریفة بکل واحد من الامور المذکورة </w:t>
      </w:r>
      <w:r>
        <w:rPr>
          <w:rStyle w:val="FootnoteAnchor"/>
          <w:rtl w:val="true"/>
        </w:rPr>
        <w:footnoteReference w:id="821"/>
      </w:r>
      <w:r>
        <w:rPr>
          <w:rFonts w:ascii="IRNazanin" w:hAnsi="IRNazanin" w:eastAsia="IRNazanin"/>
          <w:color w:val="111111"/>
          <w:sz w:val="28"/>
          <w:sz w:val="28"/>
          <w:szCs w:val="28"/>
          <w:rtl w:val="true"/>
          <w:lang w:bidi="fa-IR"/>
        </w:rPr>
        <w:t xml:space="preserve">إلاّ أنّ هذه التفاسیر من قبیل بیان المصداق،و القرآن لا یختص بطائفة و لا بمصداق بل یجری کجری الشمس و القمر کما دلّت علیه جملة من الروایات،و قد ذکرناها فی مقدّمة التفسیر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فی مجمع البحرین عن الصحاح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تُدْلُوا بِها إِلَی الْحُکّامِ یعنی الرشوة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یتوهّم أنّ الآیة لیست لها تعرّض لحکم الرشوة،فإنّ قوله تعالی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تُدْلُوا بِها إِلَی الْحُکّامِ ظاهر فی أنّ المحرّم هو الإدلاء بأموال الناس إلی الحکّام</w:t>
      </w:r>
      <w:bookmarkStart w:id="564" w:name="pg5064_65516"/>
    </w:p>
    <w:p>
      <w:pPr>
        <w:pStyle w:val="BookText"/>
        <w:rPr/>
      </w:pPr>
      <w:bookmarkEnd w:id="564"/>
      <w:r>
        <w:rPr>
          <w:rFonts w:ascii="IRNazanin" w:hAnsi="IRNazanin" w:eastAsia="IRNazanin"/>
          <w:color w:val="111111"/>
          <w:sz w:val="28"/>
          <w:sz w:val="28"/>
          <w:szCs w:val="28"/>
          <w:rtl w:val="true"/>
          <w:lang w:bidi="fa-IR"/>
        </w:rPr>
        <w:t>لیستعین بهؤلاء علی أکل فریق آخر من أموال الناس بالإثم،و من المعلوم أنّ الرشوة هی ما یعطیها الراشی من مال نفسه لإبطال حقّ أو إحقاق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الرشوة فی العرف و اللغة أعم من ذلک کما تقدّم،فلا وجه للتخصیص بقسم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ظهور فی الآیة المبارکة فی کون المدفوع إلی الحکّام مال الغیر بل هی أعم من ذلک،أو ظاهرة فی کون المدفوع مال المعطی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الرشوة فی الجملة من ضروریات الدین،و ممّا قام علیه إجماع المسلمین،فلا حاجة إلی الاستدلال علیها</w:t>
      </w:r>
      <w:r>
        <w:rPr>
          <w:rFonts w:eastAsia="IRNazanin" w:cs="IRNazanin"/>
          <w:color w:val="111111"/>
          <w:sz w:val="28"/>
          <w:szCs w:val="28"/>
          <w:rtl w:val="true"/>
          <w:lang w:bidi="fa-IR"/>
        </w:rPr>
        <w:t>.</w:t>
      </w:r>
    </w:p>
    <w:p>
      <w:pPr>
        <w:pStyle w:val="Heading4"/>
        <w:numPr>
          <w:ilvl w:val="3"/>
          <w:numId w:val="1"/>
        </w:numPr>
        <w:rPr/>
      </w:pPr>
      <w:bookmarkStart w:id="565" w:name="__RefHeading___Toc910348_774463916"/>
      <w:bookmarkStart w:id="566" w:name="_Toc208"/>
      <w:bookmarkEnd w:id="565"/>
      <w:r>
        <w:rPr>
          <w:rtl w:val="true"/>
        </w:rPr>
        <w:t>حکم ما یأخذه القاضی من الرشوة</w:t>
      </w:r>
      <w:bookmarkEnd w:id="566"/>
    </w:p>
    <w:p>
      <w:pPr>
        <w:pStyle w:val="BookText"/>
        <w:rPr/>
      </w:pPr>
      <w:r>
        <w:rPr>
          <w:rFonts w:ascii="IRNazanin" w:hAnsi="IRNazanin" w:eastAsia="IRNazanin"/>
          <w:color w:val="111111"/>
          <w:sz w:val="28"/>
          <w:sz w:val="28"/>
          <w:szCs w:val="28"/>
          <w:rtl w:val="true"/>
          <w:lang w:bidi="fa-IR"/>
        </w:rPr>
        <w:t>ثم إنّ تفصیل الکلام فی أحکام الرشوة أنّ القاضی قد یأخذ الرشوة من شخص لیحکم له بالباطل مع العلم ببطلان الحکم،و قد یأخذها لیحکم للباذل مع جهله،سواء طابق حکمه الواقع أم لم یطابق،و قد یأخذها لیحکم له بالحق مع العلم و الهدی من اللّه تعالی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الصورتان الاولیان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حرمتهما،فإنّ الحکم بالباطل و الإفتاء و القضاء مع الجهل بالمطابقة للواقع محرّمان بضرورة الدین و إجماع المسلمین،بل هما من الجرائم الموبقة و الکبائر المهلکة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حرمتهما أیضا العقل و الکتاب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السنّة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فمقتضی القاعدة حرمة الرشوة فی کلتا الصورتین،لما عرفت فی أوائل الکتاب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حرمة المعاملة علی الأعمال المحرّمة وضعا و تکلیفا،علی أنّ الروایات من الشیعة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و السنّة </w:t>
      </w:r>
      <w:r>
        <w:rPr>
          <w:rStyle w:val="FootnoteAnchor"/>
          <w:rtl w:val="true"/>
        </w:rPr>
        <w:footnoteReference w:id="823"/>
      </w:r>
      <w:r>
        <w:rPr>
          <w:rFonts w:ascii="IRNazanin" w:hAnsi="IRNazanin" w:eastAsia="IRNazanin"/>
          <w:color w:val="111111"/>
          <w:sz w:val="28"/>
          <w:sz w:val="28"/>
          <w:szCs w:val="28"/>
          <w:rtl w:val="true"/>
          <w:lang w:bidi="fa-IR"/>
        </w:rPr>
        <w:t>قد أطبقت علی حرمة الرشا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القاعدة فیها جواز أخذ المال علی القضاء و الإفتاء،فإنّ عمل المسلم محترم فلا یذهب هدرا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الآیة المتقدّمة فلا تشمل المقام،لاختصاصها بالحکم بالباطل کما عرفت،نعم الحرمة فیها هی مقتضی إطلاق الروایات المتقدّمة الدالّة علی ذلک،و هذا المعنی هو الذی تقتضیه مناسبة الحکم و الموضوع،فإنّ القضاء من المناصب الإلهیة التی جعلها اللّه للرسول،فلا ینبغی لمن یتفضّل علیه اللّه بهذا المنصب الرفیع أن یأخذ علیه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جمیع ما ذکرناه ففی الروایات الدالّة علی حرمة أخذ الاجرة علی القضاء غنی و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سنتعرّض لهذه الروایات فی البحث عن حکم أخذ الاجرة علی القضاء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الظاهر من الاجرة فیها الجعل المأخوذ للقضاء دون الأجر المقرّر من قبل السلطان و لو کان جائرا،فإنه لا شبهة فی جواز أخذه إذا کان الدخول فیه بوجه محلّل کعلی بن یقطین و النجاشی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الرشوة فی اللغة ما یؤخذ لإبطال حق أو إحقاق باطل،فلا تصدق علی ما یؤخذ للقضاء بما یحق</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الرشوة أعم من ذلک کما عرفت،فلا وجه للحصر و تقیید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الامور التی یکون وضعها علی المجّانیة فإنّ أخذ الاجرة علیها یعدّ رشوة فی نظر العرف،و من هذا القبیل القضاوة و الإفتاء،نعم لو فرضنا قصور الأدلّة المتقدّمة عن إثبات الحرمة کان مقتضی أصالة الحل هو الإباحة،بل هو مقتضی عمومات صحّة المعاملات،کأوفوا بالعقود،و تجارة عن تراض،و أحلّ اللّه</w:t>
      </w:r>
    </w:p>
    <w:p>
      <w:pPr>
        <w:pStyle w:val="BookText"/>
        <w:rPr/>
      </w:pPr>
      <w:r>
        <w:rPr>
          <w:rFonts w:ascii="IRNazanin" w:hAnsi="IRNazanin" w:eastAsia="IRNazanin"/>
          <w:color w:val="111111"/>
          <w:sz w:val="28"/>
          <w:sz w:val="28"/>
          <w:szCs w:val="28"/>
          <w:rtl w:val="true"/>
          <w:lang w:bidi="fa-IR"/>
        </w:rPr>
        <w:t>البیع،و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روایة حمزة بن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 بجواز أخذ الاجرة علی القضاوة الحقّة،لقوله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حمزة بن حمران </w:t>
      </w:r>
      <w:r>
        <w:rPr>
          <w:rStyle w:val="FootnoteAnchor"/>
          <w:rtl w:val="true"/>
        </w:rPr>
        <w:footnoteReference w:id="825"/>
      </w:r>
      <w:r>
        <w:rPr>
          <w:rFonts w:ascii="IRNazanin" w:hAnsi="IRNazanin" w:eastAsia="IRNazanin"/>
          <w:color w:val="111111"/>
          <w:sz w:val="28"/>
          <w:sz w:val="28"/>
          <w:szCs w:val="28"/>
          <w:rtl w:val="true"/>
          <w:lang w:bidi="fa-IR"/>
        </w:rPr>
        <w:t>عن المستأکلین بعلمهم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ذلک الذی یفتی الناس بغیر علم و لا هدی من اللّه،لیبطل به الحقوق طمعا فی حطام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منها حصر الاستیکال المذموم فیما کان لأجل الحکم بالباطل،أو مع عدم معرفة الحق فیجوز الاستیکال مع العلم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یدعی کون الحصر إضافیا بالنسبة إلی الفرد الذی ذکره السائل،فلا یدل إلاّ علی عدم الذم علی هذا الفرد المخصوص دون سائر الأفراد التی لا تدخل فی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الدعوی خلاف الظاهر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مسوقة لدفع توهّم السائل أنّ من تحمّل علوم الأئمّة و بثّها فی شیعتهم و وصل إلیه منهم البرّ و الإحسان بغیر مطالبة کان من المستأکلین بعلمه،فأجاب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لیس من الاستیکال المذموم،و إنّما المستأکلون الذین یفتون بغیر علم لإبطال الحقوق،و علی هذا فمفهوم الحصر هو العقد السلبی المذکور فی الروایة صریحا،و لیس فیها تعرّض</w:t>
      </w:r>
      <w:bookmarkStart w:id="567" w:name="pg5064_65520"/>
    </w:p>
    <w:p>
      <w:pPr>
        <w:pStyle w:val="BookText"/>
        <w:rPr/>
      </w:pPr>
      <w:bookmarkEnd w:id="567"/>
      <w:r>
        <w:rPr>
          <w:rFonts w:ascii="IRNazanin" w:hAnsi="IRNazanin" w:eastAsia="IRNazanin"/>
          <w:color w:val="111111"/>
          <w:sz w:val="28"/>
          <w:sz w:val="28"/>
          <w:szCs w:val="28"/>
          <w:rtl w:val="true"/>
          <w:lang w:bidi="fa-IR"/>
        </w:rPr>
        <w:t>لأخذ الاجرة علی الحکم بالحق،لا مفهوما و لا منطوقا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أخیرا من کون الحصر لیس إضافیا فهو متین،و لکن لا من جهة کونه خلاف الظاهر،بل من جهة أنه لا معنی للحصر الإضافی فی قبال الحصر الحقیقی،غایة الأمر أنّ دائرة الحصر تختلف سعة و ضیقا،و قد تقدّم ذلک فی أوّل الکتاب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تعیّن القضاء علیه إمّا بتعیین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بعقد غیره أو بکونه الأفضل،و کان متمکّنا لم یجز الأجر علیه،و إن لم یتعیّن أو کان محتاجا فالأقرب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الأصل الإباحة علی التقدیر الثانی،و لأنّه فعل لا یجب علیه فجاز أخذ الأجر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مع التعیین فلأنّه یؤدّی واجبا،فلا یجوز أخذ الاجرة علیه،کغیره من العبادات الواجبة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وجه لذکر هذا التفصیل فی المقام،فإنّ حرمة الاجرة علی القضاء لکونه واجبا عینیا أو کفائیا من صغریات البحث عن أخذ الاجرة علی الواجب الذی سیأتی الکلام فیه </w:t>
      </w:r>
      <w:r>
        <w:rPr>
          <w:rStyle w:val="FootnoteAnchor"/>
          <w:rtl w:val="true"/>
        </w:rPr>
        <w:footnoteReference w:id="828"/>
      </w:r>
      <w:r>
        <w:rPr>
          <w:rFonts w:ascii="IRNazanin" w:hAnsi="IRNazanin" w:eastAsia="IRNazanin"/>
          <w:color w:val="111111"/>
          <w:sz w:val="28"/>
          <w:sz w:val="28"/>
          <w:szCs w:val="28"/>
          <w:rtl w:val="true"/>
          <w:lang w:bidi="fa-IR"/>
        </w:rPr>
        <w:t>،و کلامنا هنا فی حکم أخذ الرشوة علی القضاء من حیث هی رشوة،لا من جهات اخر،و علیه فمقتضی الإطلاقات الدالّة علی حرمة أخذ الاجرة علی الحکم هو عدم الفرق بین صورتی الاحتیاج إلی أخذ الاجرة و الانحصار و بین عدمهما،کما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أنه لا وجه لقول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اعتبار الحاجة فلظهور اختصاص أدلّة المنع بصورة الاستغناء</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910350_774463916"/>
      <w:bookmarkStart w:id="569" w:name="_Toc209"/>
      <w:bookmarkEnd w:id="568"/>
      <w:r>
        <w:rPr>
          <w:rtl w:val="true"/>
        </w:rPr>
        <w:t>حکم الاجرة و الرشوة علی تبلیغ الأحکام</w:t>
      </w:r>
      <w:bookmarkEnd w:id="56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أنه لا یجوز أخذ الاجرة و الرشوة علی تبلیغ الأحکام الشرعیة</w:t>
      </w:r>
      <w:bookmarkStart w:id="570" w:name="pg5064_65521"/>
    </w:p>
    <w:p>
      <w:pPr>
        <w:pStyle w:val="BookText"/>
        <w:rPr/>
      </w:pPr>
      <w:bookmarkEnd w:id="570"/>
      <w:r>
        <w:rPr>
          <w:rFonts w:ascii="IRNazanin" w:hAnsi="IRNazanin" w:eastAsia="IRNazanin"/>
          <w:color w:val="111111"/>
          <w:sz w:val="28"/>
          <w:sz w:val="28"/>
          <w:szCs w:val="28"/>
          <w:rtl w:val="true"/>
          <w:lang w:bidi="fa-IR"/>
        </w:rPr>
        <w:t>و تعلیم المسائل الدینیة،فقد عرفت فیما تقدّم أنّ منصب القضاوة و الافتاء و التبلیغ یقتضی المجّانیة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الحرمة أیضا ما فی روایة یوسف بن جابر </w:t>
      </w:r>
      <w:r>
        <w:rPr>
          <w:rStyle w:val="FootnoteAnchor"/>
          <w:rtl w:val="true"/>
        </w:rPr>
        <w:footnoteReference w:id="829"/>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احتاج الناس إلیه لفقهه فسألهم الرشوة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ضعیفة السند،و العمدة فی المقام التمسّک بالإطلاقات المتقدّمة الناهیة عن أخذ الرشوة علی الحکم</w:t>
      </w:r>
      <w:r>
        <w:rPr>
          <w:rFonts w:eastAsia="IRNazanin" w:cs="IRNazanin"/>
          <w:color w:val="111111"/>
          <w:sz w:val="28"/>
          <w:szCs w:val="28"/>
          <w:rtl w:val="true"/>
          <w:lang w:bidi="fa-IR"/>
        </w:rPr>
        <w:t>.</w:t>
      </w:r>
    </w:p>
    <w:p>
      <w:pPr>
        <w:pStyle w:val="Heading4"/>
        <w:numPr>
          <w:ilvl w:val="3"/>
          <w:numId w:val="1"/>
        </w:numPr>
        <w:rPr/>
      </w:pPr>
      <w:bookmarkStart w:id="571" w:name="__RefHeading___Toc910352_774463916"/>
      <w:bookmarkStart w:id="572" w:name="_Toc210"/>
      <w:bookmarkEnd w:id="571"/>
      <w:r>
        <w:rPr>
          <w:rtl w:val="true"/>
        </w:rPr>
        <w:t>جواز ارتزاق القاضی من بیت المال</w:t>
      </w:r>
      <w:bookmarkEnd w:id="57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الارتزاق من بیت المال فلا إشکال فی جوازه للقاضی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الاجرة و الارتزاق أنّ الاجرة تفتقر إلی تقدیر العمل و العوض و ضبط المدّة،و أمّا الارتزاق من بیت المال فمنوط بنظر الحاکم من غیر أن یقدّر بقدر خاص</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جواز ارتزاق القاضی من بیت المال فی الجملة کما هو المشهور لأنّ بیت المال معدّ لمصالح المسلمین و القضاء من مهمّاتها،و لما کتبه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مالک الأشتر فی عهد طویل،فقد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صفات القاضی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افسح له فی البذل ما یزیل علّته و تقلّ معه حاجته إلی الناس</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العهد و إن نقل مرسلا إلاّ أنّ آثار الصدق منه لائحة کما لا یخفی للناظر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ذلک أیضا بعض الفقرات من مرسلة حمّاد الطویلة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القاضی قد یکون جامعا لشرائط القضاوة علی النحو المقرّر فی الشریعة و منصوبا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 أو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جامعا لشرائط القضاء و لکنّه کان منصوبا من قبل سلطان الجور،و لم یکن له غرض فی قبولها إلاّ التوادد و التحبّب إلی فقراء الشیعة و قضاء حوائجهم و إنفاذ امورهم و إنقاذهم من المهلکة و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یکون جامعا للشرائط،سواء کان منصوبا من قبل الجائر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الأولان فلا شبهة فی جواز ارتزاقهم من بیت المال،لما عرفت من أنه معدّ لمصالح المسلمین و القضاء من مهمّاتها،و لا مجال فی هاتین الصورتین للبحث عن خصوصیات المسألة من أنه یجوز مطلقا أو مع الاحتیاج و عدم التعیین،لأنّ الفرض أنّ القاضی أعرف بموارد مصرف بیت المال،و عدالته المفروضة تمنعه عن الحیف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فیحرم ارتزاقه من بیت المال،لعدم قابلیته لمنصب القضاوة کخلفاء الجور،فلا یکون من موارد المصرف لبیت المال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حرمة ارتزاق القاضی بحسنة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قاض</w:t>
      </w:r>
      <w:bookmarkStart w:id="573" w:name="pg5064_65523"/>
    </w:p>
    <w:p>
      <w:pPr>
        <w:pStyle w:val="BookText"/>
        <w:rPr/>
      </w:pPr>
      <w:bookmarkEnd w:id="573"/>
      <w:r>
        <w:rPr>
          <w:rFonts w:ascii="IRNazanin" w:hAnsi="IRNazanin" w:eastAsia="IRNazanin"/>
          <w:color w:val="111111"/>
          <w:sz w:val="28"/>
          <w:sz w:val="28"/>
          <w:szCs w:val="28"/>
          <w:rtl w:val="true"/>
          <w:lang w:bidi="fa-IR"/>
        </w:rPr>
        <w:t>بین قریتین یأخذ من السلطان علی القضاء الرزق؟فقال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السحت</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محمولة علی الصورة الثالثة من عدم کونه قابلا للقضاوة لأنه إذا کان جامعا للشرائط لا یحرم ارتزاقه من بیت المال أو من جوائز السلطان 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حملها علی کون الرزق اجرة علی القضاء،و قد عرفت أنّ أخذ الاجرة علی القضاء حرام</w:t>
      </w:r>
      <w:r>
        <w:rPr>
          <w:rFonts w:eastAsia="IRNazanin" w:cs="IRNazanin"/>
          <w:color w:val="111111"/>
          <w:sz w:val="28"/>
          <w:szCs w:val="28"/>
          <w:rtl w:val="true"/>
          <w:lang w:bidi="fa-IR"/>
        </w:rPr>
        <w:t>.</w:t>
      </w:r>
    </w:p>
    <w:p>
      <w:pPr>
        <w:pStyle w:val="Heading4"/>
        <w:numPr>
          <w:ilvl w:val="3"/>
          <w:numId w:val="1"/>
        </w:numPr>
        <w:rPr/>
      </w:pPr>
      <w:bookmarkStart w:id="574" w:name="__RefHeading___Toc910354_774463916"/>
      <w:bookmarkStart w:id="575" w:name="_Toc211"/>
      <w:bookmarkEnd w:id="574"/>
      <w:r>
        <w:rPr>
          <w:rtl w:val="true"/>
        </w:rPr>
        <w:t>جواز أخذ القاضی للهدیة</w:t>
      </w:r>
      <w:bookmarkEnd w:id="57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الهدیة و هی ما یبذله علی وجه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حکم الرشوة و الاجرة علی الحکم و القضاء،و أمّا الهدیة ففی حرمتها خلاف،و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العطیة علی سبیل الملاطفة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إنّها قد تکون للملاطفة و التودّد فقط،بحیث لا مساس لها للدواعی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علی وجه الهبة لتورث المودّة التی توجب الحکم له حقّا کان أم باطلا،إذا علم المبذول له أنّ ذلک من قصد الباذل و إن لم یقصد هو إلاّ الحکم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لأجل الحکم للباذل و لو باطلا،و لکن المبذول له لم یکن ملتفتا إلی ذلک و إلاّ لکان رشوة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متأخّرة عن الفعل المحرّم و لکنّها بداعی المجازاة و أداء الشکر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القاعدة جواز أخذها للقاضی فی جمیع الصور و إن حرم الدفع علی المعطی إذا کان غرضه الحکم له،و قد استدل علی حرمة الأخذ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الأصبغ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 هدیة کان غلولا</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واردة فی هدایا الولاة دون القضاة،فتکون أجنبیة عن المقام و بما أنّ الهدیة إلی الولاة جائزة فلا بدّ من حمل الروایة علی غیر ذلک من الوجوه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تحمل علی الکراهة،لأنّ إهداء الهدیة إلی الوالی قد یحبّب إلیه أخذ الرشوة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تحمل علی ظاهرها و لکن یقیّد الإعطاء بکونه لدفع الظلم،أو إنقاذ الحقّ،أو لأجل أن یظلم غیره،فإنّها فی هذه الصور کلّها محرّمة علی الوالی و فی الصورة الأخیرة محرّمة علی المعطی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تحمل علی کون ولایتهم من قبل السلطان مشروطة بعدم أخذ شیء من الرعیة،لأنّهم یرتزقون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الاستدلال بها علی المطلوب</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أنّ هدایا العمّال أو الامراء غلول أو سحت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أجنبی عمّا نحن فیه،لوروده فی هدایا العمّال،و هم غیر القضاة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کونها محرّمة قد علم من 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یراد من إضافة الهدایا إلی العمّال إضافة المصدر إلی الفاعل دون المفعول،بمعنی أنّ الهدایا التی تصل إلی الرعیة من عمّال سلاطین الجور غلول،فتکون الروایة راجعة إلی جوائز السلطان و عمّاله،و سنتکلّم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الأخیر و إن کان فی نفسه جیدا،إلاّ أنّه إنّما یتم فیما إذا علم کون الهدیة من الأموال المحرّمة،و إلاّ فلا وجه لکونها غلولا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بعید عن ظاهر الروایة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استدلّ به فی المستند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 حرمة أخذ القاضی للهدیة من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عمّال الصدقة عن أخذهم الهدایا</w:t>
      </w:r>
      <w:r>
        <w:rPr>
          <w:rFonts w:eastAsia="IRNazanin" w:cs="IRNazanin"/>
          <w:color w:val="111111"/>
          <w:sz w:val="28"/>
          <w:szCs w:val="28"/>
          <w:rtl w:val="true"/>
          <w:lang w:bidi="fa-IR"/>
        </w:rPr>
        <w:t>.</w:t>
      </w:r>
      <w:bookmarkStart w:id="576" w:name="pg5064_65526"/>
    </w:p>
    <w:p>
      <w:pPr>
        <w:pStyle w:val="BookText"/>
        <w:rPr/>
      </w:pPr>
      <w:bookmarkEnd w:id="576"/>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السند،لکونها منقولة من طرق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وردت فی عمّال الصدقة فلا ترتبط بما نحن فیه،و لعلّ حرمتها علیهم من جهة الوجوه التی ذکرناها فی حرمتها علی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فیما سبق </w:t>
      </w:r>
      <w:r>
        <w:rPr>
          <w:rStyle w:val="FootnoteAnchor"/>
          <w:rtl w:val="true"/>
        </w:rPr>
        <w:footnoteReference w:id="835"/>
      </w:r>
      <w:r>
        <w:rPr>
          <w:rFonts w:ascii="Amiri" w:hAnsi="Amiri" w:eastAsia="Amiri" w:cs="Amiri"/>
          <w:color w:val="111111"/>
          <w:sz w:val="28"/>
          <w:sz w:val="28"/>
          <w:szCs w:val="28"/>
          <w:rtl w:val="true"/>
          <w:lang w:bidi="ar-SA"/>
        </w:rPr>
        <w:t>عن الرضا عن آبائه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أَکّالُونَ لِلسُّحْتِ </w:t>
      </w:r>
      <w:r>
        <w:rPr>
          <w:rStyle w:val="FootnoteAnchor"/>
          <w:rtl w:val="true"/>
        </w:rPr>
        <w:footnoteReference w:id="8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الرجل یقضی لأخیه الحاجة ثم یقبل هدیته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وردت فی خصوص الهدیة بعد قضاء حاجة المؤمن،و لم یقل أحد بحرمتها هناک،لما دلّ علی جواز قبول الهدیة من المؤمن بل من الکافر،و لما دل علی استحباب الإهداء إلی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بدّ من حمل الروایة علی الکراهة،و رجحان التجنّب عن قبول الهدایا من أهل الحاجة إلیه لئلاّ یقع یوما فی 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حرمة الرشوة للقاضی هو صرفه عن الحکم بالحقّ إلی الحکم بالباطل،و هو موجود فی الهدیة أیضا،فتکون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یحصل من تنقیح المناط هو الظنّ بذلک،و الظن لا یغنی من الحقّ شیئا</w:t>
      </w:r>
      <w:r>
        <w:rPr>
          <w:rFonts w:eastAsia="IRNazanin" w:cs="IRNazanin"/>
          <w:color w:val="111111"/>
          <w:sz w:val="28"/>
          <w:szCs w:val="28"/>
          <w:rtl w:val="true"/>
          <w:lang w:bidi="fa-IR"/>
        </w:rPr>
        <w:t>.</w:t>
      </w:r>
    </w:p>
    <w:p>
      <w:pPr>
        <w:pStyle w:val="Heading4"/>
        <w:numPr>
          <w:ilvl w:val="3"/>
          <w:numId w:val="1"/>
        </w:numPr>
        <w:rPr/>
      </w:pPr>
      <w:bookmarkStart w:id="577" w:name="__RefHeading___Toc910356_774463916"/>
      <w:bookmarkStart w:id="578" w:name="_Toc212"/>
      <w:bookmarkEnd w:id="577"/>
      <w:r>
        <w:rPr>
          <w:rtl w:val="true"/>
        </w:rPr>
        <w:t>الرشوة فی غیر الأحکام</w:t>
      </w:r>
      <w:bookmarkEnd w:id="57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تحرم الرشوة فی غیر الحکم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الرشوة فی غیر الأحکام قد تکون لإتمام أمر محرّم،و قد تکون</w:t>
      </w:r>
    </w:p>
    <w:p>
      <w:pPr>
        <w:pStyle w:val="BookText"/>
        <w:rPr/>
      </w:pPr>
      <w:r>
        <w:rPr>
          <w:rFonts w:ascii="IRNazanin" w:hAnsi="IRNazanin" w:eastAsia="IRNazanin"/>
          <w:color w:val="111111"/>
          <w:sz w:val="28"/>
          <w:sz w:val="28"/>
          <w:szCs w:val="28"/>
          <w:rtl w:val="true"/>
          <w:lang w:bidi="fa-IR"/>
        </w:rPr>
        <w:t>لإصلاح أمر مباح،و قد تکون لإنهاء أمر مشترک الجهة بین المحلّل و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شبهة فی حرمته من غیر احتیاج إلی أدلّة حرمة الرشوة،لما عرفت من حرمة أخذ المال علی عمل محرّم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جوازه،لعدم الدلیل علی الحرمة مع کون العمل سائغا فی نفسه و صالحا لأن یقابل بالمال،و إن کان کثیرون یفعلونه للتعاضد و التعاون،و لا یأخذون علیه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قصدت به الجهة المحرّمة فهو حرام،و إن قصدت به الجهة المحلّلة فهو حلال،و إن بذل المال علی إصلاح أمره حلالا أم حراما فقد استظهر المصنّف حرمته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أکل للمال بالباطل،فیکون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المال علی الجهة المشترکة بین المحلّل و المحرّم لیس من أکل المال بالباطل،فإنّ أکل المال إنّما یکون باطلا إذا کان بالأسباب التی علم بطلانها فی الشریعة،کالقمار و الغزو و نحوهما،و لم یعلم بطلان أخذ المال علی العمل المشترک بین الحلال و الحرام،فلا یکون من مصادیق أکل المال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فحوی ما تقدّم فی هدیة الولاة و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الروایات المتقدّمة </w:t>
      </w:r>
      <w:r>
        <w:rPr>
          <w:rStyle w:val="FootnoteAnchor"/>
          <w:rtl w:val="true"/>
        </w:rPr>
        <w:footnoteReference w:id="838"/>
      </w:r>
      <w:r>
        <w:rPr>
          <w:rFonts w:ascii="IRNazanin" w:hAnsi="IRNazanin" w:eastAsia="IRNazanin"/>
          <w:color w:val="111111"/>
          <w:sz w:val="28"/>
          <w:sz w:val="28"/>
          <w:szCs w:val="28"/>
          <w:rtl w:val="true"/>
          <w:lang w:bidi="fa-IR"/>
        </w:rPr>
        <w:t>فی هدیة الولاة و العمّال ضعیفة السند و قد عرفت ذلک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الهدیة لهما إنّما تقتضی حرمة إعطاء الرشوة لهما،و لا دلالة لهما علی حرمة الرشوة لغیرهما من الناس</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بحرمة الرشوة مطلقا حتی فی غیر الأحکام،لإطلاق بعض</w:t>
      </w:r>
    </w:p>
    <w:p>
      <w:pPr>
        <w:pStyle w:val="BookText"/>
        <w:rPr/>
      </w:pPr>
      <w:r>
        <w:rPr>
          <w:rFonts w:ascii="IRNazanin" w:hAnsi="IRNazanin" w:eastAsia="IRNazanin"/>
          <w:color w:val="111111"/>
          <w:sz w:val="28"/>
          <w:sz w:val="28"/>
          <w:szCs w:val="28"/>
          <w:rtl w:val="true"/>
          <w:lang w:bidi="fa-IR"/>
        </w:rPr>
        <w:t>الروایات المتقدّمة فی الحاشیة من طرق الخاصة و من طرق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السند،و قد عرفت ذلک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منصرفة إلی الرشا فی الحکم کما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مقیّدة بما دلّ علی جواز الرشوة لأمر مباح </w:t>
      </w:r>
      <w:r>
        <w:rPr>
          <w:rStyle w:val="FootnoteAnchor"/>
          <w:rtl w:val="true"/>
        </w:rPr>
        <w:footnoteReference w:id="839"/>
      </w:r>
      <w:r>
        <w:rPr>
          <w:rFonts w:ascii="IRNazanin" w:hAnsi="IRNazanin" w:eastAsia="IRNazanin"/>
          <w:color w:val="111111"/>
          <w:sz w:val="28"/>
          <w:sz w:val="28"/>
          <w:szCs w:val="28"/>
          <w:rtl w:val="true"/>
          <w:lang w:bidi="fa-IR"/>
        </w:rPr>
        <w:t xml:space="preserve">و للتحوّل عن المنزل المشترک،کالأوقاف العامّة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یتوهّم أنّ موضوع الرشوة مختص بالأحکام،لما ورد فی جملة من الروایات الماضیة من أنّ الرشا فی الحکم حرام،أو کفر،أو سحت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منها لیس إلاّ حرمة الرشوة فی الحکم،لا اختصاص موضوعها به،و هو واضح،بل قد یدّعی أنّها مشعرة بعموم مفهوم الرشوة لغیر</w:t>
      </w:r>
      <w:bookmarkStart w:id="579" w:name="pg5064_65529"/>
    </w:p>
    <w:p>
      <w:pPr>
        <w:pStyle w:val="BookText"/>
        <w:rPr/>
      </w:pPr>
      <w:bookmarkEnd w:id="579"/>
      <w:r>
        <w:rPr>
          <w:rFonts w:ascii="IRNazanin" w:hAnsi="IRNazanin" w:eastAsia="IRNazanin"/>
          <w:color w:val="111111"/>
          <w:sz w:val="28"/>
          <w:sz w:val="28"/>
          <w:szCs w:val="28"/>
          <w:rtl w:val="true"/>
          <w:lang w:bidi="fa-IR"/>
        </w:rPr>
        <w:t>الأحکام،و إلاّ للزم إلغاء التقیید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الرشا فی الحکم فهو الکفر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مفهوم الرشوة فی اللغة </w:t>
      </w:r>
      <w:r>
        <w:rPr>
          <w:rStyle w:val="FootnoteAnchor"/>
          <w:rtl w:val="true"/>
        </w:rPr>
        <w:footnoteReference w:id="842"/>
      </w:r>
      <w:r>
        <w:rPr>
          <w:rFonts w:ascii="IRNazanin" w:hAnsi="IRNazanin" w:eastAsia="IRNazanin"/>
          <w:color w:val="111111"/>
          <w:sz w:val="28"/>
          <w:sz w:val="28"/>
          <w:szCs w:val="28"/>
          <w:rtl w:val="true"/>
          <w:lang w:bidi="fa-IR"/>
        </w:rPr>
        <w:t>غیر مختص بما یؤخذ فی الحکم،بل هو أعم من ذلک</w:t>
      </w:r>
      <w:r>
        <w:rPr>
          <w:rFonts w:eastAsia="IRNazanin" w:cs="IRNazanin"/>
          <w:color w:val="111111"/>
          <w:sz w:val="28"/>
          <w:szCs w:val="28"/>
          <w:rtl w:val="true"/>
          <w:lang w:bidi="fa-IR"/>
        </w:rPr>
        <w:t>.</w:t>
      </w:r>
    </w:p>
    <w:p>
      <w:pPr>
        <w:pStyle w:val="Heading4"/>
        <w:numPr>
          <w:ilvl w:val="3"/>
          <w:numId w:val="1"/>
        </w:numPr>
        <w:rPr/>
      </w:pPr>
      <w:bookmarkStart w:id="580" w:name="__RefHeading___Toc910358_774463916"/>
      <w:bookmarkStart w:id="581" w:name="_Toc213"/>
      <w:bookmarkEnd w:id="580"/>
      <w:r>
        <w:rPr>
          <w:rtl w:val="true"/>
        </w:rPr>
        <w:t>من الرشوة فی الحکم المعاملة المحاباتیة مع القاضی</w:t>
      </w:r>
      <w:bookmarkEnd w:id="58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یعدّ من الرشوة أو یلحق بها المعاملة المشتملة علی المحاباة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المعاملة المشتملة علی المحاباة بعینه هو الکلام فیما تقدّم من الرشوة،فإذا باع من القاضی ما یساوی عشرة دراهم بدرهم کان الناقص من الرشا المحرّم،و إن کان غرضه من ذلک تعظیم القاضی أو التودّد المحض أو التقرّب إلی اللّه فلا وجه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حکم بذل العین له بذل المنافع کسکنی الدار و رکوب المراکب و نحوهما من المنافع کما لا یخفی،و أمّا ما یرجع إلی الأقوال کمدح القاضی و الثناء علیه فلا یعد رشوة،فضلا عن کونه محرّما لذلک،نعم لو کان ذلک إعانة علی الظلم کان حراما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فساد المعاملة المحابی فیها وجه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لفساد المعاملة المشتملة علی المحاباة المحرّمة،إلاّ إذا کان الحکم للمحابی شرطا فیها و قلنا بأنّ الشرط الفاسد مفسد للعقد،فیحکم بالبطلان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الأخبار المتقدّمة أنّ منزلة الرشوة منزلة الربا،فکما أنّ</w:t>
      </w:r>
      <w:bookmarkStart w:id="582" w:name="pg5064_65530"/>
    </w:p>
    <w:p>
      <w:pPr>
        <w:pStyle w:val="BookText"/>
        <w:rPr/>
      </w:pPr>
      <w:bookmarkEnd w:id="582"/>
      <w:r>
        <w:rPr>
          <w:rFonts w:ascii="IRNazanin" w:hAnsi="IRNazanin" w:eastAsia="IRNazanin"/>
          <w:color w:val="111111"/>
          <w:sz w:val="28"/>
          <w:sz w:val="28"/>
          <w:szCs w:val="28"/>
          <w:rtl w:val="true"/>
          <w:lang w:bidi="fa-IR"/>
        </w:rPr>
        <w:t>الربا حرام علی کل من المعطی و الآخذ و الساعی بینهما فکذلک الرشوة،فإنّها محرّمة علی الراشی و المرتشی و الرائش،أی الساعی بینهما یستزید لهذا و یستنقص لذاک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بأس باعطائها إذا کان الراشی محقّا فی دعواه،و لا یمکن له الوصول إلی حقّه إلاّ بالرشوة،کما استحسنه فی المستند </w:t>
      </w:r>
      <w:r>
        <w:rPr>
          <w:rStyle w:val="FootnoteAnchor"/>
          <w:rtl w:val="true"/>
        </w:rPr>
        <w:footnoteReference w:id="843"/>
      </w:r>
      <w:r>
        <w:rPr>
          <w:rFonts w:ascii="IRNazanin" w:hAnsi="IRNazanin" w:eastAsia="IRNazanin"/>
          <w:color w:val="111111"/>
          <w:sz w:val="28"/>
          <w:sz w:val="28"/>
          <w:szCs w:val="28"/>
          <w:rtl w:val="true"/>
          <w:lang w:bidi="fa-IR"/>
        </w:rPr>
        <w:t>لمعارضة إطلاقات تحریمها مع أدلّة نفی الضرر،فیرجع إلی الأصل لو لم یرجح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یتعیّن ترجیحه،لحکومة أدلّة نفی الضرر علی أدلّة الأحکام بعناوینها الأوّلیة کما هو واضح</w:t>
      </w:r>
      <w:r>
        <w:rPr>
          <w:rFonts w:eastAsia="IRNazanin" w:cs="IRNazanin"/>
          <w:color w:val="111111"/>
          <w:sz w:val="28"/>
          <w:szCs w:val="28"/>
          <w:rtl w:val="true"/>
          <w:lang w:bidi="fa-IR"/>
        </w:rPr>
        <w:t>.</w:t>
      </w:r>
    </w:p>
    <w:p>
      <w:pPr>
        <w:pStyle w:val="Heading4"/>
        <w:numPr>
          <w:ilvl w:val="3"/>
          <w:numId w:val="1"/>
        </w:numPr>
        <w:rPr/>
      </w:pPr>
      <w:bookmarkStart w:id="583" w:name="__RefHeading___Toc910360_774463916"/>
      <w:bookmarkStart w:id="584" w:name="_Toc214"/>
      <w:bookmarkEnd w:id="583"/>
      <w:r>
        <w:rPr>
          <w:rtl w:val="true"/>
        </w:rPr>
        <w:t>حکم الرشوة وضعا</w:t>
      </w:r>
      <w:bookmarkEnd w:id="58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کل ما حکم بحرمة أخذه وجب علی الآخذ ردّه و ردّ بدله مع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أنّ الباذل قد یعطی الرشوة للقاضی أو غیره لیحکم له علی خصمه،و قد یحابیه فی معاملة لیحکم له فی الخصومات و الدعاوی،و قد یرسل إلیه هدیة بداعی الحکم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ضمان القابض المال الذی أخذه من الدافع بعنوان الرشوة،کما لا شبهة فی الحرمة علیهما تکلیفا،فیجب علی الآخذ ردّ المال أو ردّ بدله من المثل أو القیمة مع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و لا إشکال فی بقاء الرشوة علی ملک المالک،کما هو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سحت،و غیره من النصوص الدالّة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أخذ ما لم ینتقل إلیه من مال غیره کان ضامنا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الرشوة فی هذه الصورة إنّما وقعت فی مقابل الحکم،فتکون</w:t>
      </w:r>
    </w:p>
    <w:p>
      <w:pPr>
        <w:pStyle w:val="BookText"/>
        <w:rPr/>
      </w:pPr>
      <w:r>
        <w:rPr>
          <w:rFonts w:ascii="IRNazanin" w:hAnsi="IRNazanin" w:eastAsia="IRNazanin"/>
          <w:color w:val="111111"/>
          <w:sz w:val="28"/>
          <w:sz w:val="28"/>
          <w:szCs w:val="28"/>
          <w:rtl w:val="true"/>
          <w:lang w:bidi="fa-IR"/>
        </w:rPr>
        <w:t xml:space="preserve">فی الحقیقة إجارة فاسدة أو شبیهة بها،فیحکم بالضمان،لکونها من صغریات کل عقد یضمن بصحیحه یضمن بفاسده،و هذه القاعدة و إن لم یرد علیها نص بالخصوص،و لکنّها متصیّدة من الأخبار الواردة فی موارد الضمان،فتکون حجّة و سیأتی ذکرها فی محلّها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بطلان القول بعدم الضمان إذا علم الدافع بالحرمة،لکون التسلیط حینئذ مجانیا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کالأول من حیث الحرمة التکلیفیة،و لکن لا وجه للضمان لما نقص من القیمة،فإنّ غایة الأمر أنّ المعاملة کانت مشروطة بالشرط الفاسد،و قد عرفت إجمالا و ستعرف تفصیلا </w:t>
      </w:r>
      <w:r>
        <w:rPr>
          <w:rStyle w:val="FootnoteAnchor"/>
          <w:rtl w:val="true"/>
        </w:rPr>
        <w:footnoteReference w:id="846"/>
      </w:r>
      <w:r>
        <w:rPr>
          <w:rFonts w:ascii="IRNazanin" w:hAnsi="IRNazanin" w:eastAsia="IRNazanin"/>
          <w:color w:val="111111"/>
          <w:sz w:val="28"/>
          <w:sz w:val="28"/>
          <w:szCs w:val="28"/>
          <w:rtl w:val="true"/>
          <w:lang w:bidi="fa-IR"/>
        </w:rPr>
        <w:t>أنّ الشروط مطلقا لا تقابل بجزء من الثمن،و أنّ الفاسد منها لا یوجب فساد المعاملة،و إنّما یثبت الخیار فقط للمشروط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لا ضمان فیه أیضا،لأنّ الدافع لم یقصد المقابلة بین الحکم و المال المبذول للقاضی،و إنّما أعطاه مجّانا لیحکم له،فیکون مرجعه إلی هبة مجانیة فاسدة،لأنّ الداعی لیس قابلا للعوضیة،و لا مؤثّرا فی الحکم الشرعی وضعا و لا تکلیفا،و علیه فیکون المورد من صغریات الضابطة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لا یضمن بصحیحه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بالضمان لقاعدة الضمان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علی الید مختص بغیر الید المتفرّعة علی التسلیط المجّانی،و لذا لا یضمن بالهبة الفاسدة فی غیر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بعض المعاصرین أنّ احتمال عدم الضمان فی الرشوة مطلقا غیر بعید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 القائل فی محکی کلامه بوجهین،الأول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المالک قد سلّطه علیها</w:t>
      </w:r>
      <w:bookmarkStart w:id="585" w:name="pg5064_65532"/>
    </w:p>
    <w:p>
      <w:pPr>
        <w:pStyle w:val="BookText"/>
        <w:rPr/>
      </w:pPr>
      <w:bookmarkEnd w:id="585"/>
      <w:r>
        <w:rPr>
          <w:rFonts w:ascii="IRNazanin" w:hAnsi="IRNazanin" w:eastAsia="IRNazanin"/>
          <w:color w:val="111111"/>
          <w:sz w:val="28"/>
          <w:sz w:val="28"/>
          <w:szCs w:val="28"/>
          <w:rtl w:val="true"/>
          <w:lang w:bidi="fa-IR"/>
        </w:rPr>
        <w:t>تسلیطا مجانیا،فلا موجب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تشبه المعاوضة،و ما لا یضمن بصحیحه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أنّ التسلیط فی المقام لیس بمجانی،بل هو فی مقابل الحکم للباذل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أنّ عملهم هذا إمّا إجارة فاسدة أو شبیهة بها،و علی أی حال یکون موجبا للضمان،لقاعدة ما یضمن بصحیحه یضمن بفاسده</w:t>
      </w:r>
      <w:r>
        <w:rPr>
          <w:rFonts w:eastAsia="IRNazanin" w:cs="IRNazanin"/>
          <w:color w:val="111111"/>
          <w:sz w:val="28"/>
          <w:szCs w:val="28"/>
          <w:rtl w:val="true"/>
          <w:lang w:bidi="fa-IR"/>
        </w:rPr>
        <w:t>.</w:t>
      </w:r>
    </w:p>
    <w:p>
      <w:pPr>
        <w:pStyle w:val="Heading4"/>
        <w:numPr>
          <w:ilvl w:val="3"/>
          <w:numId w:val="1"/>
        </w:numPr>
        <w:rPr/>
      </w:pPr>
      <w:bookmarkStart w:id="586" w:name="__RefHeading___Toc910362_774463916"/>
      <w:bookmarkStart w:id="587" w:name="_Toc215"/>
      <w:bookmarkEnd w:id="586"/>
      <w:r>
        <w:rPr>
          <w:rtl w:val="true"/>
        </w:rPr>
        <w:t>اختلاف الدافع و القابض</w:t>
      </w:r>
      <w:bookmarkEnd w:id="58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فی اختلاف الدافع و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هنا فروعا ثلاثة،و تعرّض لحکمها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الکلام فی مسألة المترافعین فی الدفع و القبض و بیان الضابطة الکلّیة فیها أنّ الصور المتصوّرة فیها أربع،کلّها تنطبق علی المقام غیر 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المصنّف لذلک أهملها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یتوافق المترافعان علی فساد الأخذ و الإعطاء،و لکن الدافع یدعی کون المدفوع رشوة علی سبیل الإجارة و الجعالة،فتکون موجبة للضمان،لأنّ الإجارة الصحیحة توجب الضمان فکذلک الإجارة الفاسدة،و القابض یدّعی أنّه علی سبیل الهدیة إلاّ أنّها فاسدة،فلا تکون موجبة للضمان،لأنّ الهبة الصحیحة لا ضمان فیها فکذا الهبة الفاسدة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رجّح المصنّف القول الأول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عموم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یقضی بالضمان،إلاّ مع تسلیط المالک مجّانا،و الأصل عدم تحقّقه،و هذا حاکم علی أصالة عدم سبب الضمان،فافهم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قاعدة الضمان بالید إنّما هو التسلیط غیر المجّانی،و التسلیط هنا محرز بالوجدان،و عدم کونه مجانیا محرز بالأصل،فیلتئم الموضوع بضم الوجدان إلی الأصل،و یترتّب علیه الحکم،و لا یلزم المحذور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یرد علیه أنّ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السند،و غیر منجبر بشیء،فلا یجوز الاستناد إلیه و قد عرفته فیما سبق </w:t>
      </w:r>
      <w:r>
        <w:rPr>
          <w:rStyle w:val="FootnoteAnchor"/>
          <w:rtl w:val="true"/>
        </w:rPr>
        <w:footnoteReference w:id="848"/>
      </w:r>
      <w:r>
        <w:rPr>
          <w:rFonts w:ascii="IRNazanin" w:hAnsi="IRNazanin" w:eastAsia="IRNazanin"/>
          <w:color w:val="111111"/>
          <w:sz w:val="28"/>
          <w:sz w:val="28"/>
          <w:szCs w:val="28"/>
          <w:rtl w:val="true"/>
          <w:lang w:bidi="fa-IR"/>
        </w:rPr>
        <w:t xml:space="preserve">و یأتی التعرّض له فی أحکام الضمان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ثبت فی الشریعة المقدّسة عدم جواز التصرف فی مال امرئ مسلم إلاّ بطیب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الإشارة إلیه فیما سبق </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فیها أیضا أنّ وضع الید علی مال الغیر بدون رضی مالکه موجب للضمان،للسیرة القطعیة،و من الواضح جدّا أنّ وضع الید علی مال الغیر فی المقام محرز بالوجدان،فإذا ضممنا إلیه أصالة عدم رضی المالک بالتصرّف المجّانی تألّف الموضوع من الوجدان و الأصل و حکم بالضمان،و لا یلزم شیء من المحاذیر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من الأصل المذکور استصحاب العدم الأزلی لیرد علیه ما أوردوه فی علم الاصول،بل المراد به استصحاب العدم المحمولی،و هو واضح،و إن قلنا بحجّیة الأول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یتسالم المترافعان علی شیء واحد،و لکن القابض یدّعی صحّته علی وجه لا یمکن معه الرجوع،و یدّعی الباذل فساده،کما إذا ادّعی الباذل کون المبذول هدیة علی سبیل الرشوة،و ادّعی القابض کونها هبة صحیحة لازمة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النزاع إنّما یکون له أثر فیما إذا کانت الدعوی قبل تلف العین،مع کون الهبة لذی رحم أو علی وجه قربی،فإنّه یترتّب علی النزاع حینئذ استرجاع العین</w:t>
      </w:r>
    </w:p>
    <w:p>
      <w:pPr>
        <w:pStyle w:val="BookText"/>
        <w:rPr/>
      </w:pPr>
      <w:r>
        <w:rPr>
          <w:rFonts w:ascii="IRNazanin" w:hAnsi="IRNazanin" w:eastAsia="IRNazanin"/>
          <w:color w:val="111111"/>
          <w:sz w:val="28"/>
          <w:sz w:val="28"/>
          <w:szCs w:val="28"/>
          <w:rtl w:val="true"/>
          <w:lang w:bidi="fa-IR"/>
        </w:rPr>
        <w:t>من الموهوب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النزاع بعد التلف فلا أثر له بوجه،فإنه لا ضمان للهبة بعد التلف سواء أکانت فاسدة أم صحیحة،و علیه فلا وجه لما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الضمان فی الید إذا کانت الدعوی بعد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هنا بالضمان،لعموم قاعدة علی الید،لأنّ وضع القابض یده علی مال الدافع محرز بالوجدان،و عدم کونه بالهبة الصحیحة الناقلة محرز بالأصل فیلتئم الموضوع منهما،و یترتّب علیه الحکم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یعارض ذلک الأصل بأصالة عدم الهبة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لا أثر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القول بعدم الضمان،لأنّ أصالة الصحّة فی العقود تتقدّم علی جمیع الاصول الموضوعیة،و علیه اتّفاق کافة العلماء و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الدافع إنّما یدّعی ما لا یعلم إلاّ من قبله فیقدّم قوله فی دعواه،لأنه أعرف بضمیره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ثبوت هذه القاعدة فی غیر الموارد الخاصّة،کإخبار المرأة عن الحمل أو الحیض أو الطهر،فلا یجوز التعدّی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مصبّ الدعوی أمرا مختلفا،کما إذا ادّعی الباذل أنّها رشوة محرّمة أو اجرة علی الحرام،و ادّعی القابض کونها هبة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هنا تقدیم قول الدافع،لأصالة عدم تحقّق الهبة الصحیحة الناقلة،فإنّها أمر وجودی و موضوع للأثر،و الأصل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تعارضها أصالة عدم تحقّق الرشوة المحرّمة أو الإجارة الفاسدة،لأنّهما لا أثر لهما،و إنّما الأثر مترتّب علی عدم تحقّق السبب الناقل سواء تحقّق معه شیء من الأسباب الفاسدة أم لم یتحقّق</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بتقدیم أصالة الصحّة علی الاصول الموضوعیة،لحکومتها علیها فی باب المعاملات علی حذو ما تقدّم</w:t>
      </w:r>
      <w:r>
        <w:rPr>
          <w:rFonts w:eastAsia="IRNazanin" w:cs="IRNazanin"/>
          <w:color w:val="111111"/>
          <w:sz w:val="28"/>
          <w:szCs w:val="28"/>
          <w:rtl w:val="true"/>
          <w:lang w:bidi="fa-IR"/>
        </w:rPr>
        <w:t>.</w:t>
      </w:r>
      <w:bookmarkStart w:id="588" w:name="pg5064_65535"/>
    </w:p>
    <w:p>
      <w:pPr>
        <w:pStyle w:val="BookText"/>
        <w:rPr/>
      </w:pPr>
      <w:bookmarkEnd w:id="588"/>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مدرک أصالة الصحة هو الإجماع و بناء العقلاء کما عرفت،و هما من الأدلّة اللبّیة،فلا بدّ من الأخذ بالقدر المتیقّن،و هو ما کان مصبّ الدعوی أمرا واحدا معلوما للمترافعین و کان الاختلاف فی الخصوصیات،و قد فرضنا أنّ المقام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یدّعی کل منهما عنوانا صحیحا غیر ما یدّعیه الآخر کأن یدّعی الباذل کونه بیعا لیتحقّق فیه الضمان،و یدّعی القابض کونه هبة مجّانیة لکی لا یتحقّق فیه الضمان،فإن أقام أحدهما بیّنة أو حلف مع نکول الآخر حکم له و إلاّ وجب التحالف،و ینفسخ العقد،و علیه فیجب علی القابض ردّ العین مع البقاء أو بدلها مع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الصورة لا تنطبق علی ما نحن فیه</w:t>
      </w:r>
      <w:r>
        <w:rPr>
          <w:rFonts w:eastAsia="IRNazanin" w:cs="IRNazanin"/>
          <w:color w:val="111111"/>
          <w:sz w:val="28"/>
          <w:szCs w:val="28"/>
          <w:rtl w:val="true"/>
          <w:lang w:bidi="fa-IR"/>
        </w:rPr>
        <w:t>.</w:t>
      </w:r>
    </w:p>
    <w:p>
      <w:pPr>
        <w:pStyle w:val="Heading3"/>
        <w:numPr>
          <w:ilvl w:val="2"/>
          <w:numId w:val="1"/>
        </w:numPr>
        <w:rPr/>
      </w:pPr>
      <w:bookmarkStart w:id="589" w:name="__RefHeading___Toc910364_774463916"/>
      <w:bookmarkStart w:id="590" w:name="_Toc216"/>
      <w:bookmarkEnd w:id="589"/>
      <w:r>
        <w:rPr>
          <w:rtl w:val="true"/>
        </w:rPr>
        <w:t>حرمة سبّ المؤمن</w:t>
      </w:r>
      <w:bookmarkEnd w:id="590"/>
    </w:p>
    <w:p>
      <w:pPr>
        <w:pStyle w:val="Heading4"/>
        <w:numPr>
          <w:ilvl w:val="3"/>
          <w:numId w:val="1"/>
        </w:numPr>
        <w:rPr/>
      </w:pPr>
      <w:bookmarkStart w:id="591" w:name="__RefHeading___Toc910366_774463916"/>
      <w:bookmarkStart w:id="592" w:name="_Toc217"/>
      <w:bookmarkEnd w:id="591"/>
      <w:r>
        <w:rPr>
          <w:rtl w:val="true"/>
        </w:rPr>
        <w:t>اشارة</w:t>
      </w:r>
      <w:bookmarkEnd w:id="59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 المؤمنین حرام فی الجملة بالأدلّة الأربعة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استقلّ العقل بحرمة سبّ المؤمن فی الجملة،لکونه ظلما و إیذاء و علی ذلک إجماع المسلمین من غیر نکیر،و قد تعرّض الغزالی لذلک فی إحیاء العلوم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استفاضت الروایات من طرقنا </w:t>
      </w:r>
      <w:r>
        <w:rPr>
          <w:rStyle w:val="FootnoteAnchor"/>
          <w:rtl w:val="true"/>
        </w:rPr>
        <w:footnoteReference w:id="85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طرق العامّة </w:t>
      </w:r>
      <w:r>
        <w:rPr>
          <w:rStyle w:val="FootnoteAnchor"/>
          <w:rtl w:val="true"/>
        </w:rPr>
        <w:footnoteReference w:id="854"/>
      </w:r>
      <w:r>
        <w:rPr>
          <w:rFonts w:ascii="IRNazanin" w:hAnsi="IRNazanin" w:eastAsia="IRNazanin"/>
          <w:color w:val="111111"/>
          <w:sz w:val="28"/>
          <w:sz w:val="28"/>
          <w:szCs w:val="28"/>
          <w:rtl w:val="true"/>
          <w:lang w:bidi="fa-IR"/>
        </w:rPr>
        <w:t>علی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المراد هنا من المؤمن فی روایاتنا غیر ما هو</w:t>
      </w:r>
    </w:p>
    <w:p>
      <w:pPr>
        <w:pStyle w:val="BookText"/>
        <w:rPr/>
      </w:pPr>
      <w:r>
        <w:rPr>
          <w:rFonts w:ascii="IRNazanin" w:hAnsi="IRNazanin" w:eastAsia="IRNazanin"/>
          <w:color w:val="111111"/>
          <w:sz w:val="28"/>
          <w:sz w:val="28"/>
          <w:szCs w:val="28"/>
          <w:rtl w:val="true"/>
          <w:lang w:bidi="fa-IR"/>
        </w:rPr>
        <w:t xml:space="preserve">المراد فی روایات العامّة،و من هنا منعوا عن سبّ أبی حنیفة </w:t>
      </w:r>
      <w:r>
        <w:rPr>
          <w:rStyle w:val="FootnoteAnchor"/>
          <w:rtl w:val="true"/>
        </w:rPr>
        <w:footnoteReference w:id="855"/>
      </w:r>
      <w:r>
        <w:rPr>
          <w:rFonts w:ascii="IRNazanin" w:hAnsi="IRNazanin" w:eastAsia="IRNazanin"/>
          <w:color w:val="111111"/>
          <w:sz w:val="28"/>
          <w:sz w:val="28"/>
          <w:szCs w:val="28"/>
          <w:rtl w:val="true"/>
          <w:lang w:bidi="fa-IR"/>
        </w:rPr>
        <w:t>و أشباهه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الحرمة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اجْتَنِبُوا قَوْلَ الزُّورِ </w:t>
      </w:r>
      <w:r>
        <w:rPr>
          <w:rStyle w:val="FootnoteAnchor"/>
          <w:rtl w:val="true"/>
        </w:rPr>
        <w:footnoteReference w:id="856"/>
      </w:r>
      <w:r>
        <w:rPr>
          <w:rFonts w:ascii="IRNazanin" w:hAnsi="IRNazanin" w:eastAsia="IRNazanin"/>
          <w:color w:val="111111"/>
          <w:sz w:val="28"/>
          <w:sz w:val="28"/>
          <w:szCs w:val="28"/>
          <w:rtl w:val="true"/>
          <w:lang w:bidi="fa-IR"/>
        </w:rPr>
        <w:t xml:space="preserve">فإنّ سبّ المؤمن من أوضح مصادیق قول الزور،و لا ینافی ذلک ما ورد من تطبیق الآیة علی الکذب کما سیأتی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الحجّاج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یتسابّان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البادی منهما أظلم،و وزره علی صاحبه ما لم یعتذر إلی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مرجع الضمائر اغتشاش،و یمکن الخطأ من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وقوع الاغتشاش فی مرجع الضمائر فی الروایة بحسب المعنی،فإنّه إذا رجع الضمیران المجروران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وزره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الرادّ لزم کون الوزرین کلیهما علی البادی،و لیس علی الرادّ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لفظ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وزره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دالّة علی أنّ البادی یستحقّ وزرین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للمباشرة،و الثانی للتسبیب،من غیر أن یخفّف عن الرادّ شیء،و لکن الراوی أخطأ فحذف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فشأن الروایة شأن ما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عبد من</w:t>
      </w:r>
    </w:p>
    <w:p>
      <w:pPr>
        <w:pStyle w:val="BookText"/>
        <w:rPr/>
      </w:pPr>
      <w:r>
        <w:rPr>
          <w:rFonts w:ascii="IRNazanin" w:hAnsi="IRNazanin" w:eastAsia="IRNazanin"/>
          <w:color w:val="111111"/>
          <w:sz w:val="28"/>
          <w:sz w:val="28"/>
          <w:szCs w:val="28"/>
          <w:rtl w:val="true"/>
          <w:lang w:bidi="fa-IR"/>
        </w:rPr>
        <w:t>عباد اللّه سنّ سنّة هدی کان له مثل أجر من عمل بذلک،من غیر أن ینقص من اجورهم شیء،و أیّما عبد من عباد اللّه سنّ سنّة ضلال کان علیه مثل وزر من فعل ذلک،من غیر أن ینقص من أوزارهم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الروایات المستفیضة الواردة بهذا المضمون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ما أفاده المصنّف علی خلاف الظاهر من الروایة،فإنّ الظاهر منها أنّ الضمیر المضاف إلیه فی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إلی السب المستفاد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یتسابّان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لِلتَّقْوی </w:t>
      </w:r>
      <w:r>
        <w:rPr>
          <w:rStyle w:val="FootnoteAnchor"/>
          <w:rtl w:val="true"/>
        </w:rPr>
        <w:footnoteReference w:id="859"/>
      </w:r>
      <w:r>
        <w:rPr>
          <w:rFonts w:ascii="IRNazanin" w:hAnsi="IRNazanin" w:eastAsia="IRNazanin"/>
          <w:color w:val="111111"/>
          <w:sz w:val="28"/>
          <w:sz w:val="28"/>
          <w:szCs w:val="28"/>
          <w:rtl w:val="true"/>
          <w:lang w:bidi="fa-IR"/>
        </w:rPr>
        <w:t>فالمعنی أنّ وزر کل سب علی فاعله،و لا یرتفع عنه إلاّ بالاعتذار من المسبوب،لهتک کل من المتسابّین صاحبه و ظلمه إیّاه،و علی هذا فلا اغتشاش فی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أنّا لم نجد الروایة علی النحو الذی نقله المصنّف،بل هی مرویة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وزره و وزر صاحبه علیه ما لم یعتذر إلی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یتعد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لم یتجاوز عن الاعتداء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ذکرناهما فی الحاشیة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أنّ البادی منهما یستحق وزرین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بالأصالة و الآخر بالتسبیب و إلقاء غیره فی الحرام الواقعی،و قد عرفت </w:t>
      </w:r>
      <w:r>
        <w:rPr>
          <w:rStyle w:val="FootnoteAnchor"/>
          <w:rtl w:val="true"/>
        </w:rPr>
        <w:footnoteReference w:id="860"/>
      </w:r>
      <w:r>
        <w:rPr>
          <w:rFonts w:ascii="IRNazanin" w:hAnsi="IRNazanin" w:eastAsia="IRNazanin"/>
          <w:color w:val="111111"/>
          <w:sz w:val="28"/>
          <w:sz w:val="28"/>
          <w:szCs w:val="28"/>
          <w:rtl w:val="true"/>
          <w:lang w:bidi="fa-IR"/>
        </w:rPr>
        <w:t>فی البحث عن حرمة تغریر الجاهل أنّ التسبیب إلی الحرام حرام بالأدلّة الأوّلیة،مع قطع النظر عن الروایات الخاصّة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جواز الاعتداء بالمثل،و کون وزر الاعتداء علی</w:t>
      </w:r>
    </w:p>
    <w:p>
      <w:pPr>
        <w:pStyle w:val="BookText"/>
        <w:rPr/>
      </w:pPr>
      <w:r>
        <w:rPr>
          <w:rFonts w:ascii="IRNazanin" w:hAnsi="IRNazanin" w:eastAsia="IRNazanin"/>
          <w:color w:val="111111"/>
          <w:sz w:val="28"/>
          <w:sz w:val="28"/>
          <w:szCs w:val="28"/>
          <w:rtl w:val="true"/>
          <w:lang w:bidi="fa-IR"/>
        </w:rPr>
        <w:t>البادی،من دون أن یکون علی المظلوم شیء من الوزر ما لم یتجاوز،و إذا تجاوز کان هو البادی فی القدر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إلی ذلک جمع من الأکابر،قال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إثم سباب المتسابّین علی البادی،أمّا إثم ابتدائه فلأنّ السبّ حرام و فسق،لحدیث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فسق و قتاله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إثم سبّ الراد فلأنّ البادی هو الحامل له علی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الصادر منه هو سبّ یترتّب علیه الإثم،إلاّ أنّ الشرع أسقط عنه المؤاخذة،و جعلها علی البادی،للعلّة المتقدّمة،و إنّما أسقطها عنه ما لم یتعدّ فإن تعدّی کان هو البادی فی القدر الزائد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المحقّق الأردبیلی فی آیات الأحکام بعد ذکر بعض الآیات الظاهرة فی الاعتداء بالمثل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تدلاّن علی جواز القصاص فی النفس و الطرف و الجروح بل جواز التعویض مطلقا حتی ضرب المضروب و شتم المشتوم بمثل فعلهما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الأخیرة تدل علی عدم التجاوز عمّا فعل به و تحریم الظلم و التعدّی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ظهر أنّ هذا الرأی لا بعد فیه،خلافا لما استظهرناه فی الدورة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التصریح بذلک فی جملة من أحادیث العامّة،و تقدّم بعضها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المرجع فی السب إلی العرف</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العرف و اللغة </w:t>
      </w:r>
      <w:r>
        <w:rPr>
          <w:rStyle w:val="FootnoteAnchor"/>
          <w:rtl w:val="true"/>
        </w:rPr>
        <w:footnoteReference w:id="863"/>
      </w:r>
      <w:r>
        <w:rPr>
          <w:rFonts w:ascii="IRNazanin" w:hAnsi="IRNazanin" w:eastAsia="IRNazanin"/>
          <w:color w:val="111111"/>
          <w:sz w:val="28"/>
          <w:sz w:val="28"/>
          <w:szCs w:val="28"/>
          <w:rtl w:val="true"/>
          <w:lang w:bidi="fa-IR"/>
        </w:rPr>
        <w:t>اعتبار الإهانة و التعییر فی مفهوم السبّ</w:t>
      </w:r>
      <w:bookmarkStart w:id="593" w:name="pg5064_65540"/>
    </w:p>
    <w:p>
      <w:pPr>
        <w:pStyle w:val="BookText"/>
        <w:rPr/>
      </w:pPr>
      <w:bookmarkEnd w:id="593"/>
      <w:r>
        <w:rPr>
          <w:rFonts w:ascii="IRNazanin" w:hAnsi="IRNazanin" w:eastAsia="IRNazanin"/>
          <w:color w:val="111111"/>
          <w:sz w:val="28"/>
          <w:sz w:val="28"/>
          <w:szCs w:val="28"/>
          <w:rtl w:val="true"/>
          <w:lang w:bidi="fa-IR"/>
        </w:rPr>
        <w:t>و کونه تنقیصا وازراء علی المسبوب،و أنّه متّحد مع الشتم،و علی هذا فیدخل فیه کل ما یوجب إهانة المسبوب و هتکه کالقذف و التوصیف بالوضیع و اللاشیء و الحمار و الکلب و الخنزیر و الکافر و المرتدّ و الأبرص و الأجذم و الأعور و غیر ذلک من الألفاظ الموجبة للنقص و الإهانة،و علیه فلا یتحقّق مفهومه إلاّ بقصد الهتک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مواجهة المسبوب فلا تعتبر فیه</w:t>
      </w:r>
      <w:r>
        <w:rPr>
          <w:rFonts w:eastAsia="IRNazanin" w:cs="IRNazanin"/>
          <w:color w:val="111111"/>
          <w:sz w:val="28"/>
          <w:szCs w:val="28"/>
          <w:rtl w:val="true"/>
          <w:lang w:bidi="fa-IR"/>
        </w:rPr>
        <w:t>.</w:t>
      </w:r>
    </w:p>
    <w:p>
      <w:pPr>
        <w:pStyle w:val="Heading4"/>
        <w:numPr>
          <w:ilvl w:val="3"/>
          <w:numId w:val="1"/>
        </w:numPr>
        <w:rPr/>
      </w:pPr>
      <w:bookmarkStart w:id="594" w:name="__RefHeading___Toc910368_774463916"/>
      <w:bookmarkStart w:id="595" w:name="_Toc218"/>
      <w:bookmarkEnd w:id="594"/>
      <w:r>
        <w:rPr>
          <w:rtl w:val="true"/>
        </w:rPr>
        <w:t>النسبة بین السبّ و الغیبة</w:t>
      </w:r>
      <w:bookmarkEnd w:id="59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فالنسبة بینه و بین الغیبة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فی البحث عن مستثنیات الغیبة ما هذا نصّ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تأذّی من ذمّه بذلک دون ظهوره لم یقدح فی الجواز،و لذا جاز سبّه بما لا یکون کذبا،و هذا هو الفارق بین السبّ و الغیبة،حیث إنّ مناط الأول المذمّة و التنقیص فیجوز،و مناط الثانی إظهار عیوبه فلا یجوز إلاّ بمقدار الرخصة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بینهما هی العموم من وجه،فإنّه قد یتحقّق السبّ و لا یتّصف بعنوان الغیبة،کأن یخاطب المسبوب بصفة مشهورة مع قصد الإهانة و الإذلال،فإنّ ذلک لیس إظهارا لما ستره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تتحقّق الغیبة حیث لا یتحقّق السبّ،کأن یتکلّم بکلام یظهر به ما ستره اللّه من غیر قصد للتنقیص و الإهانة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یجتمعان،و یتعدّد العقاب فی مورد الاجتماع،لکون کل من العنوانین موضوعا للعقاب،فلا وجه للتداخل،و لعلّ هذا مراد المصنّف هنا و فی مبحث الغیبة</w:t>
      </w:r>
      <w:r>
        <w:rPr>
          <w:rFonts w:eastAsia="IRNazanin" w:cs="IRNazanin"/>
          <w:color w:val="111111"/>
          <w:sz w:val="28"/>
          <w:szCs w:val="28"/>
          <w:rtl w:val="true"/>
          <w:lang w:bidi="fa-IR"/>
        </w:rPr>
        <w:t>.</w:t>
      </w:r>
      <w:bookmarkStart w:id="596" w:name="pg5064_65541"/>
    </w:p>
    <w:p>
      <w:pPr>
        <w:pStyle w:val="BookText"/>
        <w:rPr/>
      </w:pPr>
      <w:bookmarkEnd w:id="596"/>
      <w:r>
        <w:rPr>
          <w:rFonts w:ascii="IRNazanin" w:hAnsi="IRNazanin" w:eastAsia="IRNazanin"/>
          <w:color w:val="111111"/>
          <w:sz w:val="28"/>
          <w:sz w:val="28"/>
          <w:szCs w:val="28"/>
          <w:rtl w:val="true"/>
          <w:lang w:bidi="fa-IR"/>
        </w:rPr>
        <w:t xml:space="preserve">و قال المحقّق الإیروانی </w:t>
      </w:r>
      <w:r>
        <w:rPr>
          <w:rStyle w:val="FootnoteAnchor"/>
          <w:rtl w:val="true"/>
        </w:rPr>
        <w:footnoteReference w:id="865"/>
      </w:r>
      <w:r>
        <w:rPr>
          <w:rFonts w:ascii="IRNazanin" w:hAnsi="IRNazanin" w:eastAsia="IRNazanin"/>
          <w:color w:val="111111"/>
          <w:sz w:val="28"/>
          <w:sz w:val="28"/>
          <w:szCs w:val="28"/>
          <w:rtl w:val="true"/>
          <w:lang w:bidi="fa-IR"/>
        </w:rPr>
        <w:t>إنّ النسبة بین السبّ و الغیبة هو التباین،فإنّ السبّ هو ما کان بقصد الإنشاء،و أمّا الغیبة فجملة 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هذه التفرقة،فإنّ کلا منهما یتحقّق بکل من الإنشاء و الإخبار</w:t>
      </w:r>
      <w:r>
        <w:rPr>
          <w:rFonts w:eastAsia="IRNazanin" w:cs="IRNazanin"/>
          <w:color w:val="111111"/>
          <w:sz w:val="28"/>
          <w:szCs w:val="28"/>
          <w:rtl w:val="true"/>
          <w:lang w:bidi="fa-IR"/>
        </w:rPr>
        <w:t>.</w:t>
      </w:r>
    </w:p>
    <w:p>
      <w:pPr>
        <w:pStyle w:val="Heading4"/>
        <w:numPr>
          <w:ilvl w:val="3"/>
          <w:numId w:val="1"/>
        </w:numPr>
        <w:rPr/>
      </w:pPr>
      <w:bookmarkStart w:id="597" w:name="__RefHeading___Toc910370_774463916"/>
      <w:bookmarkStart w:id="598" w:name="_Toc219"/>
      <w:bookmarkEnd w:id="597"/>
      <w:r>
        <w:rPr>
          <w:rtl w:val="true"/>
        </w:rPr>
        <w:t>مستثنیات حرمة السب</w:t>
      </w:r>
      <w:bookmarkEnd w:id="5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یستثنی من المؤمن المظاهر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سبّ المتجاهر بالفسق بالمعصیة التی تجاهر فیها،لزوال احترامه بالتظاهر بالمنکرات،کما فی بعض الأحادیث،و سیأتی ذکره فی البحث عن مستثنیات الغیبة </w:t>
      </w:r>
      <w:r>
        <w:rPr>
          <w:rStyle w:val="FootnoteAnchor"/>
          <w:rtl w:val="true"/>
        </w:rPr>
        <w:footnoteReference w:id="866"/>
      </w:r>
      <w:r>
        <w:rPr>
          <w:rFonts w:ascii="IRNazanin" w:hAnsi="IRNazanin" w:eastAsia="IRNazanin"/>
          <w:color w:val="111111"/>
          <w:sz w:val="28"/>
          <w:sz w:val="28"/>
          <w:szCs w:val="28"/>
          <w:rtl w:val="true"/>
          <w:lang w:bidi="fa-IR"/>
        </w:rPr>
        <w:t>،و أمّا المعاصی التی ارتکبها العاصی و لکن لم یتجاهر فیها فلا یجوز السبّ بها،و أمّا السبّ بما لیس فی المسبوب فافتراء علیه،فیحرم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منه المبتدع أیضا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دلّت الروایات المتظافرة علی جواز سبّ المبدع فی الدین و وجوب البراءة منه و اتّهامه </w:t>
      </w:r>
      <w:r>
        <w:rPr>
          <w:rStyle w:val="FootnoteAnchor"/>
          <w:rtl w:val="true"/>
        </w:rPr>
        <w:footnoteReference w:id="867"/>
      </w:r>
      <w:r>
        <w:rPr>
          <w:rFonts w:ascii="IRNazanin" w:hAnsi="IRNazanin" w:eastAsia="IRNazanin"/>
          <w:color w:val="111111"/>
          <w:sz w:val="28"/>
          <w:sz w:val="28"/>
          <w:szCs w:val="28"/>
          <w:rtl w:val="true"/>
          <w:lang w:bidi="fa-IR"/>
        </w:rPr>
        <w:t>،و لکن الظاهر أنه لا وجه لجعله من المستثنیات باستقلاله فإنّه إن کان المراد به المبدع فی الأحکام الشرعیة فهو متجاهر بالفسق،و إن کان</w:t>
      </w:r>
    </w:p>
    <w:p>
      <w:pPr>
        <w:pStyle w:val="BookText"/>
        <w:rPr/>
      </w:pPr>
      <w:r>
        <w:rPr>
          <w:rFonts w:ascii="IRNazanin" w:hAnsi="IRNazanin" w:eastAsia="IRNazanin"/>
          <w:color w:val="111111"/>
          <w:sz w:val="28"/>
          <w:sz w:val="28"/>
          <w:szCs w:val="28"/>
          <w:rtl w:val="true"/>
          <w:lang w:bidi="fa-IR"/>
        </w:rPr>
        <w:t>المراد به المبدع فی العقائد و الاصول الدینیة فهو کافر باللّه العظیم،فیکون خارجا عن المقام موضوعا،لعدم کونه متّصفا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یستثنی من ذلک ما إذا لم یتأثّر المسبوب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الإطلاقات المتقدّمة أنّ سبّ المؤمن حرام مطلقا،سواء تأثّر أم لم یتأثّر،نعم إذا لم یوجب إهانة المسبوب فی نظر العرف کان خارجا عن عنوان السبّ موضوعا،لما عرفت من اعتبار الإهانة و الاستنقاص فی مفهوم السبّ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لاستثناء بعض الأمثلة عن مورد البحث،کسبّ الوالد ولده و سبّ المعلّم متعلّمه،و سبّ المولی عبده،لأنّه إن کان موجبا لإهانتهم فلا مجوّز للاستثناء،و إن لم یکن موجبا لذلک فهو خارج عن السبّ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أیضا فساد ما یقال من أنّ السبّ فی الأمثلة المذکورة فخر للمسبوب و تأدیب له فلا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السبّ ینافی مفهوم الفخر و التأدیب،فلا یجتمعان فی مورد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أضعف من جمیع ذلک دعوی السیرة علی الجواز فی الموارد المزبورة،فإنّا لو سلّمنا تحقّق السیرة من المتدیّنین فإنّما هی فی غیر موارد الهتک و الظلم،فلا تکون إلاّ علی جواز التأدیب دون السبّ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الوالد فیمکن استفادة الجواز فی حقّه ممّا ورد من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وردت هذه الجملة المبارکة فی الروایات المتظافرة </w:t>
      </w:r>
      <w:r>
        <w:rPr>
          <w:rStyle w:val="FootnoteAnchor"/>
          <w:rtl w:val="true"/>
        </w:rPr>
        <w:footnoteReference w:id="868"/>
      </w:r>
      <w:r>
        <w:rPr>
          <w:rFonts w:ascii="IRNazanin" w:hAnsi="IRNazanin" w:eastAsia="IRNazanin"/>
          <w:color w:val="111111"/>
          <w:sz w:val="28"/>
          <w:sz w:val="28"/>
          <w:szCs w:val="28"/>
          <w:rtl w:val="true"/>
          <w:lang w:bidi="fa-IR"/>
        </w:rPr>
        <w:t>الصحیحة و غیرها،و لکنّها راجعة إلی الجهات الأخلاقیة الناشئة من الجهات التکوینیة،فإنّ الولد بحسب التکوین من المواهب الإلهیة للوالد،فلا یناسبه أن یعارض أباه فی تصرّفاته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ذلک المعنی ما فی روایة محمد بن سنان الضعیف،من تعلیل حلّیة مال الولد لأبیه بأنّ الولد موهب للوالد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یَهَبُ لِمَنْ یَشاءُ إِناثاً وَ یَهَبُ لِمَنْ یَشاءُ الذُّکُورَ </w:t>
      </w:r>
      <w:r>
        <w:rPr>
          <w:rStyle w:val="FootnoteAnchor"/>
          <w:rtl w:val="true"/>
        </w:rPr>
        <w:footnoteReference w:id="869"/>
      </w:r>
      <w:r>
        <w:rPr>
          <w:rFonts w:ascii="IRNazanin" w:hAnsi="IRNazanin" w:eastAsia="IRNazanin"/>
          <w:color w:val="111111"/>
          <w:sz w:val="28"/>
          <w:sz w:val="28"/>
          <w:szCs w:val="28"/>
          <w:rtl w:val="true"/>
          <w:lang w:bidi="fa-IR"/>
        </w:rPr>
        <w:t>و علیه فلیس لفظ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للاختصاص فقط،الناشئ من المحبّة الجبلّیة و العطوفة الغریزیة،المنافیة للإیذاء و الإذلال و لو بالسبّ و الشتم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دلّت هذه الروایات علی الملکیة حقیقیة کانت أم تنزیلیة،أو علی الولایة المطلقة و السلطنة التامّة کان لکلام المصنّف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کلا الاحتمالین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لو تم لجاز للأب أن یتصرّف فیما یرجع إلی أولاده و یتصرّف فی شؤونهم تصرّف الموالی فی عبیدهم و امورهم،مع أنه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مخالف للروایات </w:t>
      </w:r>
      <w:r>
        <w:rPr>
          <w:rStyle w:val="FootnoteAnchor"/>
          <w:rtl w:val="true"/>
        </w:rPr>
        <w:footnoteReference w:id="870"/>
      </w:r>
      <w:r>
        <w:rPr>
          <w:rFonts w:ascii="IRNazanin" w:hAnsi="IRNazanin" w:eastAsia="IRNazanin"/>
          <w:color w:val="111111"/>
          <w:sz w:val="28"/>
          <w:sz w:val="28"/>
          <w:szCs w:val="28"/>
          <w:rtl w:val="true"/>
          <w:lang w:bidi="fa-IR"/>
        </w:rPr>
        <w:t>المعتبرة الصریحة فی أنّ للأب أن یستقرض من مال ابنه و یقوّم جاریته بقیمة عادلة و یتصرّف فیها بالملک،فإنّ من الواضح أنه لو کان الابن و ماله للأب لما احتاج فی جواز التصرّف فی ماله و جاریته إلی الاستقراض و التقویم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فأیضا فاسد،لأنّ مورد بعضها الولد الکبیر،و من المقطوع به أنه لا ولایة للأب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عن جمیع ما ذکرناه فهی معارضة بما دلّ علی حرمة سبّ المؤمن بالعموم من وجه،ففی مورد التعارض یرجع إلی عمومات ما دلّ علی حرمة الظلم،و هو واضح</w:t>
      </w:r>
      <w:r>
        <w:rPr>
          <w:rFonts w:eastAsia="IRNazanin" w:cs="IRNazanin"/>
          <w:color w:val="111111"/>
          <w:sz w:val="28"/>
          <w:szCs w:val="28"/>
          <w:rtl w:val="true"/>
          <w:lang w:bidi="fa-IR"/>
        </w:rPr>
        <w:t>.</w:t>
      </w:r>
      <w:bookmarkStart w:id="599" w:name="pg5064_65544"/>
    </w:p>
    <w:p>
      <w:pPr>
        <w:pStyle w:val="Heading3"/>
        <w:numPr>
          <w:ilvl w:val="2"/>
          <w:numId w:val="1"/>
        </w:numPr>
        <w:rPr/>
      </w:pPr>
      <w:bookmarkStart w:id="600" w:name="__RefHeading___Toc910372_774463916"/>
      <w:bookmarkStart w:id="601" w:name="_Toc220"/>
      <w:bookmarkEnd w:id="599"/>
      <w:bookmarkEnd w:id="600"/>
      <w:r>
        <w:rPr>
          <w:rtl w:val="true"/>
        </w:rPr>
        <w:t>حرمة السحر</w:t>
      </w:r>
      <w:bookmarkEnd w:id="601"/>
    </w:p>
    <w:p>
      <w:pPr>
        <w:pStyle w:val="Heading4"/>
        <w:numPr>
          <w:ilvl w:val="3"/>
          <w:numId w:val="1"/>
        </w:numPr>
        <w:rPr/>
      </w:pPr>
      <w:bookmarkStart w:id="602" w:name="__RefHeading___Toc910374_774463916"/>
      <w:bookmarkStart w:id="603" w:name="_Toc221"/>
      <w:bookmarkEnd w:id="602"/>
      <w:r>
        <w:rPr>
          <w:rtl w:val="true"/>
        </w:rPr>
        <w:t>اشارة</w:t>
      </w:r>
      <w:bookmarkEnd w:id="60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السحر حرام فی الجملة بلا خلاف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فی حرمة السحر فی الجملة،بل هی من ضروریات الدین و ممّا قام علیه إجماع المسلمین،و قد استفاضت بها الروایات من طرقنا </w:t>
      </w:r>
      <w:r>
        <w:rPr>
          <w:rStyle w:val="FootnoteAnchor"/>
          <w:rtl w:val="true"/>
        </w:rPr>
        <w:footnoteReference w:id="872"/>
      </w:r>
      <w:r>
        <w:rPr>
          <w:rFonts w:ascii="IRNazanin" w:hAnsi="IRNazanin" w:eastAsia="IRNazanin"/>
          <w:color w:val="111111"/>
          <w:sz w:val="28"/>
          <w:sz w:val="28"/>
          <w:szCs w:val="28"/>
          <w:rtl w:val="true"/>
          <w:lang w:bidi="fa-IR"/>
        </w:rPr>
        <w:t>و من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 العامّة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هذا لا شبهة فیه،و إنّما الکلام فی تحقیق موضوع السحر و بیان</w:t>
      </w:r>
      <w:bookmarkStart w:id="604" w:name="pg5064_65546"/>
    </w:p>
    <w:p>
      <w:pPr>
        <w:pStyle w:val="BookText"/>
        <w:rPr/>
      </w:pPr>
      <w:bookmarkEnd w:id="604"/>
      <w:r>
        <w:rPr>
          <w:rFonts w:ascii="IRNazanin" w:hAnsi="IRNazanin" w:eastAsia="IRNazanin"/>
          <w:color w:val="111111"/>
          <w:sz w:val="28"/>
          <w:sz w:val="28"/>
          <w:szCs w:val="28"/>
          <w:rtl w:val="true"/>
          <w:lang w:bidi="fa-IR"/>
        </w:rPr>
        <w:t>حقیقته</w:t>
      </w:r>
      <w:r>
        <w:rPr>
          <w:rFonts w:eastAsia="IRNazanin" w:cs="IRNazanin"/>
          <w:color w:val="111111"/>
          <w:sz w:val="28"/>
          <w:szCs w:val="28"/>
          <w:rtl w:val="true"/>
          <w:lang w:bidi="fa-IR"/>
        </w:rPr>
        <w:t>.</w:t>
      </w:r>
    </w:p>
    <w:p>
      <w:pPr>
        <w:pStyle w:val="Heading4"/>
        <w:numPr>
          <w:ilvl w:val="3"/>
          <w:numId w:val="1"/>
        </w:numPr>
        <w:rPr/>
      </w:pPr>
      <w:bookmarkStart w:id="605" w:name="__RefHeading___Toc910376_774463916"/>
      <w:bookmarkStart w:id="606" w:name="_Toc222"/>
      <w:bookmarkEnd w:id="605"/>
      <w:r>
        <w:rPr>
          <w:rtl w:val="true"/>
        </w:rPr>
        <w:t>موضوع السحر</w:t>
      </w:r>
      <w:bookmarkEnd w:id="60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اختلفت کلمات أهل اللغة فی ذلک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،فذکر بعضهم أنّه الخدعة و التمویه</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إظهار الباطل بصورة الحق،و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الأخذة فی العین،و فی القاموس </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لطف مأخذه و دقّ،و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صرف الشیء عن وجهه إلی غیر حقیقته بالأسباب الخفیّة علی سبیل الخدعة و التمویه،إلی غیر ذلک من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الخلاف بین الأصحاب فی ذلک أیضا،فعن العلاّمة فی القواعد أنّه کلام یتکلّم به أو یکتبه،أو رقیة،أو یعمل شیئا یؤثّر فی بدن المسحور أو قلبه أو عقله من غیر مباشرة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المنتهی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أنّه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عقد،و فی المسالک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أنّه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أقسام و عزائم یحدث بسببها ضرر علی الغیر،و عن الدروس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أنّه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الدخنة و التصویر و النفث و تصفیة النفس،إلی غیر ذلک من کلماتهم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المتبادر عند أهل العرف من کلمة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استقراء موارد استعمالها و ما اشتقّ منها عند أهل اللسان،و المتصیّد من مجموع کلمات اللغویین فی تحدید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صرف الشیء عن وجهه علی سبیل الخدعة و التمویه،بحیث إنّ الساحر یلبس الباطل لباس الحقّ،و یظهره بصورة الواقع،فیری</w:t>
      </w:r>
    </w:p>
    <w:p>
      <w:pPr>
        <w:pStyle w:val="BookText"/>
        <w:rPr/>
      </w:pPr>
      <w:r>
        <w:rPr>
          <w:rFonts w:ascii="IRNazanin" w:hAnsi="IRNazanin" w:eastAsia="IRNazanin"/>
          <w:color w:val="111111"/>
          <w:sz w:val="28"/>
          <w:sz w:val="28"/>
          <w:szCs w:val="28"/>
          <w:rtl w:val="true"/>
          <w:lang w:bidi="fa-IR"/>
        </w:rPr>
        <w:t>الناس الهیاکل الغریبة و الأشکال المعجبة المخوفة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السحر عمل خفی یحصل بالأسباب الخفیة،و یصوّر الشیء علی خلاف صورته الواقعیة،و یصرفه عن وجهه بالخدعة و التمویه،و یقلبه من جنسه فی الظاهر لا فی الحقیقة،بحیث إنّ الساحر یسحر الناظرین حتّی یتخیّلوا أنه یتصرّف فی الامور التکوینیة،و یغیّرها عن حقیقتها إلی حقیقة اخری،فیریهم البرّ بحرا عجاجا تجری فیه السفن و تتلاطم فیه الأمواج،من غیر أن یلتفتوا إلی کونه خدعة و تمویها،و إظهارا للباطل بصورة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قصّة السحرة مع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مذکورة فی القرآن حین ألقوا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حِبالُهُمْ وَ عِصِیُّهُمْ یُخَیَّلُ إِلَیْهِ مِنْ سِحْرِهِمْ أَنَّها تَسْعی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للسحر حقیقة واقعیة کالتصرّف فی عقل المسحور أو بدنه أو ما یرجع إلیه،و علیه فلا یتم تعریفه المذکور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للسحر حقیقة واقعیة،و لکن قد یترتّب علیه أمر واقعی فقد یظهر الساحر للمسحور شیئا مهولا فیخاف هذا و یصبح مجنونا،أو یریه بحرا و فیه سفینة جاریة فیحاول المسحور أن یرکبها فیقع من شاهق و یموت،فإنّ الجنون و الموت و إن کانا من الامور الواقعیة،إلاّ أنّهما ترتّبا علی الأمر التخیّلی الذی هو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یقرب ما ذکرناه ما عن صاحب العین من أنّه یقلب الشیء من جنسه فی الظاهر،و لا یقلبه عن جنسه فی الحقیقة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اشیر إلی ما ذکرناه فی خبر الاحتجاج حیث سئل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الساحر أیقلب الواقع إلی واقع</w:t>
      </w:r>
    </w:p>
    <w:p>
      <w:pPr>
        <w:pStyle w:val="BookText"/>
        <w:rPr/>
      </w:pPr>
      <w:r>
        <w:rPr>
          <w:rFonts w:ascii="IRNazanin" w:hAnsi="IRNazanin" w:eastAsia="IRNazanin"/>
          <w:color w:val="111111"/>
          <w:sz w:val="28"/>
          <w:sz w:val="28"/>
          <w:szCs w:val="28"/>
          <w:rtl w:val="true"/>
          <w:lang w:bidi="fa-IR"/>
        </w:rPr>
        <w:t>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أضعف من ذلک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ما ذکرناه من المعنی قد استعملت کلمة السحر فی مواضع شتّی من الکتاب العزیز </w:t>
      </w:r>
      <w:r>
        <w:rPr>
          <w:rStyle w:val="FootnoteAnchor"/>
          <w:rtl w:val="true"/>
        </w:rPr>
        <w:footnoteReference w:id="877"/>
      </w:r>
      <w:r>
        <w:rPr>
          <w:rFonts w:ascii="IRNazanin" w:hAnsi="IRNazanin" w:eastAsia="IRNazanin"/>
          <w:color w:val="111111"/>
          <w:sz w:val="28"/>
          <w:sz w:val="28"/>
          <w:szCs w:val="28"/>
          <w:rtl w:val="true"/>
          <w:lang w:bidi="fa-IR"/>
        </w:rPr>
        <w:t>و أطلق المشرکون صفة الساحر علی النبی الصادق المصدّق،فقد زعموا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الباطل بصورة الحقّ بکلمات فصیحة و خطب بلیغة حتّی یسحر بها أعین الناظرین و قلوبهم،و من هنا أیضا اطلق السحر علی البیان الجیّد </w:t>
      </w:r>
      <w:r>
        <w:rPr>
          <w:rStyle w:val="FootnoteAnchor"/>
          <w:rtl w:val="true"/>
        </w:rPr>
        <w:footnoteReference w:id="878"/>
      </w:r>
      <w:r>
        <w:rPr>
          <w:rFonts w:ascii="IRNazanin" w:hAnsi="IRNazanin" w:eastAsia="IRNazanin"/>
          <w:color w:val="111111"/>
          <w:sz w:val="28"/>
          <w:sz w:val="28"/>
          <w:szCs w:val="28"/>
          <w:rtl w:val="true"/>
          <w:lang w:bidi="fa-IR"/>
        </w:rPr>
        <w:t>بلحاظ المدح و الذمّ،فإنّه یصرف حواسّ الحاضرین و آذان</w:t>
      </w:r>
      <w:bookmarkStart w:id="607" w:name="pg5064_65550"/>
    </w:p>
    <w:p>
      <w:pPr>
        <w:pStyle w:val="BookText"/>
        <w:rPr/>
      </w:pPr>
      <w:bookmarkEnd w:id="607"/>
      <w:r>
        <w:rPr>
          <w:rFonts w:ascii="IRNazanin" w:hAnsi="IRNazanin" w:eastAsia="IRNazanin"/>
          <w:color w:val="111111"/>
          <w:sz w:val="28"/>
          <w:sz w:val="28"/>
          <w:szCs w:val="28"/>
          <w:rtl w:val="true"/>
          <w:lang w:bidi="fa-IR"/>
        </w:rPr>
        <w:t>السامعین إلی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الاعتبار أیضا اطلق السحر علی تمویه الفضّة بالذهب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الناظر إلی کلمات أهل اللغة و موارد الاستعمال یقطع بأنّ السحر لیست له حقیقة واقعیة،و إنّما 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تقدّم ظهر ما هو المراد من الأخبار المتظافرة الدالّة علی حرمة السحر،و قد ذکرنا بعضها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القاموس من أنّ السحر ما لطف مأخذه و دقّ،فإنّه و إن انطبق علی ما ذکرناه،لأنّ صرف الشیء عن وجهه علی سبیل التمویه له مأخذ دقیق جدّا،إلاّ أنه تعریف بالأعم،فإنّ الامور التی یلطف مأخذها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لیست من السحر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جدّا،کالقوی الکهربائیة،و الرادیوات،و الطائرات و بعض أقسام أدوات الحرب،و غیر ذلک ممّا لا یعرفه أکثر الناس،خصوصا الصناعات المستحدثة</w:t>
      </w:r>
      <w:r>
        <w:rPr>
          <w:rFonts w:eastAsia="IRNazanin" w:cs="IRNazanin"/>
          <w:color w:val="111111"/>
          <w:sz w:val="28"/>
          <w:szCs w:val="28"/>
          <w:rtl w:val="true"/>
          <w:lang w:bidi="fa-IR"/>
        </w:rPr>
        <w:t>.</w:t>
      </w:r>
    </w:p>
    <w:p>
      <w:pPr>
        <w:pStyle w:val="Heading4"/>
        <w:numPr>
          <w:ilvl w:val="3"/>
          <w:numId w:val="1"/>
        </w:numPr>
        <w:rPr/>
      </w:pPr>
      <w:bookmarkStart w:id="608" w:name="__RefHeading___Toc910378_774463916"/>
      <w:bookmarkStart w:id="609" w:name="_Toc223"/>
      <w:bookmarkEnd w:id="608"/>
      <w:r>
        <w:rPr>
          <w:rtl w:val="true"/>
        </w:rPr>
        <w:t>الفرق بین المعجزة و السحر و الشعوذة</w:t>
      </w:r>
      <w:bookmarkEnd w:id="60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ممّا ذکرناه الفرق بین السحر و بین المعجزة و الشعوذة،فإنّک قد عرفت فی البحث عن حرمة التصویر </w:t>
      </w:r>
      <w:r>
        <w:rPr>
          <w:rStyle w:val="FootnoteAnchor"/>
          <w:rtl w:val="true"/>
        </w:rPr>
        <w:footnoteReference w:id="879"/>
      </w:r>
      <w:r>
        <w:rPr>
          <w:rFonts w:ascii="IRNazanin" w:hAnsi="IRNazanin" w:eastAsia="IRNazanin"/>
          <w:color w:val="111111"/>
          <w:sz w:val="28"/>
          <w:sz w:val="28"/>
          <w:szCs w:val="28"/>
          <w:rtl w:val="true"/>
          <w:lang w:bidi="fa-IR"/>
        </w:rPr>
        <w:t>إجمالا أنّ الإعجاز أمر حقیقی له واقعیة إلاّ أنّه غیر جار علی السیر الطبیعی،بل هو أمر دفعی خارق للعادة،و أمّا المقدّمات الطبیعیة فکلّها مطویة فیه،کجعل الحبوب أشجارا و زروعا،و الأحجار لؤلؤا و یواقیت دفعة واحدة،و منه صیرورة عصا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ثعبانا،و صیرورة الأسد المنقوش علی البساط حیوانا مفترسا بأمر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الخلیفة،و قد تقدّم ذلک فی المبحث المذکور،و أمّا السحر فقد عرفت أنه لیست له</w:t>
      </w:r>
      <w:bookmarkStart w:id="610" w:name="pg5064_65551"/>
    </w:p>
    <w:p>
      <w:pPr>
        <w:pStyle w:val="BookText"/>
        <w:rPr/>
      </w:pPr>
      <w:bookmarkEnd w:id="610"/>
      <w:r>
        <w:rPr>
          <w:rFonts w:ascii="IRNazanin" w:hAnsi="IRNazanin" w:eastAsia="IRNazanin"/>
          <w:color w:val="111111"/>
          <w:sz w:val="28"/>
          <w:sz w:val="28"/>
          <w:szCs w:val="28"/>
          <w:rtl w:val="true"/>
          <w:lang w:bidi="fa-IR"/>
        </w:rPr>
        <w:t>حقیقة واقعیة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الشعوذة فسیأتی </w:t>
      </w:r>
      <w:r>
        <w:rPr>
          <w:rStyle w:val="FootnoteAnchor"/>
          <w:rtl w:val="true"/>
        </w:rPr>
        <w:footnoteReference w:id="880"/>
      </w:r>
      <w:r>
        <w:rPr>
          <w:rFonts w:ascii="IRNazanin" w:hAnsi="IRNazanin" w:eastAsia="IRNazanin"/>
          <w:color w:val="111111"/>
          <w:sz w:val="28"/>
          <w:sz w:val="28"/>
          <w:szCs w:val="28"/>
          <w:rtl w:val="true"/>
          <w:lang w:bidi="fa-IR"/>
        </w:rPr>
        <w:t>أنّها عبارة عن الخفّة فی الید و السرعة فی الحرکة المعبّر عنها فی اللغة الفارسیة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تردستی و تندکاری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المشعوذ الحاذق یفعل الامور العادیة و الأفعال المتعارفة بتمام السرعة،بحیث یشغل أذهان الناظرین بأشیاء و یأخذ حواسّهم إلیها،ثم یعمل شیئا آخر بسرعة شدیدة و بحرکة خفیفة فیظهر لهم غیر ما انتظروه،و یتعجّبون منه،و لکن الصادر منه أمر واقعی،کأخذ الأشیاء من موضع و وضعها فی موضع آخر بالسرعة التامّة حتّی یتخیّل الناظر إلیها أنّها انتقلت بنفسها،فالنقل و الانتقال أمر حقیقی،و لکن الناظر لا یلتفت إلی الناقل و هذا بخلاف السحر،فإنّه أمر خیالی محض کما عرفت التنبیه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اتّضح الفرق بین الشعوذة و المعجزة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الأصحاب من بیان حقیقة السحر و أسبابه و أقسامه فکلّها تقریبیة،فإن انطبق علی ما ذکرناه فهو،و إلاّ فیرد إلی قائله،و هو أعرف بمقاله</w:t>
      </w:r>
      <w:r>
        <w:rPr>
          <w:rFonts w:eastAsia="IRNazanin" w:cs="IRNazanin"/>
          <w:color w:val="111111"/>
          <w:sz w:val="28"/>
          <w:szCs w:val="28"/>
          <w:rtl w:val="true"/>
          <w:lang w:bidi="fa-IR"/>
        </w:rPr>
        <w:t>.</w:t>
      </w:r>
    </w:p>
    <w:p>
      <w:pPr>
        <w:pStyle w:val="Heading4"/>
        <w:numPr>
          <w:ilvl w:val="3"/>
          <w:numId w:val="1"/>
        </w:numPr>
        <w:rPr/>
      </w:pPr>
      <w:bookmarkStart w:id="611" w:name="__RefHeading___Toc910380_774463916"/>
      <w:bookmarkStart w:id="612" w:name="_Toc224"/>
      <w:bookmarkEnd w:id="611"/>
      <w:r>
        <w:rPr>
          <w:rtl w:val="true"/>
        </w:rPr>
        <w:t>أقسام السحر</w:t>
      </w:r>
      <w:bookmarkEnd w:id="612"/>
    </w:p>
    <w:p>
      <w:pPr>
        <w:pStyle w:val="BookText"/>
        <w:rPr/>
      </w:pPr>
      <w:r>
        <w:rPr>
          <w:rFonts w:ascii="IRNazanin" w:hAnsi="IRNazanin" w:eastAsia="IRNazanin"/>
          <w:color w:val="111111"/>
          <w:sz w:val="28"/>
          <w:sz w:val="28"/>
          <w:szCs w:val="28"/>
          <w:rtl w:val="true"/>
          <w:lang w:bidi="fa-IR"/>
        </w:rPr>
        <w:t xml:space="preserve">و لا بأس بالتعرّض لما ذکره الأصحاب من أقسام السحر،لیعلم هل أنّها مشمولة لما دلّ علی حرمة السحر أم لا،و قد تکلّم عنها العلاّمة المجلسی فی البحار </w:t>
      </w:r>
      <w:r>
        <w:rPr>
          <w:rStyle w:val="FootnoteAnchor"/>
          <w:rtl w:val="true"/>
        </w:rPr>
        <w:footnoteReference w:id="881"/>
      </w:r>
      <w:r>
        <w:rPr>
          <w:rFonts w:ascii="IRNazanin" w:hAnsi="IRNazanin" w:eastAsia="IRNazanin"/>
          <w:color w:val="111111"/>
          <w:sz w:val="28"/>
          <w:sz w:val="28"/>
          <w:szCs w:val="28"/>
          <w:rtl w:val="true"/>
          <w:lang w:bidi="fa-IR"/>
        </w:rPr>
        <w:t>و أطال الکلام فیها موضوعا و حکما،نقضا و إبراما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فی تحقیق أقسام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أنواع شتّی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الکذّابین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الکلدانیین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من قدیم الدهر</w:t>
      </w:r>
    </w:p>
    <w:p>
      <w:pPr>
        <w:pStyle w:val="BookText"/>
        <w:rPr/>
      </w:pPr>
      <w:r>
        <w:rPr>
          <w:rFonts w:ascii="IRNazanin" w:hAnsi="IRNazanin" w:eastAsia="IRNazanin"/>
          <w:color w:val="111111"/>
          <w:sz w:val="28"/>
          <w:sz w:val="28"/>
          <w:szCs w:val="28"/>
          <w:rtl w:val="true"/>
          <w:lang w:bidi="fa-IR"/>
        </w:rPr>
        <w:t>و هم قوم یعبدون الکواکب،و یزعمون کونها مدبّرة للعالم السفلی،و مبادئ لصدور الخیرات و الشرور،و قد بعث اللّه إبراهیم علیه السّلام مبطلا لمقالتهم و هدم أساس مذهبهم و هم علی فرق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منهم من یزعم أنّ الکواکب هی الواجبة الخالقة للعالم و منهم من یزعم أنّها قدیمة لقدم العلّة المؤثّرة فیها،و منهم من یزعم أنّها حادثة مخلوقة،و لکنّها فعّالة مختارة فوّض خالقها أمر العالم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الساحر من هذه الفرق الثلاثة من یعرف القوی العالیة الفعّالة،بسائطها و مرکّباتها،و یعرف ما یلیق بالعالم السفلی و حوادثه،و یعرف معدّات هذه الحوادث لیعدها،و عوائقها لیرفعها بحسب الطاقة البشریة،فیکون متمکّنا من استحداث ما یخرق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 المجلسی فی النوع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السحر هو صرف الشیء عن وجهه علی سبیل الخدیعة و التمویه،من دون أن یکون له واقعیة،فاستحداث الامور الخارقة للعادة لیس من السحر،و لو تمکّن أحد من إحداث الامور الغریبة بواسطة القوّة النفسانیة الحاصلة بالریاضة أو بصرف المقدّمات فلا یقال له إنّه ساحر،بل لا دلیل علی حرمته،فإنّ هذا شعار أهل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شبهة فی کفر الفرق المذکورة کما اعترف به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الفرقة الثالثة القائلة بتفویض أمر العالم إلی الکواکب،فإنّ قولهم هذا مخالف لضرورة الدین،فإنّ اللّه هو الذی یحیی و یمیت،و یهب لمن یشاء ذکورا،و یهب لمن یشاء إناثا،و یصوّر فی الأرحام کیف یشاء</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أصحاب الأوهام و النفوس القویة،فقد ثبت بالوجوه العدیدة إمکان تسلّط النفوس علی جوارح الغیر و أعضائه فتسخّره للقیام بحرکات و تأدیة أعمال علی غیر إرادة منه،و من دون وساطة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النفوس قد تکون لریاضاتها قویة صافیة عن الکدورات البدنیة،فتستغنی فی تأثیرها عن</w:t>
      </w:r>
    </w:p>
    <w:p>
      <w:pPr>
        <w:pStyle w:val="BookText"/>
        <w:rPr/>
      </w:pPr>
      <w:r>
        <w:rPr>
          <w:rFonts w:ascii="IRNazanin" w:hAnsi="IRNazanin" w:eastAsia="IRNazanin"/>
          <w:color w:val="111111"/>
          <w:sz w:val="28"/>
          <w:sz w:val="28"/>
          <w:szCs w:val="28"/>
          <w:rtl w:val="true"/>
          <w:lang w:bidi="fa-IR"/>
        </w:rPr>
        <w:t>الاستعانة بأدوات من خارجها،و تصدر عنها الامور الغریبة الخارقة للعادة،و قد تکون ضعیفة و ممزوجة بأوساخ المواد،فتحتاج فی إتمام تأثیرها إلی الاستعانة بأدوات سحریة اخری،انتهی حاصل کلامه فی النوع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أنّ بعض النفوس لصفائها بالریاضات تؤثّر فی الامور التکوینیة،و تصرفها عن وجهها صرفا حقیقیّا،کإیقاف الماشی عن المشی،و المیاه الجاریة عن الجریان،بل قیل إنّ هذا المعنی مکنون فی الأسد بحسب الغریزة و الطبیعة،فإنّه إذا نظر إلی حیوان أوقفه عن المشی و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دلیل علی حرمته بعنوانه الأوّلی ما لم یترتّب علیه شیء من العناوین المحرّمة،بل نمنع عن صدق السحر علیه،و إنّما هو نحو من الکرامة إن کان بطریق حقّ،و من الکفر أو الفسق إن کان بطریق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نظن أن یتوهّم أحد أنّ تصفیة النفس بالریاضات الحقّة حتّی تصیر مؤثّرة فی الامور التکوینیة من المحرّمات،بل هو مطلوب فی الشریعة المقدّسة إذا کان بالإطاعة و التقوی،و من المعروف المشهور أنّ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وصل بمجاهداته و تقواه و عظیم طاعته لمولاه إلی حد أن انقادت الامور التکوینیة لإرادته،و التزمت فرض طاعته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الثالث من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بالأرواح الأرضیة،و اعلم أنّ القول بوجود الجنّ ممّا أنکره بعض المتأخّرین من الفلاسفة و المعتزلة،و أمّا أکابر الفلاسفة فإنّهم لم ینکروا القول بوجود الجنّ،و لکنّهم سمّوها بالأرواح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بأنفسها مختلفة الأصناف،فإنّ منها خیّرة،و منها شریرة،و قد شاهد أهل الصنعة و التجربة أنّ الاتّصال بها یحصل بامور خفیفة و بأفعال سهلة لا مشقّة فی إیجادها کالرقّ و الدخن و التجرید،و قد سمّوا هذا النوع بالعزائم و عمل تسخیر الجنّ،انتهی حاصل کلام المجلسی فی النوع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خروج هذا النوع أیضا من السحر موضوعا و حکما تعلیما و تعلّما،بل لا دلیل علی حرمته فی نفسه إلاّ إذا ترتّب علیه عنوان محرّم من إیذاء إنسان و الإضرار به،أو کانت مقدّماتها محرّمة،فیحرم الاشتغال بها و إلاّ فلا یحرم استخدام الجنّ و کشف الغائبات بواسطتهم،بل لا دلیل علی حرمة إیذاهم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الرابع ممّا ذکره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أقسام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التخیّلات و الأخذ بالعیون،و هذا النوع یتّضح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الأغلاط فی البصر کثیرا،فإنّ الساکن قد یری متحرّکا و بالعکس،کما أنّ راکب السفینة إذا نظر إلی البحر یری السفینة ساکنة و یری الماء متحرّکا،و القطرة النازلة من السماء تری خطّا مستقیما،و الشعلة الجوّالة تری دائرة من النار،و الأشیاء الصغیرة تری فی الماء کبیرة،و غیر ذلک من أغلاط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المحسوسات قد یختلط بعضها ببعض إذا کانت مدرکة بسرعة النظر لأنّ القوّة الباصرة إذا وقفت علی محسوس وقوفا تامّا فی زمان معتدّ به أدرکته علی نحو لا یشتبه بغیره کثیرا،و أمّا إذا أدرکته فی زمان قلیل ثم أدرکت محسوسا آخر و هکذا فإنّه یختلط بعضه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تشغل النفس بشیء فلا تشعر حینئذ بشیء و إن کان حاضرا عند الإنسان،کالوارد علی السلطان،فإنّه قد یلقاه شخص فیتکلّم معه و لکن لا یلتفت إلیه،و الناظر فی المرآة یری القذارة فی عینیه و لا یری أکبر منها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الامور اتّضح لک تصویر هذا النوع من السحر،فإنّ المشعبذ الحاذق یشغل أذهان الناظرین بامور،و یأخذ بأبصارهم،ثم یعمل شیئا آخر بسرعة شدیدة و بحرکة خفیفة،فیظهر لهم غیر ما انتظروه،فیتعجّبون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النوع هو المعروف بالشعوذة،فلا یتربط بالسحر،و سیأتی </w:t>
      </w:r>
      <w:r>
        <w:rPr>
          <w:rStyle w:val="FootnoteAnchor"/>
          <w:rtl w:val="true"/>
        </w:rPr>
        <w:footnoteReference w:id="882"/>
      </w:r>
      <w:r>
        <w:rPr>
          <w:rFonts w:ascii="IRNazanin" w:hAnsi="IRNazanin" w:eastAsia="IRNazanin"/>
          <w:color w:val="111111"/>
          <w:sz w:val="28"/>
          <w:sz w:val="28"/>
          <w:szCs w:val="28"/>
          <w:rtl w:val="true"/>
          <w:lang w:bidi="fa-IR"/>
        </w:rPr>
        <w:t>أنه لا دلیل علی حرمتها،فإنّها لیست إلاّ الحرکة السریعة فی الأعضاء،فلا معنی لحرمتها فی نفسها،إلاّ إذا اقترنت بعناوین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اطلق علیها السحر فی خبر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فی الحاشیة</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فإنّه قد ذکر الإمام علیه السّلام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آخر منه خطفة و سرعة و مخاریق و خفّة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علی سبیل المجازیة،فقد عرفت </w:t>
      </w:r>
      <w:r>
        <w:rPr>
          <w:rStyle w:val="FootnoteAnchor"/>
          <w:rtl w:val="true"/>
        </w:rPr>
        <w:footnoteReference w:id="884"/>
      </w:r>
      <w:r>
        <w:rPr>
          <w:rFonts w:ascii="IRNazanin" w:hAnsi="IRNazanin" w:eastAsia="IRNazanin"/>
          <w:color w:val="111111"/>
          <w:sz w:val="28"/>
          <w:sz w:val="28"/>
          <w:szCs w:val="28"/>
          <w:rtl w:val="true"/>
          <w:lang w:bidi="fa-IR"/>
        </w:rPr>
        <w:t>الفرق بین السحر و الشعوذة،و عدم صدق کل منهما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الخامس الأعمال العجیبة التی تظهر من ترکیب الآلات علی النسب الهندسیة،کراقص یرقص،و کفارسین یقتتلان،و کراکب علی فرسه و فی یده بوق کلّما مضی ساعة من النهار ضرب البوق من غیر أن یمسّه أحد،و من هذا القبیل الصور المصنوعة لأهل الروم و الهند بحیث یراها الناظر إلیها إنسانا علی کیفیات مختلفة ضاحکة و باکیة حتّی یفرق فیها بین ضحک السرور و ضحک الخجل و ضحک الشامت،فهذه الوجوه کلّها من لطائف التخاییل،و کان سحر سحرة فرعون من هذا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أیضا ترکیب صندوق الساعات،و علم جرّ الأثقال و الأجسام العظیمة بآلات خفیفة،و هذا النوع فی الحقیقة لا ینبغی أن یعدّ من السحر،فإنّ لها أسبابا معلومة معیّنة،و من اطّلع علیها قدر علی إیجادها،و حیث لم یصل إلیها إلاّ الفرد النادر لصعوبتها عدّها أهل الظاهر من السحر،انتهی ملخّص کلامه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إیجاد الصنائع المعجبة و ترکیب الامور الغریبة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المعروف</w:t>
      </w:r>
    </w:p>
    <w:p>
      <w:pPr>
        <w:pStyle w:val="BookText"/>
        <w:rPr/>
      </w:pPr>
      <w:r>
        <w:rPr>
          <w:rFonts w:ascii="IRNazanin" w:hAnsi="IRNazanin" w:eastAsia="IRNazanin"/>
          <w:color w:val="111111"/>
          <w:sz w:val="28"/>
          <w:sz w:val="28"/>
          <w:szCs w:val="28"/>
          <w:rtl w:val="true"/>
          <w:lang w:bidi="fa-IR"/>
        </w:rPr>
        <w:t>کثیرا فی العصر الحاضر،کالطائرات و القطارات و السیارات و سائر أدوات النقل و الآلات العجیبة المعدّة للحرب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المحرّمات بعناوینها الأوّلیة،إلاّ إذا انطبقت علیه عناوین محرّمة اخری،و لیس من مقولة السحر کما اعترف به المجلسی و لم یثبت کون سحر سحرة فرعون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السادس من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بخواص الأدویة،مثل أن تجعل فی الطعام بعض الأدویة المبلدة،أو المزیلة للعقل،أو الدخن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عصارة البنج المجعول فی الملبس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سبیل إلی إنکاره،فإنّ أثر المقناطیس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النوع أیضا خارج عن السحر موضوعا و حکما،و إنّما هی أسرار یکتشفها علم الکیمیاء،و قد یستعان بها فی علم الطب،و لو کانت الاستعانة بالأدویة محرّمة للزم القول بحرمة علم الطب،و لم یلتزم به أحد،بل وجوبه من الضروریات عند الملل و عقلاء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السابع من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القلب،و هو أن یدّعی الساحر علم الکیمیاء و علم اللیمیا و الاسم الأعظم،و یدّعی أنّ الجنّ یطیعونه،فإذا کان السامع ضعیف العقل قلیل التمییز اعتقد بذلک و تعلّق قلبه به،و یلزم ذلک أن یحصل فیه الرعب و الخوف،و یفعل فیه الساحر ما یشاء،مع أنّ تلک الدعاوی لیس لها أصل،و من جرّب هذا المعنی و أهله علم أنّ لتعلیق القلب أثرا عظیما من حیث الخوف و الرجاء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لجعله من أقسام السحر،و إنّما هو قسم من الکذب إذا لم یکن له واقع،علی أنّ تعلیق القلب لو کان سحرا لکانت الاستمالة بمطلقها سحرا محرّما،سواء کانت بالامور الواقعیة أم بغیرها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بالنمیمة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 إن کانت محرّمة بالضرورة عند</w:t>
      </w:r>
      <w:bookmarkStart w:id="613" w:name="pg5064_65557"/>
    </w:p>
    <w:p>
      <w:pPr>
        <w:pStyle w:val="BookText"/>
        <w:rPr/>
      </w:pPr>
      <w:bookmarkEnd w:id="613"/>
      <w:r>
        <w:rPr>
          <w:rFonts w:ascii="IRNazanin" w:hAnsi="IRNazanin" w:eastAsia="IRNazanin"/>
          <w:color w:val="111111"/>
          <w:sz w:val="28"/>
          <w:sz w:val="28"/>
          <w:szCs w:val="28"/>
          <w:rtl w:val="true"/>
          <w:lang w:bidi="fa-IR"/>
        </w:rPr>
        <w:t xml:space="preserve">الفریقین،بل عند العقلاء،إلاّ أنّها أجنبیة عن السحر و عن مورد الأخبار الدالّة علی کفر الساحر و وجوب قتله </w:t>
      </w:r>
      <w:r>
        <w:rPr>
          <w:rStyle w:val="FootnoteAnchor"/>
          <w:rtl w:val="true"/>
        </w:rPr>
        <w:footnoteReference w:id="885"/>
      </w:r>
      <w:r>
        <w:rPr>
          <w:rFonts w:ascii="IRNazanin" w:hAnsi="IRNazanin" w:eastAsia="IRNazanin"/>
          <w:color w:val="111111"/>
          <w:sz w:val="28"/>
          <w:sz w:val="28"/>
          <w:szCs w:val="28"/>
          <w:rtl w:val="true"/>
          <w:lang w:bidi="fa-IR"/>
        </w:rPr>
        <w:t>،فإنّ من البدیهی أنّ النّمام لیس بکافر،و لا یجوز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یتحصّل لنا من الأقسام المذکورة ما یکون سحرا و محرّما بعنوانه،فانحصر السحر المحرّم بما ذکرناه،أعنی صرف الشیء عن وجهه علی سبیل الخدعة و التمویه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 هذا هو المورد للأخبار الدالّة علی حرمة السحر</w:t>
      </w:r>
      <w:r>
        <w:rPr>
          <w:rFonts w:eastAsia="IRNazanin" w:cs="IRNazanin"/>
          <w:color w:val="111111"/>
          <w:sz w:val="28"/>
          <w:szCs w:val="28"/>
          <w:rtl w:val="true"/>
          <w:lang w:bidi="fa-IR"/>
        </w:rPr>
        <w:t>.</w:t>
      </w:r>
    </w:p>
    <w:p>
      <w:pPr>
        <w:pStyle w:val="Heading4"/>
        <w:numPr>
          <w:ilvl w:val="3"/>
          <w:numId w:val="1"/>
        </w:numPr>
        <w:rPr/>
      </w:pPr>
      <w:bookmarkStart w:id="614" w:name="__RefHeading___Toc910382_774463916"/>
      <w:bookmarkStart w:id="615" w:name="_Toc225"/>
      <w:bookmarkEnd w:id="614"/>
      <w:r>
        <w:rPr>
          <w:rtl w:val="true"/>
        </w:rPr>
        <w:t>الروایات الدالّة علی کفر الساحر و المراد منها</w:t>
      </w:r>
      <w:bookmarkEnd w:id="615"/>
    </w:p>
    <w:p>
      <w:pPr>
        <w:pStyle w:val="BookText"/>
        <w:rPr/>
      </w:pPr>
      <w:r>
        <w:rPr>
          <w:rFonts w:ascii="IRNazanin" w:hAnsi="IRNazanin" w:eastAsia="IRNazanin"/>
          <w:color w:val="111111"/>
          <w:sz w:val="28"/>
          <w:sz w:val="28"/>
          <w:szCs w:val="28"/>
          <w:rtl w:val="true"/>
          <w:lang w:bidi="fa-IR"/>
        </w:rPr>
        <w:t>ثم إنّه ورد فی جملة من الروایات المتقدّمة ما دلّ علی کفر الساحر،و فی الروایات الاخری المتقدّمة فی الحاشیة أنه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الحکم بالکفر فلا یمکن أن یراد به الکفر المصطلح فی الشریعة المقدّسة ضرورة عدم جریان أحکام الکفر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قسمة الأموال و بینونة زوجته و الحکم بنجاسته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فیشمله ما دلّ علی إسلام من أقرّ بالشهادتین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أنّا لم نر و لم نسمع من یعامل الساحر معاملة الکافر حتّی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ما ذکرناه ما سیأتی </w:t>
      </w:r>
      <w:r>
        <w:rPr>
          <w:rStyle w:val="FootnoteAnchor"/>
          <w:rtl w:val="true"/>
        </w:rPr>
        <w:footnoteReference w:id="886"/>
      </w:r>
      <w:r>
        <w:rPr>
          <w:rFonts w:ascii="IRNazanin" w:hAnsi="IRNazanin" w:eastAsia="IRNazanin"/>
          <w:color w:val="111111"/>
          <w:sz w:val="28"/>
          <w:sz w:val="28"/>
          <w:szCs w:val="28"/>
          <w:rtl w:val="true"/>
          <w:lang w:bidi="fa-IR"/>
        </w:rPr>
        <w:t>فی البحث عن جواز دفع السحر بالسحر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للساحر الذی أخذ السحر صناعة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لا تعقد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السحر موجبا للکفر لحکم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بکفره،و لکن الروایة مجهولة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کان،فما دلّ علی کفر الساحر لا بدّ من حمله إمّا علی مستحل السحر و إمّا علی من یعارض به القرآن و النبوّة،و یدّعی به الرسالة أو الإمامة،أو یدّعی ما لا یقدر علیه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الأخیر ما فی روایة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w:t>
      </w:r>
      <w:bookmarkStart w:id="616" w:name="pg5064_65558"/>
    </w:p>
    <w:p>
      <w:pPr>
        <w:pStyle w:val="BookText"/>
        <w:rPr/>
      </w:pPr>
      <w:bookmarkEnd w:id="616"/>
      <w:r>
        <w:rPr>
          <w:rFonts w:ascii="IRNazanin" w:hAnsi="IRNazanin" w:eastAsia="IRNazanin"/>
          <w:color w:val="111111"/>
          <w:sz w:val="28"/>
          <w:sz w:val="28"/>
          <w:szCs w:val="28"/>
          <w:rtl w:val="true"/>
          <w:lang w:bidi="fa-IR"/>
        </w:rPr>
        <w:t>هاروت و ماروت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تکفر باستعمال هذا السحر،و طلب الإضرار به،و دعاء الناس إلی أن یعتقدوا أنّک تحیی و تمیت،و تفعل ما لا یقدر علیه إلاّ اللّه،فإنّ ذلک کفر</w:t>
      </w:r>
      <w:r>
        <w:rPr>
          <w:rFonts w:eastAsia="IRNazanin" w:cs="IRNazanin"/>
          <w:color w:val="111111"/>
          <w:sz w:val="28"/>
          <w:szCs w:val="28"/>
          <w:rtl w:val="true"/>
          <w:lang w:bidi="fa-IR"/>
        </w:rPr>
        <w:t xml:space="preserve">»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ضعیفة السند،و سنتعرّض لها فی البحث عن جواز دفع السحر بالسحر</w:t>
      </w:r>
      <w:r>
        <w:rPr>
          <w:rFonts w:eastAsia="IRNazanin" w:cs="IRNazanin"/>
          <w:color w:val="111111"/>
          <w:sz w:val="28"/>
          <w:szCs w:val="28"/>
          <w:rtl w:val="true"/>
          <w:lang w:bidi="fa-IR"/>
        </w:rPr>
        <w:t>.</w:t>
      </w:r>
    </w:p>
    <w:p>
      <w:pPr>
        <w:pStyle w:val="Heading4"/>
        <w:numPr>
          <w:ilvl w:val="3"/>
          <w:numId w:val="1"/>
        </w:numPr>
        <w:rPr/>
      </w:pPr>
      <w:bookmarkStart w:id="617" w:name="__RefHeading___Toc910384_774463916"/>
      <w:bookmarkStart w:id="618" w:name="_Toc226"/>
      <w:bookmarkEnd w:id="617"/>
      <w:r>
        <w:rPr>
          <w:rtl w:val="true"/>
        </w:rPr>
        <w:t>ما هو حدّ الساحر؟</w:t>
      </w:r>
      <w:bookmarkEnd w:id="618"/>
    </w:p>
    <w:p>
      <w:pPr>
        <w:pStyle w:val="BookText"/>
        <w:rPr/>
      </w:pPr>
      <w:r>
        <w:rPr>
          <w:rFonts w:ascii="IRNazanin" w:hAnsi="IRNazanin" w:eastAsia="IRNazanin"/>
          <w:color w:val="111111"/>
          <w:sz w:val="28"/>
          <w:sz w:val="28"/>
          <w:szCs w:val="28"/>
          <w:rtl w:val="true"/>
          <w:lang w:bidi="fa-IR"/>
        </w:rPr>
        <w:t>و أمّا الحکم بقتله فهو المشهور بین الأصحاب،بل فی کلمات غیر واحد منهم دعوی الإجماع علیه،من دون فرق بین المستحل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حدود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الساحر إذا کان مسلما،و یعزّر إذا کان کافرا،بلا خلاف فتوی و نصّا،ثم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مقتضی إطلاق النصّ و الفتوی بقتله عدم الفرق فیه بین کونه مستحلا أم لا،و به صرّح بعض الأصحاب،و حکی آخر من متأخّری المتأخّرین قولا بتقییده بالأول،و وجهه غیر واضح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 فی الروایات العدیدة المتقدّمة فی أوّل المسألة أنّ حدّ الساحر هو القتل،إلاّ أنّها روایات ضعیفة </w:t>
      </w:r>
      <w:r>
        <w:rPr>
          <w:rStyle w:val="FootnoteAnchor"/>
          <w:rtl w:val="true"/>
        </w:rPr>
        <w:footnoteReference w:id="889"/>
      </w:r>
      <w:r>
        <w:rPr>
          <w:rFonts w:ascii="IRNazanin" w:hAnsi="IRNazanin" w:eastAsia="IRNazanin"/>
          <w:color w:val="111111"/>
          <w:sz w:val="28"/>
          <w:sz w:val="28"/>
          <w:szCs w:val="28"/>
          <w:rtl w:val="true"/>
          <w:lang w:bidi="fa-IR"/>
        </w:rPr>
        <w:t>،و غیر منجبرة بالشهرة الفتوائیة،فقد عرفت مرارا أنّها لا تجبر ضعف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تمّ الإجماع و التسالم علی ذلک اخذ به و إلاّ فعمومات ما دلّ علی حرمة قتل النفس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الساحر مستحلا للسحر،أو کان یعارض به بعض المناصب الإلهیة وجب قتله،إلاّ أنّ القتل لم یجب علیه بما أنّه ساحر،بل بما أنّه منکر لما هو من ضروریات الإسلام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قد ذکر فیما ذکره 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تقدّم أنّ</w:t>
      </w:r>
    </w:p>
    <w:p>
      <w:pPr>
        <w:pStyle w:val="BookText"/>
        <w:rPr/>
      </w:pPr>
      <w:r>
        <w:rPr>
          <w:rFonts w:ascii="IRNazanin" w:hAnsi="IRNazanin" w:eastAsia="IRNazanin"/>
          <w:color w:val="111111"/>
          <w:sz w:val="28"/>
          <w:sz w:val="28"/>
          <w:szCs w:val="28"/>
          <w:rtl w:val="true"/>
          <w:lang w:bidi="fa-IR"/>
        </w:rPr>
        <w:t>إطلاق السحر علی بعض الامور المذکورة فی خبر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کالسرعة و الخفّة و 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بنحو من العنایة و المجاز،علی أنّ الروایة ضعیفة السند،و غیر منجبرة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الأقسام الأربعة المتقدّمة من الإیضاح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محکی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استحداث الخوارق إمّا بمجرد التأثیرات النفسانیة و هو السحر،أو بالاستعانة بالفلکیات فقط و هو دعوة الکواکب،أو بتمزیج القوی السماویة بالقوی الأرضیة و هی الطلسمات،أو علی سبیل الاستعانة بالأرواح الساذجة و هی العزائم،و یدخل فیه النیرنجات،و الکل حرام فی شریعة الإسلام،و مستحلّه کافر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المصنّف فی 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 بدخولها فی السحر عند أهل الشرع،فتشملها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فخر الدین فی الإیضاح کون حرمتها من ضروریات الدین و هذا الوجه یوجب الاطمئنان بالحکم،و باتّفاق العلماء علیه فی جمیع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حجّیة فی شهادة المجلسی،لاستناده إلی اجتهاده،و قد اعترف به المصنّف أیضا فیما سیأتی،فقد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الظاهر استناد شهادتهم إلی الاجتهاد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نجد فی کلام المجلسی شهادة علی کون الأقسام المذکورة من السحر عند عرف الشارع،فإنّه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السحر فی عرف الشرع مختص بکل</w:t>
      </w:r>
    </w:p>
    <w:p>
      <w:pPr>
        <w:pStyle w:val="BookText"/>
        <w:rPr/>
      </w:pPr>
      <w:r>
        <w:rPr>
          <w:rFonts w:ascii="IRNazanin" w:hAnsi="IRNazanin" w:eastAsia="IRNazanin"/>
          <w:color w:val="111111"/>
          <w:sz w:val="28"/>
          <w:sz w:val="28"/>
          <w:szCs w:val="28"/>
          <w:rtl w:val="true"/>
          <w:lang w:bidi="fa-IR"/>
        </w:rPr>
        <w:t xml:space="preserve">أمر مخفی سببه،و یتخیّل علی غیر حقیقته،و یجری مجری التمویه و الخداع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الأنواع المتقدّمة،و أی شهادة فی ذلک علی مقصود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خروج کثیر من الأقسام المزبورة بل کلّها عن حقیقة السحر،بل یکفی الشک فی منع شمول الإطلاقات لها،لعدم جواز التمسّک بها عند الشک فی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المصنّف فیما سیأتی من معارضة شهادة المجلسی بما ذکره الفخر </w:t>
      </w:r>
      <w:r>
        <w:rPr>
          <w:rStyle w:val="FootnoteAnchor"/>
          <w:rtl w:val="true"/>
        </w:rPr>
        <w:footnoteReference w:id="893"/>
      </w:r>
      <w:r>
        <w:rPr>
          <w:rFonts w:ascii="IRNazanin" w:hAnsi="IRNazanin" w:eastAsia="IRNazanin"/>
          <w:color w:val="111111"/>
          <w:sz w:val="28"/>
          <w:sz w:val="28"/>
          <w:szCs w:val="28"/>
          <w:rtl w:val="true"/>
          <w:lang w:bidi="fa-IR"/>
        </w:rPr>
        <w:t xml:space="preserve">من إخراج علمی الخواص و الحیل من السحر،و بما ذکره صاحب المسالک </w:t>
      </w:r>
      <w:r>
        <w:rPr>
          <w:rStyle w:val="FootnoteAnchor"/>
          <w:rtl w:val="true"/>
        </w:rPr>
        <w:footnoteReference w:id="894"/>
      </w:r>
      <w:r>
        <w:rPr>
          <w:rFonts w:ascii="IRNazanin" w:hAnsi="IRNazanin" w:eastAsia="IRNazanin"/>
          <w:color w:val="111111"/>
          <w:sz w:val="28"/>
          <w:sz w:val="28"/>
          <w:szCs w:val="28"/>
          <w:rtl w:val="true"/>
          <w:lang w:bidi="fa-IR"/>
        </w:rPr>
        <w:t xml:space="preserve">و غیره من تخصیصهم السحر بما یحدث ضررا،و بما ذکره العلاّمة </w:t>
      </w:r>
      <w:r>
        <w:rPr>
          <w:rStyle w:val="FootnoteAnchor"/>
          <w:rtl w:val="true"/>
        </w:rPr>
        <w:footnoteReference w:id="895"/>
      </w:r>
      <w:r>
        <w:rPr>
          <w:rFonts w:ascii="IRNazanin" w:hAnsi="IRNazanin" w:eastAsia="IRNazanin"/>
          <w:color w:val="111111"/>
          <w:sz w:val="28"/>
          <w:sz w:val="28"/>
          <w:szCs w:val="28"/>
          <w:rtl w:val="true"/>
          <w:lang w:bidi="fa-IR"/>
        </w:rPr>
        <w:t>من تخصیصه السحر بما یؤثّر فی بدن المسحور أو قلبه أو عقله،و هذه الشهادات من هؤلاء الأعیان تکشف عن عدم العموم فی لفظ السحر لجمیع ما تقدّم،و عن کون الإطلاق فی جملة منها مجازا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الجواب عن الوجه الثانی أیضا،علی أنّ الدعوی المذکورة لا توجب الاطمئنان بالحکم إلاّ فی المورد المتیقّن،کالإضرار بالمسحور فی عقله أو بدنه أو ماله أو ما یرجع إلیه من شؤونه،و أمّا فی غیر الموارد المتیقّنة فإنّه لا دلیل علی حرمة الاستعانة بالامور المتقدّمة،بل ربما تکون مطلوبة لإبطال سحر مدّعی النبوّة و الإمامة،و مع الشکّ فیه فأصالة البراءة محکمة</w:t>
      </w:r>
      <w:r>
        <w:rPr>
          <w:rFonts w:eastAsia="IRNazanin" w:cs="IRNazanin"/>
          <w:color w:val="111111"/>
          <w:sz w:val="28"/>
          <w:szCs w:val="28"/>
          <w:rtl w:val="true"/>
          <w:lang w:bidi="fa-IR"/>
        </w:rPr>
        <w:t>.</w:t>
      </w:r>
      <w:bookmarkStart w:id="619" w:name="pg5064_65561"/>
    </w:p>
    <w:p>
      <w:pPr>
        <w:pStyle w:val="Heading4"/>
        <w:numPr>
          <w:ilvl w:val="3"/>
          <w:numId w:val="1"/>
        </w:numPr>
        <w:rPr/>
      </w:pPr>
      <w:bookmarkStart w:id="620" w:name="__RefHeading___Toc910386_774463916"/>
      <w:bookmarkStart w:id="621" w:name="_Toc227"/>
      <w:bookmarkEnd w:id="619"/>
      <w:bookmarkEnd w:id="620"/>
      <w:r>
        <w:rPr>
          <w:rtl w:val="true"/>
        </w:rPr>
        <w:t>عدم اختصاص حرمة السحر بالمضرّ منه</w:t>
      </w:r>
      <w:bookmarkEnd w:id="621"/>
    </w:p>
    <w:p>
      <w:pPr>
        <w:pStyle w:val="BookText"/>
        <w:rPr/>
      </w:pPr>
      <w:r>
        <w:rPr>
          <w:rFonts w:ascii="IRNazanin" w:hAnsi="IRNazanin" w:eastAsia="IRNazanin"/>
          <w:color w:val="111111"/>
          <w:sz w:val="28"/>
          <w:sz w:val="28"/>
          <w:szCs w:val="28"/>
          <w:rtl w:val="true"/>
          <w:lang w:bidi="fa-IR"/>
        </w:rPr>
        <w:t xml:space="preserve">هل تختص حرمة السحر بالمضرّ منه أو تعم غیر المضرّ أیضا؟فیه خلاف فالمحکی عن الشهیدین فی الدروس </w:t>
      </w:r>
      <w:r>
        <w:rPr>
          <w:rStyle w:val="FootnoteAnchor"/>
          <w:rtl w:val="true"/>
        </w:rPr>
        <w:footnoteReference w:id="896"/>
      </w:r>
      <w:r>
        <w:rPr>
          <w:rFonts w:ascii="IRNazanin" w:hAnsi="IRNazanin" w:eastAsia="IRNazanin"/>
          <w:color w:val="111111"/>
          <w:sz w:val="28"/>
          <w:sz w:val="28"/>
          <w:szCs w:val="28"/>
          <w:rtl w:val="true"/>
          <w:lang w:bidi="fa-IR"/>
        </w:rPr>
        <w:t xml:space="preserve">و المسالک </w:t>
      </w:r>
      <w:r>
        <w:rPr>
          <w:rStyle w:val="FootnoteAnchor"/>
          <w:rtl w:val="true"/>
        </w:rPr>
        <w:footnoteReference w:id="897"/>
      </w:r>
      <w:r>
        <w:rPr>
          <w:rFonts w:ascii="IRNazanin" w:hAnsi="IRNazanin" w:eastAsia="IRNazanin"/>
          <w:color w:val="111111"/>
          <w:sz w:val="28"/>
          <w:sz w:val="28"/>
          <w:szCs w:val="28"/>
          <w:rtl w:val="true"/>
          <w:lang w:bidi="fa-IR"/>
        </w:rPr>
        <w:t>أنّ المعتبر فی السحر الإضرار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شارح النخبة </w:t>
      </w:r>
      <w:r>
        <w:rPr>
          <w:rStyle w:val="FootnoteAnchor"/>
          <w:rtl w:val="true"/>
        </w:rPr>
        <w:footnoteReference w:id="898"/>
      </w:r>
      <w:r>
        <w:rPr>
          <w:rFonts w:ascii="IRNazanin" w:hAnsi="IRNazanin" w:eastAsia="IRNazanin"/>
          <w:color w:val="111111"/>
          <w:sz w:val="28"/>
          <w:sz w:val="28"/>
          <w:szCs w:val="28"/>
          <w:rtl w:val="true"/>
          <w:lang w:bidi="fa-IR"/>
        </w:rPr>
        <w:t>أنّ ما کان من الطلسمات مشتملا علی إضرار أو تمویه علی المسلمین أو الاستهانة بشیء من حرمات اللّه فهو حرام،سواء عدّ من السحر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جملة من الأکابر أنّه حرام مطلقا،سواء أکان مضرّا أم لا،تمسّکا بظاهر الإطلاقات المتقدّمة،و من هنا ظهر أنه لا وجه لتقیید السحر بما کان مؤثّرا فی بدن المسحور أو عقله أو قلبه من غیر مباشرة،کما عرفته عن العلاّمة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اختصاص حرمة السحر بالمضرّ منه ببعض الروایات الواردة فی قصة هاروت و ماروت،و سیأتی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تنافی بینها و بین المطلقات الدالّة علی حرمة السحر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إحداث حبّ مفرط فی الشخص یعدّ سحرا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فیه ما ورد فی بعض الأحادیث </w:t>
      </w:r>
      <w:r>
        <w:rPr>
          <w:rStyle w:val="FootnoteAnchor"/>
          <w:rtl w:val="true"/>
        </w:rPr>
        <w:footnoteReference w:id="899"/>
      </w:r>
      <w:r>
        <w:rPr>
          <w:rFonts w:ascii="IRNazanin" w:hAnsi="IRNazanin" w:eastAsia="IRNazanin"/>
          <w:color w:val="111111"/>
          <w:sz w:val="28"/>
          <w:sz w:val="28"/>
          <w:szCs w:val="28"/>
          <w:rtl w:val="true"/>
          <w:lang w:bidi="fa-IR"/>
        </w:rPr>
        <w:t>من تشدید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bookmarkStart w:id="622" w:name="pg5064_65562"/>
    </w:p>
    <w:p>
      <w:pPr>
        <w:pStyle w:val="BookText"/>
        <w:rPr/>
      </w:pPr>
      <w:bookmarkEnd w:id="622"/>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المرأة التی صنعت ذلک لزوجها،و استقباله إیّاها باللعن و التوبیخ و حکمه علیها بعدم قبول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الروایة ما یدلّ علی کون المصنوع سحرا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بها یقتضی حرمة إدخال الزوجة حبّها فی قلب الزوج و إن کان ذلک بالأخلاق الحسنة و الأفعال المرضیة،مع أنّه مطلوب فی الشریعة المقدّسة و قد أمر به فی الأخبار المتظافرة،بل المتواترة المذکورة فی أبواب مقدّمات النکاح و علیه فلا بدّ من حمل الروایة علی کون المصنوع أمرا غیر مشروع یوجب تکدّر البحار و الطین،و استحقاق المرأة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مخالفة للقواعد،فإنّها مشتملة علی عدم قبول التوبة من المرأة التی صنعت لزوجها شیئا یوجب المحبّة و العطف،مع أنّ الثابت فی الإسلام جواز توبة المرأة المرتدّة،سواء أکانت فطریة أم ملّیة،و من المقطوع به أنّ سحرها لا یزید علی الارتداد،و یضاف إلی جمیع ما ذکرناه أنّ الروایة ضعیفة السند</w:t>
      </w:r>
      <w:r>
        <w:rPr>
          <w:rFonts w:eastAsia="IRNazanin" w:cs="IRNazanin"/>
          <w:color w:val="111111"/>
          <w:sz w:val="28"/>
          <w:szCs w:val="28"/>
          <w:rtl w:val="true"/>
          <w:lang w:bidi="fa-IR"/>
        </w:rPr>
        <w:t>.</w:t>
      </w:r>
    </w:p>
    <w:p>
      <w:pPr>
        <w:pStyle w:val="Heading4"/>
        <w:numPr>
          <w:ilvl w:val="3"/>
          <w:numId w:val="1"/>
        </w:numPr>
        <w:rPr/>
      </w:pPr>
      <w:bookmarkStart w:id="623" w:name="__RefHeading___Toc910388_774463916"/>
      <w:bookmarkStart w:id="624" w:name="_Toc228"/>
      <w:bookmarkEnd w:id="623"/>
      <w:r>
        <w:rPr>
          <w:rtl w:val="true"/>
        </w:rPr>
        <w:t>جواز دفع ضرر السحر بالسحر</w:t>
      </w:r>
      <w:bookmarkEnd w:id="62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 جواز دفع ضرر السحر بالسحر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یستدلّ علی</w:t>
      </w:r>
    </w:p>
    <w:p>
      <w:pPr>
        <w:pStyle w:val="BookText"/>
        <w:rPr/>
      </w:pPr>
      <w:r>
        <w:rPr>
          <w:rFonts w:ascii="IRNazanin" w:hAnsi="IRNazanin" w:eastAsia="IRNazanin"/>
          <w:color w:val="111111"/>
          <w:sz w:val="28"/>
          <w:sz w:val="28"/>
          <w:szCs w:val="28"/>
          <w:rtl w:val="true"/>
          <w:lang w:bidi="fa-IR"/>
        </w:rPr>
        <w:t xml:space="preserve">الجواز بالروایات الواردة فی قصّة هاروت و ماروت و غیرها </w:t>
      </w:r>
      <w:r>
        <w:rPr>
          <w:rStyle w:val="FootnoteAnchor"/>
          <w:rtl w:val="true"/>
        </w:rPr>
        <w:footnoteReference w:id="900"/>
      </w:r>
      <w:r>
        <w:rPr>
          <w:rFonts w:ascii="IRNazanin" w:hAnsi="IRNazanin" w:eastAsia="IRNazanin"/>
          <w:color w:val="111111"/>
          <w:sz w:val="28"/>
          <w:sz w:val="28"/>
          <w:szCs w:val="28"/>
          <w:rtl w:val="true"/>
          <w:lang w:bidi="fa-IR"/>
        </w:rPr>
        <w:t>،فإنّها تدل علی جواز دفع ضرر السحر بالسحر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 إن کانت ظاهرة الدلالة علی ذلک،و لکنّها ضعیفة السند،فلا یمکن الاستناد إلیها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الاستدلال علی الجواز بالآیة الواردة فی قصّة هاروت و ماروت </w:t>
      </w:r>
      <w:r>
        <w:rPr>
          <w:rStyle w:val="FootnoteAnchor"/>
          <w:rtl w:val="true"/>
        </w:rPr>
        <w:footnoteReference w:id="901"/>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السحر لو لم یکن جائز الاستعمال حتّی فی مقام دفع الضرر لم یجز تعلیمه أصلا،فجواز التعلیم یدلّ علی جواز العمل به فی الجملة،و القدر المتیقّن منه هو</w:t>
      </w:r>
      <w:bookmarkStart w:id="625" w:name="pg5064_65564"/>
    </w:p>
    <w:p>
      <w:pPr>
        <w:pStyle w:val="BookText"/>
        <w:rPr/>
      </w:pPr>
      <w:bookmarkEnd w:id="625"/>
      <w:r>
        <w:rPr>
          <w:rFonts w:ascii="Amiri" w:hAnsi="Amiri" w:eastAsia="Amiri" w:cs="Amiri"/>
          <w:color w:val="111111"/>
          <w:sz w:val="28"/>
          <w:sz w:val="28"/>
          <w:szCs w:val="28"/>
          <w:rtl w:val="true"/>
          <w:lang w:bidi="ar-SA"/>
        </w:rPr>
        <w:t>صورة دفع ضرر الساحر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کان،فلا ریب فی أنّه قد یجب إذا توقّفت علیه مصلحة ملزمة،کما إذا ادّعی الساحر منصبا من المناصب الإلهیة،کالنبوّة و الإمامة</w:t>
      </w:r>
      <w:r>
        <w:rPr>
          <w:rFonts w:eastAsia="IRNazanin" w:cs="IRNazanin"/>
          <w:color w:val="111111"/>
          <w:sz w:val="28"/>
          <w:szCs w:val="28"/>
          <w:rtl w:val="true"/>
          <w:lang w:bidi="fa-IR"/>
        </w:rPr>
        <w:t>.</w:t>
      </w:r>
    </w:p>
    <w:p>
      <w:pPr>
        <w:pStyle w:val="Heading4"/>
        <w:numPr>
          <w:ilvl w:val="3"/>
          <w:numId w:val="1"/>
        </w:numPr>
        <w:rPr/>
      </w:pPr>
      <w:bookmarkStart w:id="626" w:name="__RefHeading___Toc910390_774463916"/>
      <w:bookmarkStart w:id="627" w:name="_Toc229"/>
      <w:bookmarkEnd w:id="626"/>
      <w:r>
        <w:rPr>
          <w:rtl w:val="true"/>
        </w:rPr>
        <w:t>التسخیر لیس من السحر</w:t>
      </w:r>
      <w:bookmarkEnd w:id="627"/>
    </w:p>
    <w:p>
      <w:pPr>
        <w:pStyle w:val="BookText"/>
        <w:rPr/>
      </w:pPr>
      <w:r>
        <w:rPr>
          <w:rFonts w:ascii="IRNazanin" w:hAnsi="IRNazanin" w:eastAsia="IRNazanin"/>
          <w:color w:val="111111"/>
          <w:sz w:val="28"/>
          <w:sz w:val="28"/>
          <w:szCs w:val="28"/>
          <w:rtl w:val="true"/>
          <w:lang w:bidi="fa-IR"/>
        </w:rPr>
        <w:t xml:space="preserve">و قد یقال بأنّ من السحر التسخیرات بأقسامها حتّی تسخیر الحیوانات بدعوی أنّ تعاریف السحر صادقة علیها،حتّی أنّ الشهیدین </w:t>
      </w:r>
      <w:r>
        <w:rPr>
          <w:rStyle w:val="FootnoteAnchor"/>
          <w:rtl w:val="true"/>
        </w:rPr>
        <w:footnoteReference w:id="902"/>
      </w:r>
      <w:r>
        <w:rPr>
          <w:rFonts w:ascii="IRNazanin" w:hAnsi="IRNazanin" w:eastAsia="IRNazanin"/>
          <w:color w:val="111111"/>
          <w:sz w:val="28"/>
          <w:sz w:val="28"/>
          <w:szCs w:val="28"/>
          <w:rtl w:val="true"/>
          <w:lang w:bidi="fa-IR"/>
        </w:rPr>
        <w:t>مع أخذهما الإضرار فی تحریم السحر ذکرا أنّ استخدام الملائکة و الجن من السحر،و علیه فتشملها الإطلاقات المتقدّمة الدالّة علی حرمة السحر بجمیع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قد عرفت </w:t>
      </w:r>
      <w:r>
        <w:rPr>
          <w:rStyle w:val="FootnoteAnchor"/>
          <w:rtl w:val="true"/>
        </w:rPr>
        <w:footnoteReference w:id="903"/>
      </w:r>
      <w:r>
        <w:rPr>
          <w:rFonts w:ascii="IRNazanin" w:hAnsi="IRNazanin" w:eastAsia="IRNazanin"/>
          <w:color w:val="111111"/>
          <w:sz w:val="28"/>
          <w:sz w:val="28"/>
          <w:szCs w:val="28"/>
          <w:rtl w:val="true"/>
          <w:lang w:bidi="fa-IR"/>
        </w:rPr>
        <w:t>خروج الاستعانة بالأرواح الأرضیة و استخدام الجن من السحر موضوعا و حکما،و حینئذ فإن انطبق علی ذلک شیء من العناوین المحرّمة حکم علیه بالحرمة لتلک الجهة المحرّمة،لا لکونه سحرا،کما إذا اشتملت التسخیرات علی المقدّمات المحرّمة،أو کان المسخّر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لعمله ذلک معرضا للتضرّر أو التلف أو الجنون،أو لارتکاب شیء آخر من الامور غیر المشروعة،أو کان المسخّر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 من الإنس أو ملکا،و کان التسخیر ظلما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انتفاء العناوین المحرّمة فلا وجه للحرمة،کتسخیر الکفّار من الإنس و الجنّ،و إن اشتمل ذلک علی إیذائهم،و إلاّ لما جاز قتل الکفّار،و أخذ الجزیة منهم و هم صاغرون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یجوز تسخیر الحیوانات مطلقا،خصوصا المؤذیات منها کالعقارب</w:t>
      </w:r>
      <w:bookmarkStart w:id="628" w:name="pg5064_65565"/>
    </w:p>
    <w:p>
      <w:pPr>
        <w:pStyle w:val="BookText"/>
        <w:rPr/>
      </w:pPr>
      <w:bookmarkEnd w:id="628"/>
      <w:r>
        <w:rPr>
          <w:rFonts w:ascii="IRNazanin" w:hAnsi="IRNazanin" w:eastAsia="IRNazanin"/>
          <w:color w:val="111111"/>
          <w:sz w:val="28"/>
          <w:sz w:val="28"/>
          <w:szCs w:val="28"/>
          <w:rtl w:val="true"/>
          <w:lang w:bidi="fa-IR"/>
        </w:rPr>
        <w:t>و الحیّات و السباع،و إلاّ لما جاز استخدام الحمولة،و قتل المؤذیات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أجاد المحقّق الإیروانی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فالأمر فی تسخیر الحیوانات أوضح،فهل یمکن الالتزام بجواز تسخیر الحیوانات بالقهر و الغلبة و الضرب،و مع ذلک لا یجوز تسخیرها بما یوجب دخولها تحت الخدمة طوعا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910392_774463916"/>
      <w:bookmarkStart w:id="630" w:name="_Toc230"/>
      <w:bookmarkEnd w:id="629"/>
      <w:r>
        <w:rPr>
          <w:rtl w:val="true"/>
        </w:rPr>
        <w:t>الشعوذة</w:t>
      </w:r>
      <w:bookmarkEnd w:id="63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الشعبذة حرام بلا خلاف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الشعوذة </w:t>
      </w:r>
      <w:r>
        <w:rPr>
          <w:rStyle w:val="FootnoteAnchor"/>
          <w:rtl w:val="true"/>
        </w:rPr>
        <w:footnoteReference w:id="906"/>
      </w:r>
      <w:r>
        <w:rPr>
          <w:rFonts w:ascii="IRNazanin" w:hAnsi="IRNazanin" w:eastAsia="IRNazanin"/>
          <w:color w:val="111111"/>
          <w:sz w:val="28"/>
          <w:sz w:val="28"/>
          <w:szCs w:val="28"/>
          <w:rtl w:val="true"/>
          <w:lang w:bidi="fa-IR"/>
        </w:rPr>
        <w:t>هی اللعبة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الخفّة فی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عنها فی لغة الفرس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 یترتّب علی الشعوذة فهو أمر واقعی،فإنّ المشعوذ یفعل ما یفعله سائر الناس من الامور العادیة،إلاّ أنّه یشغل أذهان</w:t>
      </w:r>
    </w:p>
    <w:p>
      <w:pPr>
        <w:pStyle w:val="BookText"/>
        <w:rPr/>
      </w:pPr>
      <w:r>
        <w:rPr>
          <w:rFonts w:ascii="IRNazanin" w:hAnsi="IRNazanin" w:eastAsia="IRNazanin"/>
          <w:color w:val="111111"/>
          <w:sz w:val="28"/>
          <w:sz w:val="28"/>
          <w:szCs w:val="28"/>
          <w:rtl w:val="true"/>
          <w:lang w:bidi="fa-IR"/>
        </w:rPr>
        <w:t xml:space="preserve">الناظرین بسرعة حرکته و خفّة یده بحیث یتعجّبون من أفعاله،من غیر أن تکون تلک الأفعال الصادرة منه خیالیة محضة کما فی السحر،أو غیر جاریة علی السیر الطبیعی کما فی المعجزات،علی ما عرفت من التفرقة بینها و بین السحر و المعجزة فی المسألة السابقة </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تکون الشعوذة أعم من السحر،و یظهر ذلک من ملاحظة ما ذکره بعض اللغویین مع ملاحظة ما ذکرناه فی معنی الشعوذة بحسب المتفاهم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هو ما ذکرناه من المباینة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الشعوذة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هنا إجماع تعبّدی،لاحتمال استناده إلی سائر الوجوه المذکورة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اللهو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ممنوع صغری و کبری،أمّا الوجه فی منع الصغری فلأنّا لا نسلّم کونها من اللهو و الباطل إذا ترتّب علیها غرض عقلائی و أمّا الوجه فی منع الکبری فلأنّه لا دلیل علی حرمتهما علی الإطلاق،بل الحرام منهما هو القسم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آخر منه خطفة و سرعة و مخاریق و خفّة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ضعیف السند،و غیر منجبر بشیء،و قد تقدّم ذلک آنفا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جبره بالإجماع المحکی فإنّ الإجماع إن کان حجّة فی نفسه لزم اتّباعه لذلک،و إلاّ فإنّ ضمّ غیر الحجّة إلی مثله لا یفید الاعتبار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بعض تعاریف السحر علی الشعوذة،فتکون مشمولة لما دلّ</w:t>
      </w:r>
      <w:bookmarkStart w:id="631" w:name="pg5064_65567"/>
    </w:p>
    <w:p>
      <w:pPr>
        <w:pStyle w:val="BookText"/>
        <w:rPr/>
      </w:pPr>
      <w:bookmarkEnd w:id="631"/>
      <w:r>
        <w:rPr>
          <w:rFonts w:ascii="IRNazanin" w:hAnsi="IRNazanin" w:eastAsia="IRNazanin"/>
          <w:color w:val="111111"/>
          <w:sz w:val="28"/>
          <w:sz w:val="28"/>
          <w:szCs w:val="28"/>
          <w:rtl w:val="true"/>
          <w:lang w:bidi="fa-IR"/>
        </w:rPr>
        <w:t>علی حرمة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قد عرفت </w:t>
      </w:r>
      <w:r>
        <w:rPr>
          <w:rStyle w:val="FootnoteAnchor"/>
          <w:rtl w:val="true"/>
        </w:rPr>
        <w:footnoteReference w:id="909"/>
      </w:r>
      <w:r>
        <w:rPr>
          <w:rFonts w:ascii="IRNazanin" w:hAnsi="IRNazanin" w:eastAsia="IRNazanin"/>
          <w:color w:val="111111"/>
          <w:sz w:val="28"/>
          <w:sz w:val="28"/>
          <w:szCs w:val="28"/>
          <w:rtl w:val="true"/>
          <w:lang w:bidi="fa-IR"/>
        </w:rPr>
        <w:t>خروجها عن حدود السحر موضوعا و عدم صدقه علیها</w:t>
      </w:r>
      <w:r>
        <w:rPr>
          <w:rFonts w:eastAsia="IRNazanin" w:cs="IRNazanin"/>
          <w:color w:val="111111"/>
          <w:sz w:val="28"/>
          <w:szCs w:val="28"/>
          <w:rtl w:val="true"/>
          <w:lang w:bidi="fa-IR"/>
        </w:rPr>
        <w:t>.</w:t>
      </w:r>
    </w:p>
    <w:p>
      <w:pPr>
        <w:pStyle w:val="Heading3"/>
        <w:numPr>
          <w:ilvl w:val="2"/>
          <w:numId w:val="1"/>
        </w:numPr>
        <w:rPr/>
      </w:pPr>
      <w:bookmarkStart w:id="632" w:name="__RefHeading___Toc910394_774463916"/>
      <w:bookmarkStart w:id="633" w:name="_Toc231"/>
      <w:bookmarkEnd w:id="632"/>
      <w:r>
        <w:rPr>
          <w:rtl w:val="true"/>
        </w:rPr>
        <w:t>الغشّ حرام</w:t>
      </w:r>
      <w:bookmarkEnd w:id="633"/>
    </w:p>
    <w:p>
      <w:pPr>
        <w:pStyle w:val="Heading4"/>
        <w:numPr>
          <w:ilvl w:val="3"/>
          <w:numId w:val="1"/>
        </w:numPr>
        <w:rPr/>
      </w:pPr>
      <w:bookmarkStart w:id="634" w:name="__RefHeading___Toc910396_774463916"/>
      <w:bookmarkStart w:id="635" w:name="_Toc232"/>
      <w:bookmarkEnd w:id="634"/>
      <w:r>
        <w:rPr>
          <w:rtl w:val="true"/>
        </w:rPr>
        <w:t>اشارة</w:t>
      </w:r>
      <w:bookmarkEnd w:id="63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الغشّ حرام بلا خلاف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شبهة فی حرمة غشّ المسلم فی الجملة،بلا خلاف بین الشیعة و أهل السنّة </w:t>
      </w:r>
      <w:r>
        <w:rPr>
          <w:rStyle w:val="FootnoteAnchor"/>
          <w:rtl w:val="true"/>
        </w:rPr>
        <w:footnoteReference w:id="911"/>
      </w:r>
      <w:r>
        <w:rPr>
          <w:rFonts w:ascii="IRNazanin" w:hAnsi="IRNazanin" w:eastAsia="IRNazanin"/>
          <w:color w:val="111111"/>
          <w:sz w:val="28"/>
          <w:sz w:val="28"/>
          <w:szCs w:val="28"/>
          <w:rtl w:val="true"/>
          <w:lang w:bidi="fa-IR"/>
        </w:rPr>
        <w:t xml:space="preserve">لتواتر الروایات من طرقنا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و من طرق العامّة </w:t>
      </w:r>
      <w:r>
        <w:rPr>
          <w:rStyle w:val="FootnoteAnchor"/>
          <w:rtl w:val="true"/>
        </w:rPr>
        <w:footnoteReference w:id="913"/>
      </w:r>
      <w:r>
        <w:rPr>
          <w:rFonts w:ascii="IRNazanin" w:hAnsi="IRNazanin" w:eastAsia="IRNazanin"/>
          <w:color w:val="111111"/>
          <w:sz w:val="28"/>
          <w:sz w:val="28"/>
          <w:szCs w:val="28"/>
          <w:rtl w:val="true"/>
          <w:lang w:bidi="fa-IR"/>
        </w:rPr>
        <w:t>بل هی من ضروریات مذهب المسلمین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من المحقّق الإیروانی </w:t>
      </w:r>
      <w:r>
        <w:rPr>
          <w:rStyle w:val="FootnoteAnchor"/>
          <w:rtl w:val="true"/>
        </w:rPr>
        <w:footnoteReference w:id="914"/>
      </w:r>
      <w:r>
        <w:rPr>
          <w:rFonts w:ascii="IRNazanin" w:hAnsi="IRNazanin" w:eastAsia="IRNazanin"/>
          <w:color w:val="111111"/>
          <w:sz w:val="28"/>
          <w:sz w:val="28"/>
          <w:szCs w:val="28"/>
          <w:rtl w:val="true"/>
          <w:lang w:bidi="fa-IR"/>
        </w:rPr>
        <w:t>حیث ألغی عنوان الغشّ عن الموضوعیة و التزم بحرمته للعناوین الثانویة من الکذب و أکل أموال الناس بلا رضی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الروایات حجّة علیه،لظهورها فی حرمة الغشّ فی نفسه،فإذا تحقّق موضوعه فی مورد ترتّب علیه حکمه،کسائر القضایا الحقیقیة،و سیأتی أنّ موضوع الغشّ أمر عرفی</w:t>
      </w:r>
      <w:r>
        <w:rPr>
          <w:rFonts w:eastAsia="IRNazanin" w:cs="IRNazanin"/>
          <w:color w:val="111111"/>
          <w:sz w:val="28"/>
          <w:szCs w:val="28"/>
          <w:rtl w:val="true"/>
          <w:lang w:bidi="fa-IR"/>
        </w:rPr>
        <w:t>.</w:t>
      </w:r>
      <w:bookmarkStart w:id="636" w:name="pg5064_65569"/>
    </w:p>
    <w:p>
      <w:pPr>
        <w:pStyle w:val="BookText"/>
        <w:rPr/>
      </w:pPr>
      <w:bookmarkEnd w:id="636"/>
      <w:r>
        <w:rPr>
          <w:rFonts w:ascii="IRNazanin" w:hAnsi="IRNazanin" w:eastAsia="IRNazanin"/>
          <w:color w:val="111111"/>
          <w:sz w:val="28"/>
          <w:sz w:val="28"/>
          <w:szCs w:val="28"/>
          <w:rtl w:val="true"/>
          <w:lang w:bidi="fa-IR"/>
        </w:rPr>
        <w:t>و قد ظهر أنه لا وجه لما ارتکبه المحقّق المذکور من السبر و التقسیم فی نفی موضوعیة الغشّ بدعوی أنّه لا دلیل علی حرمة شوب اللبن بالماء و لا علی حرمة عرض المشوب للبیع،و لا علی حرمة مجرّد الإنشاء،فتعیّن أن یکون الغشّ المحرّم أخذ قیمة غیر المغشوش بازاء المغشوش</w:t>
      </w:r>
      <w:r>
        <w:rPr>
          <w:rFonts w:eastAsia="IRNazanin" w:cs="IRNazanin"/>
          <w:color w:val="111111"/>
          <w:sz w:val="28"/>
          <w:szCs w:val="28"/>
          <w:rtl w:val="true"/>
          <w:lang w:bidi="fa-IR"/>
        </w:rPr>
        <w:t>.</w:t>
      </w:r>
    </w:p>
    <w:p>
      <w:pPr>
        <w:pStyle w:val="Heading4"/>
        <w:numPr>
          <w:ilvl w:val="3"/>
          <w:numId w:val="1"/>
        </w:numPr>
        <w:rPr/>
      </w:pPr>
      <w:bookmarkStart w:id="637" w:name="__RefHeading___Toc910398_774463916"/>
      <w:bookmarkStart w:id="638" w:name="_Toc233"/>
      <w:bookmarkEnd w:id="637"/>
      <w:r>
        <w:rPr>
          <w:rtl w:val="true"/>
        </w:rPr>
        <w:t>موضوع الغشّ</w:t>
      </w:r>
      <w:bookmarkEnd w:id="638"/>
    </w:p>
    <w:p>
      <w:pPr>
        <w:pStyle w:val="BookText"/>
        <w:rPr/>
      </w:pPr>
      <w:r>
        <w:rPr>
          <w:rFonts w:ascii="IRNazanin" w:hAnsi="IRNazanin" w:eastAsia="IRNazanin"/>
          <w:color w:val="111111"/>
          <w:sz w:val="28"/>
          <w:sz w:val="28"/>
          <w:szCs w:val="28"/>
          <w:rtl w:val="true"/>
          <w:lang w:bidi="fa-IR"/>
        </w:rPr>
        <w:t xml:space="preserve">لا شکّ فی أنّ الغشّ لیست له حقیقة شرعیة و لا متشرعیة،بل المراد به ما جری علیه العرف و اللغة </w:t>
      </w:r>
      <w:r>
        <w:rPr>
          <w:rStyle w:val="FootnoteAnchor"/>
          <w:rtl w:val="true"/>
        </w:rPr>
        <w:footnoteReference w:id="915"/>
      </w:r>
      <w:r>
        <w:rPr>
          <w:rFonts w:ascii="IRNazanin" w:hAnsi="IRNazanin" w:eastAsia="IRNazanin"/>
          <w:color w:val="111111"/>
          <w:sz w:val="28"/>
          <w:sz w:val="28"/>
          <w:szCs w:val="28"/>
          <w:rtl w:val="true"/>
          <w:lang w:bidi="fa-IR"/>
        </w:rPr>
        <w:t>من کونه بمعنی الکدر و الخدیعة و الخیانة،و یعبّر عنه فی لغة الفرس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ذلک إلاّ بعلم الغاش و جهل المغشوش فإذا کان کلاهما عالمین بالواقع،أو جاهلین به،أو کان الغاشّ جاهلا و المغشوش عالما انتفی مفهوم الغشّ</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یعتبر فی مفهوم الغشّ انحصار معرفته بالغاش،فإنّ أکثر أفراد الغشّ یعرفه نوع الناس بإمعان النظر،خصوصا من کان من أهل الفطانة و التجربة،و من کان شغله الغش،فإنّه لا شبهة أنّ من الغش جعل الجیّد من الحبوب علی ظاهر الصبرة و ردیّه فی باطنها،و بیع الأمتعة فی الظلال،و من الواضح أنّ نوع الناس</w:t>
      </w:r>
    </w:p>
    <w:p>
      <w:pPr>
        <w:pStyle w:val="BookText"/>
        <w:rPr/>
      </w:pPr>
      <w:r>
        <w:rPr>
          <w:rFonts w:ascii="IRNazanin" w:hAnsi="IRNazanin" w:eastAsia="IRNazanin"/>
          <w:color w:val="111111"/>
          <w:sz w:val="28"/>
          <w:sz w:val="28"/>
          <w:szCs w:val="28"/>
          <w:rtl w:val="true"/>
          <w:lang w:bidi="fa-IR"/>
        </w:rPr>
        <w:t>یلتفتون إلی الغشّ فی أمثال ذلک بتدقیق النظر،و لو اختصّ مفهوم الغشّ بما انحصر طریق معرفته بالغاشّ لم یبق له إلاّ مورد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تنحصر معرفته بالغاشّ کمزج اللبن بالماء،و خلط الدهن الجیّد بالدهن الردیء،و وضع الحریر و نحوه فی مکان بارد لیکتسب ثقلا،و بیع الحیوان مسموما لا یبقی أزید من یوم و یومین،و غیر ذلک من الموارد التی لا یطلع علی الغشّ إلاّ خصوص الغاشّ فقط،و لکن هذا لا یوجب اختصاص الغشّ بتلک الموارد،و عدم تحقّق مفهومه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ذکرناه أنّ الغش لا یصدق لغة و لا عرفا علی الخلط الظاهر الذی لا تحتاج معرفته إلی إمعان النظر،فإذا مزج الردیء بالجیّد مزجا یعرفه أی ناظر إلیه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تدقیق النظر،و جعل الردیء فی ظاهر الصبرة و الجیّد فی باطنها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ذلک لا یکون غشّا،و یدلّ علی ذلک بعض الأحادیث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المطلقات المتقدّمة هو حرمة الغشّ علی وجه الإطلاق سواء أکان فی المعاملة أم فی غیرها،إلاّ أنّه لا بدّ من صرفها إلی خصوص المعاملات فی الجملة،بداهة أنّه لا بأس بتزیین الدور و الألبسة و الأمتعة لإراءة أنّها جدیدة مع أنّها عتیقة،و کذلک لا بأس بإطعام الطعام المغشوش و سقی اللبن الممزوج للضیف و غیره،و بذل الأموال المغشوشة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دعوی عدم صدق الغشّ فی هذه الموارد أو فی بعضها،نعم لو أخبر بموافقة الظاهر فی ذلک للواقع کان حراما من جهة</w:t>
      </w:r>
      <w:bookmarkStart w:id="639" w:name="pg5064_65571"/>
    </w:p>
    <w:p>
      <w:pPr>
        <w:pStyle w:val="BookText"/>
        <w:rPr/>
      </w:pPr>
      <w:bookmarkEnd w:id="639"/>
      <w:r>
        <w:rPr>
          <w:rFonts w:ascii="IRNazanin" w:hAnsi="IRNazanin" w:eastAsia="IRNazanin"/>
          <w:color w:val="111111"/>
          <w:sz w:val="28"/>
          <w:sz w:val="28"/>
          <w:szCs w:val="28"/>
          <w:rtl w:val="true"/>
          <w:lang w:bidi="fa-IR"/>
        </w:rPr>
        <w:t>الکذب،سواء کان إخباره قولیا أم فعلیا،و هو أجنبی عمّا نحن فیه</w:t>
      </w:r>
      <w:r>
        <w:rPr>
          <w:rFonts w:eastAsia="IRNazanin" w:cs="IRNazanin"/>
          <w:color w:val="111111"/>
          <w:sz w:val="28"/>
          <w:szCs w:val="28"/>
          <w:rtl w:val="true"/>
          <w:lang w:bidi="fa-IR"/>
        </w:rPr>
        <w:t>.</w:t>
      </w:r>
    </w:p>
    <w:p>
      <w:pPr>
        <w:pStyle w:val="Heading4"/>
        <w:numPr>
          <w:ilvl w:val="3"/>
          <w:numId w:val="1"/>
        </w:numPr>
        <w:rPr/>
      </w:pPr>
      <w:bookmarkStart w:id="640" w:name="__RefHeading___Toc910400_774463916"/>
      <w:bookmarkStart w:id="641" w:name="_Toc234"/>
      <w:bookmarkEnd w:id="640"/>
      <w:r>
        <w:rPr>
          <w:rtl w:val="true"/>
        </w:rPr>
        <w:t>لا یعتبر فی صدق الغشّ قصد مفهومه</w:t>
      </w:r>
      <w:bookmarkEnd w:id="64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یمنع صدق الأخبار المذکورة إلاّ علی ما إذا قصد التلبیس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المصنّف أنّه یعتبر فی حقیقة الغشّ قصد مفهومه من التلبیس و الخدیعة،و أمّا ما یکون ملتبسا فی نفسه فلا یجب علیه الإعلام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اعتبار القصد بمعنی الداعی فی مفهوم الغشّ،بداهة کونه من الامور الواقعیة،و هی لا تختلف باختلاف الدواعی کالامور القصدیة و إنّما المعتبر فیه علم البائع بالخلط مع جهل المشتری إیّاه،و علیه فإذا اختلط الجیّد بالردیء أو امتزج اللبن بالماء بغیر اختیار من المالک و لا رضی،و باعهما بدون التنبیه کان ذلک أیضا غشّا محرّما،لإطلاق الروایات،و عدم دلالة شیء منها علی اعتبار القصد فی تحقّق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ظهر بطلان ما فی الریاض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لو غشّ لکن لا بقصده بل بقصد إصلاح المال لم یحرم،للأصل و اختصاص ما مرّ من النصّ بحکم التبادر بصورة القصد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910402_774463916"/>
      <w:bookmarkStart w:id="643" w:name="_Toc235"/>
      <w:bookmarkEnd w:id="642"/>
      <w:r>
        <w:rPr>
          <w:rtl w:val="true"/>
        </w:rPr>
        <w:t>حکم المعاملة المشتملة علی الغشّ من حیث الصحّة أو الفساد</w:t>
      </w:r>
      <w:bookmarkEnd w:id="64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فی جامع المقاصد ذکر فی الغشّ بما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تمثیله له بمزج اللبن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وجهین فی صحّة المعاملة و فسادها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 الصحّة و الفساد فی المقام هو ما حقّقناه فی البحث عن بیع</w:t>
      </w:r>
    </w:p>
    <w:p>
      <w:pPr>
        <w:pStyle w:val="BookText"/>
        <w:rPr/>
      </w:pPr>
      <w:r>
        <w:rPr>
          <w:rFonts w:ascii="IRNazanin" w:hAnsi="IRNazanin" w:eastAsia="IRNazanin"/>
          <w:color w:val="111111"/>
          <w:sz w:val="28"/>
          <w:sz w:val="28"/>
          <w:szCs w:val="28"/>
          <w:rtl w:val="true"/>
          <w:lang w:bidi="fa-IR"/>
        </w:rPr>
        <w:t xml:space="preserve">الدراهم المغشوشة و غیره </w:t>
      </w:r>
      <w:r>
        <w:rPr>
          <w:rStyle w:val="FootnoteAnchor"/>
          <w:rtl w:val="true"/>
        </w:rPr>
        <w:footnoteReference w:id="918"/>
      </w: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المبیع إمّا أن یکون کلّیا و یکون الغشّ فی الفرد المقبوض،کما إذا باع منّا من الحنطة الجیّدة و دفع عنها حنطة مغشوشة،فإنّه لا شبهة فی صحّة البیع فی هذه الصورة،لعدم کون الغشّ فی البیع،و إنّما هو فی تطبیق المبیع الکلّی علی الفرد الخارجی،فللمشتری تبدیله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المبیع شخصیا،و هو علی أقسام،لأنّ الأوصاف المأخوذة فی المبیع قد تکون من قبیل الصور النوعیة فی نظر العرف،و لا شبهة فی بطلان البیع فی هذه الصورة إذا ظهر المبیع مغشوشا،کما إذا باع فلزا علی أنّه ذهب فبان مذهبا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البطلان أنّ ما وقع علیه العقد لیس بموجود،و ما هو موجود لم یقع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الأوصاف المأخوذة فیه من قبیل وصف الکمال أو الصحّة،کما إذا باع عبدا علی أنه کاتب أو نجّار أو بصیر فبان أنّه لا یحسن الکتابة و النجارة أو أنّه أعمی،و حینئذ فإن کان العقد معلّقا علی الوصف بحیث ینتفی البیع مع انتفاء الوصف فهو باطل،للتعلیق المجمع علی کونه مبطلا للعقد،و إن کان مشروطا بالوصف 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کان التخلّف فی الأوصاف الکمالیة ثبت خیار تخلّف الشرط للمشتری،و إذا کان التخلّف فی وصف الصحّة کان المشتری مخیّرا بین الامور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الفسخ،أو الإمضاء بدون الأرش،أو الإمضاء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المبیع المجموع المرکّب من جزأین،أو من أجزاء،و هو علی قسمین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للهیئة الاجتماعیة دخل فی ازدیاد الثمن،بأن کانت واسطة</w:t>
      </w:r>
    </w:p>
    <w:p>
      <w:pPr>
        <w:pStyle w:val="BookText"/>
        <w:rPr/>
      </w:pPr>
      <w:r>
        <w:rPr>
          <w:rFonts w:ascii="IRNazanin" w:hAnsi="IRNazanin" w:eastAsia="IRNazanin"/>
          <w:color w:val="111111"/>
          <w:sz w:val="28"/>
          <w:sz w:val="28"/>
          <w:szCs w:val="28"/>
          <w:rtl w:val="true"/>
          <w:lang w:bidi="fa-IR"/>
        </w:rPr>
        <w:t>فی زیادة مالیة المبیع و إن لم یقابلها بنفسها جزء من الثمن،کما هو الشأن فی عامّة الأوصاف حتّی ما کان من قبیل الصور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شبهة فی بطلان البیع فی الجزء الفائت و کون المشتری مخیّرا فی الباقی بین الفسخ و الإمضاء،و مثاله أن یبیع دورة البحار فیظهر أنّ أحد الأجزاء التی وقع علیها البیع کتاب لغة،أو یبیع مصراعی الباب فیتبیّن أنّه مصراع واحد،أو یبیع زوج الخفّ فیتبیّن أنه فرد واحد،أو یبیع عدلی الغرارة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الجوالق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فیتبیّن أنّه عدل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الأمثلة،فإنّه لا شبهة فی دخل الهیئة الاجتماعیة فی زیادة المالیة فی الامور المذکورة،فیترتّب علیها الحکم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للهیئة الاجتماعیة مساس فی زیادة مالیة المبیع أصلا بل کان الانضمام کوضع الحجر فی جنب الإنسان،و علیه فلا شبهة فی صحّة البیع و لزومه بالنسبة إلی الجزء الموجود،من دون أن یثبت للمشتری خیار تخلّف الوصف،کما إذا باع صبرة حنطة بدینارین علی أنّها وزنتان فوجد نصفها ترابا فیصحّ البیع فی الوزنة الموجودة،و یبطل فی الاخری،فإنّ مرجع ذلک إلی بیع کل وزنة من هذه الحنطة بدینار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ما فی کلام المصنّف من أنّ الغشّ إن کان من قبیل التراب الکثیر فی الحنطة کان له حکم تبعّض الصفقة،و نقص الثمن بمقدار التراب الزائد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ما ذکرناه یظهر ضعف کلام الشهید حیث قال فی شرائط الاقتداء من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یشترط القصد إلی إمام معیّن،إلی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الاقتداء بالحاضر علی أنّه زید فبان عمرا ففی ترجیح الإشارة علی الاسم فیصحّ،أو بالعکس فیبطل نظر،نظیر أن یقول المطلّق لزوجة اسمها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زینب طالق</w:t>
      </w:r>
    </w:p>
    <w:p>
      <w:pPr>
        <w:pStyle w:val="BookText"/>
        <w:rPr/>
      </w:pPr>
      <w:r>
        <w:rPr>
          <w:rFonts w:ascii="IRNazanin" w:hAnsi="IRNazanin" w:eastAsia="IRNazanin"/>
          <w:color w:val="111111"/>
          <w:sz w:val="28"/>
          <w:sz w:val="28"/>
          <w:szCs w:val="28"/>
          <w:rtl w:val="true"/>
          <w:lang w:bidi="fa-IR"/>
        </w:rPr>
        <w:t>أو یشیر البائع إلی حمار،فیقول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بعتک هذا الفرس </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التردّد فی ذلک تغلیب الإشارة أو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یضاف إلی ما ذکرناه أنّک قد عرفت فی مبحث التطفیف </w:t>
      </w:r>
      <w:r>
        <w:rPr>
          <w:rStyle w:val="FootnoteAnchor"/>
          <w:rtl w:val="true"/>
        </w:rPr>
        <w:footnoteReference w:id="920"/>
      </w:r>
      <w:r>
        <w:rPr>
          <w:rFonts w:ascii="IRNazanin" w:hAnsi="IRNazanin" w:eastAsia="IRNazanin"/>
          <w:color w:val="111111"/>
          <w:sz w:val="28"/>
          <w:sz w:val="28"/>
          <w:szCs w:val="28"/>
          <w:rtl w:val="true"/>
          <w:lang w:bidi="fa-IR"/>
        </w:rPr>
        <w:t>أنّ البیع من الامور القصدیة،فلا معنی لتردّد المتبایعین فیما قصداه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ظهر بطلان ما استدلّ به القائلون بالفساد مطلقا من أنّ العقد لم یتعلّق بذات المبیع بأی عنوان اتّفق،بل تعلّق بالمبیع بعنوان أنه غیر مغشوش،فإذا ظهر الغشّ فقد ظهر أنّ ما هو المبیع غیر موجود،و ما هو موجود غیر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یتم فیما إذا کانت الأوصاف المتخلّفة من قبیل الصور النوعیة،لا مطلقا،و قد أوضحنا ذلک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الفساد بوجوه اخر قد أشار إلیها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الوارد عن بیع المغشوش،فإنّه یدلّ علی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نجد ما یدل علی النهی عن بیع المغشوش فی نفسه غیر خبر موسی بن بکر،و خبر الجعفی،و سیجیء الکلام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الغشّ الوارد فی الروایات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ذکرها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الغشّ متّحد مع البیع،کما تدلّ علیه روایة هشام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فی الظلال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 الفساد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النهی إنّما تعلّق بالغشّ،و هو أمر خارج عن البیع،و النهی إذا تعلّق بأمر خارج عن الشیء لا یدلّ علی فساد ذلک الشیء،و قد حقّق ذلک فی محلّه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bookmarkStart w:id="644" w:name="pg5064_65575"/>
    </w:p>
    <w:p>
      <w:pPr>
        <w:pStyle w:val="BookText"/>
        <w:rPr/>
      </w:pPr>
      <w:bookmarkEnd w:id="644"/>
      <w:r>
        <w:rPr>
          <w:rFonts w:ascii="IRNazanin" w:hAnsi="IRNazanin" w:eastAsia="IRNazanin"/>
          <w:color w:val="111111"/>
          <w:sz w:val="28"/>
          <w:sz w:val="28"/>
          <w:szCs w:val="28"/>
          <w:rtl w:val="true"/>
          <w:lang w:bidi="fa-IR"/>
        </w:rPr>
        <w:t>و أمّا روایة هشام فهی لا تدلّ علی أزید من ذلک،خصوصا بعد ملاحظة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الغشّ لا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ظاهر فی الحکم التکلیفی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موسی بن بکر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أخذ دینارا من الدنانیر المصبوبة بین یدیه فقطعه بنصفین،ثم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 فی البالوعة حتّی لا یباع شیء فیه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لا یقع بیع علی شیء فیه غشّ یدلّ علی فساد هذه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خبر الجعفی،و قد تقدّم الکلام علیهما فی البحث عن بیع الدراهم المغشوشة </w:t>
      </w:r>
      <w:r>
        <w:rPr>
          <w:rStyle w:val="FootnoteAnchor"/>
          <w:rtl w:val="true"/>
        </w:rPr>
        <w:footnoteReference w:id="922"/>
      </w:r>
      <w:r>
        <w:rPr>
          <w:rFonts w:ascii="IRNazanin" w:hAnsi="IRNazanin" w:eastAsia="IRNazanin"/>
          <w:color w:val="111111"/>
          <w:sz w:val="28"/>
          <w:sz w:val="28"/>
          <w:szCs w:val="28"/>
          <w:rtl w:val="true"/>
          <w:lang w:bidi="fa-IR"/>
        </w:rPr>
        <w:t>مع أنّهما ضعیفا السند کما تقدّم فی المبحث المذکور</w:t>
      </w:r>
      <w:r>
        <w:rPr>
          <w:rFonts w:eastAsia="IRNazanin" w:cs="IRNazanin"/>
          <w:color w:val="111111"/>
          <w:sz w:val="28"/>
          <w:szCs w:val="28"/>
          <w:rtl w:val="true"/>
          <w:lang w:bidi="fa-IR"/>
        </w:rPr>
        <w:t>.</w:t>
      </w:r>
    </w:p>
    <w:p>
      <w:pPr>
        <w:pStyle w:val="Heading3"/>
        <w:numPr>
          <w:ilvl w:val="2"/>
          <w:numId w:val="1"/>
        </w:numPr>
        <w:rPr/>
      </w:pPr>
      <w:bookmarkStart w:id="645" w:name="__RefHeading___Toc910404_774463916"/>
      <w:bookmarkStart w:id="646" w:name="_Toc236"/>
      <w:bookmarkEnd w:id="645"/>
      <w:r>
        <w:rPr>
          <w:rtl w:val="true"/>
        </w:rPr>
        <w:t>حرمة الغناء</w:t>
      </w:r>
      <w:bookmarkEnd w:id="646"/>
    </w:p>
    <w:p>
      <w:pPr>
        <w:pStyle w:val="Heading4"/>
        <w:numPr>
          <w:ilvl w:val="3"/>
          <w:numId w:val="1"/>
        </w:numPr>
        <w:rPr/>
      </w:pPr>
      <w:bookmarkStart w:id="647" w:name="__RefHeading___Toc910406_774463916"/>
      <w:bookmarkStart w:id="648" w:name="_Toc237"/>
      <w:bookmarkEnd w:id="647"/>
      <w:r>
        <w:rPr>
          <w:rtl w:val="true"/>
        </w:rPr>
        <w:t>اشارة</w:t>
      </w:r>
      <w:bookmarkEnd w:id="64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الغناء،لا خلاف فی حرمته فی الجملة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فی حرمة الغناء فی الجملة بین الشیعة،و أمّا العامّة فقد التزموا بحرمته لجهات خارجیة </w:t>
      </w:r>
      <w:r>
        <w:rPr>
          <w:rStyle w:val="FootnoteAnchor"/>
          <w:rtl w:val="true"/>
        </w:rPr>
        <w:footnoteReference w:id="924"/>
      </w:r>
      <w:r>
        <w:rPr>
          <w:rFonts w:ascii="IRNazanin" w:hAnsi="IRNazanin" w:eastAsia="IRNazanin"/>
          <w:color w:val="111111"/>
          <w:sz w:val="28"/>
          <w:sz w:val="28"/>
          <w:szCs w:val="28"/>
          <w:rtl w:val="true"/>
          <w:lang w:bidi="fa-IR"/>
        </w:rPr>
        <w:t>،و إلاّ فهو بنفسه أمر مباح عندهم</w:t>
      </w:r>
      <w:r>
        <w:rPr>
          <w:rFonts w:eastAsia="IRNazanin" w:cs="IRNazanin"/>
          <w:color w:val="111111"/>
          <w:sz w:val="28"/>
          <w:szCs w:val="28"/>
          <w:rtl w:val="true"/>
          <w:lang w:bidi="fa-IR"/>
        </w:rPr>
        <w:t>.</w:t>
      </w:r>
      <w:bookmarkStart w:id="649" w:name="pg5064_65576"/>
    </w:p>
    <w:p>
      <w:pPr>
        <w:pStyle w:val="BookText"/>
        <w:rPr/>
      </w:pPr>
      <w:bookmarkEnd w:id="649"/>
      <w:r>
        <w:rPr>
          <w:rFonts w:ascii="IRNazanin" w:hAnsi="IRNazanin" w:eastAsia="IRNazanin"/>
          <w:color w:val="111111"/>
          <w:sz w:val="28"/>
          <w:sz w:val="28"/>
          <w:szCs w:val="28"/>
          <w:rtl w:val="true"/>
          <w:lang w:bidi="fa-IR"/>
        </w:rPr>
        <w:t>قال فی المستند بعد أن ذکر موضوع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خلاف فی حرمة ما ذکرنا أنّه غناء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عدم الخلاف بل الإجماع علیه مستفیض،بل هو إجماع محقّق قطعا،بل ضرورة دینیة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متاجر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علیه إجماع العلماء،کما حکاه بعض الأجلاّء،و هو الحجّة </w:t>
      </w:r>
      <w:r>
        <w:rPr>
          <w:rStyle w:val="FootnoteAnchor"/>
          <w:rtl w:val="true"/>
        </w:rPr>
        <w:footnoteReference w:id="926"/>
      </w:r>
      <w:r>
        <w:rPr>
          <w:rFonts w:ascii="IRNazanin" w:hAnsi="IRNazanin" w:eastAsia="IRNazanin"/>
          <w:color w:val="111111"/>
          <w:sz w:val="28"/>
          <w:sz w:val="28"/>
          <w:szCs w:val="28"/>
          <w:rtl w:val="true"/>
          <w:lang w:bidi="fa-IR"/>
        </w:rPr>
        <w:t>و غیر ذلک من کلمات الأصحاب المشتملة علی دعوی الإجماع و الضرورة علی حرمة الغناء</w:t>
      </w:r>
      <w:r>
        <w:rPr>
          <w:rFonts w:eastAsia="IRNazanin" w:cs="IRNazanin"/>
          <w:color w:val="111111"/>
          <w:sz w:val="28"/>
          <w:szCs w:val="28"/>
          <w:rtl w:val="true"/>
          <w:lang w:bidi="fa-IR"/>
        </w:rPr>
        <w:t>.</w:t>
      </w:r>
    </w:p>
    <w:p>
      <w:pPr>
        <w:pStyle w:val="Heading4"/>
        <w:numPr>
          <w:ilvl w:val="3"/>
          <w:numId w:val="1"/>
        </w:numPr>
        <w:rPr/>
      </w:pPr>
      <w:bookmarkStart w:id="650" w:name="__RefHeading___Toc910408_774463916"/>
      <w:bookmarkStart w:id="651" w:name="_Toc238"/>
      <w:bookmarkEnd w:id="650"/>
      <w:r>
        <w:rPr>
          <w:rtl w:val="true"/>
        </w:rPr>
        <w:t>الوجوه المستدلّ بها علی الحرمة</w:t>
      </w:r>
      <w:bookmarkEnd w:id="651"/>
    </w:p>
    <w:p>
      <w:pPr>
        <w:pStyle w:val="BookText"/>
        <w:rPr/>
      </w:pPr>
      <w:r>
        <w:rPr>
          <w:rFonts w:ascii="IRNazanin" w:hAnsi="IRNazanin" w:eastAsia="IRNazanin"/>
          <w:color w:val="111111"/>
          <w:sz w:val="28"/>
          <w:sz w:val="28"/>
          <w:szCs w:val="28"/>
          <w:rtl w:val="true"/>
          <w:lang w:bidi="fa-IR"/>
        </w:rPr>
        <w:t>و یدلّ علی حرمته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الإجماع علیها محصّلا و منقولا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الإجماع علی الحرمة فی الجملة و إن لم تکن جزافیة،بل فی کلمات غیر واحد من الأعلام دعوی الضرورة علیها،إلاّ أنّه لیس إجماعا تعبّدیا فإنّ من المحتمل القریب استناد المجمعین إلی الآیات و الروایات الدالّة علی حرمة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 الآیات الکریمة و لو بضمیمة الروایات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اجْتَنِبُوا قَوْلَ الزُّورِ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منه الغناء،للروایات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الواردة فی تطبیقه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هذه النتیجة بین کون الغناء نفسه من مقولة الکلام أو هو کیفیة مسموعة تقوم به،لاتّحادهما فی الخارج علی کل حال،فلا وجه للخدشة فی الروایات الواردة فی تفسیر الآیة بأنّ مقتضاها أنّ الغناء من مقولة الکلام،مع أنّه کیفیة تقوم به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فقد ذکرت عدّة من الروایات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أنّ الغناء من مصادیق لهو الحدیث الذی</w:t>
      </w:r>
    </w:p>
    <w:p>
      <w:pPr>
        <w:pStyle w:val="BookText"/>
        <w:rPr/>
      </w:pPr>
      <w:r>
        <w:rPr>
          <w:rFonts w:ascii="IRNazanin" w:hAnsi="IRNazanin" w:eastAsia="IRNazanin"/>
          <w:color w:val="111111"/>
          <w:sz w:val="28"/>
          <w:sz w:val="28"/>
          <w:szCs w:val="28"/>
          <w:rtl w:val="true"/>
          <w:lang w:bidi="fa-IR"/>
        </w:rPr>
        <w:t xml:space="preserve">حرّمته الآیة الکریمة،بل نسبه الطبرسی </w:t>
      </w:r>
      <w:r>
        <w:rPr>
          <w:rStyle w:val="FootnoteAnchor"/>
          <w:rtl w:val="true"/>
        </w:rPr>
        <w:footnoteReference w:id="927"/>
      </w:r>
      <w:r>
        <w:rPr>
          <w:rFonts w:ascii="IRNazanin" w:hAnsi="IRNazanin" w:eastAsia="IRNazanin"/>
          <w:color w:val="111111"/>
          <w:sz w:val="28"/>
          <w:sz w:val="28"/>
          <w:szCs w:val="28"/>
          <w:rtl w:val="true"/>
          <w:lang w:bidi="fa-IR"/>
        </w:rPr>
        <w:t>إلی أکثر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 الاشتراء فی الآیة یجری علی ضرب من المجاز،أو علی بعض التعاریف التی یذکرها فریق من اللغویین،و قد تقدّم ذلک فیما سبق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،فلا ضیر فی أن یتعلّق بلهو الحدیث و بالغناء کما ذکرته الروایات،و إن لم یکونا من الأعیان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بضمیمة ما فی تفسیر القمّی من تطبیق الآیة علی الغناء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فإنّه قد ورد فی بعض الأحادیث تفسیر الزور فی الآیة بالغناء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یؤیّده ما تقدّم من الروایات فی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الروایات المذکورة فی تفسیر الآیات المزبورة و إن کان أکثرها ضعیف السند إلاّ أنّ فی المعتبر منها غنی و کفایة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أورد فی المستند علی دلالة الآیات علی حرمة الغناء بأنّ الروایات الواردة فی تفسیرها بالغناء معارضة بما ورد فی تفسیرها بغیره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الأحادیث المذکورة فی تفسیر القرآن کلّها مسوقة لتنقیح الصغری و بیان المصداق،فلا تدل علی الانحصار بوجه حتّی تقع المعارضة بینهما،و قد أشرنا إلی هذا فیما سبق مرارا،و تکلّمنا عنه فی البحث عن مقدّمات التفسیر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الدالّة علی حرمة الغناء و حرمة تعلیمه و تعلّمه و حرمة التکسّب به و استماعه،و أنّه ینبت النفاق فی القلب کما ینبت الماء الخضرة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یورث الفقر و القساوة و ینزع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رقیة الزنا،و یرفع البرکة و ینزل البلاء کما نزل البلاء علی المغنّین من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ممّا وعد اللّه علیه النار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عشّ النفاق،و أنّ الغناء مجلس لا ینظر اللّه إلی أهله،و أنّ استماع الغناء نفاق و تعلّمه کفر،و أنّ صاحب الغناء یحشر من قبره أعمی و أخرس و أبکم و أنّ من ضرب فی بیته شیئا من الملاهی أربعین یوما فقد باء بغضب من اللّه فإن</w:t>
      </w:r>
      <w:bookmarkStart w:id="652" w:name="pg5064_65580"/>
    </w:p>
    <w:p>
      <w:pPr>
        <w:pStyle w:val="BookText"/>
        <w:rPr/>
      </w:pPr>
      <w:bookmarkEnd w:id="652"/>
      <w:r>
        <w:rPr>
          <w:rFonts w:ascii="IRNazanin" w:hAnsi="IRNazanin" w:eastAsia="IRNazanin"/>
          <w:color w:val="111111"/>
          <w:sz w:val="28"/>
          <w:sz w:val="28"/>
          <w:szCs w:val="28"/>
          <w:rtl w:val="true"/>
          <w:lang w:bidi="fa-IR"/>
        </w:rPr>
        <w:t>مات فی أربعین مات فاجرا فاسقا مأواه النار و بئس المصیر،و أنّ من أصغی إلی ناطق یؤدّی عن الشیطان فقد عبد الشیطان،و أنّ الغناء أخبث ما خلق اللّه و شرّ ما خلق اللّه،و أنّه یورث الفقر و النفاق،و أنّ من استمع إلی الغناء یذاب فی اذنه الإفک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المضامین المدهشة التی اشتملت علیها الأخبار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فی حرمة الغناء و إن کان أکثرها ضعیف السند،و لکن فی المعتبر منها غنی و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من المحقّق الأردبیلی حیث قال فی محکی 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روایة صحیحة صریحة فی التحریم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أعرف بمقاله</w:t>
      </w:r>
      <w:r>
        <w:rPr>
          <w:rFonts w:eastAsia="IRNazanin" w:cs="IRNazanin"/>
          <w:color w:val="111111"/>
          <w:sz w:val="28"/>
          <w:szCs w:val="28"/>
          <w:rtl w:val="true"/>
          <w:lang w:bidi="fa-IR"/>
        </w:rPr>
        <w:t>.</w:t>
      </w:r>
    </w:p>
    <w:p>
      <w:pPr>
        <w:pStyle w:val="Heading4"/>
        <w:numPr>
          <w:ilvl w:val="3"/>
          <w:numId w:val="1"/>
        </w:numPr>
        <w:rPr/>
      </w:pPr>
      <w:bookmarkStart w:id="653" w:name="__RefHeading___Toc910410_774463916"/>
      <w:bookmarkStart w:id="654" w:name="_Toc239"/>
      <w:bookmarkEnd w:id="653"/>
      <w:r>
        <w:rPr>
          <w:rtl w:val="true"/>
        </w:rPr>
        <w:t>رأی المحدّث الکاشانی فی حرمة الغناء و الجواب عنه</w:t>
      </w:r>
      <w:bookmarkEnd w:id="654"/>
    </w:p>
    <w:p>
      <w:pPr>
        <w:pStyle w:val="BookText"/>
        <w:rPr/>
      </w:pPr>
      <w:r>
        <w:rPr>
          <w:rFonts w:ascii="IRNazanin" w:hAnsi="IRNazanin" w:eastAsia="IRNazanin"/>
          <w:color w:val="111111"/>
          <w:sz w:val="28"/>
          <w:sz w:val="28"/>
          <w:szCs w:val="28"/>
          <w:rtl w:val="true"/>
          <w:lang w:bidi="fa-IR"/>
        </w:rPr>
        <w:t>قال فی الوافی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یظهر من مجموع الأخبار الواردة فی الغناء هو اختصاص حرمته و حرمة التکسّب به و حرمة تعلیمه و تعلّمه و استماعه بما کان متعارفا زمن بنی امیة و بنی العباس،من دخول الرجال علی النساء،و تکلّمهنّ بالأباطیل،و لعبهنّ بالملاهی علی أقسامها،و أمّا غیر ذلک فلا محذور فیه،و علیه فلا بأس بسماع الغناء بما یتضمّن ذکر الجنّة و النار،و التشویق إلی دار القرار،و الترغیب إلی اللّه و إلی عبادته و طاعته </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حمل علی هذا کلام الشیخ فی الاستبصار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استشهد علی رأیه هذا بوجوه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شراء</w:t>
      </w:r>
    </w:p>
    <w:p>
      <w:pPr>
        <w:pStyle w:val="BookText"/>
        <w:rPr/>
      </w:pPr>
      <w:r>
        <w:rPr>
          <w:rFonts w:ascii="IRNazanin" w:hAnsi="IRNazanin" w:eastAsia="IRNazanin"/>
          <w:color w:val="111111"/>
          <w:sz w:val="28"/>
          <w:sz w:val="28"/>
          <w:szCs w:val="28"/>
          <w:rtl w:val="true"/>
          <w:lang w:bidi="fa-IR"/>
        </w:rPr>
        <w:t>جاریة لها صوت؟فقال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علیک،لو اشتریتها فذکّرتک الجنّة</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المغنّیة التی تزفّ العرائس لیس به بأس،و لیست بالتی یدخل علیها الرجال</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w:t>
      </w:r>
      <w:r>
        <w:rPr>
          <w:rStyle w:val="FootnoteAnchor"/>
          <w:rtl w:val="true"/>
        </w:rPr>
        <w:footnoteReference w:id="934"/>
      </w:r>
      <w:r>
        <w:rPr>
          <w:rFonts w:ascii="IRNazanin" w:hAnsi="IRNazanin" w:eastAsia="IRNazanin"/>
          <w:color w:val="111111"/>
          <w:sz w:val="28"/>
          <w:sz w:val="28"/>
          <w:szCs w:val="28"/>
          <w:rtl w:val="true"/>
          <w:lang w:bidi="fa-IR"/>
        </w:rPr>
        <w:t>المشتملة علی مدح الصوت الحسن،و علی استحباب قراءة القرآن به و بألحان العرب،و أنّ لکل شیء حلیة و حلیة القرآن الصوت الحسن و أنّ الإمام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أحسن الناس صوتا بالقرآن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المستفاد من جمیعها جواز الغناء فی نفسه،بل استحبابه فی خصوص القرآن،و أنّ حرمته إنّما تکون للامور الخارجیة التی قد تقارنه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الروایات المتظافرة،بل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الناهیة عن الغناء،و عن جمیع ما یتعلّق به هو تحریمه بنفسه مع قطع النظر عن اقترانه بسائر العناوین المحرّمة،و قد عرفت جملة منها فی الهامش،و عرفت مصادرها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تحریم الغناء إنّما هو للعوارض المحرّمة کان الاهتمام بالمنع عنه فی هذه الروایات لغوا محضا،لورود النهی عن سائر المحرّمات بأنفسها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استشهد به علی مقصده لا یفی بمراده،أمّا مرسلة الفقیه فمضافا إلی ضعف السند فیها،أنّها أجنبیة عن الغناء نفیا و إثباتا،کما تقدّم فی بیع الجاریة</w:t>
      </w:r>
    </w:p>
    <w:p>
      <w:pPr>
        <w:pStyle w:val="BookText"/>
        <w:rPr/>
      </w:pPr>
      <w:r>
        <w:rPr>
          <w:rFonts w:ascii="Amiri" w:hAnsi="Amiri" w:eastAsia="Amiri" w:cs="Amiri"/>
          <w:color w:val="111111"/>
          <w:sz w:val="28"/>
          <w:sz w:val="28"/>
          <w:szCs w:val="28"/>
          <w:rtl w:val="true"/>
          <w:lang w:bidi="ar-SA"/>
        </w:rPr>
        <w:t xml:space="preserve">المغنّیة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روایة أبی بصیر فإنّها و إن کانت صحیحة،إلاّ أنّها لا دلالة فیها علی مقصد المحدّث المذکور،فإنّ غایة ما یستفاد منها و من روایة اخری لأبی بصیر </w:t>
      </w:r>
      <w:r>
        <w:rPr>
          <w:rStyle w:val="FootnoteAnchor"/>
          <w:rtl w:val="true"/>
        </w:rPr>
        <w:footnoteReference w:id="937"/>
      </w:r>
      <w:r>
        <w:rPr>
          <w:rFonts w:ascii="IRNazanin" w:hAnsi="IRNazanin" w:eastAsia="IRNazanin"/>
          <w:color w:val="111111"/>
          <w:sz w:val="28"/>
          <w:sz w:val="28"/>
          <w:szCs w:val="28"/>
          <w:rtl w:val="true"/>
          <w:lang w:bidi="fa-IR"/>
        </w:rPr>
        <w:t>أنّه لا بأس بأجر المغنّیة التی تدعی إلی العرائس و لا یدخل علیها الرجال،و أمّا الغناء فی غیر زفّ العرائس فلا تعرّض فی الروایتین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الواردة فی قراءة القرآن بصوت حسن فلا صلة لها بالمقام،إذ لا ملازمة بین حسن الصوت و بین الغناء،بل بینهما عموم من وجه،فیقع التعارض فی مورد الاجتماع،و تحمل الطائفة المجوّزة علی التقیّة،لما عرفت من ذهاب العامّة إلی جواز الغناء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هذه الروایات ضعیفة السند،و ستأتی الإشارة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 کلّه أنّ ما ذهب إلیه المحدّث المذکور مخالف للإجماع،بل الضرورة من مذهب الشیعة،و قد عرفت ذلک فی أوّل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القول نسب إلی صاحب الکفایة </w:t>
      </w:r>
      <w:r>
        <w:rPr>
          <w:rStyle w:val="FootnoteAnchor"/>
          <w:rtl w:val="true"/>
        </w:rPr>
        <w:footnoteReference w:id="938"/>
      </w:r>
      <w:r>
        <w:rPr>
          <w:rFonts w:ascii="IRNazanin" w:hAnsi="IRNazanin" w:eastAsia="IRNazanin"/>
          <w:color w:val="111111"/>
          <w:sz w:val="28"/>
          <w:sz w:val="28"/>
          <w:szCs w:val="28"/>
          <w:rtl w:val="true"/>
          <w:lang w:bidi="fa-IR"/>
        </w:rPr>
        <w:t>،و لکنّه بعید،فإنّ المتأخّرین عنه نسبوا إلیه استثناء الغناء فی القرآن،و من الواضح أنّ ذلک فرع الالتزام بحرمة الغناء</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ما ذهب إلیه الکاشانی بروایة قرب الإسناد عن علی بن جعفر عن أخیه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الغناء هل یصلح فی الفطر و الأضحی و الفرح؟</w:t>
      </w:r>
      <w:bookmarkStart w:id="655" w:name="pg5064_65583"/>
    </w:p>
    <w:p>
      <w:pPr>
        <w:pStyle w:val="BookText"/>
        <w:rPr/>
      </w:pPr>
      <w:bookmarkEnd w:id="65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ما لم یعص به</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و هی و إن کانت مجهولة بعبد اللّه بن الحسن،و لکن رواها علی بن جعفر فی کتابه،إلاّ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و علیه فهی صحیحة فتدلّ علی جواز الغناء فی نفسه،و حرمته إذا اقترن بالمعاصی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الصوت بنفسه صوت مزماری،و لحن رقصی،کألحان أهل الفسوق،و یعبّر عنها فی الفارسیة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پسته و سرود و دو بیت و آوازه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صوت یکون فی المزمار و إلاّ لقال ما لم یکن فی المزمار أو بالنفخ فی المزمار،و علیه فتدل الروایة علی تحقّق الغناء بالصوت المزماری،و اللحن الرقصی لا مطلقا،و سیأتی،و علی هذا یحمل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قرب الإسناد علی تقدیر صدورها من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 الغناء علی غیر هذا القسم فی هاتین الروایتین فی قول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الإطلاق بالجواب عن حکمه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کاطلاق نوع أهل اللغة لفظ الغناء علی المعنی الأعمّ</w:t>
      </w:r>
      <w:r>
        <w:rPr>
          <w:rFonts w:eastAsia="IRNazanin" w:cs="IRNazanin"/>
          <w:color w:val="111111"/>
          <w:sz w:val="28"/>
          <w:szCs w:val="28"/>
          <w:rtl w:val="true"/>
          <w:lang w:bidi="fa-IR"/>
        </w:rPr>
        <w:t>.</w:t>
      </w:r>
    </w:p>
    <w:p>
      <w:pPr>
        <w:pStyle w:val="Heading4"/>
        <w:numPr>
          <w:ilvl w:val="3"/>
          <w:numId w:val="1"/>
        </w:numPr>
        <w:rPr/>
      </w:pPr>
      <w:bookmarkStart w:id="656" w:name="__RefHeading___Toc910412_774463916"/>
      <w:bookmarkStart w:id="657" w:name="_Toc240"/>
      <w:bookmarkEnd w:id="656"/>
      <w:r>
        <w:rPr>
          <w:rtl w:val="true"/>
        </w:rPr>
        <w:t>تحقیق موضوع الغناء</w:t>
      </w:r>
      <w:bookmarkEnd w:id="65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اختلفت فیه عبارات الفقهاء و اللغویین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عرّفوا الغناء بتعاریف مختلفة </w:t>
      </w:r>
      <w:r>
        <w:rPr>
          <w:rStyle w:val="FootnoteAnchor"/>
          <w:rtl w:val="true"/>
        </w:rPr>
        <w:footnoteReference w:id="941"/>
      </w:r>
      <w:r>
        <w:rPr>
          <w:rFonts w:ascii="IRNazanin" w:hAnsi="IRNazanin" w:eastAsia="IRNazanin"/>
          <w:color w:val="111111"/>
          <w:sz w:val="28"/>
          <w:sz w:val="28"/>
          <w:szCs w:val="28"/>
          <w:rtl w:val="true"/>
          <w:lang w:bidi="fa-IR"/>
        </w:rPr>
        <w:t>إلاّ أنّها لیست تعاریف حقیقیة،لعدم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الاطّراد و الانعکاس،بل هی بین إفراط و تفریط،فقد عرّفه فی المصباح بأنّه مدّ الصوت المشتمل علی الترجیع المطرب،و علی قوله هذا یخرج أکثر أفراد الغناء ممّا لم یحتو علی القیدین المذکورین،فإنّ من أظهر أفراده الألحان التی یستعملها أهل الفسوق،و هی لا توجب الطرب إلاّ أحیانا،و لذا التجأ الطریحی فی المجمع و بعض آخر فی غیره إلی توسعة التعریف المذکور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یسمّی فی العرف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یحصل الطرب لحسن الصوت و إن لم یشتمل علی ترجیع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عرّفه آخرون بأنّه</w:t>
      </w:r>
    </w:p>
    <w:p>
      <w:pPr>
        <w:pStyle w:val="BookText"/>
        <w:rPr/>
      </w:pPr>
      <w:r>
        <w:rPr>
          <w:rFonts w:ascii="IRNazanin" w:hAnsi="IRNazanin" w:eastAsia="IRNazanin"/>
          <w:color w:val="111111"/>
          <w:sz w:val="28"/>
          <w:sz w:val="28"/>
          <w:szCs w:val="28"/>
          <w:rtl w:val="true"/>
          <w:lang w:bidi="fa-IR"/>
        </w:rPr>
        <w:t>مجرّد مدّ الصوت،أو رفعه مع الترجیع أو بدونه،و بأنّه تحسین الصوت فقط،أو ترجیعه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من هذه التعاریف أن یدخل فی الغناء ما لیس من أفراده قطعا،کرفع الصوت لنداء أحد من البعید،و رفع الصوت أو تحسینه لقراءة القرآن و المراثی و المدائح و الخطب،بل التکلّم العنیف،مع أنّ الشارع قد ندب إلی قراءة القرآن بصوت حسن،و بألحان العرب،بل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الناس صوتا بالقرآن</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یقرأ القرآن فربما مرّ به المار فصعق من حسن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بالقرآن صوتک،فإنّ اللّه تعالی یحبّ الصوت الحسن یرجع به ترجیعا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ستأتی الإشارة إلی هذه الروایات </w:t>
      </w:r>
      <w:r>
        <w:rPr>
          <w:rStyle w:val="FootnoteAnchor"/>
          <w:rtl w:val="true"/>
        </w:rPr>
        <w:footnoteReference w:id="943"/>
      </w:r>
      <w:r>
        <w:rPr>
          <w:rFonts w:ascii="IRNazanin" w:hAnsi="IRNazanin" w:eastAsia="IRNazanin"/>
          <w:color w:val="111111"/>
          <w:sz w:val="28"/>
          <w:sz w:val="28"/>
          <w:szCs w:val="28"/>
          <w:rtl w:val="true"/>
          <w:lang w:bidi="fa-IR"/>
        </w:rPr>
        <w:t>فإنّ جمیع هذه الأفراد ممّا یصدق علیه الغناء علی التفاسیر المذکورة،و هی لیست منه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ثبت فی الشریعة المقدّسة استحباب رفع الصوت بالأذان،و لم یتوهّم أحد أنّه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إلاّ حسن الصوت</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و من الواضح جدّا أنّ حسن الصوت لا یعلم إلاّ بالمدّ و الرفع و الترجیع</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دلّت السیرة القطعیة المتّصلة إلی 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رفع الصوت بقراءة المراثی،بل ورد الحثّ علی قراءة الرثاء للأئمّة و أولادهم،و دلّت الروایات علی مدح بعض الراثین کدعبل و غیره،فلو کان مجرد رفع الصوت غناء</w:t>
      </w:r>
    </w:p>
    <w:p>
      <w:pPr>
        <w:pStyle w:val="BookText"/>
        <w:rPr/>
      </w:pPr>
      <w:r>
        <w:rPr>
          <w:rFonts w:ascii="IRNazanin" w:hAnsi="IRNazanin" w:eastAsia="IRNazanin"/>
          <w:color w:val="111111"/>
          <w:sz w:val="28"/>
          <w:sz w:val="28"/>
          <w:szCs w:val="28"/>
          <w:rtl w:val="true"/>
          <w:lang w:bidi="fa-IR"/>
        </w:rPr>
        <w:t>لما جاز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خروج جمیع المذکورات بالتخصیص تکلّف فی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مجموع الروایات بعد ضمّ بعضها إلی بعض هو ما ذکره المصنّف من حیث الکبری،و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الغناء المحرّم عبارة عن الصوت المرجّع فیه علی سبیل اللهو و الباطل و الإضلال عن الحقّ،سواء تحقّق فی کلام باطل أم فی کلام حقّ،و سمّاه فی الصحاح بالسماع،و یعبّر عنه فی لغة الفرس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 و سرود و پسته و آوازه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یصدق علیه فی العرف أنّه قول زور و صوت 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اللهو المحرّم قد یکون بآلة اللهو من غیر صوت کضرب الأوتار،و قد یکون بالصوت المجرّد،و قد یکون بالصوت فی آلة اللهو کالنفخ فی المزمار و القصب و قد یکون بالحرکات المجرّدة کالرقص،و قد یکون بغیرها من موجبات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فکل صوت کان صوتا لهویا و معدودا فی الخارج من ألحان أهل الفسوق و المعاصی فهو غناء محرّم،و من أظهر مصادیقه الأغانی الشائعة بین الناس فی الرادیوات و نحوها،و ما لم یدخل فی المعیار المذکور فلا دلیل علی کونه غناء فضلا عن حرمته،و إن صدق علیه بعض التعاریف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الضابطة المذکورة إنّما تتحقّق بأحد أمرین علی سبیل مانعة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الأصوات المتّصفة بصفة الغناء مقترنة بکلام لا یعدّ عند العقلاء إلاّ باطلا،لعدم اشتماله علی المعانی الصحیحة،بحیث یکون لکل واحد من اللحن و بطلان المادّة مدخل فی تحقّق معنی السماع و الغناء</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مثاله الألفاظ المصوغة علی هیئة خاصّة المشتملة علی الأوزان و السجع و القافیة،و المعانی المهیّجة للشهوة الباطلة و العشق الحیوانی،من دون أن تشتمل علی غرض عقلائی،بل قد لا تکون کلماتها متناسبة،کما تداول ذلک کثیرا بین شبّان العصر و شابّاته،و قد یقترن بالتصفیق و ضرب الأوتار و شرب الخمور و هتک الناس و غیرها من الامور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وجد اللحن المذکور فی کلام له معنی صحیح عند العقلاء لما کان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قراءة القرآن و الأدعیة و الخطب،و الأشعار المشتملة علی الحکم و المواعظ،و مدائح الأنبیاء و الأوصیاء و أعاظم الدین و مصائبهم و رثائهم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صدق الغناء علی رفع الصوت و ترجیعه بالامور المذکورة لجملة من التعاریف المتقدّمة،فیکون مشمولا لإطلاقات حرمة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قد عرفت أنّها تعاریف لفظیة،و إنّما سیقت لمجرد شرح الاسم فقط و إن کان بلفظ أعمّ فلا تکون مطردة و لا منعکسة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لما ذکره بعضهم من عدّ المراثی من المستثنیات من حرمة الغناء،فإنّها خارجة عنه موضوعا کما عرفت،و إذا ثبت کونها غناء فلا دلیل علی الاستثناء الذی یدّعیه هؤلاء القائلون،و سیأتی بیانه إن شاء اللّه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الصوت بنفسه مصداقا للغناء و قول الزور و اللهو المحرّم کألحان أهل الفسوق و الکبائر التی لا تصلح إلاّ للرقص و الطرب،سواء تحقّقت بکلمات باطلة أم تحقّقت بکلمات مشتملة علی المعانی الراقیة،کالقرآن و نهج البلاغة و الأدعیة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هی فی هذه الامور المعظّمة و ما أشبهها أبغض،لکونها هتکا للدین بل قد ینجر إلی الکفر و الزندقة،و من هنا نهی فی بعض الأحادیث عن قراءة القرآن بألحان أهل الفسوق و الکبائر </w:t>
      </w:r>
      <w:r>
        <w:rPr>
          <w:rStyle w:val="FootnoteAnchor"/>
          <w:rtl w:val="true"/>
        </w:rPr>
        <w:footnoteReference w:id="945"/>
      </w:r>
      <w:r>
        <w:rPr>
          <w:rFonts w:ascii="IRNazanin" w:hAnsi="IRNazanin" w:eastAsia="IRNazanin"/>
          <w:color w:val="111111"/>
          <w:sz w:val="28"/>
          <w:sz w:val="28"/>
          <w:szCs w:val="28"/>
          <w:rtl w:val="true"/>
          <w:lang w:bidi="fa-IR"/>
        </w:rPr>
        <w:t>،أو بألحان أهل الکتابین کما فی بعض</w:t>
      </w:r>
    </w:p>
    <w:p>
      <w:pPr>
        <w:pStyle w:val="BookText"/>
        <w:rPr/>
      </w:pPr>
      <w:r>
        <w:rPr>
          <w:rFonts w:ascii="IRNazanin" w:hAnsi="IRNazanin" w:eastAsia="IRNazanin"/>
          <w:color w:val="111111"/>
          <w:sz w:val="28"/>
          <w:sz w:val="28"/>
          <w:szCs w:val="28"/>
          <w:rtl w:val="true"/>
          <w:lang w:bidi="fa-IR"/>
        </w:rPr>
        <w:t xml:space="preserve">الأحادیث </w:t>
      </w:r>
      <w:r>
        <w:rPr>
          <w:rStyle w:val="FootnoteAnchor"/>
          <w:rtl w:val="true"/>
        </w:rPr>
        <w:footnoteReference w:id="946"/>
      </w:r>
      <w:r>
        <w:rPr>
          <w:rFonts w:ascii="IRNazanin" w:hAnsi="IRNazanin" w:eastAsia="IRNazanin"/>
          <w:color w:val="111111"/>
          <w:sz w:val="28"/>
          <w:sz w:val="28"/>
          <w:szCs w:val="28"/>
          <w:rtl w:val="true"/>
          <w:lang w:bidi="fa-IR"/>
        </w:rPr>
        <w:t>،و یریدون بأهل الکتابین 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ذکر فی غناء جواری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جئناکم جئناکم،حیّونا حیّونا،نحییکم</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و منه أیضا الرجز الذی یشبه ما جاء فی غناء جواری الأنصار </w:t>
      </w:r>
      <w:r>
        <w:rPr>
          <w:rStyle w:val="FootnoteAnchor"/>
          <w:rtl w:val="true"/>
        </w:rPr>
        <w:footnoteReference w:id="948"/>
      </w:r>
      <w:r>
        <w:rPr>
          <w:rFonts w:ascii="IRNazanin" w:hAnsi="IRNazanin" w:eastAsia="IRNazanin"/>
          <w:color w:val="111111"/>
          <w:sz w:val="28"/>
          <w:sz w:val="28"/>
          <w:szCs w:val="28"/>
          <w:rtl w:val="true"/>
          <w:lang w:bidi="fa-IR"/>
        </w:rPr>
        <w:t>،فإنّ التکلّم العادی بذلک لیس من المحرّمات فی الشریعة المقدّسة،بل هو مطلوب،لکونه مصداقا للتحیّة و الإکرام،و إنّما یکون حراما إذا تکیّف فی الخارج بکیفیة لهویة،و ظهر فی صورة السماع و الغناء</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 للصوت تأثیرا فی النفوس،فإن کان إیجاده للحزن و البکاء و ذکر الجنّة و النار بقراءة القرآن و نحوه لم یکن غناء لیحکم بحرمته،بل یکون القارئ مأجورا عند اللّه،و إن کان ذلک للرقص و التلهّی کان غناء و سماعا و مشمولا للروایات المتواترة الدالّة علی حرمة الغناء،و اللّه العالم</w:t>
      </w:r>
      <w:r>
        <w:rPr>
          <w:rFonts w:eastAsia="IRNazanin" w:cs="IRNazanin"/>
          <w:color w:val="111111"/>
          <w:sz w:val="28"/>
          <w:szCs w:val="28"/>
          <w:rtl w:val="true"/>
          <w:lang w:bidi="fa-IR"/>
        </w:rPr>
        <w:t>.</w:t>
      </w:r>
      <w:bookmarkStart w:id="658" w:name="pg5064_65589"/>
    </w:p>
    <w:p>
      <w:pPr>
        <w:pStyle w:val="Heading4"/>
        <w:numPr>
          <w:ilvl w:val="3"/>
          <w:numId w:val="1"/>
        </w:numPr>
        <w:rPr/>
      </w:pPr>
      <w:bookmarkStart w:id="659" w:name="__RefHeading___Toc910414_774463916"/>
      <w:bookmarkStart w:id="660" w:name="_Toc241"/>
      <w:bookmarkEnd w:id="658"/>
      <w:bookmarkEnd w:id="659"/>
      <w:r>
        <w:rPr>
          <w:rtl w:val="true"/>
        </w:rPr>
        <w:t>مستثنیات حرمة الغناء</w:t>
      </w:r>
      <w:bookmarkEnd w:id="660"/>
    </w:p>
    <w:p>
      <w:pPr>
        <w:pStyle w:val="Heading5"/>
        <w:numPr>
          <w:ilvl w:val="4"/>
          <w:numId w:val="1"/>
        </w:numPr>
        <w:rPr/>
      </w:pPr>
      <w:bookmarkStart w:id="661" w:name="__RefHeading___Toc910416_774463916"/>
      <w:bookmarkStart w:id="662" w:name="_Toc242"/>
      <w:bookmarkEnd w:id="661"/>
      <w:r>
        <w:rPr>
          <w:rtl w:val="true"/>
        </w:rPr>
        <w:t>رثاء الحسین</w:t>
      </w:r>
      <w:r>
        <w:rPr>
          <w:rtl w:val="true"/>
        </w:rPr>
        <w:t>(</w:t>
      </w:r>
      <w:r>
        <w:rPr>
          <w:rtl w:val="true"/>
        </w:rPr>
        <w:t>علیه السّلام</w:t>
      </w:r>
      <w:r>
        <w:rPr>
          <w:rtl w:val="true"/>
        </w:rPr>
        <w:t>)</w:t>
      </w:r>
      <w:bookmarkEnd w:id="66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رثاء الحسین و 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محکی 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استثنی مراثی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و دلیله أیضا غیر واضح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قرّب الجواز،لعدم الدلیل علی حرمة الغناء مطلقا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البکاء و التفجّع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و مرغوب،و فیه ثواب عظیم،و الغناء معین علی ذلک،و أنّه متعارف دائما فی بلاد المسلمین من زمن المشایخ إلی زماننا هذا من غیر نکیر،و هو یدل علی الجواز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أیّد رأیه هذا بما دل علی جواز النیاحة فی الشریعة المقدّسة،و بأنّ التحریم إنّما هو للطرب،و لیس فی المراثی طرب،بل لیس فیها إلاّ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بعض متأخّر المتأخّرین علی ذلک بعمومات أدلّة البکاء و الرثاء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آنفا أنّ المراثی خارجة عن الغناء موضوعا،فلا وجه لذکرها من مستثنیات حرمة الغناء،و لو سلّمنا إطلاق الغناء علیها لشملتها إطلاقات حرمة الغناء المتقدّمة،و لا دلیل علی الاستثناء،و وجود السیرة علی الرثاء و إقامة التعزیة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 المسلمین و إن کان مسلّما،و لکنّها لا تدل علی جواز الغناء فیها الذی ثبت تحریمه بالآیات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 علی ثواب 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دل علی جواز النوح علی المیّت،فلا یعارض ما دل علی حرمة الغناء،و سیأتی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الأردبیلی من أنّه معین علی البکاء فهو ممنوع،فإنّ الغناء علی ما</w:t>
      </w:r>
      <w:bookmarkStart w:id="663" w:name="pg5064_65590"/>
    </w:p>
    <w:p>
      <w:pPr>
        <w:pStyle w:val="BookText"/>
        <w:rPr/>
      </w:pPr>
      <w:bookmarkEnd w:id="663"/>
      <w:r>
        <w:rPr>
          <w:rFonts w:ascii="IRNazanin" w:hAnsi="IRNazanin" w:eastAsia="IRNazanin"/>
          <w:color w:val="111111"/>
          <w:sz w:val="28"/>
          <w:sz w:val="28"/>
          <w:szCs w:val="28"/>
          <w:rtl w:val="true"/>
          <w:lang w:bidi="fa-IR"/>
        </w:rPr>
        <w:t>حقّقنا من مفهومه لا یجتمع مع البکاء و التفجّع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من أنّ التحریم إنّما هو للطرب و لیس فی المراثی طرب،فهو یدلّ علی خروج الغناء عن المراثی موضوعا لا حکما</w:t>
      </w:r>
      <w:r>
        <w:rPr>
          <w:rFonts w:eastAsia="IRNazanin" w:cs="IRNazanin"/>
          <w:color w:val="111111"/>
          <w:sz w:val="28"/>
          <w:szCs w:val="28"/>
          <w:rtl w:val="true"/>
          <w:lang w:bidi="fa-IR"/>
        </w:rPr>
        <w:t>.</w:t>
      </w:r>
    </w:p>
    <w:p>
      <w:pPr>
        <w:pStyle w:val="Heading5"/>
        <w:numPr>
          <w:ilvl w:val="4"/>
          <w:numId w:val="1"/>
        </w:numPr>
        <w:rPr/>
      </w:pPr>
      <w:bookmarkStart w:id="664" w:name="__RefHeading___Toc910418_774463916"/>
      <w:bookmarkStart w:id="665" w:name="_Toc243"/>
      <w:bookmarkEnd w:id="664"/>
      <w:r>
        <w:rPr>
          <w:rtl w:val="true"/>
        </w:rPr>
        <w:t>جواز الحداء لسوق الإبل</w:t>
      </w:r>
      <w:bookmarkEnd w:id="66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الحداء لسوق الإبل،و قد اشتهر فیه استثناء الغناء،و لکنّه ممنوع لعدم الدلیل علیه،نعم ذکر فی جملة من النبویات المنقولة من طرق العامّة </w:t>
      </w:r>
      <w:r>
        <w:rPr>
          <w:rStyle w:val="FootnoteAnchor"/>
          <w:rtl w:val="true"/>
        </w:rPr>
        <w:footnoteReference w:id="950"/>
      </w:r>
      <w:r>
        <w:rPr>
          <w:rFonts w:ascii="IRNazanin" w:hAnsi="IRNazanin" w:eastAsia="IRNazanin"/>
          <w:color w:val="111111"/>
          <w:sz w:val="28"/>
          <w:sz w:val="28"/>
          <w:szCs w:val="28"/>
          <w:rtl w:val="true"/>
          <w:lang w:bidi="fa-IR"/>
        </w:rPr>
        <w:t>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ضعیفة السند،و غیر منجبرة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انجبارها فلا دلالة فیها علی کون الحداء الذی جوّزه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غناء،فإنّ القضیة التی ذکرت فیها لم یعلم وقوعها بأی کیفیة،نعم الظاهر خروجه من مفهوم الغناء موضوعا،و قد مال إلیه صاحب الجواهر،قال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ربما ادّعی أنّ الحداء قسیم للغناء بشهادة العرف و حینئذ یکون خارجا عن الموضوع،لا عن الحکم،و لا بأس به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910420_774463916"/>
      <w:bookmarkStart w:id="667" w:name="_Toc244"/>
      <w:bookmarkEnd w:id="666"/>
      <w:r>
        <w:rPr>
          <w:rtl w:val="true"/>
        </w:rPr>
        <w:t>جواز الغناء فی زفّ العرائس</w:t>
      </w:r>
      <w:bookmarkEnd w:id="66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غناء المغنّیة فی زفّ العرائس،و قد استثناه جمع کثیر من أعاظم الأصحاب،و هو کذلک،للروایات الدالّة علی الجواز،کصحیحة أبی بصیر،قال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المغنّیة التی تزفّ العرائس لیس به بأس،و لیست بالتی یدخل علیها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 المتقدّمة فی البحث عن بیع</w:t>
      </w:r>
      <w:bookmarkStart w:id="668" w:name="pg5064_65591"/>
    </w:p>
    <w:p>
      <w:pPr>
        <w:pStyle w:val="BookText"/>
        <w:rPr/>
      </w:pPr>
      <w:bookmarkEnd w:id="668"/>
      <w:r>
        <w:rPr>
          <w:rFonts w:ascii="IRNazanin" w:hAnsi="IRNazanin" w:eastAsia="IRNazanin"/>
          <w:color w:val="111111"/>
          <w:sz w:val="28"/>
          <w:sz w:val="28"/>
          <w:szCs w:val="28"/>
          <w:rtl w:val="true"/>
          <w:lang w:bidi="fa-IR"/>
        </w:rPr>
        <w:t xml:space="preserve">الجاریة المغنّیة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هذا فیما لم یطرأ علیه عنوان آخر محرّم،و إلاّ کان حراما،کالتکلّم بالأباطیل و الکذب و ضرب الأوتار و دخول الرجال علیهنّ و غیرها من الامور المحرّمة،و قد صرّح بذلک المحقّق الأردبیلی فی محکی شرح الإرشاد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بالتی یدخل علیها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الغناء إنّما یکون حراما للمحرّمات الخارجیة،کما ذهب إلیه المحدّث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جوّزه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زفاف العرائس مع عدم اقترانه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هذه الروایة،و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بمن تدعی إلی العرائس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الغناء علی قسمین،أحدهما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یختلط فیه الرجال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یختصّ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فهو حرام مطلقا،و أمّا الثانی فهو أیضا حرام إلاّ فی زفّ العرائس</w:t>
      </w:r>
      <w:r>
        <w:rPr>
          <w:rFonts w:eastAsia="IRNazanin" w:cs="IRNazanin"/>
          <w:color w:val="111111"/>
          <w:sz w:val="28"/>
          <w:szCs w:val="28"/>
          <w:rtl w:val="true"/>
          <w:lang w:bidi="fa-IR"/>
        </w:rPr>
        <w:t>.</w:t>
      </w:r>
    </w:p>
    <w:p>
      <w:pPr>
        <w:pStyle w:val="Heading5"/>
        <w:numPr>
          <w:ilvl w:val="4"/>
          <w:numId w:val="1"/>
        </w:numPr>
        <w:rPr/>
      </w:pPr>
      <w:bookmarkStart w:id="669" w:name="__RefHeading___Toc910422_774463916"/>
      <w:bookmarkStart w:id="670" w:name="_Toc245"/>
      <w:bookmarkEnd w:id="669"/>
      <w:r>
        <w:rPr>
          <w:rtl w:val="true"/>
        </w:rPr>
        <w:t>الغناء فی قراءة القرآن</w:t>
      </w:r>
      <w:bookmarkEnd w:id="67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فی قراءة القرآن،و قد اشتهر بین المتأخّرین نسبة استثناء الغناء فی قراءة القرآن إلی صاحب الکفایة،قال فی تجارة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غیر واحد من الأخبار </w:t>
      </w:r>
      <w:r>
        <w:rPr>
          <w:rStyle w:val="FootnoteAnchor"/>
          <w:rtl w:val="true"/>
        </w:rPr>
        <w:footnoteReference w:id="954"/>
      </w:r>
      <w:r>
        <w:rPr>
          <w:rFonts w:ascii="IRNazanin" w:hAnsi="IRNazanin" w:eastAsia="IRNazanin"/>
          <w:color w:val="111111"/>
          <w:sz w:val="28"/>
          <w:sz w:val="28"/>
          <w:szCs w:val="28"/>
          <w:rtl w:val="true"/>
          <w:lang w:bidi="fa-IR"/>
        </w:rPr>
        <w:t>یدل علی جوازه بل استحبابه فی القرآن بناء علی دلالة الروایات علی</w:t>
      </w:r>
    </w:p>
    <w:p>
      <w:pPr>
        <w:pStyle w:val="BookText"/>
        <w:rPr/>
      </w:pPr>
      <w:r>
        <w:rPr>
          <w:rFonts w:ascii="IRNazanin" w:hAnsi="IRNazanin" w:eastAsia="IRNazanin"/>
          <w:color w:val="111111"/>
          <w:sz w:val="28"/>
          <w:sz w:val="28"/>
          <w:szCs w:val="28"/>
          <w:rtl w:val="true"/>
          <w:lang w:bidi="fa-IR"/>
        </w:rPr>
        <w:t xml:space="preserve">حسن الصوت و التحزین و الترجیع فی القرآن بل استحبابه،و الظاهر أنّ شیئا منها لا یوجد بدون الغناء علی ما استفید من کلام أهل اللغة و غیرهم،علی ما فصّلنا فی بعض رسائلنا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مفاد هذه الروایات خارج عن الغناء موضوعا کما عرفت،فلا دلالة فی شیء منها علی جواز الغناء فی القرآن،بل بعضها صریح فی النهی عن قراءة القرآن بألحان أهل الفسوق و الکبائر الذین یرجعون القرآن ترجیع الغناء،و قد ذکرنا هذه الروایة فی البحث عن موضوع الغناء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قراءة القرآن بالصوت الحسن و إن کان مطلوبا للشارع و لکنّها محدودة بما إذا لم تنجر إلی الغناء،و إلاّ کانت محرّمة،نعم لا شبهة فی صدق الغناء علیه علی تعاریف بعض أهل اللغة،و لکنّک قد عرفت أنّها لیست بجامعة و لا مانعة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صاحب الکفایة فی الوجه الأول من الوجهین اللذین جمع بهما بین الأخبار،قال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تلک الأخبار الواردة المانعة بما عدا القرآن و حمل ما یدل علی ذمّ التغنّی بالقرآن علی قراءة تکون علی سبیل اللهو کما یصنعه</w:t>
      </w:r>
    </w:p>
    <w:p>
      <w:pPr>
        <w:pStyle w:val="BookText"/>
        <w:rPr/>
      </w:pPr>
      <w:r>
        <w:rPr>
          <w:rFonts w:ascii="IRNazanin" w:hAnsi="IRNazanin" w:eastAsia="IRNazanin"/>
          <w:color w:val="111111"/>
          <w:sz w:val="28"/>
          <w:sz w:val="28"/>
          <w:szCs w:val="28"/>
          <w:rtl w:val="true"/>
          <w:lang w:bidi="fa-IR"/>
        </w:rPr>
        <w:t>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أیّده بروایة عبد اللّه بن سنان </w:t>
      </w:r>
      <w:r>
        <w:rPr>
          <w:rStyle w:val="FootnoteAnchor"/>
          <w:rtl w:val="true"/>
        </w:rPr>
        <w:footnoteReference w:id="957"/>
      </w:r>
      <w:r>
        <w:rPr>
          <w:rFonts w:ascii="IRNazanin" w:hAnsi="IRNazanin" w:eastAsia="IRNazanin"/>
          <w:color w:val="111111"/>
          <w:sz w:val="28"/>
          <w:sz w:val="28"/>
          <w:szCs w:val="28"/>
          <w:rtl w:val="true"/>
          <w:lang w:bidi="fa-IR"/>
        </w:rPr>
        <w:t>الناهیة عن قراءة القرآن بألحان أهل الفسوق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بجواز الغناء فی القرآن،بدعوی أنّ أخبار الغناء معارضة بالأخبار الکثیرة المتواترة الدالّة علی فضل قراءة القرآن و الأدعیة و الأذکار بالعموم من وجه و بعد التساقط فی مورد الاجتماع یرجع إلی أصالة الإباحة،و قد ذکر المصنّف </w:t>
      </w:r>
      <w:r>
        <w:rPr>
          <w:rStyle w:val="FootnoteAnchor"/>
          <w:rtl w:val="true"/>
        </w:rPr>
        <w:footnoteReference w:id="958"/>
      </w:r>
      <w:r>
        <w:rPr>
          <w:rFonts w:ascii="IRNazanin" w:hAnsi="IRNazanin" w:eastAsia="IRNazanin"/>
          <w:color w:val="111111"/>
          <w:sz w:val="28"/>
          <w:sz w:val="28"/>
          <w:szCs w:val="28"/>
          <w:rtl w:val="true"/>
          <w:lang w:bidi="fa-IR"/>
        </w:rPr>
        <w:t>هذا الوجه فی خلال کلام صاحب الکفایة،و لکن لیس فی تجارة الکفایة من ذلک عین و لا أثر،و لا لما نسبه إلیه المصنّف من جملة من العبارات،و لا تأیید مذهبه بروایة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علیه المصنّف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الأحکام غیر الإلزامیة لا تقاوم أدلّة الأحکام الإلزامیة،و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إنّما یتّصف بالحکم غیر الإلزامی إذا خلا فی طبعه عمّا یقتضی الوجوب أو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إجابة دعوة المؤمن و قضاء حاجته و إدخال السرور فی قلبه و کشف کربته من الامور المستحبّة فی نفسها و لکن إذا استلزم امتثالها ترک واجب کالصوم و الصلاة،أو إیجاد حرام کالزنا و اللواط تخرج عن الاستحباب،و تکون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لا یرتبط بکلام المستدل،و تحقیق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ملاحظة اجتماع الأحکام الإلزامیة مع الأحکام غیر الإلزامیة یتصوّر علی وجوه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 المزاحمة بین الطائفتین فی مرحلة الامتثال،من دون أن ترتبط إحداهما بالاخری فی مقام الجعل و الإنشاء،کالمزاحمة الواقعة بین الإتیان بالواجب و بین الإتیان بالامور المستحبّة،فانّه لا شبهة حینئذ فی تقدیم أدلّة الأحکام</w:t>
      </w:r>
    </w:p>
    <w:p>
      <w:pPr>
        <w:pStyle w:val="BookText"/>
        <w:rPr/>
      </w:pPr>
      <w:r>
        <w:rPr>
          <w:rFonts w:ascii="IRNazanin" w:hAnsi="IRNazanin" w:eastAsia="IRNazanin"/>
          <w:color w:val="111111"/>
          <w:sz w:val="28"/>
          <w:sz w:val="28"/>
          <w:szCs w:val="28"/>
          <w:rtl w:val="true"/>
          <w:lang w:bidi="fa-IR"/>
        </w:rPr>
        <w:t>الإلزامیة علی غیرها،و کونها معجّزة عنه،کما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الموضوع فیهما واحدا،من دون أن یکون بینهما تماس فی مرحلتی الثبوت و الإثبات،و لا یقع بینهما تزاحم و تعارض أصلا،کما إذا حکم الشارع بجواز شیء فی نفسه و طبعه،و بحرمته بلحاظ ما یطرأ علیه من العناوین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 إباحة الشارع أکل لحم الضأن مثلا فی حدّ نفسه،و حکمه بحرمته إذا کان الحیوان جلالا أو موطوءا،فإنه لا تنافی بین الحکمین ثبوتا و إثباتا،إذ لا إطلاق لدلیل الحکم غیر الإلزامی حتّی بالنسبة إلی العناوین الثانویة لتقع المعارضة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یتّحد موضوع الحکمین أیضا،و لکن یقیّد الحکم غیر الإلزامی بعدم المخالفة للحکم الإلزامی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قضاء حاجة المؤمن و إجابة دعوته و إدخال السرور فی قلبه و تفریج غمّه من الامور المرغوبة فی الشریعة المقدّسة،إلاّ أنّها مقیّدة بعدم ترک الواجب و فعل الحرام،لما ورد من أنه لا طاعة للمخلوق فی معصیة الخالق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فتقدیم دلیل الوجوب أو الحرمة فی هذه الصورة علی أدلّة الامور المذکورة و إن کان مسلّما،إلاّ أنه لدلیل خارجی،لا لما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الصور الثلاثة کلّها غریبة عن کلام المستدل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صحّت روایة عبد اللّه بن سنان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دلّت علی استحباب قراءة القرآن بألحان العرب،و حرمة قراءته بألحان أهل الفسوق و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لوجب تقیید ما دلّ علی استحباب قراءة القرآن بصوت حسن بغیر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w:t>
      </w:r>
      <w:bookmarkStart w:id="671" w:name="pg5064_65595"/>
    </w:p>
    <w:p>
      <w:pPr>
        <w:pStyle w:val="BookText"/>
        <w:rPr/>
      </w:pPr>
      <w:bookmarkEnd w:id="671"/>
      <w:r>
        <w:rPr>
          <w:rFonts w:ascii="IRNazanin" w:hAnsi="IRNazanin" w:eastAsia="IRNazanin"/>
          <w:color w:val="111111"/>
          <w:sz w:val="28"/>
          <w:sz w:val="28"/>
          <w:szCs w:val="28"/>
          <w:rtl w:val="true"/>
          <w:lang w:bidi="fa-IR"/>
        </w:rPr>
        <w:t>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متّحدا فی مقام الثبوت،و لکن الأدلّة متعارضة فی إثبات کونه إلزامیا أو غیر 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الحکمان الإلزامی و غیر الإلزامی فی مرحلة جعلهما مطلقین،بحیث لا یرتبط أحدهما بالآخر،و لکنّهما قد یتصادقان علی مورد فی الخارج،و یتعارضان بالعموم من وجه،لا بنحو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هاتین الصورتین لا وجه لدعوی أنّ أدلّة الأحکام غیر الإلزامیة لا تقاوم أدلّة الأحکام الإلزامیة،بل لا بدّ من ملاحظة المرجّحات فی تقدیم إحداهما علی الاخری،و قد حقّق ذلک فی محلّه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ذکره المستدل إنّما هو من قبیل الصورة الرابعة،و علیه فلا وجه للحکم بالتساقط و الرجوع إلی أصالة الإباحة،بل یقدّم ما دلّ علی حرمة الغناء،لکونه مخالفا للعامّة،و یترک ما دلّ علی الجواز لموافقته لهم،و نتیجة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استثناء الغناء فی القرآن و الأدعیة و الأذکار</w:t>
      </w:r>
      <w:r>
        <w:rPr>
          <w:rFonts w:eastAsia="IRNazanin" w:cs="IRNazanin"/>
          <w:color w:val="111111"/>
          <w:sz w:val="28"/>
          <w:szCs w:val="28"/>
          <w:rtl w:val="true"/>
          <w:lang w:bidi="fa-IR"/>
        </w:rPr>
        <w:t>.</w:t>
      </w:r>
    </w:p>
    <w:p>
      <w:pPr>
        <w:pStyle w:val="Heading4"/>
        <w:numPr>
          <w:ilvl w:val="3"/>
          <w:numId w:val="1"/>
        </w:numPr>
        <w:rPr/>
      </w:pPr>
      <w:bookmarkStart w:id="672" w:name="__RefHeading___Toc910424_774463916"/>
      <w:bookmarkStart w:id="673" w:name="_Toc246"/>
      <w:bookmarkEnd w:id="672"/>
      <w:r>
        <w:rPr>
          <w:rtl w:val="true"/>
        </w:rPr>
        <w:t>تعلّم الغناء و تعلیمه</w:t>
      </w:r>
      <w:bookmarkEnd w:id="673"/>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تعلّم الغناء و تعلیمه أو لا؟قد یکون ذلک بالتغنّی و استماعه و قد یکون بالتوصیف و السؤال عن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فلا شبهة فی حرمته فإنّ التغنّی و الاستماع إلیه کلاهما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الثانی فقد ذکر تحریمه فی بعض الروایات </w:t>
      </w:r>
      <w:r>
        <w:rPr>
          <w:rStyle w:val="FootnoteAnchor"/>
          <w:rtl w:val="true"/>
        </w:rPr>
        <w:footnoteReference w:id="961"/>
      </w:r>
      <w:r>
        <w:rPr>
          <w:rFonts w:ascii="IRNazanin" w:hAnsi="IRNazanin" w:eastAsia="IRNazanin"/>
          <w:color w:val="111111"/>
          <w:sz w:val="28"/>
          <w:sz w:val="28"/>
          <w:szCs w:val="28"/>
          <w:rtl w:val="true"/>
          <w:lang w:bidi="fa-IR"/>
        </w:rPr>
        <w:t>و لکنّها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الأصل هو الجواز،إلاّ أن یطرأ علیه</w:t>
      </w:r>
      <w:bookmarkStart w:id="674" w:name="pg5064_65596"/>
    </w:p>
    <w:p>
      <w:pPr>
        <w:pStyle w:val="BookText"/>
        <w:rPr/>
      </w:pPr>
      <w:bookmarkEnd w:id="674"/>
      <w:r>
        <w:rPr>
          <w:rFonts w:ascii="Amiri" w:hAnsi="Amiri" w:eastAsia="Amiri" w:cs="Amiri"/>
          <w:color w:val="111111"/>
          <w:sz w:val="28"/>
          <w:sz w:val="28"/>
          <w:szCs w:val="28"/>
          <w:rtl w:val="true"/>
          <w:lang w:bidi="ar-SA"/>
        </w:rPr>
        <w:t>عنوان محرّم</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910426_774463916"/>
      <w:bookmarkStart w:id="676" w:name="_Toc247"/>
      <w:bookmarkEnd w:id="675"/>
      <w:r>
        <w:rPr>
          <w:rtl w:val="true"/>
        </w:rPr>
        <w:t>حرمة الغیبة</w:t>
      </w:r>
      <w:bookmarkEnd w:id="676"/>
    </w:p>
    <w:p>
      <w:pPr>
        <w:pStyle w:val="Heading4"/>
        <w:numPr>
          <w:ilvl w:val="3"/>
          <w:numId w:val="1"/>
        </w:numPr>
        <w:rPr/>
      </w:pPr>
      <w:bookmarkStart w:id="677" w:name="__RefHeading___Toc910428_774463916"/>
      <w:bookmarkStart w:id="678" w:name="_Toc248"/>
      <w:bookmarkEnd w:id="677"/>
      <w:r>
        <w:rPr>
          <w:rtl w:val="true"/>
        </w:rPr>
        <w:t>اشارة</w:t>
      </w:r>
      <w:bookmarkEnd w:id="67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حرام بالأدلّة الأربعة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فی حرمة الغیبة فی الجملة،للآیة و الروایات المتظافرة المتواترة من طرق الشیعة </w:t>
      </w:r>
      <w:r>
        <w:rPr>
          <w:rStyle w:val="FootnoteAnchor"/>
          <w:rtl w:val="true"/>
        </w:rPr>
        <w:footnoteReference w:id="963"/>
      </w:r>
      <w:r>
        <w:rPr>
          <w:rFonts w:ascii="Amiri" w:hAnsi="Amiri" w:eastAsia="Amiri" w:cs="Amiri"/>
          <w:color w:val="111111"/>
          <w:sz w:val="28"/>
          <w:sz w:val="28"/>
          <w:szCs w:val="28"/>
          <w:rtl w:val="true"/>
          <w:lang w:bidi="ar-SA"/>
        </w:rPr>
        <w:t xml:space="preserve">و من طرق العامّة </w:t>
      </w:r>
      <w:r>
        <w:rPr>
          <w:rStyle w:val="FootnoteAnchor"/>
          <w:rtl w:val="true"/>
        </w:rPr>
        <w:footnoteReference w:id="964"/>
      </w:r>
      <w:r>
        <w:rPr>
          <w:rFonts w:ascii="IRNazanin" w:hAnsi="IRNazanin" w:eastAsia="IRNazanin"/>
          <w:color w:val="111111"/>
          <w:sz w:val="28"/>
          <w:sz w:val="28"/>
          <w:szCs w:val="28"/>
          <w:rtl w:val="true"/>
          <w:lang w:bidi="fa-IR"/>
        </w:rPr>
        <w:t>و أکثر هذه الروایات و إن کان ضعیف السند،و لکن فی المعتبر منها غنی و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متواترة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حرمتها من ضروریات الدین،و ممّا قام علیه إجماع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حکم العقل بحرمتها أیضا،لکونها ظلما للمغتاب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هتکا له</w:t>
      </w:r>
      <w:r>
        <w:rPr>
          <w:rFonts w:eastAsia="IRNazanin" w:cs="IRNazanin"/>
          <w:color w:val="111111"/>
          <w:sz w:val="28"/>
          <w:szCs w:val="28"/>
          <w:rtl w:val="true"/>
          <w:lang w:bidi="fa-IR"/>
        </w:rPr>
        <w:t>.</w:t>
      </w:r>
    </w:p>
    <w:p>
      <w:pPr>
        <w:pStyle w:val="Heading4"/>
        <w:numPr>
          <w:ilvl w:val="3"/>
          <w:numId w:val="1"/>
        </w:numPr>
        <w:rPr/>
      </w:pPr>
      <w:bookmarkStart w:id="679" w:name="__RefHeading___Toc910430_774463916"/>
      <w:bookmarkStart w:id="680" w:name="_Toc249"/>
      <w:bookmarkEnd w:id="679"/>
      <w:r>
        <w:rPr>
          <w:rtl w:val="true"/>
        </w:rPr>
        <w:t>النصوص الدالّة علی الحرمة</w:t>
      </w:r>
      <w:bookmarkEnd w:id="68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یکفی فی إثبات الحرمة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یَغْتَبْ بَعْضُکُمْ بَعْضاً أَ یُحِبُّ أَحَدُکُمْ أَنْ یَأْکُلَ لَحْمَ أَخِیهِ مَیْتاً فَکَرِهْتُمُوهُ </w:t>
      </w:r>
      <w:r>
        <w:rPr>
          <w:rStyle w:val="FootnoteAnchor"/>
          <w:rtl w:val="true"/>
        </w:rPr>
        <w:footnoteReference w:id="965"/>
      </w:r>
      <w:r>
        <w:rPr>
          <w:rFonts w:ascii="IRNazanin" w:hAnsi="IRNazanin" w:eastAsia="IRNazanin"/>
          <w:color w:val="111111"/>
          <w:sz w:val="28"/>
          <w:sz w:val="28"/>
          <w:szCs w:val="28"/>
          <w:rtl w:val="true"/>
          <w:lang w:bidi="fa-IR"/>
        </w:rPr>
        <w:t>فإنّه تعالی بعد نهیه عن الغیبة صریحا أراد بیان کونها من الکبائر الموبقة و الجرائم المهلکة،فشبّه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بآکل المیتة إمّا لأنّه یأکل الجیف فی الآخرة کما فی بعض الروایات </w:t>
      </w:r>
      <w:r>
        <w:rPr>
          <w:rStyle w:val="FootnoteAnchor"/>
          <w:rtl w:val="true"/>
        </w:rPr>
        <w:footnoteReference w:id="966"/>
      </w:r>
      <w:r>
        <w:rPr>
          <w:rFonts w:ascii="IRNazanin" w:hAnsi="IRNazanin" w:eastAsia="IRNazanin"/>
          <w:color w:val="111111"/>
          <w:sz w:val="28"/>
          <w:sz w:val="28"/>
          <w:szCs w:val="28"/>
          <w:rtl w:val="true"/>
          <w:lang w:bidi="fa-IR"/>
        </w:rPr>
        <w:t>أو لتشبیهه بالسباع</w:t>
      </w:r>
    </w:p>
    <w:p>
      <w:pPr>
        <w:pStyle w:val="BookText"/>
        <w:rPr/>
      </w:pPr>
      <w:r>
        <w:rPr>
          <w:rFonts w:ascii="IRNazanin" w:hAnsi="IRNazanin" w:eastAsia="IRNazanin"/>
          <w:color w:val="111111"/>
          <w:sz w:val="28"/>
          <w:sz w:val="28"/>
          <w:szCs w:val="28"/>
          <w:rtl w:val="true"/>
          <w:lang w:bidi="fa-IR"/>
        </w:rPr>
        <w:t xml:space="preserve">و الکلاب،أو لکون حرمة الغیبة کحرمة أکل المیتة،بل أعظم کما فی روایة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شبّه عرض المؤمن باللحم،فإنّه ینتقص بالهتک،کما ینتقص اللحم بالأکل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 الاغتیاب بالأکل،لحصول الالتذاذ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المؤمن بأنّه أخ فإنّ المؤمنین إخوة،و من طبیعة الاخوّة أن یکون بینهم تحابب و توادد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بالمیّت،لعدم حضوره فی أکثر حالات الاغتیاب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سبحانه و تعالی الجملة بالاستفهام الإنکاری،إشعارا للفاعل بأنّ هذا العمل یقبح أن یصدر من أحد،إذ کما لا یحبّ أحد أن یأکل لحم أخیه المیّت لاشمئزاز طبعه عنه و شدّة رأفته به،کذلک لا بدّ و أن یشمئز عقله عن الغیبة،لکونها هتکا لعرض أخیه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حرمة الغیبة بآیات اخر،و لکن لا دلالة فی شیء منها علی ذلک إلاّ بالقرائن الخارجیة،فلا یکون الاستدلال علیها بالآیات،بل بتلک الامور الخارجیة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 اللّهُ الْجَهْرَ بِالسُّوءِ مِنَ الْقَوْلِ </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الآیة ما یدلّ علی أنّ الغیبة من الجهر بالسوء،إلاّ بالقرائن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یستفاد منها التحریم،فإنّ عدم المحبوبیة أعم منه و من الکراهة المصطلحة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هُمَزَةٍ لُمَزَةٍ </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الهمزة و اللمزة بمعنی کثرة الطعن علی غیره بغیر حقّ،سواء کان فی الغیاب أم فی الحضور،و سواء کان باللسان أم بغیره،و سیأتی أنّ الغیبة عبارة عن إظهار ما ستره اللّه،و بین العنوانین عموم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تدل علی أنّ حبّ شیوع الفاحشة من المحرّمات و قد أوعد اللّه علیه النار،و الغیبة إخبار عن الفاحشة و العیب المستور،و هما متباینان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یکون الإخبار عن العیوب المستورة بنفسه من الفواحش،کما هو مقتضی الروایات الدالّة علی حرمة الغیبة،بل فی بعض الروایات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مؤمن ما رأته عیناه و سمعته اذناه فهو من الذین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یُحِبُّونَ الآیة</w:t>
      </w:r>
      <w:r>
        <w:rPr>
          <w:rFonts w:eastAsia="IRNazanin" w:cs="IRNazanin"/>
          <w:color w:val="111111"/>
          <w:sz w:val="28"/>
          <w:szCs w:val="28"/>
          <w:rtl w:val="true"/>
          <w:lang w:bidi="fa-IR"/>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خروج عن الاستدلال بالآیة إلی الروایة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أخص من المدّعی،فإنّ الآیة لا یندرج فیها حینئذ إلاّ نشر الغیبة،لا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إلی ذلک أنّ الروایة ضعیفة السند</w:t>
      </w:r>
      <w:r>
        <w:rPr>
          <w:rFonts w:eastAsia="IRNazanin" w:cs="IRNazanin"/>
          <w:color w:val="111111"/>
          <w:sz w:val="28"/>
          <w:szCs w:val="28"/>
          <w:rtl w:val="true"/>
          <w:lang w:bidi="fa-IR"/>
        </w:rPr>
        <w:t>.</w:t>
      </w:r>
      <w:bookmarkStart w:id="681" w:name="pg5064_65599"/>
    </w:p>
    <w:p>
      <w:pPr>
        <w:pStyle w:val="Heading4"/>
        <w:numPr>
          <w:ilvl w:val="3"/>
          <w:numId w:val="1"/>
        </w:numPr>
        <w:rPr/>
      </w:pPr>
      <w:bookmarkStart w:id="682" w:name="__RefHeading___Toc910432_774463916"/>
      <w:bookmarkStart w:id="683" w:name="_Toc250"/>
      <w:bookmarkEnd w:id="681"/>
      <w:bookmarkEnd w:id="682"/>
      <w:r>
        <w:rPr>
          <w:rtl w:val="true"/>
        </w:rPr>
        <w:t>الغیبة من الذنوب الکبیرة</w:t>
      </w:r>
      <w:bookmarkEnd w:id="683"/>
    </w:p>
    <w:p>
      <w:pPr>
        <w:pStyle w:val="Heading5"/>
        <w:numPr>
          <w:ilvl w:val="4"/>
          <w:numId w:val="1"/>
        </w:numPr>
        <w:rPr/>
      </w:pPr>
      <w:bookmarkStart w:id="684" w:name="__RefHeading___Toc910434_774463916"/>
      <w:bookmarkStart w:id="685" w:name="_Toc251"/>
      <w:bookmarkEnd w:id="684"/>
      <w:r>
        <w:rPr>
          <w:rtl w:val="true"/>
        </w:rPr>
        <w:t>اشارة</w:t>
      </w:r>
      <w:bookmarkEnd w:id="68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ظاهر هذه الأخبار کون الغیبة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الظهور ما ذکره فی مبحث الکبائر من رسالته فی العدالة </w:t>
      </w:r>
      <w:r>
        <w:rPr>
          <w:rStyle w:val="FootnoteAnchor"/>
          <w:rtl w:val="true"/>
        </w:rPr>
        <w:footnoteReference w:id="972"/>
      </w:r>
      <w:r>
        <w:rPr>
          <w:rFonts w:ascii="IRNazanin" w:hAnsi="IRNazanin" w:eastAsia="IRNazanin"/>
          <w:color w:val="111111"/>
          <w:sz w:val="28"/>
          <w:sz w:val="28"/>
          <w:szCs w:val="28"/>
          <w:rtl w:val="true"/>
          <w:lang w:bidi="fa-IR"/>
        </w:rPr>
        <w:t>،و أنّ عدّ المعصیة کبیرة یثبت بامور،قال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المعتبر علی أنّها ممّا أوجب اللّه علیها النار،سواء أوعد فی الکتاب،أو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الإمام بأنه ممّا یوجب النار،لدلالة الصحاح المرویة فی الکافی و غیرها علی أنّها مما أوجب اللّه علیه النار </w:t>
      </w:r>
      <w:r>
        <w:rPr>
          <w:rStyle w:val="FootnoteAnchor"/>
          <w:rtl w:val="true"/>
        </w:rPr>
        <w:footnoteReference w:id="973"/>
      </w:r>
      <w:r>
        <w:rPr>
          <w:rFonts w:ascii="IRNazanin" w:hAnsi="IRNazanin" w:eastAsia="IRNazanin"/>
          <w:color w:val="111111"/>
          <w:sz w:val="28"/>
          <w:sz w:val="28"/>
          <w:szCs w:val="28"/>
          <w:rtl w:val="true"/>
          <w:lang w:bidi="fa-IR"/>
        </w:rPr>
        <w:t>و من الواضح أنّ الغیبة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المسألة علی نحو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اشتهر بین الفقهاء التفصیل بین الکبیرة و الصغیرة حکما و موضوعا،و اختلفت کلماتهم فی تفسیرهما علی نحو لا یمکن الجمع بینها،فقیل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الکبیرة کل ذنب توعّد اللّه علیه بالعذاب فی کتابه العزیز،بل ربما نسب هذا القول إلی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کل ذنب رتّب الشارع المقدّس علیه حدّا أو صرّح فیه بالوعید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کل معصیة تؤذن بقلّة اعتناء فاعلها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علمت حرمته بدلیل قاطع فهو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توعّد علیه توعّدا شدیدا فی الکتاب أو السنّة فهو من الکبائر،إلی غیر ذلک من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الکبائر تنافی العدالة دون الصغائر</w:t>
      </w:r>
      <w:r>
        <w:rPr>
          <w:rFonts w:eastAsia="IRNazanin" w:cs="IRNazanin"/>
          <w:color w:val="111111"/>
          <w:sz w:val="28"/>
          <w:szCs w:val="28"/>
          <w:rtl w:val="true"/>
          <w:lang w:bidi="fa-IR"/>
        </w:rPr>
        <w:t>.</w:t>
      </w:r>
    </w:p>
    <w:p>
      <w:pPr>
        <w:pStyle w:val="Heading5"/>
        <w:numPr>
          <w:ilvl w:val="4"/>
          <w:numId w:val="1"/>
        </w:numPr>
        <w:rPr/>
      </w:pPr>
      <w:bookmarkStart w:id="686" w:name="__RefHeading___Toc910436_774463916"/>
      <w:bookmarkStart w:id="687" w:name="_Toc252"/>
      <w:bookmarkEnd w:id="686"/>
      <w:r>
        <w:rPr>
          <w:rtl w:val="true"/>
        </w:rPr>
        <w:t>تحقیق المراد من الکبیرة</w:t>
      </w:r>
      <w:bookmarkEnd w:id="68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ذکرناه فی مبحث العدالة من کتاب الصلاة </w:t>
      </w:r>
      <w:r>
        <w:rPr>
          <w:rStyle w:val="FootnoteAnchor"/>
          <w:rtl w:val="true"/>
        </w:rPr>
        <w:footnoteReference w:id="974"/>
      </w:r>
      <w:r>
        <w:rPr>
          <w:rFonts w:ascii="IRNazanin" w:hAnsi="IRNazanin" w:eastAsia="IRNazanin"/>
          <w:color w:val="111111"/>
          <w:sz w:val="28"/>
          <w:sz w:val="28"/>
          <w:szCs w:val="28"/>
          <w:rtl w:val="true"/>
          <w:lang w:bidi="fa-IR"/>
        </w:rPr>
        <w:t>من أنّ المعاصی کلّها کبیرة،و إن کان بعضها أکبر من بعضها الآخر،کالشرک باللّه العظیم فإنه من أعظم المعاصی،و قتل النفوس المحترمة فإنّه أعظم من بقیة الذنوب،و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w:t>
      </w:r>
    </w:p>
    <w:p>
      <w:pPr>
        <w:pStyle w:val="BookText"/>
        <w:rPr/>
      </w:pPr>
      <w:r>
        <w:rPr>
          <w:rFonts w:ascii="IRNazanin" w:hAnsi="IRNazanin" w:eastAsia="IRNazanin"/>
          <w:color w:val="111111"/>
          <w:sz w:val="28"/>
          <w:sz w:val="28"/>
          <w:szCs w:val="28"/>
          <w:rtl w:val="true"/>
          <w:lang w:bidi="fa-IR"/>
        </w:rPr>
        <w:t>اطلقت الکبیرة علیها بالتشکیک علی اختلاف مراتبها شدّة و ضعفا،و علیه فلا وجه للنزاع فی أنّ الغیبة من الکبائر أم من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اختار هذا الرأی جمع من الأصحاب،بل ظاهر ابن إدریس فی کتاب الشهادة من السرائر دعوی الإجماع علیه،فإنه بعد ما نقل کلام الشیخ فی المبسوط </w:t>
      </w:r>
      <w:r>
        <w:rPr>
          <w:rStyle w:val="FootnoteAnchor"/>
          <w:rtl w:val="true"/>
        </w:rPr>
        <w:footnoteReference w:id="975"/>
      </w:r>
      <w:r>
        <w:rPr>
          <w:rFonts w:ascii="IRNazanin" w:hAnsi="IRNazanin" w:eastAsia="IRNazanin"/>
          <w:color w:val="111111"/>
          <w:sz w:val="28"/>
          <w:sz w:val="28"/>
          <w:szCs w:val="28"/>
          <w:rtl w:val="true"/>
          <w:lang w:bidi="fa-IR"/>
        </w:rPr>
        <w:t>الظاهر فی أنّ الذنوب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صغائر و کبائر،قال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لم یذهب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ذهب إلیه أحد من الأصحاب،لأنّه لا صغائر عندنا فی المعاصی إلاّ بالإضافة إلی غیرها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یتّضح أنّ الأخبار الواردة فی عدّ الکبائر إنّما هی مسوقة لبیان عظمها بین سائر الذنوب لا لحصر المعاصی الکبیرة بالامور المذکورة،و علیه یحمل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الإغضاء عمّا ذکرناه فلا ثمرة للنزاع فی الفرق بین الکبائر و الصغائر،فإنّ الذنوب کلّها تضرّ بالعدالة و تنافیها،فإنّ العدالة هی الاعتدال فی الدین و الاستقامة علی طریقة سیّد المرسلین،و ارتکاب أیّة معصیة و إن کانت صغیرة یوجب الانحراف فی الدین،و الخروج عن الصراط المستقیم،لکون ذلک هتکا للمولی و جرأة علیه،کما أنّ الخروج عن الطرق التکوینیة انحراف عنها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أنّ الصغائر لا تنافی العدالة إلاّ أنّ الغیبة من الکبائر،فإنّ الکبیرة لیست لها حقیقة شرعیة لنبحث فیها،بل المراد بها هو معناها اللغوی،و هو الذنب العظیم عند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عظمه تارة بالنصّ علی کونه من الکبائر کالشرک</w:t>
      </w:r>
    </w:p>
    <w:p>
      <w:pPr>
        <w:pStyle w:val="BookText"/>
        <w:rPr/>
      </w:pPr>
      <w:r>
        <w:rPr>
          <w:rFonts w:ascii="IRNazanin" w:hAnsi="IRNazanin" w:eastAsia="IRNazanin"/>
          <w:color w:val="111111"/>
          <w:sz w:val="28"/>
          <w:sz w:val="28"/>
          <w:szCs w:val="28"/>
          <w:rtl w:val="true"/>
          <w:lang w:bidi="fa-IR"/>
        </w:rPr>
        <w:t>و الزنا و قتل النفس المحترمة و غیرها من الکبائر المنصوصة،و اخری بالتوعّد علیه فی الکتاب أو السنّة المعتبرة،و ثالثة بترتیب آثار الکبیرة علیه،و رابعة بالقیاس إلی ما ثبت کونه من الکبائر الموبقة،کقوله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الْفِتْنَةُ أَشَدُّ مِنَ الْقَتْلِ </w:t>
      </w:r>
      <w:r>
        <w:rPr>
          <w:rStyle w:val="FootnoteAnchor"/>
          <w:rtl w:val="true"/>
        </w:rPr>
        <w:footnoteReference w:id="978"/>
      </w:r>
      <w:r>
        <w:rPr>
          <w:rFonts w:ascii="IRNazanin" w:hAnsi="IRNazanin" w:eastAsia="IRNazanin"/>
          <w:color w:val="111111"/>
          <w:sz w:val="28"/>
          <w:sz w:val="28"/>
          <w:szCs w:val="28"/>
          <w:rtl w:val="true"/>
          <w:lang w:bidi="fa-IR"/>
        </w:rPr>
        <w:t>و قد ثبت فی السنّة المعتبرة التوعید علی الغیبة،فتکون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 أیضا الروایات الدالّة علی أنّ الخیانة من الکبائر،و بدیهی أنّ الغیبة من أعظم الخیانات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کون الغیبة من الخیانة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وصیته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المجالس بالأمانة،و إفشاء سرّ أخیک خیانة فاجتنب ذلک،و اجتنب مجلس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لکنّها ضعیفة السند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أیضا علی کون الغیبة کبیرة بالروایات الدالّة علی أنّ الغیبة أشدّ من الزنا </w:t>
      </w:r>
      <w:r>
        <w:rPr>
          <w:rStyle w:val="FootnoteAnchor"/>
          <w:rtl w:val="true"/>
        </w:rPr>
        <w:footnoteReference w:id="980"/>
      </w:r>
      <w:r>
        <w:rPr>
          <w:rFonts w:ascii="IRNazanin" w:hAnsi="IRNazanin" w:eastAsia="IRNazanin"/>
          <w:color w:val="111111"/>
          <w:sz w:val="28"/>
          <w:sz w:val="28"/>
          <w:szCs w:val="28"/>
          <w:rtl w:val="true"/>
          <w:lang w:bidi="fa-IR"/>
        </w:rPr>
        <w:t>،و هو من الکبائر،فالغیبة أولی منه بأن تکون کبیرة</w:t>
      </w:r>
      <w:r>
        <w:rPr>
          <w:rFonts w:eastAsia="IRNazanin" w:cs="IRNazanin"/>
          <w:color w:val="111111"/>
          <w:sz w:val="28"/>
          <w:szCs w:val="28"/>
          <w:rtl w:val="true"/>
          <w:lang w:bidi="fa-IR"/>
        </w:rPr>
        <w:t>.</w:t>
      </w:r>
      <w:bookmarkStart w:id="688" w:name="pg5064_65602"/>
    </w:p>
    <w:p>
      <w:pPr>
        <w:pStyle w:val="BookText"/>
        <w:rPr/>
      </w:pPr>
      <w:bookmarkEnd w:id="688"/>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ورد بهذا المضمون کلّه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علّلت ذلک بأنّ الغیبة لا تغفر حتّی یغفرها صاحبها،بخلاف بعض أقسام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أنّ کل واحد من الذنوب فیه جهة من المبغوضیة لا توجد فی غیره من المعاصی،فلا عجب فی کونه أشدّ من غیره فی هذه الخصوصیة،و إن کان غیره أشدّ منه من جهات شتّی،و اختلافها فی ذلک کاختلاف المعاصی 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الأخبار صالحة لتأیید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یصلح لتأییده أیضا ما روی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أربی الربا عرض المؤمن </w:t>
      </w:r>
      <w:r>
        <w:rPr>
          <w:rStyle w:val="FootnoteAnchor"/>
          <w:rtl w:val="true"/>
        </w:rPr>
        <w:footnoteReference w:id="981"/>
      </w:r>
      <w:r>
        <w:rPr>
          <w:rFonts w:ascii="IRNazanin" w:hAnsi="IRNazanin" w:eastAsia="IRNazanin"/>
          <w:color w:val="111111"/>
          <w:sz w:val="28"/>
          <w:sz w:val="28"/>
          <w:szCs w:val="28"/>
          <w:rtl w:val="true"/>
          <w:lang w:bidi="fa-IR"/>
        </w:rPr>
        <w:t xml:space="preserve">فیکون تناول عرضه بالغیبة کبیرة،فإنه ثبت فی الشریعة المقدّسة أنّ الربا من الذنوب الکبیرة،بل فی جملة من الروایات أنه أشدّ من ثلاثین أو سبعین زنیة کلّها بذات محرم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910438_774463916"/>
      <w:bookmarkStart w:id="690" w:name="_Toc253"/>
      <w:bookmarkEnd w:id="689"/>
      <w:r>
        <w:rPr>
          <w:rtl w:val="true"/>
        </w:rPr>
        <w:t>حرمة الغیبة مشروطة بالإیمان</w:t>
      </w:r>
      <w:bookmarkEnd w:id="69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ظاهر الأخبار اختصاص حرمة الغیبة بالمؤمن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المؤمن هنا من آمن باللّه و برسوله و بالمعاد و بالأئمّة الاثنی</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آخرهم القائم الحجّة المنتظر عجّل اللّه فرجه،و جعلنا من أعوانه و 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أنکر واحدا منهم جازت غیبته،لوجوه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ثبت فی الروایات </w:t>
      </w:r>
      <w:r>
        <w:rPr>
          <w:rStyle w:val="FootnoteAnchor"/>
          <w:rtl w:val="true"/>
        </w:rPr>
        <w:footnoteReference w:id="983"/>
      </w:r>
      <w:r>
        <w:rPr>
          <w:rFonts w:ascii="IRNazanin" w:hAnsi="IRNazanin" w:eastAsia="IRNazanin"/>
          <w:color w:val="111111"/>
          <w:sz w:val="28"/>
          <w:sz w:val="28"/>
          <w:szCs w:val="28"/>
          <w:rtl w:val="true"/>
          <w:lang w:bidi="fa-IR"/>
        </w:rPr>
        <w:t xml:space="preserve">و الأدعیة و الزیارات جواز لعن المخالفین،و وجوب البراءة منهم،و إکثار السبّ علیهم،و اتّهامهم،و الوقیعة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من أهل البدع و الریب </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لا شبهة فی کفرهم،لأنّ إنکار الولایة و الأئمّة حتّی الواحد منهم،و الاعتقاد بخلافة غیرهم،و بالعقائد الخرافیة کالجبر و نحوه یوجب الکفر و الزندقة،و تدلّ علیه الأخبار المتواترة الظاهرة فی کفر منکر الولایة،و کفر المعتقد بالعقائد المذکورة و ما یشبهها من الضلالات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الزیارة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جحدکم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وحّده قبل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ینتج بعکس النقیض أنّ من لم یقبل عنکم لم یوحّده،بل هو مشرک باللّه العظیم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الأحادیث الواردة فی عدم وجوب قضاء الصلاة علی المستبصر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الحال التی کنت علیها أعظم من ترک ما ترکت من الصلاة</w:t>
      </w:r>
      <w:r>
        <w:rPr>
          <w:rFonts w:eastAsia="IRNazanin" w:cs="IRNazanin"/>
          <w:color w:val="111111"/>
          <w:sz w:val="28"/>
          <w:szCs w:val="28"/>
          <w:rtl w:val="true"/>
          <w:lang w:bidi="fa-IR"/>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جملة من الروایات </w:t>
      </w:r>
      <w:r>
        <w:rPr>
          <w:rStyle w:val="FootnoteAnchor"/>
          <w:rtl w:val="true"/>
        </w:rPr>
        <w:footnoteReference w:id="987"/>
      </w:r>
      <w:r>
        <w:rPr>
          <w:rFonts w:ascii="IRNazanin" w:hAnsi="IRNazanin" w:eastAsia="IRNazanin"/>
          <w:color w:val="111111"/>
          <w:sz w:val="28"/>
          <w:sz w:val="28"/>
          <w:szCs w:val="28"/>
          <w:rtl w:val="true"/>
          <w:lang w:bidi="fa-IR"/>
        </w:rPr>
        <w:t>الناصب لنا أهل البیت شرّ من الیهود و النصاری و أهون من الکلب،و أنه تعالی لم یخلق خلقا أنجس من الکلب،و أنّ الناصب لنا أهل البیت لأنجس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جواز غیبتهم أهون من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عرفت جواز الوقیعة فی أهل البدع و الضلال،و الوقیعة هی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ثبت حکم الإسلام علی بعضهم فی بعض الأحکام فقط تسهیلا للأمر،و حقنا للدماء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المخالفین بأجمعهم متجاهرون بالفسق،لبطلان عملهم رأسا کما فی الروایات المتظافرة </w:t>
      </w:r>
      <w:r>
        <w:rPr>
          <w:rStyle w:val="FootnoteAnchor"/>
          <w:rtl w:val="true"/>
        </w:rPr>
        <w:footnoteReference w:id="988"/>
      </w:r>
      <w:r>
        <w:rPr>
          <w:rFonts w:ascii="IRNazanin" w:hAnsi="IRNazanin" w:eastAsia="IRNazanin"/>
          <w:color w:val="111111"/>
          <w:sz w:val="28"/>
          <w:sz w:val="28"/>
          <w:szCs w:val="28"/>
          <w:rtl w:val="true"/>
          <w:lang w:bidi="fa-IR"/>
        </w:rPr>
        <w:t>،بل التزموا بما هو أعظم من الفسق کما عرفته و سیجیء أنّ المتجاهر بالفسق تجوز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الآیة و الروایات هو تحریم غیبة الأخ المؤمن و من البدیهی أنه لا اخوّة و لا عصمة بیننا و بین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المراد أیضا من مطلقات أخبار الغیبة،لا من جهة حمل المطلق علی المقیّد،لعدم التنافی بینهما بل لأجل مناسبة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الظاهر من الأخبار الواردة فی تفسیر الغیبة هو اختصاص حرمتها بالمؤمن فقط،و سیأتی،فتکون هذه الروایات مقیّدة للمطلقات،فافهم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حکی عن المحقّق الأردبیلی تحریم غیبة المخالفین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یأت بشیء</w:t>
      </w:r>
      <w:bookmarkStart w:id="691" w:name="pg5064_65605"/>
    </w:p>
    <w:p>
      <w:pPr>
        <w:pStyle w:val="BookText"/>
        <w:rPr/>
      </w:pPr>
      <w:bookmarkEnd w:id="691"/>
      <w:r>
        <w:rPr>
          <w:rFonts w:ascii="IRNazanin" w:hAnsi="IRNazanin" w:eastAsia="IRNazanin"/>
          <w:color w:val="111111"/>
          <w:sz w:val="28"/>
          <w:sz w:val="28"/>
          <w:szCs w:val="28"/>
          <w:rtl w:val="true"/>
          <w:lang w:bidi="fa-IR"/>
        </w:rPr>
        <w:t>ترکن إلیه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السیرة المستمرّة بین عوام الشیعة و علمائهم علی غیبة المخالفین،بل سبّهم و لعنهم فی جمیع الأعصار و الأمصار،بل فی الجواهر أنّ جواز ذلک من الضروریات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910440_774463916"/>
      <w:bookmarkStart w:id="693" w:name="_Toc254"/>
      <w:bookmarkEnd w:id="692"/>
      <w:r>
        <w:rPr>
          <w:rtl w:val="true"/>
        </w:rPr>
        <w:t>حرمة غیبة الصبی الممیّز</w:t>
      </w:r>
      <w:bookmarkEnd w:id="69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الظاهر دخول الصبی الممیّز المتأثّر بالغیبة لو سمعها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یشترط فی حرمة الغیبة کون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مکلّفا،بل المستفاد من الروایات المتقدّمة و غیرها أنّ المناط فی حرمة الغیبة صدق المؤمن علی المغتاب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الظاهر من معنی الغیبة هی کشف أمر قد ستره اللّه،و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أنّ الصبی الممیّز ممّن یصدق علیه عنوان المؤمن إذا أقرّ بما یعتبر فی الإیمان،بل قد یکون أکمل إیمانا من أکثر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شبهة أنّ اللّه قد ستر عیوب الناس حتّی الصبیان الممیّزین،فذکرهم بالمساوئ الموجودة فیهم کشف لما ستره اللّه علیهم،نعم لا بأس بذکر الامور التی هی من مقتضیات الصباوة بحیث لا تعدّ من العیوب و المساوئ،کاللعب بالجوز و الکعاب و الکرة و نحوها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الصبیان أو المجانین غیر الممیّزین فلا شبهة فی جواز اغتیابهم،لأنّ الامور الصادرة منهم لا تعدّ عیبا حتّی یکون ذکرها کشفا لما ستره اللّه علیهم</w:t>
      </w:r>
      <w:r>
        <w:rPr>
          <w:rFonts w:eastAsia="IRNazanin" w:cs="IRNazanin"/>
          <w:color w:val="111111"/>
          <w:sz w:val="28"/>
          <w:szCs w:val="28"/>
          <w:rtl w:val="true"/>
          <w:lang w:bidi="fa-IR"/>
        </w:rPr>
        <w:t>.</w:t>
      </w:r>
      <w:bookmarkStart w:id="694" w:name="pg5064_65606"/>
    </w:p>
    <w:p>
      <w:pPr>
        <w:pStyle w:val="Heading4"/>
        <w:numPr>
          <w:ilvl w:val="3"/>
          <w:numId w:val="1"/>
        </w:numPr>
        <w:rPr/>
      </w:pPr>
      <w:bookmarkStart w:id="695" w:name="__RefHeading___Toc910442_774463916"/>
      <w:bookmarkStart w:id="696" w:name="_Toc255"/>
      <w:bookmarkEnd w:id="694"/>
      <w:bookmarkEnd w:id="695"/>
      <w:r>
        <w:rPr>
          <w:rtl w:val="true"/>
        </w:rPr>
        <w:t>موضوع الغیبة</w:t>
      </w:r>
      <w:bookmarkEnd w:id="696"/>
    </w:p>
    <w:p>
      <w:pPr>
        <w:pStyle w:val="Heading5"/>
        <w:numPr>
          <w:ilvl w:val="4"/>
          <w:numId w:val="1"/>
        </w:numPr>
        <w:rPr/>
      </w:pPr>
      <w:bookmarkStart w:id="697" w:name="__RefHeading___Toc910444_774463916"/>
      <w:bookmarkStart w:id="698" w:name="_Toc256"/>
      <w:bookmarkEnd w:id="697"/>
      <w:r>
        <w:rPr>
          <w:rtl w:val="true"/>
        </w:rPr>
        <w:t>اشارة</w:t>
      </w:r>
      <w:bookmarkEnd w:id="6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 امور،الأول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اسم مصدر لاغتاب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الخلاف فی تحدید مفهوم الغیبة و بیان حقیقتها،فالمروی من الخاصّة </w:t>
      </w:r>
      <w:r>
        <w:rPr>
          <w:rStyle w:val="FootnoteAnchor"/>
          <w:rtl w:val="true"/>
        </w:rPr>
        <w:footnoteReference w:id="992"/>
      </w:r>
      <w:r>
        <w:rPr>
          <w:rFonts w:ascii="Amiri" w:hAnsi="Amiri" w:eastAsia="Amiri" w:cs="Amiri"/>
          <w:color w:val="111111"/>
          <w:sz w:val="28"/>
          <w:sz w:val="28"/>
          <w:szCs w:val="28"/>
          <w:rtl w:val="true"/>
          <w:lang w:bidi="ar-SA"/>
        </w:rPr>
        <w:t xml:space="preserve">و العامّة </w:t>
      </w:r>
      <w:r>
        <w:rPr>
          <w:rStyle w:val="FootnoteAnchor"/>
          <w:rtl w:val="true"/>
        </w:rPr>
        <w:footnoteReference w:id="993"/>
      </w:r>
      <w:r>
        <w:rPr>
          <w:rFonts w:ascii="IRNazanin" w:hAnsi="IRNazanin" w:eastAsia="IRNazanin"/>
          <w:color w:val="111111"/>
          <w:sz w:val="28"/>
          <w:sz w:val="28"/>
          <w:szCs w:val="28"/>
          <w:rtl w:val="true"/>
          <w:lang w:bidi="fa-IR"/>
        </w:rPr>
        <w:t xml:space="preserve">،و المعروف بیننا و بین السنّة </w:t>
      </w:r>
      <w:r>
        <w:rPr>
          <w:rStyle w:val="FootnoteAnchor"/>
          <w:rtl w:val="true"/>
        </w:rPr>
        <w:footnoteReference w:id="994"/>
      </w:r>
      <w:r>
        <w:rPr>
          <w:rFonts w:ascii="IRNazanin" w:hAnsi="IRNazanin" w:eastAsia="IRNazanin"/>
          <w:color w:val="111111"/>
          <w:sz w:val="28"/>
          <w:sz w:val="28"/>
          <w:szCs w:val="28"/>
          <w:rtl w:val="true"/>
          <w:lang w:bidi="fa-IR"/>
        </w:rPr>
        <w:t>و بعض أهل اللغة أنّ الغیبة ذکر الإنسان بما یکرهه و هو حقّ،بل حکی المصنّف عن بعض من قارب عصره أنّ الإجماع و الأخبار متطابقان علی أنّ حقیقة الغیبة ذکر غیره بما یکرهه لو سمعه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التعریف لا یرجع إلی معنی محصّل،فإنّ المراد من الموصول فیه إن کان هو الذکر بحیث یکون حاصله أنّ الغیبة ذکر غیره بذکر لا یرضی به لو سمعه دخل فی التعریف ما لیس بغیبة قطعا إذا کره المقول فیه،کذکره بفعل بعض المباحات بل و بعض المستحبّات من المواظبة علی الأدعیة و الأذکار،و القیام بالنوافل و العبادات،و الالتزام بالزیارات و إعطاء الصدقات،و علیه فالتعریف المذکور تعریف بالأعمّ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تعریف المصباح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اغتابه إذا ذکره بما یکرهه من العیوب</w:t>
      </w:r>
    </w:p>
    <w:p>
      <w:pPr>
        <w:pStyle w:val="BookText"/>
        <w:rPr/>
      </w:pPr>
      <w:r>
        <w:rPr>
          <w:rFonts w:ascii="IRNazanin" w:hAnsi="IRNazanin" w:eastAsia="IRNazanin"/>
          <w:color w:val="111111"/>
          <w:sz w:val="28"/>
          <w:sz w:val="28"/>
          <w:szCs w:val="28"/>
          <w:rtl w:val="true"/>
          <w:lang w:bidi="fa-IR"/>
        </w:rPr>
        <w:t xml:space="preserve">و هو حق و الاسم الغیبة </w:t>
      </w:r>
      <w:r>
        <w:rPr>
          <w:rStyle w:val="FootnoteAnchor"/>
          <w:rtl w:val="true"/>
        </w:rPr>
        <w:footnoteReference w:id="995"/>
      </w:r>
      <w:r>
        <w:rPr>
          <w:rFonts w:ascii="IRNazanin" w:hAnsi="IRNazanin" w:eastAsia="IRNazanin"/>
          <w:color w:val="111111"/>
          <w:sz w:val="28"/>
          <w:sz w:val="28"/>
          <w:szCs w:val="28"/>
          <w:rtl w:val="true"/>
          <w:lang w:bidi="fa-IR"/>
        </w:rPr>
        <w:t>یکون تعریفا بالأخص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الموصول فی التعریف الأوصاف المذمومة و الأفعال القبیحة الصادرة من المقول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یقربه التعریف المتقدّم من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الغیبة ما لا یشک أحد کونه منها،کذکر الغیر بالامور المحرّمة التی ارتکبها عن رغبة و شهوة من غیر أن یشمئز منها و من ذکرها،و علیه فلا یکون التعریف المذکور جامعا للأفراد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یرد نصّ صحیح فی تحدید مفهوم الغیبة،و لا تعریف من أهل اللغة کی یکون جامعا للأفراد و مانعا للأغیار،و علی هذا فلا بدّ من أخذ المتیقّن من مفهوم الغیبة و ترتیب الحکم علیه،و هو أن تقول فی أخیک ما ستره اللّه علیه،و أمّا فی المقدار الزائد فیرجع إلی الاصول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هذا فی جملة من الروایات </w:t>
      </w:r>
      <w:r>
        <w:rPr>
          <w:rStyle w:val="FootnoteAnchor"/>
          <w:rtl w:val="true"/>
        </w:rPr>
        <w:footnoteReference w:id="996"/>
      </w:r>
      <w:r>
        <w:rPr>
          <w:rFonts w:ascii="IRNazanin" w:hAnsi="IRNazanin" w:eastAsia="IRNazanin"/>
          <w:color w:val="111111"/>
          <w:sz w:val="28"/>
          <w:sz w:val="28"/>
          <w:szCs w:val="28"/>
          <w:rtl w:val="true"/>
          <w:lang w:bidi="fa-IR"/>
        </w:rPr>
        <w:t>و هی و إن کانت ضعیفة السند،و لکن مفهومها موافق للذوق السلیم و الفهم العرفی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فی لسان العرب و غیره من أنّ الغیبة أن یتکلّم خلف إنسان</w:t>
      </w:r>
    </w:p>
    <w:p>
      <w:pPr>
        <w:pStyle w:val="BookText"/>
        <w:rPr/>
      </w:pPr>
      <w:r>
        <w:rPr>
          <w:rFonts w:ascii="IRNazanin" w:hAnsi="IRNazanin" w:eastAsia="IRNazanin"/>
          <w:color w:val="111111"/>
          <w:sz w:val="28"/>
          <w:sz w:val="28"/>
          <w:szCs w:val="28"/>
          <w:rtl w:val="true"/>
          <w:lang w:bidi="fa-IR"/>
        </w:rPr>
        <w:t xml:space="preserve">مستور بسوء أو بما یغمّه لو سمعه </w:t>
      </w:r>
      <w:r>
        <w:rPr>
          <w:rStyle w:val="FootnoteAnchor"/>
          <w:rtl w:val="true"/>
        </w:rPr>
        <w:footnoteReference w:id="997"/>
      </w:r>
      <w:r>
        <w:rPr>
          <w:rFonts w:ascii="IRNazanin" w:hAnsi="IRNazanin" w:eastAsia="IRNazanin"/>
          <w:color w:val="111111"/>
          <w:sz w:val="28"/>
          <w:sz w:val="28"/>
          <w:szCs w:val="28"/>
          <w:rtl w:val="true"/>
          <w:lang w:bidi="fa-IR"/>
        </w:rPr>
        <w:t xml:space="preserve">،بل ینطبق علیه جمیع تعاریف الفقهاء و أهل اللغة،لکونه المقدار المتیقّن من مفهوم الغیبة کما عرفت،و قد اشیر إلیه فی بعض أحادیث العامّة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توضیح ما ذکرناه من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الناس و التعرّض لأوصافهم لا یخلو عن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الإنسان بما یوجب تعظیمه و ترفیعه بین الناس،کأن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عالم زاهد مجتهد،یصلّی النوافل،و یعطی الفقراء،و یهتم بامور المسلمین و حوائجهم،و نحو ذلک من المدائح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نظنّ أن یعد أحد هذه الصورة 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لسان العرب و تاج العروس عن 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غاب إذا ذکر إنسانا بخیر أو شرّ </w:t>
      </w:r>
      <w:r>
        <w:rPr>
          <w:rStyle w:val="FootnoteAnchor"/>
          <w:rtl w:val="true"/>
        </w:rPr>
        <w:footnoteReference w:id="999"/>
      </w:r>
      <w:r>
        <w:rPr>
          <w:rFonts w:ascii="IRNazanin" w:hAnsi="IRNazanin" w:eastAsia="IRNazanin"/>
          <w:color w:val="111111"/>
          <w:sz w:val="28"/>
          <w:sz w:val="28"/>
          <w:szCs w:val="28"/>
          <w:rtl w:val="true"/>
          <w:lang w:bidi="fa-IR"/>
        </w:rPr>
        <w:t>إلاّ أنه أجنبی عن المقام،فإنه غیر الاغتیاب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خروج هذه الصورة عن مفهوم الغیبة أنّ هذه المذکورات لیست من السوء،سواء کره ذکرها المقول فیه أم لا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 إنسانا بشیء من صفاته العادیة المتعارفة التی لا توصف بالمدح أو الذم،و لا ریب فی عدم اندراج هذه الصورة أیضا تحت الغیبة فإنّ الامور العادیة لیست ممّا سترها اللّه علی المقول فیه،و ذکرها لا یوجب نقصه و افتضاحه،سواء أکان کارها لها أم لا</w:t>
      </w:r>
      <w:r>
        <w:rPr>
          <w:rFonts w:eastAsia="IRNazanin" w:cs="IRNazanin"/>
          <w:color w:val="111111"/>
          <w:sz w:val="28"/>
          <w:szCs w:val="28"/>
          <w:rtl w:val="true"/>
          <w:lang w:bidi="fa-IR"/>
        </w:rPr>
        <w:t>.</w:t>
      </w:r>
      <w:bookmarkStart w:id="699" w:name="pg5064_65609"/>
    </w:p>
    <w:p>
      <w:pPr>
        <w:pStyle w:val="BookText"/>
        <w:rPr/>
      </w:pPr>
      <w:bookmarkEnd w:id="699"/>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 إنسانا بالأوصاف الذمیمة و الأفعال القبیحة الموجودة فیه،التی قد سترها اللّه علیه،و موضوع الغیبة هو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ذکرناه من الصور یشمل ما لو نفی عن المقول فیه بعض الأوصاف</w:t>
      </w:r>
      <w:r>
        <w:rPr>
          <w:rFonts w:eastAsia="IRNazanin" w:cs="IRNazanin"/>
          <w:color w:val="111111"/>
          <w:sz w:val="28"/>
          <w:szCs w:val="28"/>
          <w:rtl w:val="true"/>
          <w:lang w:bidi="fa-IR"/>
        </w:rPr>
        <w:t>.</w:t>
      </w:r>
    </w:p>
    <w:p>
      <w:pPr>
        <w:pStyle w:val="Heading5"/>
        <w:numPr>
          <w:ilvl w:val="4"/>
          <w:numId w:val="1"/>
        </w:numPr>
        <w:rPr/>
      </w:pPr>
      <w:bookmarkStart w:id="700" w:name="__RefHeading___Toc910446_774463916"/>
      <w:bookmarkStart w:id="701" w:name="_Toc257"/>
      <w:bookmarkEnd w:id="700"/>
      <w:r>
        <w:rPr>
          <w:rtl w:val="true"/>
        </w:rPr>
        <w:t>تنبیهات موضوع الغیبة</w:t>
      </w:r>
      <w:bookmarkEnd w:id="701"/>
    </w:p>
    <w:p>
      <w:pPr>
        <w:pStyle w:val="BookText"/>
        <w:rPr/>
      </w:pPr>
      <w:r>
        <w:rPr>
          <w:rFonts w:ascii="IRNazanin" w:hAnsi="IRNazanin" w:eastAsia="IRNazanin"/>
          <w:color w:val="111111"/>
          <w:sz w:val="28"/>
          <w:sz w:val="28"/>
          <w:szCs w:val="28"/>
          <w:rtl w:val="true"/>
          <w:lang w:bidi="fa-IR"/>
        </w:rPr>
        <w:t>و لا بدّ من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یفرق فی صدق الغیبة بین أن یکون المقول نقصا فی دین المقول فیه،أو بدنه،أو نسبه،أو أخلاقه،أو فعله،أو قوله،أو عشیرته،أو ثوبه،أو داره،أو دابته،أو خادمه،أو تعیّشه،أو فی أی شأن من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من روایة داود بن سرحان المتقدّمة فی الحاشیة أنّ الغیبة ذکر الإنسان بما یکون نقصا فی دینه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ابن سیابة المتقدّمة فی البحث عن معنی الغیبة صرّحت بأنّ الغیبة قولک فی أخیک ما ستره اللّه علیه،و هذا الإطلاق یشمل ما إذا کان المقول نقصا دینیا و غیر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حمل المطلق علی المقیّد هنا فاسد،لعدم التنافی بینهما،علی أنّ روایة ابن سیابة فصلت بین ذکر الامور المستورة و الامور الظاهرة،و صرّحت بخروج الثانیة عن حدود الغیبة،و من الواضح أنّ مقتضی التفصیل القاطع للشرکة هو عموم مفهوم الغیبة بذکر مطلق العیوب غیر الامور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عرفت أنّ هذه الروایة أیضا ضعیفة السند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اعتبار قصد الانتقاص فی موضوع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توهّم فاسد،إذ لا دلیل علیه،فإنّ صدق عنوان العیب علی المقول أمر عرفی لا یرتبط بالقصد،و لا یقاس هذا بالتعظیم و الهتک المتقوّمین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أحد بالأوصاف العادیة أو نفیها عنه إنّما لا یکون غیبة إذا لم یستلزم نقصا فی الجهات المزبورة فی التنبیه السابق،و إلاّ فلا شبهة فی کونه غیبة کنفی العدالة عنه،فإنه یدل بالملازمة علی ارتکابه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کقوله إنّ فلانا یقرأ علم النحو منذ ثلاثین سنة،فإنه یدل بالملازمة علی بلادة المقول فیه و بلاهته،أو مماطلته و بطالته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ما ذکرناه من التعریف بل المتیقّن من مفهوم الغیبة و مورد الروایات الدالّة علی حرمة الغیبة،أن یکون المقول أمرا قد ستره اللّه علی المقول فیه و أمّا ذکر الامور الظاهرة فلیس من الغیبة،و قد ذکره الأصحاب فی مستثنیاتها و سیأتی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تدل علی ذلک روایة ابن سیابة المتقدّمة،و روایة الأزرق </w:t>
      </w:r>
      <w:r>
        <w:rPr>
          <w:rStyle w:val="FootnoteAnchor"/>
          <w:rtl w:val="true"/>
        </w:rPr>
        <w:footnoteReference w:id="1000"/>
      </w:r>
      <w:r>
        <w:rPr>
          <w:rFonts w:ascii="IRNazanin" w:hAnsi="IRNazanin" w:eastAsia="IRNazanin"/>
          <w:color w:val="111111"/>
          <w:sz w:val="28"/>
          <w:sz w:val="28"/>
          <w:szCs w:val="28"/>
          <w:rtl w:val="true"/>
          <w:lang w:bidi="fa-IR"/>
        </w:rPr>
        <w:t>،إلاّ أنّهما ضعیفتا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إحیاء العلوم عن عائشة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علینا امرأة فلمّا ولّت أو مأت بیدی أنّها قصیرة،فقال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اغتبتیها</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فإنّ الظاهر منها تحقّق الغیبة بحکایة الامور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ضعیفة السند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یکون ذکر الامور الظاهرة حراما،لانطباق شیء من العناوین المحرّمة علیه،کالتعییر و الهجاء و السبّ و الهتک و الظلم و نحوها،و علیه فیکون حراما من غیر جهة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تتحقّق الغیبة بالتعریض و الإشارة قولا،کأن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یبتلنی بالسلطان و بالمیل إلی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فعلا،کأن یحکی مشیة الغائب،بل هو أشدّ من الذکر باللسان،لکونه أعظم فی الانتقاص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کتابة،فقد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القلم أحد اللسانین،فإنّ المناط فی تحقّق الغیبة کشف ما ستره اللّه،و لا خصوصیة للکاشف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 صدق الغیبة من وجود أحد یقصد بالتفهیم،فقد عرفت أنّها إظهار ما ستره اللّه،و هو لا یتحقّق بمجرّد حدیث النفس،فإنه لا یزید علی الصور العلمیة و الملکات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علم عدم تحقّق الغیبة أیضا بذکر الإنسان بعیوب یعلمها المخاطب،نعم قد یحرم ذلک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تتحقّق الغیبة إلاّ بکون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 بالتفصیل عند المخاطبین،فلو کان مردّدا عندهم بین 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کانوا محصورین أم غیر محصورین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فذکره بالنقائص و المعائب المستورة لا یکون غیبة،فإنه لیس کشفا لما ستره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الیوم رجلا بخیلا،أو جاءنی الیوم شارب الخمر أو تارک الحجّ،أو عاقّ الوالدین،أو من یعیش معیشة ضنکا،فکل ذلک لا یکون من الغیبة فی شیء،و لا یکون حراما إلاّ إذا انطبق علیه عنوان محرّم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فی ذلک بین أن یکون کل واحد من المحصورین کارها لذلک الذکر أم لا،لما عرفت من أنّ کراهة المقول فیه لیست شرطا فی تحقّق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عرّفنا الغیبة بأنّها ذکر الغیر بما 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من الغیبة،و شملته أدلّة 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لکنّک قد عرفت ضعفه فیما سبق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ما ذکرناه من اشتراط العلم التفصیلی بالمغتاب فی مفهوم الغیبة</w:t>
      </w:r>
    </w:p>
    <w:p>
      <w:pPr>
        <w:pStyle w:val="BookText"/>
        <w:rPr/>
      </w:pPr>
      <w:r>
        <w:rPr>
          <w:rFonts w:ascii="IRNazanin" w:hAnsi="IRNazanin" w:eastAsia="IRNazanin"/>
          <w:color w:val="111111"/>
          <w:sz w:val="28"/>
          <w:sz w:val="28"/>
          <w:szCs w:val="28"/>
          <w:rtl w:val="true"/>
          <w:lang w:bidi="fa-IR"/>
        </w:rPr>
        <w:t>إنّما هو بالإضافة إلی الأفراد،أمّا إذا کان المذکور نقصا للعنوان الکلّی،و کشفا لما ستره اللّه علی النوع،بحیث یکون المصداق المردّد إنّما ذکر من باب تطبیق الکلّی علی الفرد،کان ذلک غیبة لجمیع أفراد الکلّی الموجودة فی الخارج،لانحلاله إلیها کسائر القضایا الحقیقیة،بل بالنسبة إلی الأفراد الماضیة أیضا،بل ربما یکون ذلک بالنسبة إلی بعض الأفراد بهتانا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أن یذکر إنسانا بالسوء المستور لکونه عجمیا أو عربیا أو بقّالا،أو لکونه من أهل البلد الفلانی أو من الصنف الفلانی،و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لیس فی المسألة ما یعتمد علیه فی تعریف الغیبة و تفسیرها إلاّ بعض الروایات الضعیفة،و علیه فکلّما شککنا فی تحقّق موضوع الغیبة للشک فی اعتبار قید فی المفهوم أو شرط فی تحقّقه یرجع إلی 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ما ذکره المشهور من أنّ الغیبة ذکرک أخاک بما یکرهه لو سمعه عدم صدق الغیبة مع حضور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هو الظاهر من الآیة فإنّ تشبیه المغتاب بالمیتة إنّما هو لعدم شعوره بما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ما ذکرناه فی تعریف الغیبة فلا فرق فی انطباقها بین حضور المغتاب و عدمه ما دام یصدق علی القول أنّه إظهار لما ستره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إذا نفی عنه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الاجتهاد لیس نقصا فی حقّ أحدکما ذکره المصنّف،و لکنّه فیما إذا لم یستلزم تعریضا بغباوة المنفی عنه لطول اشتغاله بالتحصیل،و إلاّ فلا شبهة فی کونه غیبة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ما دلّ علی حرمة إیذاء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دلّت الروایات المتواترة </w:t>
      </w:r>
      <w:r>
        <w:rPr>
          <w:rStyle w:val="FootnoteAnchor"/>
          <w:rtl w:val="true"/>
        </w:rPr>
        <w:footnoteReference w:id="1003"/>
      </w:r>
      <w:r>
        <w:rPr>
          <w:rFonts w:ascii="IRNazanin" w:hAnsi="IRNazanin" w:eastAsia="IRNazanin"/>
          <w:color w:val="111111"/>
          <w:sz w:val="28"/>
          <w:sz w:val="28"/>
          <w:szCs w:val="28"/>
          <w:rtl w:val="true"/>
          <w:lang w:bidi="fa-IR"/>
        </w:rPr>
        <w:t>علی حرمة إیذاء المؤمن و إهانته و سبّه،و علی حرمة التنابز بالألقاب و علی حرمة تعییر المؤمن بصدور معصیة منه فضلا عن غیر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w:t>
      </w:r>
      <w:bookmarkStart w:id="702" w:name="pg5064_65613"/>
    </w:p>
    <w:p>
      <w:pPr>
        <w:pStyle w:val="BookText"/>
        <w:rPr/>
      </w:pPr>
      <w:bookmarkEnd w:id="702"/>
      <w:r>
        <w:rPr>
          <w:rFonts w:ascii="IRNazanin" w:hAnsi="IRNazanin" w:eastAsia="IRNazanin"/>
          <w:color w:val="111111"/>
          <w:sz w:val="28"/>
          <w:sz w:val="28"/>
          <w:szCs w:val="28"/>
          <w:rtl w:val="true"/>
          <w:lang w:bidi="fa-IR"/>
        </w:rPr>
        <w:t xml:space="preserve">خارجة عن المقام کما ذکره المصنّف،فإنّ النسبة بین ما نحن فیه و بین المذکورات هی العموم من وجه،و قد أشرنا إلی ذلک فی البحث عن حرمة سبّ المؤمن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910448_774463916"/>
      <w:bookmarkStart w:id="704" w:name="_Toc258"/>
      <w:bookmarkEnd w:id="703"/>
      <w:r>
        <w:rPr>
          <w:rtl w:val="true"/>
        </w:rPr>
        <w:t>دواعی الغیبة</w:t>
      </w:r>
      <w:bookmarkEnd w:id="70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دواعی الغیبة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 التی ذکروها باعثة للغیبة عشرة،و قد اشیر إلیها فیما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مصباح الشریعة </w:t>
      </w:r>
      <w:r>
        <w:rPr>
          <w:rStyle w:val="FootnoteAnchor"/>
          <w:rtl w:val="true"/>
        </w:rPr>
        <w:footnoteReference w:id="1005"/>
      </w:r>
      <w:r>
        <w:rPr>
          <w:rFonts w:ascii="IRNazanin" w:hAnsi="IRNazanin" w:eastAsia="IRNazanin"/>
          <w:color w:val="111111"/>
          <w:sz w:val="28"/>
          <w:sz w:val="28"/>
          <w:szCs w:val="28"/>
          <w:rtl w:val="true"/>
          <w:lang w:bidi="fa-IR"/>
        </w:rPr>
        <w:t>و لکن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تکلّم علیها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کشف الریبة </w:t>
      </w:r>
      <w:r>
        <w:rPr>
          <w:rStyle w:val="FootnoteAnchor"/>
          <w:rtl w:val="true"/>
        </w:rPr>
        <w:footnoteReference w:id="1006"/>
      </w:r>
      <w:r>
        <w:rPr>
          <w:rFonts w:ascii="IRNazanin" w:hAnsi="IRNazanin" w:eastAsia="IRNazanin"/>
          <w:color w:val="111111"/>
          <w:sz w:val="28"/>
          <w:sz w:val="28"/>
          <w:szCs w:val="28"/>
          <w:rtl w:val="true"/>
          <w:lang w:bidi="fa-IR"/>
        </w:rPr>
        <w:t>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منها اثنین،فإنّ لهما مأخذا دقیقا لا یلتفت إلیه نوع الناس،فیقعون فی الغیبة من حیث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یرفع نفسه بتنقیص غیره،بأن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ضعیف الرأی،و رکیک الفهم،و ما ذکره بدیهی البطلان،و نحوها من الکلمات المشعرة بالذم،و أکثر من یبتلی به هم المزاولون للبحث و التدریس و التألیف فیما إذا أخذهم الغرور و العجب</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یغتمّ لأجل ما یبتلی به أحد فیظهر غمّه للناس و یذکر سبب غمّه و هو شیء ستره اللّه علی أخیه،فیقع فی الغیبة من حیث إنّه یقصد الاهتمام بشأنه فإنّ اغتمامه له رحمة،و لکن ذکره سبب ذلک علیه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یتصنّع ذلک بعض المنافقین،و یتخذه وسیلة لهتک أعراض الناس و کشف عوراتهم،بأن یظهر الاغتمام</w:t>
      </w:r>
      <w:bookmarkStart w:id="705" w:name="pg5064_65614"/>
    </w:p>
    <w:p>
      <w:pPr>
        <w:pStyle w:val="BookText"/>
        <w:rPr/>
      </w:pPr>
      <w:bookmarkEnd w:id="705"/>
      <w:r>
        <w:rPr>
          <w:rFonts w:ascii="IRNazanin" w:hAnsi="IRNazanin" w:eastAsia="IRNazanin"/>
          <w:color w:val="111111"/>
          <w:sz w:val="28"/>
          <w:sz w:val="28"/>
          <w:szCs w:val="28"/>
          <w:rtl w:val="true"/>
          <w:lang w:bidi="fa-IR"/>
        </w:rPr>
        <w:t>و التحسّر لابتلاء شخص محترم،ثم یذکر فیه ما یوجب افتضاحه فی الأنظار و انحطاطه عن درجة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فیلقی نفسه فی جهنّم و بئس المصیر،و بذلک یکون إداما لکلاب النار کما فی بعض الأحادیث </w:t>
      </w:r>
      <w:r>
        <w:rPr>
          <w:rStyle w:val="FootnoteAnchor"/>
          <w:rtl w:val="true"/>
        </w:rPr>
        <w:footnoteReference w:id="1007"/>
      </w:r>
      <w:r>
        <w:rPr>
          <w:rFonts w:ascii="IRNazanin" w:hAnsi="IRNazanin" w:eastAsia="IRNazanin"/>
          <w:color w:val="111111"/>
          <w:sz w:val="28"/>
          <w:sz w:val="28"/>
          <w:szCs w:val="28"/>
          <w:rtl w:val="true"/>
          <w:lang w:bidi="fa-IR"/>
        </w:rPr>
        <w:t>أستعیذ باللّه من الحقد و الحسد و غیظ القلوب</w:t>
      </w:r>
      <w:r>
        <w:rPr>
          <w:rFonts w:eastAsia="IRNazanin" w:cs="IRNazanin"/>
          <w:color w:val="111111"/>
          <w:sz w:val="28"/>
          <w:szCs w:val="28"/>
          <w:rtl w:val="true"/>
          <w:lang w:bidi="fa-IR"/>
        </w:rPr>
        <w:t>.</w:t>
      </w:r>
    </w:p>
    <w:p>
      <w:pPr>
        <w:pStyle w:val="Heading4"/>
        <w:numPr>
          <w:ilvl w:val="3"/>
          <w:numId w:val="1"/>
        </w:numPr>
        <w:rPr/>
      </w:pPr>
      <w:bookmarkStart w:id="706" w:name="__RefHeading___Toc910450_774463916"/>
      <w:bookmarkStart w:id="707" w:name="_Toc259"/>
      <w:bookmarkEnd w:id="706"/>
      <w:r>
        <w:rPr>
          <w:rtl w:val="true"/>
        </w:rPr>
        <w:t>کفّارة الغیبة</w:t>
      </w:r>
      <w:bookmarkEnd w:id="707"/>
    </w:p>
    <w:p>
      <w:pPr>
        <w:pStyle w:val="Heading5"/>
        <w:numPr>
          <w:ilvl w:val="4"/>
          <w:numId w:val="1"/>
        </w:numPr>
        <w:rPr/>
      </w:pPr>
      <w:bookmarkStart w:id="708" w:name="__RefHeading___Toc910452_774463916"/>
      <w:bookmarkStart w:id="709" w:name="_Toc260"/>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کفّارة الغیبة الماحیة لها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قیل أو یمکن أن یقال فی بیان کفّارة الغیبة وجوه،الأول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الاستحلال من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له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الأمرین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 سبیل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وصول الغیبة إلی المغتاب فکفّارتها الاستحلال منه،و بین عدم وصولها إلیه فکفّارتها الاستغفار له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إمکان الاستحلال منه،و بین عدمه لموت،أو بعد مکان،أو کون الاعتذار موجبا لإثارة الفتنة و الإهانة،فعلی الأول یجب الاستحلال منه،و علی الثانی یجب الاستغفار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شیء منهما فی جمیع الصور،بل الواجب علی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لنفسه و التوبة من ذنبه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التکلّم فی الوجوه المذکورة لا بدّ و أن یعلم أنه إذا شک فی وجوب</w:t>
      </w:r>
      <w:bookmarkStart w:id="710" w:name="pg5064_65615"/>
    </w:p>
    <w:p>
      <w:pPr>
        <w:pStyle w:val="BookText"/>
        <w:rPr/>
      </w:pPr>
      <w:bookmarkEnd w:id="710"/>
      <w:r>
        <w:rPr>
          <w:rFonts w:ascii="IRNazanin" w:hAnsi="IRNazanin" w:eastAsia="IRNazanin"/>
          <w:color w:val="111111"/>
          <w:sz w:val="28"/>
          <w:sz w:val="28"/>
          <w:szCs w:val="28"/>
          <w:rtl w:val="true"/>
          <w:lang w:bidi="fa-IR"/>
        </w:rPr>
        <w:t>شیء منها فإنّ أصالة البراءة محکّمة،للشک فی ثبوت التکلیف المقتضی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أصالة بقاء الحق الثابت للمغتاب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عدم الخروج منه إلاّ بالاستحلال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یثبت هنا للمقول فیه حقّ حتّی یستصحب بقاؤه و یجب الخروج عن عهدته،فإنّ من حقّ المؤمن علی المؤمن أن لا یغتابه،و إذا اغتابه لم یحفظ حقّه فلم یبق موضوع للاستصحاب،و لم یثبت بذلک حقّ آخر للمغتاب حتّی 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وجه لما أفاده المحقّق الإیروانی </w:t>
      </w:r>
      <w:r>
        <w:rPr>
          <w:rStyle w:val="FootnoteAnchor"/>
          <w:rtl w:val="true"/>
        </w:rPr>
        <w:footnoteReference w:id="1009"/>
      </w:r>
      <w:r>
        <w:rPr>
          <w:rFonts w:ascii="IRNazanin" w:hAnsi="IRNazanin" w:eastAsia="IRNazanin"/>
          <w:color w:val="111111"/>
          <w:sz w:val="28"/>
          <w:sz w:val="28"/>
          <w:szCs w:val="28"/>
          <w:rtl w:val="true"/>
          <w:lang w:bidi="fa-IR"/>
        </w:rPr>
        <w:t>من أنّ الأصل فی المسألة هو الاحتیاط و الإتیان بکل ما احتمل دخله فی رفع العقاب من الاستحلال و التوبة و الاستغفار للمغتاب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الاستحلال من المغتاب مطلقا فذهب إلی وجوبه جمع من الأصحاب،قال الشهید فی کشف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الواجب علی المغتاب أن یندم و یتوب علی ما فعله لیخرج من حقّ اللّه سبحانه و تعالی،ثم یستحل المغتاب لیحلّه فیخرج عن مظلمته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910454_774463916"/>
      <w:bookmarkStart w:id="712" w:name="_Toc261"/>
      <w:bookmarkEnd w:id="711"/>
      <w:r>
        <w:rPr>
          <w:rtl w:val="true"/>
        </w:rPr>
        <w:t>الروایات الدالّة علی أنّ حقوق الناس لا ترتفع إلاّ بإسقاط ذی الحقّ منهم</w:t>
      </w:r>
      <w:bookmarkEnd w:id="712"/>
    </w:p>
    <w:p>
      <w:pPr>
        <w:pStyle w:val="BookText"/>
        <w:rPr/>
      </w:pPr>
      <w:r>
        <w:rPr>
          <w:rFonts w:ascii="IRNazanin" w:hAnsi="IRNazanin" w:eastAsia="IRNazanin"/>
          <w:color w:val="111111"/>
          <w:sz w:val="28"/>
          <w:sz w:val="28"/>
          <w:szCs w:val="28"/>
          <w:rtl w:val="true"/>
          <w:lang w:bidi="fa-IR"/>
        </w:rPr>
        <w:t>و یمکن الاستدلال علی ذلک بأنّ الغیبة من حقوق الناس،و حقوق الناس لا ترتفع إلاّ باسقاط ذی الحقّ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فی الصغری فلأنّها ظلم للمغتاب،و لما ورد فی الأخبار الکثیرة من أنّ حقّ المؤمن علی المؤمن أن لا یغتابه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فی الکبری فهو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أنّ الغیبة لا تغفر حتّی یغفرها صاحبها،و قد تقدّمت هذه الروایة فی البحث عن أنّها صغیرة أو کبیرة </w:t>
      </w:r>
      <w:r>
        <w:rPr>
          <w:rStyle w:val="FootnoteAnchor"/>
          <w:rtl w:val="true"/>
        </w:rPr>
        <w:footnoteReference w:id="1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 إن کانت واضحة الدلالة علی المقصود،و لکنّها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الکراجکی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للمؤمن علی المؤمن ثلاثین حقّا،و ذکرها علی التفصیل،ثم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أحدکم لیدع من حقوق أخیه شیئا فیطالبه یوم القیامة فیقضی له و علیه</w:t>
      </w:r>
      <w:r>
        <w:rPr>
          <w:rFonts w:eastAsia="IRNazanin" w:cs="IRNazanin"/>
          <w:color w:val="111111"/>
          <w:sz w:val="28"/>
          <w:szCs w:val="28"/>
          <w:rtl w:val="true"/>
          <w:lang w:bidi="fa-IR"/>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تدل علی وجوب الاستحلال لاشتمالها علی حقوق لا قائل بوجوب أدائها،کعیادة المریض،و حضور المیّت و قضاء الحاجة،و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یتوهّم أحد و لا یتوهّم أنّ من لم یعمل بالحقوق المذکورة فی هذه الروایة و غیرها من الروایات المتواترة الواردة فی حقوق الإخوان وجب علیه أن یستحل من ذی الحقّ مع التمکّن،و من ولیّه مع عدمه،نظیر الحقوق المالیة،و إنّما هی حقوق أخلاقیة ینبغی للإنسان أن یراعیها،و یواظب علیها لکونها مقوّمة لاجتماعهم،بل هی فی الجملة من مقتضیات طبع البشر و العقلاء مع قطع النظر عن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فالمراد من القضاء بموجبها یوم القیامة هو ما ذکره المصنّف من المعاملة معه معاملة من لم یراع حقوق المؤمن،لا العقاب علیها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لأخیه عنده مظلمة فی عرض أو مال</w:t>
      </w:r>
    </w:p>
    <w:p>
      <w:pPr>
        <w:pStyle w:val="BookText"/>
        <w:rPr/>
      </w:pPr>
      <w:r>
        <w:rPr>
          <w:rFonts w:ascii="IRNazanin" w:hAnsi="IRNazanin" w:eastAsia="IRNazanin"/>
          <w:color w:val="111111"/>
          <w:sz w:val="28"/>
          <w:sz w:val="28"/>
          <w:szCs w:val="28"/>
          <w:rtl w:val="true"/>
          <w:lang w:bidi="fa-IR"/>
        </w:rPr>
        <w:t>فلیستحلها</w:t>
      </w:r>
      <w:r>
        <w:rPr>
          <w:rFonts w:eastAsia="IRNazanin" w:cs="IRNazanin"/>
          <w:color w:val="111111"/>
          <w:sz w:val="28"/>
          <w:szCs w:val="28"/>
          <w:rtl w:val="true"/>
          <w:lang w:bidi="fa-IR"/>
        </w:rPr>
        <w:t xml:space="preserve">»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السند،و لا بأس بحمله علی الاستحباب للتسامح فی 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ثبت بالأدلّة القطعیة الضمان فی الحقوق المالیة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عائشة أنّها قالت لامرأة قالت لاخری إنّها طویلة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اغتبتیها فاستحلیها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فیها لیس من الغیبة،لأنّه من الامور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حجّیة فی قول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أنّ من اغتاب مسلما أو مسلمة لم یقبل اللّه صلاته و لا صیامه أربعین یوما و لیلة إلاّ أن یغفر له صاحبه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حمل نظائر هذه الأخبار علی الأحکام الأخلاقیة،فإنه لم یتفوّه أحد ببطلان عبادة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القضاء علیه بعد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انتقال الأعمال الصالحة باغتیاب الناس إلی المغتاب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استحلّ منه رجعت إلی صاحبها </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 ضعیف السند،أنّه لا دلالة له علی وجوب الاستحلال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المصنّف أنّ فی الدعاء التاسع و الثلاثین من أدعیة الصحیفة</w:t>
      </w:r>
      <w:bookmarkStart w:id="713" w:name="pg5064_65618"/>
    </w:p>
    <w:p>
      <w:pPr>
        <w:pStyle w:val="BookText"/>
        <w:rPr/>
      </w:pPr>
      <w:bookmarkEnd w:id="713"/>
      <w:r>
        <w:rPr>
          <w:rFonts w:ascii="Amiri" w:hAnsi="Amiri" w:eastAsia="Amiri" w:cs="Amiri"/>
          <w:color w:val="111111"/>
          <w:sz w:val="28"/>
          <w:sz w:val="28"/>
          <w:szCs w:val="28"/>
          <w:rtl w:val="true"/>
          <w:lang w:bidi="ar-SA"/>
        </w:rPr>
        <w:t xml:space="preserve">السجّادیة </w:t>
      </w:r>
      <w:r>
        <w:rPr>
          <w:rStyle w:val="FootnoteAnchor"/>
          <w:rtl w:val="true"/>
        </w:rPr>
        <w:footnoteReference w:id="1018"/>
      </w:r>
      <w:r>
        <w:rPr>
          <w:rFonts w:ascii="IRNazanin" w:hAnsi="IRNazanin" w:eastAsia="IRNazanin"/>
          <w:color w:val="111111"/>
          <w:sz w:val="28"/>
          <w:sz w:val="28"/>
          <w:szCs w:val="28"/>
          <w:rtl w:val="true"/>
          <w:lang w:bidi="fa-IR"/>
        </w:rPr>
        <w:t xml:space="preserve">و دعاء یوم الاثنین </w:t>
      </w:r>
      <w:r>
        <w:rPr>
          <w:rStyle w:val="FootnoteAnchor"/>
          <w:rtl w:val="true"/>
        </w:rPr>
        <w:footnoteReference w:id="1019"/>
      </w:r>
      <w:r>
        <w:rPr>
          <w:rFonts w:ascii="IRNazanin" w:hAnsi="IRNazanin" w:eastAsia="IRNazanin"/>
          <w:color w:val="111111"/>
          <w:sz w:val="28"/>
          <w:sz w:val="28"/>
          <w:szCs w:val="28"/>
          <w:rtl w:val="true"/>
          <w:lang w:bidi="fa-IR"/>
        </w:rPr>
        <w:t>من ملحقاتها ما یدلّ علی 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فیهما أجنبی عمّا نحن فیه،أمّا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مسوق لطلب العفو و الرحمة لذی الحقّ و المظلمة فی حال عدم التمکّن من استحلاله،و لا تعرض فیه لوجوب الاستحلال منه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 طلب المغفرة له مع عدم التمکّن من التحلّل و الرد،من غیر تعرّض لوجوب الاستحلال کما سیأتی</w:t>
      </w:r>
      <w:r>
        <w:rPr>
          <w:rFonts w:eastAsia="IRNazanin" w:cs="IRNazanin"/>
          <w:color w:val="111111"/>
          <w:sz w:val="28"/>
          <w:szCs w:val="28"/>
          <w:rtl w:val="true"/>
          <w:lang w:bidi="fa-IR"/>
        </w:rPr>
        <w:t>.</w:t>
      </w:r>
    </w:p>
    <w:p>
      <w:pPr>
        <w:pStyle w:val="Heading5"/>
        <w:numPr>
          <w:ilvl w:val="4"/>
          <w:numId w:val="1"/>
        </w:numPr>
        <w:rPr/>
      </w:pPr>
      <w:bookmarkStart w:id="714" w:name="__RefHeading___Toc910456_774463916"/>
      <w:bookmarkStart w:id="715" w:name="_Toc262"/>
      <w:bookmarkEnd w:id="714"/>
      <w:r>
        <w:rPr>
          <w:rtl w:val="true"/>
        </w:rPr>
        <w:t>أدلّة وجوب الاستغفار للمغتاب</w:t>
      </w:r>
      <w:bookmarkEnd w:id="715"/>
    </w:p>
    <w:p>
      <w:pPr>
        <w:pStyle w:val="BookText"/>
        <w:rPr/>
      </w:pPr>
      <w:r>
        <w:rPr>
          <w:rFonts w:ascii="IRNazanin" w:hAnsi="IRNazanin" w:eastAsia="IRNazanin"/>
          <w:color w:val="111111"/>
          <w:sz w:val="28"/>
          <w:sz w:val="28"/>
          <w:szCs w:val="28"/>
          <w:rtl w:val="true"/>
          <w:lang w:bidi="fa-IR"/>
        </w:rPr>
        <w:t>و أمّا الاستغفار للمغتاب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إلی وجوبه غیر واحد من الأصحاب،و یمکن الاستدلال علیه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دعاء السجّاد علیه السّلام فی طلب العفو و الرحمة لذوی الحقوق و المظلمة،و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الصادر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الوجوب لکونه أعمّ منه و من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حفص بن عمر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کفّارة الاغتیاب؟قال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تستغفر اللّه لمن اغتبته کلّما ذکرته</w:t>
      </w:r>
      <w:r>
        <w:rPr>
          <w:rFonts w:eastAsia="IRNazanin" w:cs="IRNazanin"/>
          <w:color w:val="111111"/>
          <w:sz w:val="28"/>
          <w:szCs w:val="28"/>
          <w:rtl w:val="true"/>
          <w:lang w:bidi="fa-IR"/>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العمل بها هو وجوب الاستغفار للمغتاب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ذکره،أو کل وقت ذکر الاغتیاب،و من الواضح أنّ هذا خلاف الضرورة،و لم یلتزم به فقیه فیما نعلم،و إن ذکره بعض أهل الأخلاق</w:t>
      </w:r>
    </w:p>
    <w:p>
      <w:pPr>
        <w:pStyle w:val="BookText"/>
        <w:rPr/>
      </w:pPr>
      <w:r>
        <w:rPr>
          <w:rFonts w:ascii="IRNazanin" w:hAnsi="IRNazanin" w:eastAsia="IRNazanin"/>
          <w:color w:val="111111"/>
          <w:sz w:val="28"/>
          <w:sz w:val="28"/>
          <w:szCs w:val="28"/>
          <w:rtl w:val="true"/>
          <w:lang w:bidi="fa-IR"/>
        </w:rPr>
        <w:t>و علیه فتحمل الروایة علی الجهات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بناء علی کون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ذکره المجلسی فی مرآة العقول </w:t>
      </w:r>
      <w:r>
        <w:rPr>
          <w:rStyle w:val="FootnoteAnchor"/>
          <w:rtl w:val="true"/>
        </w:rPr>
        <w:footnoteReference w:id="1021"/>
      </w:r>
      <w:r>
        <w:rPr>
          <w:rFonts w:ascii="IRNazanin" w:hAnsi="IRNazanin" w:eastAsia="IRNazanin"/>
          <w:color w:val="111111"/>
          <w:sz w:val="28"/>
          <w:sz w:val="28"/>
          <w:szCs w:val="28"/>
          <w:rtl w:val="true"/>
          <w:lang w:bidi="fa-IR"/>
        </w:rPr>
        <w:t>لا یتوجّه علیها 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روایة السکونی من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أحدا ففاته فلیستغفر اللّه له،فإنّه کفّارة له</w:t>
      </w:r>
      <w:r>
        <w:rPr>
          <w:rFonts w:eastAsia="IRNazanin" w:cs="IRNazanin"/>
          <w:color w:val="111111"/>
          <w:sz w:val="28"/>
          <w:szCs w:val="28"/>
          <w:rtl w:val="true"/>
          <w:lang w:bidi="fa-IR"/>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بدعوی أنّ الضمیر المنصوب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إلی الظلم المفهوم من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لِلتَّقْوی </w:t>
      </w:r>
      <w:r>
        <w:rPr>
          <w:rStyle w:val="FootnoteAnchor"/>
          <w:rtl w:val="true"/>
        </w:rPr>
        <w:footnoteReference w:id="1023"/>
      </w:r>
      <w:r>
        <w:rPr>
          <w:rFonts w:ascii="IRNazanin" w:hAnsi="IRNazanin" w:eastAsia="IRNazanin"/>
          <w:color w:val="111111"/>
          <w:sz w:val="28"/>
          <w:sz w:val="28"/>
          <w:szCs w:val="28"/>
          <w:rtl w:val="true"/>
          <w:lang w:bidi="fa-IR"/>
        </w:rPr>
        <w:t>و من الواضح أنّ الغیبة من الظلم،فیجب علی من اغتاب أحدا أن یستغفر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منها رجوع الضمیر إلی المظلوم کما جزم به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مرآة العقول </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أنّ من لم یدرک المظلوم لیطلب منه براءة الذمّة و یسترضیه عن المظلمة فلیستغفر اللّه له،و علیه فتدلّ الروایة علی وجوب طلب المغفرة للمظلوم مع عدم التمکّن من الوصول إلیه،لا مطلقا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ذکرناه فی الروایة الثانیة و الثالثة ظهر الجواب عن روایتی الجعفریات </w:t>
      </w:r>
      <w:r>
        <w:rPr>
          <w:rStyle w:val="FootnoteAnchor"/>
          <w:rtl w:val="true"/>
        </w:rPr>
        <w:footnoteReference w:id="1025"/>
      </w:r>
      <w:bookmarkStart w:id="716" w:name="pg5064_65620"/>
    </w:p>
    <w:p>
      <w:pPr>
        <w:pStyle w:val="BookText"/>
        <w:rPr/>
      </w:pPr>
      <w:bookmarkEnd w:id="716"/>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جمیع ما حقّقناه فی عدم وجوب الاستحلال و الاستغفار تکلیفا ظهر الجواب عن القول بوجوب کلا الأمرین تعیینا أو تخییرا،و علم أیضا أنه لا وجه لما نقله المامقانی </w:t>
      </w:r>
      <w:r>
        <w:rPr>
          <w:rStyle w:val="FootnoteAnchor"/>
          <w:rtl w:val="true"/>
        </w:rPr>
        <w:footnoteReference w:id="1026"/>
      </w:r>
      <w:r>
        <w:rPr>
          <w:rFonts w:ascii="IRNazanin" w:hAnsi="IRNazanin" w:eastAsia="IRNazanin"/>
          <w:color w:val="111111"/>
          <w:sz w:val="28"/>
          <w:sz w:val="28"/>
          <w:szCs w:val="28"/>
          <w:rtl w:val="true"/>
          <w:lang w:bidi="fa-IR"/>
        </w:rPr>
        <w:t>عن بعض مشایخه من العمل بطائفتی الأخبار الدالّة إحداهما علی الاستغفار و الاخری منهما علی الاستحلال،فیلزم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بینهما بأن یستغفر للمقول فیه و یستحل منه</w:t>
      </w:r>
      <w:r>
        <w:rPr>
          <w:rFonts w:eastAsia="IRNazanin" w:cs="IRNazanin"/>
          <w:color w:val="111111"/>
          <w:sz w:val="28"/>
          <w:szCs w:val="28"/>
          <w:rtl w:val="true"/>
          <w:lang w:bidi="fa-IR"/>
        </w:rPr>
        <w:t>.</w:t>
      </w:r>
    </w:p>
    <w:p>
      <w:pPr>
        <w:pStyle w:val="Heading5"/>
        <w:numPr>
          <w:ilvl w:val="4"/>
          <w:numId w:val="1"/>
        </w:numPr>
        <w:rPr/>
      </w:pPr>
      <w:bookmarkStart w:id="717" w:name="__RefHeading___Toc910458_774463916"/>
      <w:bookmarkStart w:id="718" w:name="_Toc263"/>
      <w:bookmarkEnd w:id="717"/>
      <w:r>
        <w:rPr>
          <w:rtl w:val="true"/>
        </w:rPr>
        <w:t>التفصیل بین وصول الغیبة للمقول فیه فیجب الاستحلال منه و عدم وصولها فیجب الاستغفار</w:t>
      </w:r>
      <w:bookmarkEnd w:id="718"/>
    </w:p>
    <w:p>
      <w:pPr>
        <w:pStyle w:val="BookText"/>
        <w:rPr/>
      </w:pPr>
      <w:r>
        <w:rPr>
          <w:rFonts w:ascii="IRNazanin" w:hAnsi="IRNazanin" w:eastAsia="IRNazanin"/>
          <w:color w:val="111111"/>
          <w:sz w:val="28"/>
          <w:sz w:val="28"/>
          <w:szCs w:val="28"/>
          <w:rtl w:val="true"/>
          <w:lang w:bidi="fa-IR"/>
        </w:rPr>
        <w:t xml:space="preserve">و أمّا التفصیل بین وصول الغیبة للمقول فیه و بین عدم وصولها إلیه فیجب الاستحلال منه فی الصورة الاولی و یجب الاستغفار له فی الصورة الثانیة،فقد ذهب إلیه جمع من أعاظم الأصحاب کالشهید الثانی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المجلسی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الطوسی فی مبحث التوبة من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الاعتذار عن المغتاب مع بلوغه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العلاّمة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القوشجی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شرحهما علی التجرید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هذا التفصیل ما عن مصباح الشریعة،و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719" w:name="pg5064_65621"/>
    </w:p>
    <w:p>
      <w:pPr>
        <w:pStyle w:val="BookText"/>
        <w:rPr/>
      </w:pPr>
      <w:bookmarkEnd w:id="7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اغتبت فبلغ المغتاب فاستحلّ منه،فإن لم تبلغه و لم تلحقه فاستغفر اللّه له</w:t>
      </w:r>
      <w:r>
        <w:rPr>
          <w:rFonts w:eastAsia="IRNazanin" w:cs="IRNazanin"/>
          <w:color w:val="111111"/>
          <w:sz w:val="28"/>
          <w:szCs w:val="28"/>
          <w:rtl w:val="true"/>
          <w:lang w:bidi="fa-IR"/>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الغیبة إن کانت من حقوق الناس وجب الاستحلال من المقول فیه،سواء علم بذلک أم لا،و إلاّ بقی المغتاب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الذمّة إلی الأبد،و یکون شأن الغیبة فی ذلک شأن الحقوق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من حقوق الناس فلا وجه لوجوب الاستحلال من المقول فیه و إن بلغته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حال،فلا وجه للتفصیل المذکور،و لا بدّ إمّا من حمل الروایة علی الجهات الأخلاقیة،أو ردّ علمها إلی قائلها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ذکرناه ظهر ما فی کلامی الشهید فی کشف الریبة </w:t>
      </w:r>
      <w:r>
        <w:rPr>
          <w:rStyle w:val="FootnoteAnchor"/>
          <w:rtl w:val="true"/>
        </w:rPr>
        <w:footnoteReference w:id="1028"/>
      </w:r>
      <w:r>
        <w:rPr>
          <w:rFonts w:ascii="IRNazanin" w:hAnsi="IRNazanin" w:eastAsia="IRNazanin"/>
          <w:color w:val="111111"/>
          <w:sz w:val="28"/>
          <w:sz w:val="28"/>
          <w:szCs w:val="28"/>
          <w:rtl w:val="true"/>
          <w:lang w:bidi="fa-IR"/>
        </w:rPr>
        <w:t xml:space="preserve">و المجلسی فی مرآة العقول </w:t>
      </w:r>
      <w:r>
        <w:rPr>
          <w:rStyle w:val="FootnoteAnchor"/>
          <w:rtl w:val="true"/>
        </w:rPr>
        <w:footnoteReference w:id="1029"/>
      </w:r>
      <w:r>
        <w:rPr>
          <w:rFonts w:ascii="IRNazanin" w:hAnsi="IRNazanin" w:eastAsia="IRNazanin"/>
          <w:color w:val="111111"/>
          <w:sz w:val="28"/>
          <w:sz w:val="28"/>
          <w:szCs w:val="28"/>
          <w:rtl w:val="true"/>
          <w:lang w:bidi="fa-IR"/>
        </w:rPr>
        <w:t>من الضعف،حیث جعلا التفصیل المذکور وجه الجمع بین الروایات</w:t>
      </w:r>
      <w:r>
        <w:rPr>
          <w:rFonts w:eastAsia="IRNazanin" w:cs="IRNazanin"/>
          <w:color w:val="111111"/>
          <w:sz w:val="28"/>
          <w:szCs w:val="28"/>
          <w:rtl w:val="true"/>
          <w:lang w:bidi="fa-IR"/>
        </w:rPr>
        <w:t>.</w:t>
      </w:r>
    </w:p>
    <w:p>
      <w:pPr>
        <w:pStyle w:val="Heading5"/>
        <w:numPr>
          <w:ilvl w:val="4"/>
          <w:numId w:val="1"/>
        </w:numPr>
        <w:rPr/>
      </w:pPr>
      <w:bookmarkStart w:id="720" w:name="__RefHeading___Toc910460_774463916"/>
      <w:bookmarkStart w:id="721" w:name="_Toc264"/>
      <w:bookmarkEnd w:id="720"/>
      <w:r>
        <w:rPr>
          <w:rtl w:val="true"/>
        </w:rPr>
        <w:t>التفصیل بین إمکان الاستحلال و عدمه</w:t>
      </w:r>
      <w:bookmarkEnd w:id="721"/>
    </w:p>
    <w:p>
      <w:pPr>
        <w:pStyle w:val="BookText"/>
        <w:rPr/>
      </w:pPr>
      <w:r>
        <w:rPr>
          <w:rFonts w:ascii="IRNazanin" w:hAnsi="IRNazanin" w:eastAsia="IRNazanin"/>
          <w:color w:val="111111"/>
          <w:sz w:val="28"/>
          <w:sz w:val="28"/>
          <w:szCs w:val="28"/>
          <w:rtl w:val="true"/>
          <w:lang w:bidi="fa-IR"/>
        </w:rPr>
        <w:t>و أمّا التفصیل بین إمکان الاستحلال و عدمه فألحقه الشهید فی کشف الریبة بالتفصیل المتقدّم حکما،و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من لم یبلغه من لم یقدر علی الوصول إلیه بموت أو غیبة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علیه بما فی دعاء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الاثنین </w:t>
      </w:r>
      <w:r>
        <w:rPr>
          <w:rStyle w:val="FootnoteAnchor"/>
          <w:rtl w:val="true"/>
        </w:rPr>
        <w:footnoteReference w:id="1030"/>
      </w:r>
      <w:r>
        <w:rPr>
          <w:rFonts w:ascii="IRNazanin" w:hAnsi="IRNazanin" w:eastAsia="IRNazanin"/>
          <w:color w:val="111111"/>
          <w:sz w:val="28"/>
          <w:sz w:val="28"/>
          <w:szCs w:val="28"/>
          <w:rtl w:val="true"/>
          <w:lang w:bidi="fa-IR"/>
        </w:rPr>
        <w:t>من طلب العفو و المغفرة لذوی الحقوق و المظلمة مع عدم إمکان الخروج عنها</w:t>
      </w:r>
      <w:r>
        <w:rPr>
          <w:rFonts w:eastAsia="IRNazanin" w:cs="IRNazanin"/>
          <w:color w:val="111111"/>
          <w:sz w:val="28"/>
          <w:szCs w:val="28"/>
          <w:rtl w:val="true"/>
          <w:lang w:bidi="fa-IR"/>
        </w:rPr>
        <w:t>.</w:t>
      </w:r>
      <w:bookmarkStart w:id="722" w:name="pg5064_65622"/>
    </w:p>
    <w:p>
      <w:pPr>
        <w:pStyle w:val="BookText"/>
        <w:rPr/>
      </w:pPr>
      <w:bookmarkEnd w:id="722"/>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الأدعیة الواردة فی أیّام الاسبوع لم یثبت کونها من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عدوّها من الملحقات للصحیفة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 المعصوم و إن کان حجّة کسائر الأمارات المعتبرة،إلاّ أنّه مجمل لا یدلّ علی الوجوب،کما عرفته آنفا</w:t>
      </w:r>
      <w:r>
        <w:rPr>
          <w:rFonts w:eastAsia="IRNazanin" w:cs="IRNazanin"/>
          <w:color w:val="111111"/>
          <w:sz w:val="28"/>
          <w:szCs w:val="28"/>
          <w:rtl w:val="true"/>
          <w:lang w:bidi="fa-IR"/>
        </w:rPr>
        <w:t>.</w:t>
      </w:r>
    </w:p>
    <w:p>
      <w:pPr>
        <w:pStyle w:val="Heading5"/>
        <w:numPr>
          <w:ilvl w:val="4"/>
          <w:numId w:val="1"/>
        </w:numPr>
        <w:rPr/>
      </w:pPr>
      <w:bookmarkStart w:id="723" w:name="__RefHeading___Toc910462_774463916"/>
      <w:bookmarkStart w:id="724" w:name="_Toc265"/>
      <w:bookmarkEnd w:id="723"/>
      <w:r>
        <w:rPr>
          <w:rtl w:val="true"/>
        </w:rPr>
        <w:t>المختار فی کفّارة الغیبة</w:t>
      </w:r>
      <w:bookmarkEnd w:id="724"/>
    </w:p>
    <w:p>
      <w:pPr>
        <w:pStyle w:val="BookText"/>
        <w:rPr/>
      </w:pPr>
      <w:r>
        <w:rPr>
          <w:rFonts w:ascii="IRNazanin" w:hAnsi="IRNazanin" w:eastAsia="IRNazanin"/>
          <w:color w:val="111111"/>
          <w:sz w:val="28"/>
          <w:sz w:val="28"/>
          <w:szCs w:val="28"/>
          <w:rtl w:val="true"/>
          <w:lang w:bidi="fa-IR"/>
        </w:rPr>
        <w:t xml:space="preserve">و أمّا الاکتفاء بالتوبة فی محو تبعات الغیبة،کما یکتفی بها فی محو تبعات سائر المعاصی فهو المتعیّن،لقیام الضرورة،و دلالة الآیات المتظافرة </w:t>
      </w:r>
      <w:r>
        <w:rPr>
          <w:rStyle w:val="FootnoteAnchor"/>
          <w:rtl w:val="true"/>
        </w:rPr>
        <w:footnoteReference w:id="1031"/>
      </w:r>
      <w:r>
        <w:rPr>
          <w:rFonts w:ascii="IRNazanin" w:hAnsi="IRNazanin" w:eastAsia="IRNazanin"/>
          <w:color w:val="111111"/>
          <w:sz w:val="28"/>
          <w:sz w:val="28"/>
          <w:szCs w:val="28"/>
          <w:rtl w:val="true"/>
          <w:lang w:bidi="fa-IR"/>
        </w:rPr>
        <w:t xml:space="preserve">،و الروایات </w:t>
      </w:r>
      <w:r>
        <w:rPr>
          <w:rStyle w:val="FootnoteAnchor"/>
          <w:rtl w:val="true"/>
        </w:rPr>
        <w:footnoteReference w:id="1032"/>
      </w:r>
      <w:r>
        <w:rPr>
          <w:rFonts w:ascii="IRNazanin" w:hAnsi="IRNazanin" w:eastAsia="IRNazanin"/>
          <w:color w:val="111111"/>
          <w:sz w:val="28"/>
          <w:sz w:val="28"/>
          <w:szCs w:val="28"/>
          <w:rtl w:val="true"/>
          <w:lang w:bidi="fa-IR"/>
        </w:rPr>
        <w:t>المتواترة من الفریقین علی أنّ التائب عن ذنبه کمن لا ذنب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إحیاء العلوم عن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کفّارة أکلک لحم أخیک أن تثنی علیه و تدعو له بخیر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إن کان حکما أخلاقیا،و لکن قد ظهر من مطاوی ما ذکرناه 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وجه لما حکاه عن عطا من أنّه سئل عن التوبة من الغیبة؟قال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تمشی إلی صاحبک فتقول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فیما قلت،و ظلمتک،و أسأت،و إن شئت أخذت بحقّک،و إن شئت عفوت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ذکره فی طریق الاعتذار من أن یقول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فیما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محرّم،لما عرفت من أنّ الغیبة کشف العیوب المستورة الموجودة فی المقول فیه،فلا یکون الاغتیاب من الأکاذیب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 أنّ الأخبار الواردة فی هذا الباب کلّها غیر نقیّة السند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وجه لمناقشة المصنّف فی اعتبار الروایات،فإنّه قد</w:t>
      </w:r>
      <w:bookmarkStart w:id="725" w:name="pg5064_65623"/>
    </w:p>
    <w:p>
      <w:pPr>
        <w:pStyle w:val="BookText"/>
        <w:rPr/>
      </w:pPr>
      <w:bookmarkEnd w:id="725"/>
      <w:r>
        <w:rPr>
          <w:rFonts w:ascii="IRNazanin" w:hAnsi="IRNazanin" w:eastAsia="IRNazanin"/>
          <w:color w:val="111111"/>
          <w:sz w:val="28"/>
          <w:sz w:val="28"/>
          <w:szCs w:val="28"/>
          <w:rtl w:val="true"/>
          <w:lang w:bidi="fa-IR"/>
        </w:rPr>
        <w:t>اعترف بکونها 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من أدلّة وجوب الاستحلال الدعاء التاسع و الثلاثین من الصحیفة،و من البدیهی أنّ الصحیفة وصلت إلینا بسند معتبر عن الإمام الرابع،علیه و علی آبائه ألف تحیة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 المصنّف من الأخبار التی ناقش فی اعتبارها غیر الدعاء المزبور کما هو الظاهر،و إنّما لم یلتزم بوجوب الاستحلال لأنّ الدعاء غیر تامّ الدلالة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الاستفاضة فهی لا تنافی عدم الاعتبار،فإنّ الخبر المستفیض قسم من الأخبار الآحاد کما حقّق فی محلّه،و لذا یجعلونه فی مقابل المتواتر</w:t>
      </w:r>
      <w:r>
        <w:rPr>
          <w:rFonts w:eastAsia="IRNazanin" w:cs="IRNazanin"/>
          <w:color w:val="111111"/>
          <w:sz w:val="28"/>
          <w:szCs w:val="28"/>
          <w:rtl w:val="true"/>
          <w:lang w:bidi="fa-IR"/>
        </w:rPr>
        <w:t>.</w:t>
      </w:r>
    </w:p>
    <w:p>
      <w:pPr>
        <w:pStyle w:val="Heading4"/>
        <w:numPr>
          <w:ilvl w:val="3"/>
          <w:numId w:val="1"/>
        </w:numPr>
        <w:rPr/>
      </w:pPr>
      <w:bookmarkStart w:id="726" w:name="__RefHeading___Toc910464_774463916"/>
      <w:bookmarkStart w:id="727" w:name="_Toc266"/>
      <w:bookmarkEnd w:id="726"/>
      <w:r>
        <w:rPr>
          <w:rtl w:val="true"/>
        </w:rPr>
        <w:t>مستثنیات الغیبة</w:t>
      </w:r>
      <w:bookmarkEnd w:id="727"/>
    </w:p>
    <w:p>
      <w:pPr>
        <w:pStyle w:val="Heading5"/>
        <w:numPr>
          <w:ilvl w:val="4"/>
          <w:numId w:val="1"/>
        </w:numPr>
        <w:rPr/>
      </w:pPr>
      <w:bookmarkStart w:id="728" w:name="__RefHeading___Toc910466_774463916"/>
      <w:bookmarkStart w:id="729" w:name="_Toc267"/>
      <w:bookmarkEnd w:id="728"/>
      <w:r>
        <w:rPr>
          <w:rtl w:val="true"/>
        </w:rPr>
        <w:t>اشارة</w:t>
      </w:r>
      <w:bookmarkEnd w:id="72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استثنی من الغیبة و حکم بجوازها بالمعنی الأعمّ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المصنّف تبعا لجامع المقاصد </w:t>
      </w:r>
      <w:r>
        <w:rPr>
          <w:rStyle w:val="FootnoteAnchor"/>
          <w:rtl w:val="true"/>
        </w:rPr>
        <w:footnoteReference w:id="1035"/>
      </w:r>
      <w:r>
        <w:rPr>
          <w:rFonts w:ascii="IRNazanin" w:hAnsi="IRNazanin" w:eastAsia="IRNazanin"/>
          <w:color w:val="111111"/>
          <w:sz w:val="28"/>
          <w:sz w:val="28"/>
          <w:szCs w:val="28"/>
          <w:rtl w:val="true"/>
          <w:lang w:bidi="fa-IR"/>
        </w:rPr>
        <w:t>أنّ المستفاد من الأخبار أنّ الغیبة المحرّمة هی ما کان الغرض منها انتقاص المؤمن و هتک عرضه،أو التفکّه به،أو إضحاک الناس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کان الاغتیاب لغرض صحیح راجع إلی المغتاب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أو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ثالث بحیث یکون هذا الغرض الصحیح أعظم مصلحة من احترام المؤمن وجب العمل علی طبق أقوی المصلحتین،و هذا کنصح المستشیر و التظلّم و نحوهما،و علیه فموارد الاستثناء لا تنحصر بعدد معیّن،بل المدار فیها وجود مصلحة أهم من مصلحة احترام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المنهج جمیع موارد التزاحم فی الواجبات و المحرّمات،سواء کانت من حقوق اللّه أم من حقوق الناس</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الأدلّة المتقدّمة هو تحریم الغیبة بعنوانها الأوّلی،سواء انطبقت</w:t>
      </w:r>
      <w:bookmarkStart w:id="730" w:name="pg5064_65624"/>
    </w:p>
    <w:p>
      <w:pPr>
        <w:pStyle w:val="BookText"/>
        <w:rPr/>
      </w:pPr>
      <w:bookmarkEnd w:id="730"/>
      <w:r>
        <w:rPr>
          <w:rFonts w:ascii="IRNazanin" w:hAnsi="IRNazanin" w:eastAsia="IRNazanin"/>
          <w:color w:val="111111"/>
          <w:sz w:val="28"/>
          <w:sz w:val="28"/>
          <w:szCs w:val="28"/>
          <w:rtl w:val="true"/>
          <w:lang w:bidi="fa-IR"/>
        </w:rPr>
        <w:t>علیها سائر العناوین المحرّمة أم لا،و علیه فلا وجه لجعل حرمة الغیبة تابعة لقصد هتک المؤمن،أو التفکّه به،أو انطباق غیرهما من العناوین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ما ذکره المصنّف تبعا لجامع المقاصد فی ضابطة ترجیح الأهم علی المهم فهو فی غایة المتانة و الجودة علی ما نقّحناه فی علم الاصول </w:t>
      </w:r>
      <w:r>
        <w:rPr>
          <w:rStyle w:val="FootnoteAnchor"/>
          <w:rtl w:val="true"/>
        </w:rPr>
        <w:footnoteReference w:id="1036"/>
      </w:r>
      <w:r>
        <w:rPr>
          <w:rFonts w:ascii="IRNazanin" w:hAnsi="IRNazanin" w:eastAsia="IRNazanin"/>
          <w:color w:val="111111"/>
          <w:sz w:val="28"/>
          <w:sz w:val="28"/>
          <w:szCs w:val="28"/>
          <w:rtl w:val="true"/>
          <w:lang w:bidi="fa-IR"/>
        </w:rPr>
        <w:t>،و لا تحصی ثمراته فی علم الفقه،إلاّ أنّه لا وجه لذکر هذه الضابطة فی المقام،فإنّ الکلام هنا متمحّض لبیان مستثنیات الغیبة بحسب التعبّد بالأدلّة الخاصّة،فلا مساس له بلحاظ المناط و العمل بطبق أقوی الملاکین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کان،فقد عدّوا من مستثنیات الغیبة امورا</w:t>
      </w:r>
      <w:r>
        <w:rPr>
          <w:rFonts w:eastAsia="IRNazanin" w:cs="IRNazanin"/>
          <w:color w:val="111111"/>
          <w:sz w:val="28"/>
          <w:szCs w:val="28"/>
          <w:rtl w:val="true"/>
          <w:lang w:bidi="fa-IR"/>
        </w:rPr>
        <w:t>:</w:t>
      </w:r>
    </w:p>
    <w:p>
      <w:pPr>
        <w:pStyle w:val="Heading5"/>
        <w:numPr>
          <w:ilvl w:val="4"/>
          <w:numId w:val="1"/>
        </w:numPr>
        <w:rPr/>
      </w:pPr>
      <w:bookmarkStart w:id="731" w:name="__RefHeading___Toc910468_774463916"/>
      <w:bookmarkStart w:id="732" w:name="_Toc268"/>
      <w:bookmarkEnd w:id="731"/>
      <w:r>
        <w:rPr>
          <w:rtl w:val="true"/>
        </w:rPr>
        <w:t>المتجاهر بالفسق</w:t>
      </w:r>
      <w:bookmarkEnd w:id="732"/>
    </w:p>
    <w:p>
      <w:pPr>
        <w:pStyle w:val="Heading6"/>
        <w:numPr>
          <w:ilvl w:val="5"/>
          <w:numId w:val="1"/>
        </w:numPr>
        <w:rPr/>
      </w:pPr>
      <w:bookmarkStart w:id="733" w:name="__RefHeading___Toc910470_774463916"/>
      <w:bookmarkStart w:id="734" w:name="_Toc269"/>
      <w:bookmarkEnd w:id="733"/>
      <w:r>
        <w:rPr>
          <w:rtl w:val="true"/>
        </w:rPr>
        <w:t>اشارة</w:t>
      </w:r>
      <w:bookmarkEnd w:id="73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المتجاهر بالفسق،فإنّه یجوز اغتیابه بلا خلاف بین الشیعة و السنّة </w:t>
      </w:r>
      <w:r>
        <w:rPr>
          <w:rStyle w:val="FootnoteAnchor"/>
          <w:rtl w:val="true"/>
        </w:rPr>
        <w:footnoteReference w:id="1037"/>
      </w:r>
      <w:r>
        <w:rPr>
          <w:rFonts w:ascii="IRNazanin" w:hAnsi="IRNazanin" w:eastAsia="IRNazanin"/>
          <w:color w:val="111111"/>
          <w:sz w:val="28"/>
          <w:sz w:val="28"/>
          <w:szCs w:val="28"/>
          <w:rtl w:val="true"/>
          <w:lang w:bidi="fa-IR"/>
        </w:rPr>
        <w:t>و تدلّ علی جواز غیبته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هارون بن الجهم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جاهر الفاسق بفسقه فلا حرمة له و لا غیبة</w:t>
      </w:r>
      <w:r>
        <w:rPr>
          <w:rFonts w:eastAsia="IRNazanin" w:cs="IRNazanin"/>
          <w:color w:val="111111"/>
          <w:sz w:val="28"/>
          <w:szCs w:val="28"/>
          <w:rtl w:val="true"/>
          <w:lang w:bidi="fa-IR"/>
        </w:rPr>
        <w:t xml:space="preserve">» </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و إن کانت ظاهرة الدلالة علی المدّعی،و لکنّها ضعیفة السند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ألقی جلباب الحیاء فلا غیبة له</w:t>
      </w:r>
      <w:r>
        <w:rPr>
          <w:rFonts w:eastAsia="IRNazanin" w:cs="IRNazanin"/>
          <w:color w:val="111111"/>
          <w:sz w:val="28"/>
          <w:szCs w:val="28"/>
          <w:rtl w:val="true"/>
          <w:lang w:bidi="fa-IR"/>
        </w:rPr>
        <w:t xml:space="preserve">» </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فی الحدیث من ألقی جلباب الحیاء بینه و بین ربّه حتّی قام فی صفّ المتمردّین علیه و إلاّ لدلّ الخبر علی جواز اغتیاب کل مذنب،لهتکهم الستر المرخی بینهم و بین</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به أیضا من لا یبالی بارتکاب الامور العادیة غیر المناسبة لنوع الناس،کالأکل فی السوق،و الجلوس فی المقاهی،و الاعتیاد علی الأکل فی الضیافة زائدا علی المتعارف،بل المراد منه هو الفاسق المعلن بفسقه غیر المبالی بالتمرّد علی الشارع و الجرأة علی مخالفته بالإقدام علی القبائح و المعاصی علنا،فیدلّ علی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ضعیف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الدالّة علی أنّ الفاسق المعلن بفسقه لا غیبة له و لا حرمة </w:t>
      </w:r>
      <w:r>
        <w:rPr>
          <w:rStyle w:val="FootnoteAnchor"/>
          <w:rtl w:val="true"/>
        </w:rPr>
        <w:footnoteReference w:id="1040"/>
      </w:r>
      <w:r>
        <w:rPr>
          <w:rFonts w:ascii="Amiri" w:hAnsi="Amiri" w:eastAsia="Amiri" w:cs="Amiri"/>
          <w:color w:val="111111"/>
          <w:sz w:val="28"/>
          <w:sz w:val="28"/>
          <w:szCs w:val="28"/>
          <w:rtl w:val="true"/>
          <w:lang w:bidi="ar-SA"/>
        </w:rPr>
        <w:t>إلاّ أنّها ضعیفة السند</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عامل الناس فلم یظلمهم،و حدّثهم فلم یکذبهم،و وعدهم فلم یخلفهم،کان ممّن حرمت غیبته و کملت مروّته،و ظهر عدله،و وجبت اخوّته</w:t>
      </w:r>
      <w:r>
        <w:rPr>
          <w:rFonts w:eastAsia="IRNazanin" w:cs="IRNazanin"/>
          <w:color w:val="111111"/>
          <w:sz w:val="28"/>
          <w:szCs w:val="28"/>
          <w:rtl w:val="true"/>
          <w:lang w:bidi="fa-IR"/>
        </w:rPr>
        <w:t xml:space="preserve">» </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الروایة دلّت بمفهومها علی</w:t>
      </w:r>
    </w:p>
    <w:p>
      <w:pPr>
        <w:pStyle w:val="BookText"/>
        <w:rPr/>
      </w:pPr>
      <w:r>
        <w:rPr>
          <w:rFonts w:ascii="IRNazanin" w:hAnsi="IRNazanin" w:eastAsia="IRNazanin"/>
          <w:color w:val="111111"/>
          <w:sz w:val="28"/>
          <w:sz w:val="28"/>
          <w:szCs w:val="28"/>
          <w:rtl w:val="true"/>
          <w:lang w:bidi="fa-IR"/>
        </w:rPr>
        <w:t>أنّ من ارتکب الامور المذکورة فهو جائز الغیبة،و من الواضح أنّ من ظلم الناس فی معاملاتهم و کذبهم فی حدیثهم کان متجاهرا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الروایة بجمیع طرقها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الظاهر من هذه الروایة و من صحیحة ابن أبی یعفور و روایة علقمة الآتیتین اعتبار العدالة فی حرمة الغیبة و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ابن أبی یعفور </w:t>
      </w:r>
      <w:r>
        <w:rPr>
          <w:rStyle w:val="FootnoteAnchor"/>
          <w:rtl w:val="true"/>
        </w:rPr>
        <w:footnoteReference w:id="1042"/>
      </w:r>
      <w:r>
        <w:rPr>
          <w:rFonts w:ascii="IRNazanin" w:hAnsi="IRNazanin" w:eastAsia="IRNazanin"/>
          <w:color w:val="111111"/>
          <w:sz w:val="28"/>
          <w:sz w:val="28"/>
          <w:szCs w:val="28"/>
          <w:rtl w:val="true"/>
          <w:lang w:bidi="fa-IR"/>
        </w:rPr>
        <w:t>فقد دلّت علی أنّ حرمة التفتیش عن أحوال الناس مترتّبة علی الستر و العفاف منهم،و مقتضی ذلک أنّ حرمة التفتیش تنتفی إذا انتفت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التفتیش غیر الغیبة،و حرمة أحدهما لا تستلزم حرمة الآخر،نعم قد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سلّمنا اتّحادهما فإنّ مقتضی ذلک اعتبار العدالة فی حرمة الغیبة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روایة علقمة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تره بعینک یرتکب ذنبا،أو لم یشهد علیه بذلک شاهدان،فهو من أهل العدالة و الستر و شهادته مقبولة،و إن کان فی نفسه مذنبا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اغتابه بما فیه فهو خارج من ولایة</w:t>
      </w:r>
    </w:p>
    <w:p>
      <w:pPr>
        <w:pStyle w:val="BookText"/>
        <w:rPr/>
      </w:pPr>
      <w:r>
        <w:rPr>
          <w:rFonts w:ascii="IRNazanin" w:hAnsi="IRNazanin" w:eastAsia="IRNazanin"/>
          <w:color w:val="111111"/>
          <w:sz w:val="28"/>
          <w:sz w:val="28"/>
          <w:szCs w:val="28"/>
          <w:rtl w:val="true"/>
          <w:lang w:bidi="fa-IR"/>
        </w:rPr>
        <w:t>اللّه،و داخل فی ولایة الشیطان</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ترتّب حرمة الاغتیاب و قبول الشهادة علی کونه من أهل الستر و کونه من أهل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اللفّ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علی اشتراط الکل بکون الرجل غیر مرئی منه المعصیة،و لا مشهودا علیه بها،و مقتضی المفهوم جواز الاغتیاب مع عدم الشرط،خرج منه غیر المتجاهر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ظاهرها اعتبار العدالة فی حرمة الغیبة،و هو بدیهی البطلان کما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مفهومها هو أنّ غیبة الرجل جائزة لمن یشاهد صدور المعصیة منه،أو إذا شهد علیه بها شاهدان،و علیه فتنحصر موارد الأدلّة الدالّة علی حرمة الغیبة بالعیوب البدنیة و الأخلاقیة،فإنّ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له من العلم حین یغتاب،و إلاّ کان من البهتان لا من الغیبة،و هذا خلاف صراحة غیر واحد من الروایات الدالّة علی حرمتها،علی أنّه لم یلتزم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ارید من الخطاب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تره بعینک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الکلّی و القضیة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معناه أنّ صدور المعصیة منه بمرأی من الناس و مسمع منهم،بحیث یری الناس و یرونه و هو یوقع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لسلم عن هذا الإشکال</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روایة ابن أبی یعفور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غیبة إلاّ لمن صلّی فی بیته و رغب عن جماعتنا،و من رغب عن</w:t>
      </w:r>
      <w:bookmarkStart w:id="735" w:name="pg5064_65628"/>
    </w:p>
    <w:p>
      <w:pPr>
        <w:pStyle w:val="BookText"/>
        <w:rPr/>
      </w:pPr>
      <w:bookmarkEnd w:id="735"/>
      <w:r>
        <w:rPr>
          <w:rFonts w:ascii="IRNazanin" w:hAnsi="IRNazanin" w:eastAsia="IRNazanin"/>
          <w:color w:val="111111"/>
          <w:sz w:val="28"/>
          <w:sz w:val="28"/>
          <w:szCs w:val="28"/>
          <w:rtl w:val="true"/>
          <w:lang w:bidi="fa-IR"/>
        </w:rPr>
        <w:t>جماعة المسلمین وجبت علی المسلمین غیبته</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فإنّه یدلّ علی جواز غیبة من رغب عن الجماعة،بل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أصل الروایة و إن کانت صحیحة کما عرفت إلاّ أنّ هذه القطعة قد زیدت علیها فی روایة الشیخ </w:t>
      </w:r>
      <w:r>
        <w:rPr>
          <w:rStyle w:val="FootnoteAnchor"/>
          <w:rtl w:val="true"/>
        </w:rPr>
        <w:footnoteReference w:id="1046"/>
      </w:r>
      <w:r>
        <w:rPr>
          <w:rFonts w:ascii="IRNazanin" w:hAnsi="IRNazanin" w:eastAsia="IRNazanin"/>
          <w:color w:val="111111"/>
          <w:sz w:val="28"/>
          <w:sz w:val="28"/>
          <w:szCs w:val="28"/>
          <w:rtl w:val="true"/>
          <w:lang w:bidi="fa-IR"/>
        </w:rPr>
        <w:t>،و هی مشتملة علی ضعف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مختصّة بمن رغب عن الجماعة،فلا تعمّ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الروایة هو دوران الغیبة و العدالة إثباتا و نفیا مدار حضور الجماعة و الرغبة عنها،و یدلّ علی هذا من الروایة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القطعة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سقطت بینهم عدالته،و وجب هجرانه،و إذا رفع إلی إمام المسلمین أنذره و حذّره،فإن حضر جماعة المسلمین و إلاّ أحرق علیه بیته،و من لزم جماعتهم حرمت علیهم غیبته،و ثبتت عدالته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یدل دلیل معتبر علی جواز غیبة المتجاهر بالفسق لیکون مقیّدا للإطلاقات الدالّة علی حرمة الغیبة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ذکرنا فی معنی الغیبة أنّها عبارة عن کشف ما ستره اللّه علی العباد،و أیّدناه ببعض الروایات فیکون المتجاهر بالفسق خارجا عن حدود الغیبة تخصّصا و موضوعا،لأنّه قد کشف ستره بنفسه قبل أن یکشفه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Heading6"/>
        <w:numPr>
          <w:ilvl w:val="5"/>
          <w:numId w:val="1"/>
        </w:numPr>
        <w:rPr/>
      </w:pPr>
      <w:bookmarkStart w:id="736" w:name="__RefHeading___Toc910472_774463916"/>
      <w:bookmarkStart w:id="737" w:name="_Toc270"/>
      <w:bookmarkEnd w:id="736"/>
      <w:r>
        <w:rPr>
          <w:rtl w:val="true"/>
        </w:rPr>
        <w:t>فروع</w:t>
      </w:r>
      <w:bookmarkEnd w:id="737"/>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فی جواز غیبة المتجاهر بالفسق قصد الغرض الصحیح من</w:t>
      </w:r>
    </w:p>
    <w:p>
      <w:pPr>
        <w:pStyle w:val="BookText"/>
        <w:rPr/>
      </w:pPr>
      <w:r>
        <w:rPr>
          <w:rFonts w:ascii="IRNazanin" w:hAnsi="IRNazanin" w:eastAsia="IRNazanin"/>
          <w:color w:val="111111"/>
          <w:sz w:val="28"/>
          <w:sz w:val="28"/>
          <w:szCs w:val="28"/>
          <w:rtl w:val="true"/>
          <w:lang w:bidi="fa-IR"/>
        </w:rPr>
        <w:t>النهی عن المنکر و ردعه عن المعاصی،أو لا؟مقتضی العمل بالإطلاقات المتقدّمة الدالّة علی نفی الغیبة عن المتجاهر بالفسق هو الثانی،إذ لم تقیّد بالقصد المذکور،کما أنّ ذلک أیضا مقتضی ما ذکرنا من خروج ذکر المتجاهر بالفسق عن تعریف الغیبة موضوعا،إذ لم یتقیّد عنوان الغیبة بأکثر من کونها کشفا لما ستره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تجوز غیبة المتجاهر فی جمیع ما ارتکبه من المعاصی و إن لم یتجاهر إلاّ فی بعضها کما عن الحدائق </w:t>
      </w:r>
      <w:r>
        <w:rPr>
          <w:rStyle w:val="FootnoteAnchor"/>
          <w:rtl w:val="true"/>
        </w:rPr>
        <w:footnoteReference w:id="1047"/>
      </w:r>
      <w:r>
        <w:rPr>
          <w:rFonts w:ascii="IRNazanin" w:hAnsi="IRNazanin" w:eastAsia="IRNazanin"/>
          <w:color w:val="111111"/>
          <w:sz w:val="28"/>
          <w:sz w:val="28"/>
          <w:szCs w:val="28"/>
          <w:rtl w:val="true"/>
          <w:lang w:bidi="fa-IR"/>
        </w:rPr>
        <w:t>،أو لا تجوز إلاّ فیما تجاهر فیه کما عن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المصنّف بین المعاصی التی هی دون ما تجاهر فیه فی القبح و بین غیرها فیجوز اغتیابه فی الأول،و لا یجوز اغتیابه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تجاهر باللواط جاز اغتیابه بالتعرّض للأجنبیات،و من تجاهر بقطع الطرق جاز اغتیابه بالسرقة و من تجاهر بکونه جلاّد سلطان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الناس،و یمثّل بهم،و ینکّل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اغتیابه بشرب الخمر و الزنا و اللواط،و من تجاهر بنفس المعصیة جاز اغتیابه فی مقدّماتها،و من تجاهر بالمعاصی الکبیرة جاز اغتیابه بالتعرّض لجمیع القبائح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ألقی جلباب الحیاء فلا غیبة له</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لا من تجاهر بمعصیة خاصّة و عدّ مستورا فی غیرها،کبعض عمّال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القول بالتفصیل المذکور فلا دلیل علیه بوجه،فإنّ بعض الناس قد یتجاهر بالذنوب الکبیرة،کقتل النفوس المحترمة،و شرب الخمور،و أکل أموال</w:t>
      </w:r>
    </w:p>
    <w:p>
      <w:pPr>
        <w:pStyle w:val="BookText"/>
        <w:rPr/>
      </w:pPr>
      <w:r>
        <w:rPr>
          <w:rFonts w:ascii="IRNazanin" w:hAnsi="IRNazanin" w:eastAsia="IRNazanin"/>
          <w:color w:val="111111"/>
          <w:sz w:val="28"/>
          <w:sz w:val="28"/>
          <w:szCs w:val="28"/>
          <w:rtl w:val="true"/>
          <w:lang w:bidi="fa-IR"/>
        </w:rPr>
        <w:t>الناس،و مع ذلک یتستّر فیما هو دونها،کإیذاء الجار،و النظر إلی الأجنبیات،و ترک العبادات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تجاهر فی معصیة جاز اغتیابه بها و بلوازمها،فإذا تجاهر بشرب الخمر جاز اغتیابه بتهیئة مقدّمات الشرب من الشراء و الحمل أو الصنع،فإنّ الالتزام بالشیء التزام بلوازمه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ألقی جلباب الحیاء فی معصیة ألقی جلبابه فی لوازمه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فیدور الأمر بین القول بالجواز مطلقا،و بین القول بعدم الجواز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هو جواز اغتیاب المتجاهر مطلقا،کما عن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استظهره من کلام جملة من الأعلام،بل ذکر المصنّف تصریح بعض الأساطین </w:t>
      </w:r>
      <w:r>
        <w:rPr>
          <w:rStyle w:val="FootnoteAnchor"/>
          <w:rtl w:val="true"/>
        </w:rPr>
        <w:footnoteReference w:id="1050"/>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إطلاق الروایات المتقدّمة،فإنّه دالّ علی جواز غیبة المتجاهر بالفسق حتّی بذکر المعاصی التی لم یتجاهر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تجاهره بمعصیة واحدة أسقط احترامه فی نظر الشارع بحیث صار مهدور الحرمة،کما أنّ المرتدّ بارتداده یصبح مهدور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عرفت ضعف الروایات المذکورة،فلا یمکن التمسّک بإطلاقها و علیه فالاقتصار علی المقدار المتیقّن یقتضی عدم جواز غیبة المتجاهر بغیر ما تجاهر فیه و فی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من مطاوی ما ذکرناه أنه یعتبر فی صدق التجاهر بالفسق أن یکون المتجاهر به ممّا یوجب الفسق و الخروج عن العدالة،فلو ارتکب أحد الحرام الواقعی لشبهة حکمیة أو موضوعیة فإنه لیس بمذنب،فضلا عن کونه متجاهرا بالفسق</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الشبهة الحکمیة فکما إذا شرب العصیر التمری المغلی قبل ذهاب ثلثیه،أو</w:t>
      </w:r>
    </w:p>
    <w:p>
      <w:pPr>
        <w:pStyle w:val="BookText"/>
        <w:rPr/>
      </w:pPr>
      <w:r>
        <w:rPr>
          <w:rFonts w:ascii="IRNazanin" w:hAnsi="IRNazanin" w:eastAsia="IRNazanin"/>
          <w:color w:val="111111"/>
          <w:sz w:val="28"/>
          <w:sz w:val="28"/>
          <w:szCs w:val="28"/>
          <w:rtl w:val="true"/>
          <w:lang w:bidi="fa-IR"/>
        </w:rPr>
        <w:t>أکل لحم الارنب لأنّه یعتقد إباحتهما بحسب اجتهاده أو اجتهاد من یقلّده،فإنّه یکون معذورا فی هذا الارتکاب إذا تمّت له أو لمقلّده مقدّمات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الموضوعیة فکشرب الخمر باعتقاد أنّها ماء،و کوطی امرأة أجنبیة باعتقاد أنّها زوجته،و کقتل المؤمن باعتقاد أنه مهدور الدم،فإنّه أیضا معذور فی هذه الأعمال،إلاّ إذا کان مقصرا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مقتضی العمل بالمطلقات هو جواز غیبة المتجاهر مطلقا بمجرّد تجاهره بمعصیة من المعاصی،فیکون التجاهر و لو فی معصیة واحدة علّة تامّة لجواز الغیبة،و علیه فلا یفرق فی ذلک بین أن یکون معروفا بالتجاهر فی الفسق بین جمیع الناس و فی جمیع الأمکنة و الأصقاع،أو بین بعضهم و فی بعض البلاد و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وجه لما استشکله المصنّف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ظهور روایات الرخصة فی من لا یستنکف عن الإطّلاع علی عمله مطلقا،فرب متجاهر فی بلد،متستّر فی بلاد الغربة أو فی طریق الحجّ و الزیارة،لئلاّ یقع عن عیون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تجاهر بذلک بین جماعة هم أصحاب سرّه و رفقائه فی العمل فإنّه لا یعدّ متجاهرا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ضعف المطلقات المذکورة،فلا یمکن الاستناد إلیها فی تجویز هتک عرض المؤمن و افتضاحه بین الناس،و لا تصلح لتقیید المطلقات الدالّة علی حرمة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تجوز غیبة المتجاهر إلاّ لمن تجاهر بالمعصیة عنده،لا من جهة الروایات،بل لعدم تحقّق مفهوم الغیبة مع التجاهر،علی ما ذکرناه فی تفسیرها و اللّه العالم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المصنّف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بالجملة،فحیث کان الأصل فی المؤمن الاحترام علی الإطلاق،وجب الاقتصار علی ما تیقّن خروجه</w:t>
      </w:r>
      <w:r>
        <w:rPr>
          <w:rFonts w:eastAsia="IRNazanin" w:cs="IRNazanin"/>
          <w:color w:val="111111"/>
          <w:sz w:val="28"/>
          <w:szCs w:val="28"/>
          <w:rtl w:val="true"/>
          <w:lang w:bidi="fa-IR"/>
        </w:rPr>
        <w:t>.</w:t>
      </w:r>
      <w:bookmarkStart w:id="738" w:name="pg5064_65632"/>
    </w:p>
    <w:p>
      <w:pPr>
        <w:pStyle w:val="BookText"/>
        <w:rPr/>
      </w:pPr>
      <w:bookmarkEnd w:id="738"/>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الفارق بین السبّ و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توضیح ذلک فی البحث عن حرمة سباب المؤمن،و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النسبة بین الغیبة و سبّ المؤمن هی العموم من وجه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910474_774463916"/>
      <w:bookmarkStart w:id="740" w:name="_Toc271"/>
      <w:bookmarkEnd w:id="739"/>
      <w:r>
        <w:rPr>
          <w:rtl w:val="true"/>
        </w:rPr>
        <w:t>جواز تظلّم المظلوم</w:t>
      </w:r>
      <w:bookmarkEnd w:id="740"/>
    </w:p>
    <w:p>
      <w:pPr>
        <w:pStyle w:val="Heading6"/>
        <w:numPr>
          <w:ilvl w:val="5"/>
          <w:numId w:val="1"/>
        </w:numPr>
        <w:rPr/>
      </w:pPr>
      <w:bookmarkStart w:id="741" w:name="__RefHeading___Toc910476_774463916"/>
      <w:bookmarkStart w:id="742" w:name="_Toc272"/>
      <w:bookmarkEnd w:id="741"/>
      <w:r>
        <w:rPr>
          <w:rtl w:val="true"/>
        </w:rPr>
        <w:t>اشارة</w:t>
      </w:r>
      <w:bookmarkEnd w:id="74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تظلّم المظلوم و إظهار ما فعل به الظالم و إن کان متستّرا به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الشیعة و السنّة </w:t>
      </w:r>
      <w:r>
        <w:rPr>
          <w:rStyle w:val="FootnoteAnchor"/>
          <w:rtl w:val="true"/>
        </w:rPr>
        <w:footnoteReference w:id="1053"/>
      </w:r>
      <w:r>
        <w:rPr>
          <w:rFonts w:ascii="IRNazanin" w:hAnsi="IRNazanin" w:eastAsia="IRNazanin"/>
          <w:color w:val="111111"/>
          <w:sz w:val="28"/>
          <w:sz w:val="28"/>
          <w:szCs w:val="28"/>
          <w:rtl w:val="true"/>
          <w:lang w:bidi="fa-IR"/>
        </w:rPr>
        <w:t>من مستثنیات حرمة الغیبة تظلّم المظلوم و إظهار ما أصابه من الظالم و إن کان متستّرا فی ظلمه إیّاه،کما إذا ضربه أو شتمه أو أخذ ماله أو هجم علی داره فی مکان لا یراهما أحد أو لا یراهما من یتظلّم إلیه،فإنه یجوز للمظلوم أن یتظلّم بها إلی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 اللّهُ الْجَهْرَ بِالسُّوءِ مِنَ الْقَوْلِ إِلاّ مَنْ ظُلِمَ </w:t>
      </w:r>
      <w:r>
        <w:rPr>
          <w:rStyle w:val="FootnoteAnchor"/>
          <w:rtl w:val="true"/>
        </w:rPr>
        <w:footnoteReference w:id="1054"/>
      </w:r>
      <w:r>
        <w:rPr>
          <w:rFonts w:ascii="IRNazanin" w:hAnsi="IRNazanin" w:eastAsia="IRNazanin"/>
          <w:color w:val="111111"/>
          <w:sz w:val="28"/>
          <w:sz w:val="28"/>
          <w:szCs w:val="28"/>
          <w:rtl w:val="true"/>
          <w:lang w:bidi="fa-IR"/>
        </w:rPr>
        <w:t>فقد ثبت من الخارج أنّ الغیبة من الجهر بالسوء،فإنّها إظهار ما ستره اللّه من العیوب الموجبة لهتک المقول فیه و إهانته کما عرفت،و علیه فتنطبق الآیة علی ما نحن فیه،و تکون النتیجة أنّ اللّه لا یحبّ الاغتیاب إلاّ للمظلوم،فإنّ له أن یتظلّم إلی الناس بذکر مساوئ الظالم و إن لم یرج ارتداعه عن ظلمه إیّاه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الروایة المفسّرة للجهر بالسوء بأنّ المراد به الشتم </w:t>
      </w:r>
      <w:r>
        <w:rPr>
          <w:rStyle w:val="FootnoteAnchor"/>
          <w:rtl w:val="true"/>
        </w:rPr>
        <w:footnoteReference w:id="1055"/>
      </w:r>
      <w:r>
        <w:rPr>
          <w:rFonts w:ascii="IRNazanin" w:hAnsi="IRNazanin" w:eastAsia="IRNazanin"/>
          <w:color w:val="111111"/>
          <w:sz w:val="28"/>
          <w:sz w:val="28"/>
          <w:szCs w:val="28"/>
          <w:rtl w:val="true"/>
          <w:lang w:bidi="fa-IR"/>
        </w:rPr>
        <w:t>فمضافا إلی ضعف</w:t>
      </w:r>
    </w:p>
    <w:p>
      <w:pPr>
        <w:pStyle w:val="BookText"/>
        <w:rPr/>
      </w:pPr>
      <w:r>
        <w:rPr>
          <w:rFonts w:ascii="IRNazanin" w:hAnsi="IRNazanin" w:eastAsia="IRNazanin"/>
          <w:color w:val="111111"/>
          <w:sz w:val="28"/>
          <w:sz w:val="28"/>
          <w:szCs w:val="28"/>
          <w:rtl w:val="true"/>
          <w:lang w:bidi="fa-IR"/>
        </w:rPr>
        <w:t>السند فیها،أنّ انطباقه علی ذلک لا ینافی انطباقه علی الغیبة أیضا،لما عرفت مرارا من أنّ الروایات الواردة فی تفسیر القرآن کلّها لبیان المصداق و تنقیح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قیّد الشهید فی کشف الریبة </w:t>
      </w:r>
      <w:r>
        <w:rPr>
          <w:rStyle w:val="FootnoteAnchor"/>
          <w:rtl w:val="true"/>
        </w:rPr>
        <w:footnoteReference w:id="1056"/>
      </w:r>
      <w:r>
        <w:rPr>
          <w:rFonts w:ascii="IRNazanin" w:hAnsi="IRNazanin" w:eastAsia="IRNazanin"/>
          <w:color w:val="111111"/>
          <w:sz w:val="28"/>
          <w:sz w:val="28"/>
          <w:szCs w:val="28"/>
          <w:rtl w:val="true"/>
          <w:lang w:bidi="fa-IR"/>
        </w:rPr>
        <w:t>و جمع ممّن تأخّر عنه جواز الغیبة هنا بکونها عند من یرجو منه إزالة الظلم عنه،اقتصارا فی مخالفة الأصل الثابت بالعقل و النقل علی المتیقّن،إذ لا عموم فی الآیة لیتمسّک به فی إثبات الإباحة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تفسیر الآیة من الأخبار لا ینهض للحجّیة،مع أنّ المروی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تفسیرها المحکی عن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یحبّ الشتم فی الانتصار إلاّ من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و إن لم تشتمل علی شیء من ألفاظ العموم و أدواته إلاّ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ظُلِمَ مطلق،فبمقتضی مقدّمات الحکمة فیه یفید العموم،و علیه فیجوز للمظلوم اغتیاب الظالم سواء احتمل ارتداعه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الحکم المذکور ما فی تفسیر القمّی من الرخصة للمظلوم فی معارضة الظالم </w:t>
      </w:r>
      <w:r>
        <w:rPr>
          <w:rStyle w:val="FootnoteAnchor"/>
          <w:rtl w:val="true"/>
        </w:rPr>
        <w:footnoteReference w:id="1057"/>
      </w:r>
      <w:r>
        <w:rPr>
          <w:rFonts w:ascii="IRNazanin" w:hAnsi="IRNazanin" w:eastAsia="IRNazanin"/>
          <w:color w:val="111111"/>
          <w:sz w:val="28"/>
          <w:sz w:val="28"/>
          <w:szCs w:val="28"/>
          <w:rtl w:val="true"/>
          <w:lang w:bidi="fa-IR"/>
        </w:rPr>
        <w:t xml:space="preserve">،و کذلک یدلّ علیه ما ورد فی تطبیق الآیة علی ذکر الضیف إساءة المضیف إیّاه </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جمیع ذلک ضعیف السند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إساءة الضیافة هو هتک الضیف و عدم القیام بما یلیق بشأنه و بما تقتضیه وظائف الضیافة و المعاشرة المقرّرة فی الشریعة المقدّسة،و یسمّی ذلک فی لغة الفرس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بها ترک ما یشتهیه الضیف و یتمنّاه زائدا</w:t>
      </w:r>
    </w:p>
    <w:p>
      <w:pPr>
        <w:pStyle w:val="BookText"/>
        <w:rPr/>
      </w:pPr>
      <w:r>
        <w:rPr>
          <w:rFonts w:ascii="IRNazanin" w:hAnsi="IRNazanin" w:eastAsia="IRNazanin"/>
          <w:color w:val="111111"/>
          <w:sz w:val="28"/>
          <w:sz w:val="28"/>
          <w:szCs w:val="28"/>
          <w:rtl w:val="true"/>
          <w:lang w:bidi="fa-IR"/>
        </w:rPr>
        <w:t>علی المقدار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الضیف علی المضیف أن یکرمه و یحترمه بالحدّ الأوسط،فلا تجوز له مطالبته بالحدّ الأعلی،و لا یجوز للمضیف أن یعامل ضیفه بالحدّ الأدنی،و إلاّ لجاز لأی منهما أن یذکر ما فعله الآخر معه من المساءة،لأنّه نوع من التظلّم،فیکون مشمولا للآیة من دون احتیاج إلی الروایة،و حینئذ فیکون تطبیق الآیة علی إساءة الضیافة مؤیّدا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الجواز هنا بامور غیر ناهضة للدلالة علی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أَصابَهُمُ الْبَغْیُ هُمْ یَنْتَصِرُونَ </w:t>
      </w:r>
      <w:r>
        <w:rPr>
          <w:rStyle w:val="FootnoteAnchor"/>
          <w:rtl w:val="true"/>
        </w:rPr>
        <w:footnoteReference w:id="105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بدعوی أنّ ذکر المظلوم ما فعله الظالم معه من السوء نحو من الانتصار،فیکون مشمولا للآیتین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الآیتین أجنبیتان عمّا نحن فیه،بل هما راجعتان إلی جواز الاعتداء و الانتقام بالمثل،نظیر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اعْتَدی عَلَیْکُمْ فَاعْتَدُوا عَلَیْهِ بِمِثْلِ مَا اعْتَدی عَلَیْکُمْ </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ذهب إلی هذا جمع من الأکابر،حتّی صرّح الأردبیلی </w:t>
      </w:r>
      <w:r>
        <w:rPr>
          <w:rStyle w:val="FootnoteAnchor"/>
          <w:rtl w:val="true"/>
        </w:rPr>
        <w:footnoteReference w:id="1061"/>
      </w:r>
      <w:r>
        <w:rPr>
          <w:rFonts w:ascii="IRNazanin" w:hAnsi="IRNazanin" w:eastAsia="IRNazanin"/>
          <w:color w:val="111111"/>
          <w:sz w:val="28"/>
          <w:sz w:val="28"/>
          <w:szCs w:val="28"/>
          <w:rtl w:val="true"/>
          <w:lang w:bidi="fa-IR"/>
        </w:rPr>
        <w:t xml:space="preserve">فی محکی کلامه بجواز اعتداء المضروب بالضرب و المشتوم بالشتم کما عرفته إجمالا فی البحث عن حرمة السبّ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 ما ذکرناه من حمل الآیتین علی الانتقام بالمثل قوله تعالی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الغیبة نحو من الاعتداء دعوی جزافیة،فإنه لا إطلاق للآیتین</w:t>
      </w:r>
    </w:p>
    <w:p>
      <w:pPr>
        <w:pStyle w:val="BookText"/>
        <w:rPr/>
      </w:pPr>
      <w:r>
        <w:rPr>
          <w:rFonts w:ascii="IRNazanin" w:hAnsi="IRNazanin" w:eastAsia="IRNazanin"/>
          <w:color w:val="111111"/>
          <w:sz w:val="28"/>
          <w:sz w:val="28"/>
          <w:szCs w:val="28"/>
          <w:rtl w:val="true"/>
          <w:lang w:bidi="fa-IR"/>
        </w:rPr>
        <w:t>بالنسبة إلی المجازاة بالمحرّمات،و إلاّ لجاز الاعتداء بالزنا و نحوه،و لم یلتزم به أحد بل هو ضروری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منع المظلوم من التظلّم حرجا عظیما،بل ربما لا یتحمّله إلاّ الأوحدی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لا یتم فی جمیع الموارد،فرب شخص یتحمّل ما لا یحصی من المصائب الشدیدة و النوائب العسرة حتّی من الأشخاص الدنیّة بغیر حرج و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شمول دلیل الحرج للمقام إشکالا بل منعا،لأنّه مناف للامتنان فی حقّ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حقّقنا فی معنی أدلّة الحرج و الضرر </w:t>
      </w:r>
      <w:r>
        <w:rPr>
          <w:rStyle w:val="FootnoteAnchor"/>
          <w:rtl w:val="true"/>
        </w:rPr>
        <w:footnoteReference w:id="1063"/>
      </w:r>
      <w:r>
        <w:rPr>
          <w:rFonts w:ascii="IRNazanin" w:hAnsi="IRNazanin" w:eastAsia="IRNazanin"/>
          <w:color w:val="111111"/>
          <w:sz w:val="28"/>
          <w:sz w:val="28"/>
          <w:szCs w:val="28"/>
          <w:rtl w:val="true"/>
          <w:lang w:bidi="fa-IR"/>
        </w:rPr>
        <w:t>أنّها أدلّة امتنانیة و إنّما تجری إذا لم یلزم من جریانها خلاف الامتنان فی حقّ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تشریع الجواز مظنّة ردع الظالم،و هی مصلحة خالیة عن المفسدة،فتوجب الجواز،فإنّ الأحکام الشرعیة تابعة للمصالح و المفاسد علی مسلک العدلیة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الشرعیة و إن کانت تابعة للملاکات الواقعیة،إلاّ أنّ المصلحة المظنونة لا تقاوم المفسدة المقطوعة،لأنّ الظنّ لا 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ربما لا یرتدع الظالم باغتیابه،بل قد لا یرتدع بما هو أعظم من الاغتیاب،علی أنّ لازم هذا الوجه هو جواز اغتیابه حتّی من غیر المظلوم،فإنّ الظنّ بالارتداع موجود فیهما،بل قد یکون ذکر غیر المظلوم آکد فی ردع الظالم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روایة قرب الإسناد المتقدّمة فی البحث عن جواز غیبة المتجاهر بالفسق </w:t>
      </w:r>
      <w:r>
        <w:rPr>
          <w:rStyle w:val="FootnoteAnchor"/>
          <w:rtl w:val="true"/>
        </w:rPr>
        <w:footnoteReference w:id="1064"/>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لیس لهم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هوی مبتدع</w:t>
      </w:r>
    </w:p>
    <w:p>
      <w:pPr>
        <w:pStyle w:val="BookText"/>
        <w:rPr/>
      </w:pPr>
      <w:r>
        <w:rPr>
          <w:rFonts w:ascii="IRNazanin" w:hAnsi="IRNazanin" w:eastAsia="IRNazanin"/>
          <w:color w:val="111111"/>
          <w:sz w:val="28"/>
          <w:sz w:val="28"/>
          <w:szCs w:val="28"/>
          <w:rtl w:val="true"/>
          <w:lang w:bidi="fa-IR"/>
        </w:rPr>
        <w:t>و الإمام الجائر،و الفاسق المعلن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عدم احترام الإمام الجائر إنّما هو لجوره،لا لتجاهره بالفسق،و إلاّ لم یکن قسیما للفاسق المعلن بفسقه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 کما عرفته فی المبحث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یراد من الإمام الجائر من یتقمّص بقمیص الخلافة علی غیر استحقاق،و یشغل منصب الإمامة بغیر رضی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یراد به مطلق القاعد الذی یجور علی الناس و یظلمهم،سواء ادّعی الخلافة مع ذلک أم لا،و یعبّر عنه فی لغة الفرس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فیدخل فیه من یقضی بین الناس أو یفتیهم علی غیر هدی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حال،فلا دلالة فی توصیف الإمام بالجور علی علّیته لجواز الغیبة،فإنّ عطف الفاسق علیه من قبیل عطف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الروایة المذکورة مرویة عن النبی بسند آخر </w:t>
      </w:r>
      <w:r>
        <w:rPr>
          <w:rStyle w:val="FootnoteAnchor"/>
          <w:rtl w:val="true"/>
        </w:rPr>
        <w:footnoteReference w:id="1065"/>
      </w:r>
      <w:r>
        <w:rPr>
          <w:rFonts w:ascii="IRNazanin" w:hAnsi="IRNazanin" w:eastAsia="IRNazanin"/>
          <w:color w:val="111111"/>
          <w:sz w:val="28"/>
          <w:sz w:val="28"/>
          <w:szCs w:val="28"/>
          <w:rtl w:val="true"/>
          <w:lang w:bidi="fa-IR"/>
        </w:rPr>
        <w:t>و هی تشتمل علی توصیف الإمام بالکذّاب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الوجه لو دلّ علی الجواز لم یختصّ بخصوص المظلوم،فإنّ الإمام الجائر یجوز اغتیابه لکل أحد،فعموم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عموم الحکم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لصاحب الحقّ مقالا</w:t>
      </w:r>
      <w:r>
        <w:rPr>
          <w:rFonts w:eastAsia="IRNazanin" w:cs="IRNazanin"/>
          <w:color w:val="111111"/>
          <w:sz w:val="28"/>
          <w:szCs w:val="28"/>
          <w:rtl w:val="true"/>
          <w:lang w:bidi="fa-IR"/>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bookmarkStart w:id="743" w:name="pg5064_65637"/>
    </w:p>
    <w:p>
      <w:pPr>
        <w:pStyle w:val="BookText"/>
        <w:rPr/>
      </w:pPr>
      <w:bookmarkEnd w:id="743"/>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السند،و غیر منجبر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إلاّ علی ثبوت المقال لصاحب الحقّ من حیث الکبری،أی فی موارد ثبوت الحقّ له بالفعل،و أمّا إحراز الصغری فلا بدّ و أن یکون بأدلّة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الحدیث أنّ کل من ثبت له حق فعلی علی أحد من الحقوق المالیة و العرضیة و البدنیة و غیرها فله مقال فی المطالبة به،و المرافعة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تشمل المظلوم الذی اضیع حقّه،وفات بالظلم علیه،إذ لیس له حق فعلیّ حتّی یکون له مقال فی المطالبة به،و المرافعة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اختصاصه بالدین فقط،فیکون مساوقا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بالدین یحلّ عرضه و عقوبته ما لم یکن دینه فیما یکره اللّه عزّ و جلّ</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4" w:name="__RefHeading___Toc910478_774463916"/>
      <w:bookmarkStart w:id="745" w:name="_Toc273"/>
      <w:bookmarkEnd w:id="744"/>
      <w:r>
        <w:rPr>
          <w:rtl w:val="true"/>
        </w:rPr>
        <w:t>عدم جواز الغیبة فی ترک الأولی</w:t>
      </w:r>
      <w:bookmarkEnd w:id="745"/>
    </w:p>
    <w:p>
      <w:pPr>
        <w:pStyle w:val="BookText"/>
        <w:rPr/>
      </w:pPr>
      <w:r>
        <w:rPr>
          <w:rFonts w:ascii="IRNazanin" w:hAnsi="IRNazanin" w:eastAsia="IRNazanin"/>
          <w:color w:val="111111"/>
          <w:sz w:val="28"/>
          <w:sz w:val="28"/>
          <w:szCs w:val="28"/>
          <w:rtl w:val="true"/>
          <w:lang w:bidi="fa-IR"/>
        </w:rPr>
        <w:t>لا یجوز للمظلوم أن یغتاب الظالم بترک الأولی،لعدم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یستدل علی الجواز بروایتین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حمّاد بن عثمان الواردة فی استقضاء الدین </w:t>
      </w:r>
      <w:r>
        <w:rPr>
          <w:rStyle w:val="FootnoteAnchor"/>
          <w:rtl w:val="true"/>
        </w:rPr>
        <w:footnoteReference w:id="1068"/>
      </w:r>
      <w:r>
        <w:rPr>
          <w:rFonts w:ascii="IRNazanin" w:hAnsi="IRNazanin" w:eastAsia="IRNazanin"/>
          <w:color w:val="111111"/>
          <w:sz w:val="28"/>
          <w:sz w:val="28"/>
          <w:szCs w:val="28"/>
          <w:rtl w:val="true"/>
          <w:lang w:bidi="fa-IR"/>
        </w:rPr>
        <w:t>،فإنّها ظاهرة فی</w:t>
      </w:r>
    </w:p>
    <w:p>
      <w:pPr>
        <w:pStyle w:val="BookText"/>
        <w:rPr/>
      </w:pPr>
      <w:r>
        <w:rPr>
          <w:rFonts w:ascii="IRNazanin" w:hAnsi="IRNazanin" w:eastAsia="IRNazanin"/>
          <w:color w:val="111111"/>
          <w:sz w:val="28"/>
          <w:sz w:val="28"/>
          <w:szCs w:val="28"/>
          <w:rtl w:val="true"/>
          <w:lang w:bidi="fa-IR"/>
        </w:rPr>
        <w:t>جواز الشکوی من الدائن لترکه الأولی،لأنّ الإمهال فی قضاء الدین من الامور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الفرض فی الروایة أنّ الدائن قد تعدّی علی المدیون،فطلب منه أداء الدین مع عدم وجوب الأداء علیه لعسر أو لغیره،و لا شبهة أنّ ذلک ظلم تباح معه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یوجب علی المدیون أداء الدین،و لو کان واجدا و لم یکن له عذر لکان أداء الدین واجبا علیه بلا ریب،لما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 الواجد یحلّ عرضه و عقوبته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ذلک آنفا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النسخة المعروفة التی تبعها صاحب الوسائل و المصنّف فی النقل و أمّا علی نسختی الوافی و المستدرک و ما ذکره المجلسی </w:t>
      </w:r>
      <w:r>
        <w:rPr>
          <w:rStyle w:val="FootnoteAnchor"/>
          <w:rtl w:val="true"/>
        </w:rPr>
        <w:footnoteReference w:id="1069"/>
      </w:r>
      <w:r>
        <w:rPr>
          <w:rFonts w:ascii="IRNazanin" w:hAnsi="IRNazanin" w:eastAsia="IRNazanin"/>
          <w:color w:val="111111"/>
          <w:sz w:val="28"/>
          <w:sz w:val="28"/>
          <w:szCs w:val="28"/>
          <w:rtl w:val="true"/>
          <w:lang w:bidi="fa-IR"/>
        </w:rPr>
        <w:t>عن بعض النسخ القدیمة من تبدیل الضاد المعجمة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 بالصاد المهملة فالروایة تکاد تکون نصّا فیما ذکرناه،فإنّ معنی الاستقصاء فی الحقّ البلوغ إلی الغایة</w:t>
      </w:r>
    </w:p>
    <w:p>
      <w:pPr>
        <w:pStyle w:val="BookText"/>
        <w:rPr/>
      </w:pPr>
      <w:r>
        <w:rPr>
          <w:rFonts w:ascii="IRNazanin" w:hAnsi="IRNazanin" w:eastAsia="IRNazanin"/>
          <w:color w:val="111111"/>
          <w:sz w:val="28"/>
          <w:sz w:val="28"/>
          <w:szCs w:val="28"/>
          <w:rtl w:val="true"/>
          <w:lang w:bidi="fa-IR"/>
        </w:rPr>
        <w:t>فی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ذلک قد یؤدّی إلی الهتک و الظلم،فیکون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فتکون الروایة من جملة ما دلّ علی جواز اغتیاب الظالم من قبل المظلوم بذکر أوصافه المحرمة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تأمّل الروایة و تشدید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علی المشکو علیه و استشهاده بالآیة یطمئن بصحة نسخة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المحدّث الکاشانی دقیق فی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عن جمیع ما ذکرناه و تسلیم عدم ظهور الروایة فیما نقول فلیس لها ظهور فیما ذکره المصنّف أیضا،فتکون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مرسلة ثعلبة بن میمون </w:t>
      </w:r>
      <w:r>
        <w:rPr>
          <w:rStyle w:val="FootnoteAnchor"/>
          <w:rtl w:val="true"/>
        </w:rPr>
        <w:footnoteReference w:id="10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عنده قوم یحدّثهم إذ ذکر رجل منهم رجلا فوقع فیه و شکاه،فقال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لک بأخیک کلّه،و أی الرجال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 الجواب أنّ الشکوی إنّما کانت من ترک الأولی الذی لا یلیق بالأخ الکامل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أنّ الصنع الذی شکی منه الرجل أمر یرتکبه جمیع الناس،و لیس یوجد من لا یرتکبه إلاّ الأوحدی،و علیه فیخرج هذا عن موضوع الغیبة،فقد عرفت أنّها کشف ما ستره اللّه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جواز الغیبة بترک الأولی بما ورد فی ذکر الضیف مساوئ ضیافة المضیف،فإنّ ذلک لیس إلاّ من ترک الأولی</w:t>
      </w:r>
      <w:r>
        <w:rPr>
          <w:rFonts w:eastAsia="IRNazanin" w:cs="IRNazanin"/>
          <w:color w:val="111111"/>
          <w:sz w:val="28"/>
          <w:szCs w:val="28"/>
          <w:rtl w:val="true"/>
          <w:lang w:bidi="fa-IR"/>
        </w:rPr>
        <w:t>.</w:t>
      </w:r>
      <w:bookmarkStart w:id="746" w:name="pg5064_65640"/>
    </w:p>
    <w:p>
      <w:pPr>
        <w:pStyle w:val="BookText"/>
        <w:rPr/>
      </w:pPr>
      <w:bookmarkEnd w:id="746"/>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ضعف السند فیه،أنّک قد عرفت </w:t>
      </w:r>
      <w:r>
        <w:rPr>
          <w:rStyle w:val="FootnoteAnchor"/>
          <w:rtl w:val="true"/>
        </w:rPr>
        <w:footnoteReference w:id="1071"/>
      </w:r>
      <w:r>
        <w:rPr>
          <w:rFonts w:ascii="IRNazanin" w:hAnsi="IRNazanin" w:eastAsia="IRNazanin"/>
          <w:color w:val="111111"/>
          <w:sz w:val="28"/>
          <w:sz w:val="28"/>
          <w:szCs w:val="28"/>
          <w:rtl w:val="true"/>
          <w:lang w:bidi="fa-IR"/>
        </w:rPr>
        <w:t>أنّ المراد من إساءة الضیافة فی الروایة هو الهتک و الظلم و الإهانة،و إلاّ لما صحّ تطبیق الآیة علی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فی حاشیة الإیروانی </w:t>
      </w:r>
      <w:r>
        <w:rPr>
          <w:rStyle w:val="FootnoteAnchor"/>
          <w:rtl w:val="true"/>
        </w:rPr>
        <w:footnoteReference w:id="1072"/>
      </w:r>
      <w:r>
        <w:rPr>
          <w:rFonts w:ascii="IRNazanin" w:hAnsi="IRNazanin" w:eastAsia="IRNazanin"/>
          <w:color w:val="111111"/>
          <w:sz w:val="28"/>
          <w:sz w:val="28"/>
          <w:szCs w:val="28"/>
          <w:rtl w:val="true"/>
          <w:lang w:bidi="fa-IR"/>
        </w:rPr>
        <w:t>من دعوی أنّ ترک الأولی نوع من الظلم فلا وجه له</w:t>
      </w:r>
      <w:r>
        <w:rPr>
          <w:rFonts w:eastAsia="IRNazanin" w:cs="IRNazanin"/>
          <w:color w:val="111111"/>
          <w:sz w:val="28"/>
          <w:szCs w:val="28"/>
          <w:rtl w:val="true"/>
          <w:lang w:bidi="fa-IR"/>
        </w:rPr>
        <w:t>.</w:t>
      </w:r>
    </w:p>
    <w:p>
      <w:pPr>
        <w:pStyle w:val="Heading6"/>
        <w:numPr>
          <w:ilvl w:val="5"/>
          <w:numId w:val="1"/>
        </w:numPr>
        <w:rPr/>
      </w:pPr>
      <w:bookmarkStart w:id="747" w:name="__RefHeading___Toc910480_774463916"/>
      <w:bookmarkStart w:id="748" w:name="_Toc274"/>
      <w:bookmarkEnd w:id="747"/>
      <w:r>
        <w:rPr>
          <w:rtl w:val="true"/>
        </w:rPr>
        <w:t>نصح المستشیر</w:t>
      </w:r>
      <w:bookmarkEnd w:id="74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من موارد الرخصة لمزاحمة الغرض الأهم صور تعرّضوا لها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المستشیر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الغیبة التی ذکروها تندرج فی واحد من ثلاثة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خارجا عنها موضوعا،کذکر المتجاهر بالفسق،إذا خصّصنا الجواز بذکر ما تجاهر فیه من المعاصی،و قد تکلّمنا فیه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ذکر الأشخاص بالأوصاف الظاهرة،کالأعمش و الأحول و الأعرج و نحوها،بل من المتعارف فی کل زمان ذکر الناس بالأوصاف الواضحة،کما هو کذلک فی کثیر من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ما تقدّم فی معنی الغیبة من کونها إظهارا لما ستره اللّه علی المقول فیه،فذکر الامور الظاهرة لیس منها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فی الغیبة مصلحة تزاحم المفسدة فی ترکها،کما إذا توقّف حفظ النفس المحترمة أو الأموال الخطیرة أو صیانة العرض عن الخیانة علی الغیبة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حینئذ من ملاحظة قواعد التزاحم،و العمل علی طبق أقوی الملاکین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فتتّصف الغیبة بالأحکام الخمسة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خارجا عن الغیبة بالتخصیص،و هو علی قسمین،الأول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الخروج بدلیل مختص بالغیبة،کتظلّم المظلوم،و قد تقدّم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الخروج بدلیل عام جار فی أبواب الفقه،و لا یختص بالغیبة فقط،کأدلّة نفی الحرج 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الکبری،و أمّا بحسب الصغری فقد ذکروا لها موارد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المستشیر،قال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النصیحة واجبة للمستشیر،فإنّ خیانته قد تکون أقوی مفسدة من الوقوع فی المغتاب،و کذلک النصح من غیر استشارة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فالنسبة بینه و بین الغیبة عموم من وجه،لأنّ الغیبة قد تتحقّق بإظهار العیوب المستورة حیث لا یتحقّق النصح،کما هو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یتحقّق النصح حیث لا تتحقّق الغیبة،کما إذا لم یتوقّف علی ذکر أحد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یجتمعان،کما إذا استشاره أحد فی التزوّج بامرأة معلومة،و هو یعلم أنّها فاجرة و متبرّجة،أو استشاره فی مصاحبة رجل فی السفر أو التجارة أو المجالسة،و هو یعلم أنّه خائن و سیء الخلق و شارب الخمر و مرتکب الفجور و آکل أموال الناس بالظلم و العدوان،أو استشاره فی التلمذة عند شخص و هو یعلم أنه سیء العقیدة أو سیء العمل،فإنّ النصح فی الموارد المذکورة یتوقّف علی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کان دلیل وجوب النصح و دلیل حرمة الغیبة من قبیل المتعارضین تساقطا معا فی مادّة الاجتماع،و کان المرجع إلی أصالة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من قبیل تزاحم المقتضین فلا بدّ فی ترجیح أحدهما علی الآخر من ملاحظة أقوی الملاکین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 ما نحن فیه من صغریات باب التزاحم،لا التعارض،فإنّ الغیبة فی موارد الاجتماع مأخوذة فی مقدّمات النصح،و أنه یتولّد منها و یتوقّف علیها،نظیر توقّف إنقاذ الغریق و الإتیان بالصلاة علی التصرف فی ملک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فیتّصف کل من النصح و الغیبة بالأحکام الخمسة حسب اختلاف الموارد بقوّة الملاک و ضعفه علی ما تقدّمت الإشارة إلیه،فإن تساوی الملاکان کان النصح و الغیبة مباحین،و إن زاد أحدهما علی الآخر کان الزائد متّصفا بالوجوب أو الاستحباب بقدر ما فیه من زیادة الملاک،و کان الناقص محرّما أو مکروها بمقدار ما فیه من نقصه،هذا کلّه مع تسلیم وجوب النصح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التأمّل فی الأخبار الموهمة لوجوب النصح لم نجد فیها ما یدلّ علی الوجوب،فإنّها علی أربع طوائف</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حرمة خیانة المؤمن لأخیه </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أنّها أجنبیة عمّا نحن فیه،لعدم الملازمة بین الخیانة و ترک النصیحة حتی مع الاستشارة،لإمکان ردّه إلی غیره،سواء کان ذلک الغیر أعرف منه بحال المسؤول عنه أم لا،و من الواضح أنّه لو کان النصح واجبا لما جاز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وجوب نصح المؤمن ابتداء </w:t>
      </w:r>
      <w:r>
        <w:rPr>
          <w:rStyle w:val="FootnoteAnchor"/>
          <w:rtl w:val="true"/>
        </w:rPr>
        <w:footnoteReference w:id="1074"/>
      </w:r>
      <w:r>
        <w:rPr>
          <w:rFonts w:ascii="IRNazanin" w:hAnsi="IRNazanin" w:eastAsia="IRNazanin"/>
          <w:color w:val="111111"/>
          <w:sz w:val="28"/>
          <w:sz w:val="28"/>
          <w:szCs w:val="28"/>
          <w:rtl w:val="true"/>
          <w:lang w:bidi="fa-IR"/>
        </w:rPr>
        <w:t>بدون سبق استشارة و استهداء،و هی و إن کانت کثیرة و معتبرة،و لکنّها راجعة إلی الجهات الأخلاقیة،فتحمل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لزوم العسر الأکید و الحرج الشدید من القول بوجوب النصح علی وجه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تقییده بمورد الابتلاء أو بمن یفی بحقوق الاخوّة من غیر أن یضیع منها شیئا و إن کان یرفع العسر و الحرج،و لکن قامت الضرورة علی عدم وجوبه هنا أیضا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الواردة فی خصوص نصح المستشیر،و قد ادّعی غیر واحد من المحدّثین و غیرهم ظهورها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ابن عمر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استشار أخاه فلم ینصحه محض الرأی</w:t>
      </w:r>
    </w:p>
    <w:p>
      <w:pPr>
        <w:pStyle w:val="BookText"/>
        <w:rPr/>
      </w:pPr>
      <w:r>
        <w:rPr>
          <w:rFonts w:ascii="Amiri" w:hAnsi="Amiri" w:eastAsia="Amiri" w:cs="Amiri"/>
          <w:color w:val="111111"/>
          <w:sz w:val="28"/>
          <w:sz w:val="28"/>
          <w:szCs w:val="28"/>
          <w:rtl w:val="true"/>
          <w:lang w:bidi="ar-SA"/>
        </w:rPr>
        <w:t>سلبه اللّه عزّ و جلّ رأیه</w:t>
      </w:r>
      <w:r>
        <w:rPr>
          <w:rFonts w:eastAsia="Amiri" w:cs="Amiri" w:ascii="Amiri" w:hAnsi="Amiri"/>
          <w:color w:val="111111"/>
          <w:sz w:val="28"/>
          <w:szCs w:val="28"/>
          <w:rtl w:val="true"/>
          <w:lang w:bidi="ar-SA"/>
        </w:rPr>
        <w:t xml:space="preserve">» </w:t>
      </w:r>
      <w:r>
        <w:rPr>
          <w:rStyle w:val="FootnoteAnchor"/>
          <w:rtl w:val="true"/>
        </w:rPr>
        <w:footnoteReference w:id="1075"/>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استشاره أخوه المؤمن فلم یمحضه النصیحة سلبه اللّه لبّه</w:t>
      </w:r>
      <w:r>
        <w:rPr>
          <w:rFonts w:eastAsia="IRNazanin" w:cs="IRNazanin"/>
          <w:color w:val="111111"/>
          <w:sz w:val="28"/>
          <w:szCs w:val="28"/>
          <w:rtl w:val="true"/>
          <w:lang w:bidi="fa-IR"/>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التوعید فی هاتین الروایتین بالعقوبة الدنیویة من سلب اللبّ و الرأی لا یدلّ علی أزید من الاستحباب و رجحان العمل،فإنّ العقل من أعظم النعم الإلهیة،و قد منّ به سبحانه علی عباده لهدایتهم،فصرفه إلی غیر ما خلق لأجله یوجب الزوال،و هو من النقمات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صرفه إلی ما خلق لأجله یوجب المزیّة و الاستکمال،و لا شبهة فی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عبایة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انصح لمن استشارک</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إرشاد إلی ما ذکرناه،فیکون محمولا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الروایات المذکورة کلّها مجهولة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عدم الوجوب أیضا ما أشرنا إلیه سابقا من جواز إرجاع المستشیر إلی غیره،فإنّه ینافی وجوب النصح</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الآمرة بإعانة المؤمن و کشف کربته و قضاء حاجته </w:t>
      </w:r>
      <w:r>
        <w:rPr>
          <w:rStyle w:val="FootnoteAnchor"/>
          <w:rtl w:val="true"/>
        </w:rPr>
        <w:footnoteReference w:id="1078"/>
      </w:r>
      <w:r>
        <w:rPr>
          <w:rFonts w:ascii="IRNazanin" w:hAnsi="IRNazanin" w:eastAsia="IRNazanin"/>
          <w:color w:val="111111"/>
          <w:sz w:val="28"/>
          <w:sz w:val="28"/>
          <w:szCs w:val="28"/>
          <w:rtl w:val="true"/>
          <w:lang w:bidi="fa-IR"/>
        </w:rPr>
        <w:t>و من الواضح أنّ نصح المؤمن نوع منها،فیکون واجبا</w:t>
      </w:r>
      <w:r>
        <w:rPr>
          <w:rFonts w:eastAsia="IRNazanin" w:cs="IRNazanin"/>
          <w:color w:val="111111"/>
          <w:sz w:val="28"/>
          <w:szCs w:val="28"/>
          <w:rtl w:val="true"/>
          <w:lang w:bidi="fa-IR"/>
        </w:rPr>
        <w:t>.</w:t>
      </w:r>
      <w:bookmarkStart w:id="749" w:name="pg5064_65645"/>
    </w:p>
    <w:p>
      <w:pPr>
        <w:pStyle w:val="BookText"/>
        <w:rPr/>
      </w:pPr>
      <w:bookmarkEnd w:id="749"/>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ما ورد فی حقوق الإخوان محمول علی الجهات الأخلاقیة فیحمل علی الاستحباب،إلاّ ما ثبت وجوبه فی الشریعة،کردّ السّلام و نحوه ضرورة أنّه لم یلتزم أحد فیها بالوجوب،بل قامت الضرورة علی عدم الوجوب فتکون الضرورة قرینة علی رفع الید عن ظهورها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جمیع 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وجوب النصح بعنوانه الأوّلی مطلقا،إلاّ إذا کان ترکه موجبا لتلف النفس،و هتک العرض،و ذهاب المال الخطیر فإنّه یجب حینئذ،لأهمیة الامور المذکورة</w:t>
      </w:r>
      <w:r>
        <w:rPr>
          <w:rFonts w:eastAsia="IRNazanin" w:cs="IRNazanin"/>
          <w:color w:val="111111"/>
          <w:sz w:val="28"/>
          <w:szCs w:val="28"/>
          <w:rtl w:val="true"/>
          <w:lang w:bidi="fa-IR"/>
        </w:rPr>
        <w:t>.</w:t>
      </w:r>
    </w:p>
    <w:p>
      <w:pPr>
        <w:pStyle w:val="Heading6"/>
        <w:numPr>
          <w:ilvl w:val="5"/>
          <w:numId w:val="1"/>
        </w:numPr>
        <w:rPr/>
      </w:pPr>
      <w:bookmarkStart w:id="750" w:name="__RefHeading___Toc910482_774463916"/>
      <w:bookmarkStart w:id="751" w:name="_Toc275"/>
      <w:bookmarkEnd w:id="750"/>
      <w:r>
        <w:rPr>
          <w:rtl w:val="true"/>
        </w:rPr>
        <w:t>جواز الاغتیاب فی مواضع الاستفتاء</w:t>
      </w:r>
      <w:bookmarkEnd w:id="75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الاستفتاء إذا توقّف علی ذکر الظالم بالخصوص،بأن یقول للمفتی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ظلمنی فلان فی حقّی فکیف طریقی فی الخلاص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تقتضیه القاعدة هو الجواز إذا کان السؤال موردا للابتلاء مع عدم تمکّن السائل منه بغیر تسمیة المغتاب،و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قیام الأدلّة النقلیة و العقلیة و ضرورة المذهب علی وجوب تعلّم الأحکام الشرعیة التی تکون فی معرض الابتلاء بها،و علیه فإذا توقّف ذلک علی ترک واجب أو ارتکاب حرام فإنّ العمل حینئذ یکون علی طبق أقوی الملاکین،و من الواضح أنّ التعلّم أهم من ترک الغیبة،فإنّ ترک التعلّم ینجرّ إلی اضمحلال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الروایات فقد استدلّ علی الجواز بروایتین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شکایة هند زوجة أبی سفیان 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سفیان رجل شحیح لا یعطینی ما یکفینی و ولدی،و لم یزجرها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قولها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شخصیة،فیحتمل أن یکون عدم الردع لفسق أبی سفیان و نفاقه،أو لمعروفیته بالبخل،حتّی قیل إنّه کان مضرب المثل فی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مورد الروایة من صغریات تظلّم المظلوم،فقد عرفت جواز ذکر الظالم فیه،فلا تدل علی جواز الغیبة فی مورد الاستفتاء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الجواب عمّا ورد فی قصّة بیعة النساء من أنّ هند رمت زوجها أبا سفیان بأنّه رجل ممسک،و لم یردعها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ابن سنان المشتملة علی ذکر الرجل امّه بأنّها لا تدفع ید لامس،و لم یردعه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،فتدلّ علی جواز الغیبة عند الاستفتاء</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یظهر لنا من الروایة کون المرأة معروفة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فیما سبق اعتبار العلم بالمغتاب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تحقّق الغیبة</w:t>
      </w:r>
      <w:r>
        <w:rPr>
          <w:rFonts w:eastAsia="IRNazanin" w:cs="IRNazanin"/>
          <w:color w:val="111111"/>
          <w:sz w:val="28"/>
          <w:szCs w:val="28"/>
          <w:rtl w:val="true"/>
          <w:lang w:bidi="fa-IR"/>
        </w:rPr>
        <w:t>.</w:t>
      </w:r>
      <w:bookmarkStart w:id="752" w:name="pg5064_65647"/>
    </w:p>
    <w:p>
      <w:pPr>
        <w:pStyle w:val="BookText"/>
        <w:rPr/>
      </w:pPr>
      <w:bookmarkEnd w:id="752"/>
      <w:r>
        <w:rPr>
          <w:rFonts w:ascii="IRNazanin" w:hAnsi="IRNazanin" w:eastAsia="IRNazanin"/>
          <w:color w:val="111111"/>
          <w:sz w:val="28"/>
          <w:sz w:val="28"/>
          <w:szCs w:val="28"/>
          <w:rtl w:val="true"/>
          <w:lang w:bidi="fa-IR"/>
        </w:rPr>
        <w:t>و ذکرها بعنوان الامومة لا یستلزم التعیین،و یتّفق نظیر ذلک کثیرا للمراجع و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المذکور فی الروایة قضیة شخصیة،و خصوصیاتها مجهولة لنا فیحتمل أن تکون الامّ متجاهرة بالزنا کما هو الظاهر من قول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امّی لا تدفع ید لامس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 علی هذا فلا مجال لاستصحاب عدم التجاهر کما صنعه المصنّف،علی أنّه لا یترتّب علیه أثر إلاّ علی القول بالأصل المثبت</w:t>
      </w:r>
      <w:r>
        <w:rPr>
          <w:rFonts w:eastAsia="IRNazanin" w:cs="IRNazanin"/>
          <w:color w:val="111111"/>
          <w:sz w:val="28"/>
          <w:szCs w:val="28"/>
          <w:rtl w:val="true"/>
          <w:lang w:bidi="fa-IR"/>
        </w:rPr>
        <w:t>.</w:t>
      </w:r>
    </w:p>
    <w:p>
      <w:pPr>
        <w:pStyle w:val="Heading5"/>
        <w:numPr>
          <w:ilvl w:val="4"/>
          <w:numId w:val="1"/>
        </w:numPr>
        <w:rPr/>
      </w:pPr>
      <w:bookmarkStart w:id="753" w:name="__RefHeading___Toc910484_774463916"/>
      <w:bookmarkStart w:id="754" w:name="_Toc276"/>
      <w:bookmarkEnd w:id="753"/>
      <w:r>
        <w:rPr>
          <w:rtl w:val="true"/>
        </w:rPr>
        <w:t>جواز الاغتیاب لردع المقول فیه عن المنکر</w:t>
      </w:r>
      <w:bookmarkEnd w:id="75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ردع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المنکر الذی یفعله،و قد استدلّ المصنّف علی الجواز هنا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الغیبة هنا إحسان فی حقّه،فإنّها و إن اشتملت علی هتکه و إهانته إلاّ أنّه توجب إنقاذه من المهلکة الأبدیة و العقوبة 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عمومات النهی عن المنکر شاملة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أخصّ من المدّعی،إذ ربما لا یرتدع المقول فیه عن فعل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الغیبة محرّمة علی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الإحسان بالأمر المحرّم،فإنّه 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یتوهّم أحد جواز الإحسان بالمال المغصوب و المسروق إلاّ إذا کان أعمی البصیرة،کبعض المنحرفین عن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رضی المقول فیه حینئذ بالغیبة جزافیة،فإنّها مضافا إلی بعدها أنّ رضاه لا یرفع الحرمة التکلیفیة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أنّه لا یجوز ردع المنکر بالمنکر،لانصراف أدلّته عن ذلک،و إلاّ لجاز ردع الزناة بالزنا بأعراضهم،و ردع السرّاق بسرقة أموالهم</w:t>
      </w:r>
      <w:r>
        <w:rPr>
          <w:rFonts w:eastAsia="IRNazanin" w:cs="IRNazanin"/>
          <w:color w:val="111111"/>
          <w:sz w:val="28"/>
          <w:szCs w:val="28"/>
          <w:rtl w:val="true"/>
          <w:lang w:bidi="fa-IR"/>
        </w:rPr>
        <w:t>.</w:t>
      </w:r>
      <w:bookmarkStart w:id="755" w:name="pg5064_65648"/>
    </w:p>
    <w:p>
      <w:pPr>
        <w:pStyle w:val="BookText"/>
        <w:rPr/>
      </w:pPr>
      <w:bookmarkEnd w:id="755"/>
      <w:r>
        <w:rPr>
          <w:rFonts w:ascii="IRNazanin" w:hAnsi="IRNazanin" w:eastAsia="IRNazanin"/>
          <w:color w:val="111111"/>
          <w:sz w:val="28"/>
          <w:sz w:val="28"/>
          <w:szCs w:val="28"/>
          <w:rtl w:val="true"/>
          <w:lang w:bidi="fa-IR"/>
        </w:rPr>
        <w:t xml:space="preserve">نعم قد ثبت جواز دفع المنکر بالمنکر فی موارد خاصّة کما یتّضح ذلک لمن یلاحظ أبواب النهی عن المنکر و أبواب الحدود،و قد تقدّم فی البحث عن حرمة السبّ </w:t>
      </w:r>
      <w:r>
        <w:rPr>
          <w:rStyle w:val="FootnoteAnchor"/>
          <w:rtl w:val="true"/>
        </w:rPr>
        <w:footnoteReference w:id="1082"/>
      </w:r>
      <w:r>
        <w:rPr>
          <w:rFonts w:ascii="IRNazanin" w:hAnsi="IRNazanin" w:eastAsia="IRNazanin"/>
          <w:color w:val="111111"/>
          <w:sz w:val="28"/>
          <w:sz w:val="28"/>
          <w:szCs w:val="28"/>
          <w:rtl w:val="true"/>
          <w:lang w:bidi="fa-IR"/>
        </w:rPr>
        <w:t>جواز شتم المبدع و الوقیعة فیه،و البهت علیه،بل وجوبها کما یظهر من بعض الروایات المتقدّمة فی المبحث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إذا لم یکن ردع ذلک المنکر مطلوبا من کل أحد،و إلاّ وجب ردعه علی کل من اطّلع علیه بأی نحو اتّفق،کمن تصدّی لقتل النفوس المصونة و هتک الأعراض المحترمة،و أخذ الأموال الخطیرة،فإنّ منعه واجب بما هو أعظم من الغیبة فضلا عنها،لأنّ حفظ الامور المذکورة أهم فی نظر الشارع من ترک الغیبة و نحوها،و قد تقدّمت الإشارة إلی حکم مزاحمة ترک الغیبة بما هو أهمّ منه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910486_774463916"/>
      <w:bookmarkStart w:id="757" w:name="_Toc277"/>
      <w:bookmarkEnd w:id="756"/>
      <w:r>
        <w:rPr>
          <w:rtl w:val="true"/>
        </w:rPr>
        <w:t>جواز الاغتیاب لحسم مادّة الفساد</w:t>
      </w:r>
      <w:bookmarkEnd w:id="75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حسم مادّة الفساد عن الناس،کاغتیاب المبدع فی الدین الذی یخاف إضلاله للناس،وقوده إیّاهم إلی الطریقة الباطلة،و یدلّ علی جواز الغیبة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مصلحة دفع فتنته عن الناس أولی من الستر علیه،بل ربما یجب هتکه و حطّه عن الأنظار إذا لم یرتدع بالغیبة وحدها،فإنّ حرمة الدین فی نظر الشارع أهم من حرمة هذا المبدع فی الدین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صحیحة داود بن سرحان المتقدّمة </w:t>
      </w:r>
      <w:r>
        <w:rPr>
          <w:rStyle w:val="FootnoteAnchor"/>
          <w:rtl w:val="true"/>
        </w:rPr>
        <w:footnoteReference w:id="1084"/>
      </w:r>
      <w:r>
        <w:rPr>
          <w:rFonts w:ascii="IRNazanin" w:hAnsi="IRNazanin" w:eastAsia="IRNazanin"/>
          <w:color w:val="111111"/>
          <w:sz w:val="28"/>
          <w:sz w:val="28"/>
          <w:szCs w:val="28"/>
          <w:rtl w:val="true"/>
          <w:lang w:bidi="fa-IR"/>
        </w:rPr>
        <w:t>فی البحث</w:t>
      </w:r>
      <w:bookmarkStart w:id="758" w:name="pg5064_65649"/>
    </w:p>
    <w:p>
      <w:pPr>
        <w:pStyle w:val="BookText"/>
        <w:rPr/>
      </w:pPr>
      <w:bookmarkEnd w:id="758"/>
      <w:r>
        <w:rPr>
          <w:rFonts w:ascii="IRNazanin" w:hAnsi="IRNazanin" w:eastAsia="IRNazanin"/>
          <w:color w:val="111111"/>
          <w:sz w:val="28"/>
          <w:sz w:val="28"/>
          <w:szCs w:val="28"/>
          <w:rtl w:val="true"/>
          <w:lang w:bidi="fa-IR"/>
        </w:rPr>
        <w:t>عن حرمة سبّ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أهل الریب و البدع من بعدی فأظهروا البراءة منهم،و أکثروا من سبّهم و القول فیهم و الوقیعة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باهتوهم کی لا یطمعوا فی الفساد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w:t>
      </w:r>
      <w:r>
        <w:rPr>
          <w:rStyle w:val="FootnoteAnchor"/>
          <w:rtl w:val="true"/>
        </w:rPr>
        <w:footnoteReference w:id="1085"/>
      </w:r>
      <w:r>
        <w:rPr>
          <w:rFonts w:ascii="IRNazanin" w:hAnsi="IRNazanin" w:eastAsia="IRNazanin"/>
          <w:color w:val="111111"/>
          <w:sz w:val="28"/>
          <w:sz w:val="28"/>
          <w:szCs w:val="28"/>
          <w:rtl w:val="true"/>
          <w:lang w:bidi="fa-IR"/>
        </w:rPr>
        <w:t>فی البحث عن جواز غیبة المتجاهر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لیس لهم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هوی مبتدع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ضعیف السند</w:t>
      </w:r>
      <w:r>
        <w:rPr>
          <w:rFonts w:eastAsia="IRNazanin" w:cs="IRNazanin"/>
          <w:color w:val="111111"/>
          <w:sz w:val="28"/>
          <w:szCs w:val="28"/>
          <w:rtl w:val="true"/>
          <w:lang w:bidi="fa-IR"/>
        </w:rPr>
        <w:t>.</w:t>
      </w:r>
    </w:p>
    <w:p>
      <w:pPr>
        <w:pStyle w:val="Heading5"/>
        <w:numPr>
          <w:ilvl w:val="4"/>
          <w:numId w:val="1"/>
        </w:numPr>
        <w:rPr/>
      </w:pPr>
      <w:bookmarkStart w:id="759" w:name="__RefHeading___Toc910488_774463916"/>
      <w:bookmarkStart w:id="760" w:name="_Toc278"/>
      <w:bookmarkEnd w:id="759"/>
      <w:r>
        <w:rPr>
          <w:rtl w:val="true"/>
        </w:rPr>
        <w:t>جواز جرح الشهود</w:t>
      </w:r>
      <w:bookmarkEnd w:id="760"/>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الشهود،و قد اتّفق الأصحاب علی جواز جرحهم و إظهار فسقهم،بل إقامة البیّنة علی ذلک،صونا لأموال الناس و أعراضهم و أنفسهم،إذ لو لا ذلک لبغی الفسّاق فی الأرض،و أظهروا فیها الفساد،فیدّعی الواحد منهم علی غیره حقّا مالیا أو عرضیا أو بدنیا،أو یدّعی زوجیة امرأة أجنبیة لنفسه،أو یدّعی نسبا کاذبا لیرث من میّت،ثمّ یقیم الشهود علی دعواه من أشباه الهمج الرعاع فیصیب من أموال الناس و أعراضهم و دمائهم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بالجواز من ذلک جرح الرواة الضعفاء،إذ یتوقّف علیه حفظ الدین و صیانة شریعة سیّد المرسلین،و قد جری علیه دیدن الأصحاب فی جمیع الأمصار و الأعصار،و دوّنوا فی ذلک کتبا مفصّلة لتمییز الموثّق منهم عن غیره،بل علی هذا سیرة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یومئ إلی هذا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w:t>
      </w:r>
      <w:r>
        <w:rPr>
          <w:rStyle w:val="FootnoteAnchor"/>
          <w:rtl w:val="true"/>
        </w:rPr>
        <w:footnoteReference w:id="1086"/>
      </w:r>
      <w:r>
        <w:rPr>
          <w:rFonts w:ascii="IRNazanin" w:hAnsi="IRNazanin" w:eastAsia="IRNazanin"/>
          <w:color w:val="111111"/>
          <w:sz w:val="28"/>
          <w:sz w:val="28"/>
          <w:szCs w:val="28"/>
          <w:rtl w:val="true"/>
          <w:lang w:bidi="fa-IR"/>
        </w:rPr>
        <w:t>فإنّ التبیّن عن حال الفاسق الحامل للخبر لا یخلو عن الجرح غالبا</w:t>
      </w:r>
      <w:r>
        <w:rPr>
          <w:rFonts w:eastAsia="IRNazanin" w:cs="IRNazanin"/>
          <w:color w:val="111111"/>
          <w:sz w:val="28"/>
          <w:szCs w:val="28"/>
          <w:rtl w:val="true"/>
          <w:lang w:bidi="fa-IR"/>
        </w:rPr>
        <w:t>.</w:t>
      </w:r>
      <w:bookmarkStart w:id="761" w:name="pg5064_65650"/>
    </w:p>
    <w:p>
      <w:pPr>
        <w:pStyle w:val="BookText"/>
        <w:rPr/>
      </w:pPr>
      <w:bookmarkEnd w:id="761"/>
      <w:r>
        <w:rPr>
          <w:rFonts w:ascii="IRNazanin" w:hAnsi="IRNazanin" w:eastAsia="IRNazanin"/>
          <w:color w:val="111111"/>
          <w:sz w:val="28"/>
          <w:sz w:val="28"/>
          <w:szCs w:val="28"/>
          <w:rtl w:val="true"/>
          <w:lang w:bidi="fa-IR"/>
        </w:rPr>
        <w:t>و من هنا یظهر حکم الشهادة علی الناس بالقتل و الزنا و السرقة و القذف و شرب الخمر و نحوها،لإقامة الحدّ علیهم،و قد ثبت جواز الشهادة،بل وجوبها بالکتاب و السنّة المعتبرة،کما یظهر ذلک لمن یراجع أبواب الشهادات</w:t>
      </w:r>
      <w:r>
        <w:rPr>
          <w:rFonts w:eastAsia="IRNazanin" w:cs="IRNazanin"/>
          <w:color w:val="111111"/>
          <w:sz w:val="28"/>
          <w:szCs w:val="28"/>
          <w:rtl w:val="true"/>
          <w:lang w:bidi="fa-IR"/>
        </w:rPr>
        <w:t>.</w:t>
      </w:r>
    </w:p>
    <w:p>
      <w:pPr>
        <w:pStyle w:val="Heading5"/>
        <w:numPr>
          <w:ilvl w:val="4"/>
          <w:numId w:val="1"/>
        </w:numPr>
        <w:rPr/>
      </w:pPr>
      <w:bookmarkStart w:id="762" w:name="__RefHeading___Toc910490_774463916"/>
      <w:bookmarkStart w:id="763" w:name="_Toc279"/>
      <w:bookmarkEnd w:id="762"/>
      <w:r>
        <w:rPr>
          <w:rtl w:val="true"/>
        </w:rPr>
        <w:t>جواز الاغتیاب لدفع الضرر عن المقول فیه</w:t>
      </w:r>
      <w:bookmarkEnd w:id="763"/>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الاغتیاب لدفع الضرر عن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أراد أحد أن یقتله أو یهتک عرضه،أو یأخذ أمواله،أو یضرّه بما یرجع إلیه،فإنّ غیبته جائزة لدفع الامور المذکورة عنه،فإنّ حفظها أهم فی الشریعة المقدّسة من ستر ما فیه من العیوب،بل لو اطّلع علیها المقول فیه لرضی بالاغتیاب 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 المصنّف علی هذا ما ورد فی ذمّ زرارة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الأحادیث المذکورة فی کتب الرجال </w:t>
      </w:r>
      <w:r>
        <w:rPr>
          <w:rStyle w:val="FootnoteAnchor"/>
          <w:rtl w:val="true"/>
        </w:rPr>
        <w:footnoteReference w:id="1087"/>
      </w:r>
      <w:r>
        <w:rPr>
          <w:rFonts w:ascii="IRNazanin" w:hAnsi="IRNazanin" w:eastAsia="IRNazanin"/>
          <w:color w:val="111111"/>
          <w:sz w:val="28"/>
          <w:sz w:val="28"/>
          <w:szCs w:val="28"/>
          <w:rtl w:val="true"/>
          <w:lang w:bidi="fa-IR"/>
        </w:rPr>
        <w:t xml:space="preserve">،و استوضح ذلک من صحیحة الکشی </w:t>
      </w:r>
      <w:r>
        <w:rPr>
          <w:rStyle w:val="FootnoteAnchor"/>
          <w:rtl w:val="true"/>
        </w:rPr>
        <w:footnoteReference w:id="1088"/>
      </w:r>
      <w:r>
        <w:rPr>
          <w:rFonts w:ascii="IRNazanin" w:hAnsi="IRNazanin" w:eastAsia="IRNazanin"/>
          <w:color w:val="111111"/>
          <w:sz w:val="28"/>
          <w:sz w:val="28"/>
          <w:szCs w:val="28"/>
          <w:rtl w:val="true"/>
          <w:lang w:bidi="fa-IR"/>
        </w:rPr>
        <w:t>الصریحة فی تنزیه زرارة و تقدیسه عن المطاعن و المعائب،و أنّ ذمّ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فی بعض الأحیان إنّما هو کتعییب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المساکین لئلاّ یأخذها الغاصب من ورائهم،بل تبقی صالحة لأهلها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رجاله روایات عدیدة مشتملة علی اعتذار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قدح زرارة و ذمّه و التبرّی منه لکی یصان زرارة عن کید الخائنین،و لا تصیبنّه فتنة المعاندین</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أنه لا دلالة فی شیء من الروایات المذکورة علی مقصود المصنّف من جواز الغیبة لدفع الضرر عن المقول فیه،فإنّک قد عرفت أنّ الغیبة إظهار ما ستره اللّه علیه،و من الواضح أنّه لم یکن فی زرارة عیب دینی لیکون ذکره</w:t>
      </w:r>
      <w:bookmarkStart w:id="764" w:name="pg5064_65651"/>
    </w:p>
    <w:p>
      <w:pPr>
        <w:pStyle w:val="BookText"/>
        <w:rPr/>
      </w:pPr>
      <w:bookmarkEnd w:id="764"/>
      <w:r>
        <w:rPr>
          <w:rFonts w:ascii="IRNazanin" w:hAnsi="IRNazanin" w:eastAsia="IRNazanin"/>
          <w:color w:val="111111"/>
          <w:sz w:val="28"/>
          <w:sz w:val="28"/>
          <w:szCs w:val="28"/>
          <w:rtl w:val="true"/>
          <w:lang w:bidi="fa-IR"/>
        </w:rPr>
        <w:t>غیبة،و إنّما ذمّه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تبرّأ منه لحفظ دمه و شؤونه عن الأخطار،کما عرفت التصریح بذلک فیما أشرنا إلیه من الأخبار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منها أنّ قدح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یدلّ علی رفعة شأنه و عظم مقامه و جلالة مرتبته،بحیث لا یرضی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تمسّه أیدی الظالمین</w:t>
      </w:r>
      <w:r>
        <w:rPr>
          <w:rFonts w:eastAsia="IRNazanin" w:cs="IRNazanin"/>
          <w:color w:val="111111"/>
          <w:sz w:val="28"/>
          <w:szCs w:val="28"/>
          <w:rtl w:val="true"/>
          <w:lang w:bidi="fa-IR"/>
        </w:rPr>
        <w:t>.</w:t>
      </w:r>
    </w:p>
    <w:p>
      <w:pPr>
        <w:pStyle w:val="Heading5"/>
        <w:numPr>
          <w:ilvl w:val="4"/>
          <w:numId w:val="1"/>
        </w:numPr>
        <w:rPr/>
      </w:pPr>
      <w:bookmarkStart w:id="765" w:name="__RefHeading___Toc910492_774463916"/>
      <w:bookmarkStart w:id="766" w:name="_Toc280"/>
      <w:bookmarkEnd w:id="765"/>
      <w:r>
        <w:rPr>
          <w:rtl w:val="true"/>
        </w:rPr>
        <w:t>جواز الاغتیاب بذکر الأوصاف الظاهرة</w:t>
      </w:r>
      <w:bookmarkEnd w:id="766"/>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الإنسان معروفا بوصف یدلّ علی عیب،کالأعمش و الأعرج و الأشتر و الأحول و الأصم،فإنّه لا محذور فی ذکر المقول فیه بالأوصاف المذکورة و ما یجری مجراها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کثر بین الفقهاء و علماء الرجال ذکر الرواة و حملة الأحادیث بالأوصاف الظاهرة المعربة عن العیوب،بل و علیه السیرة القطعیة من حدیث الأیّام و قدیمها بل و کان هذا مرسوما بین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أیضا،کما یومئ إلیه بعض الأحادیث </w:t>
      </w:r>
      <w:r>
        <w:rPr>
          <w:rStyle w:val="FootnoteAnchor"/>
          <w:rtl w:val="true"/>
        </w:rPr>
        <w:footnoteReference w:id="1089"/>
      </w:r>
      <w:r>
        <w:rPr>
          <w:rFonts w:ascii="IRNazanin" w:hAnsi="IRNazanin" w:eastAsia="IRNazanin"/>
          <w:color w:val="111111"/>
          <w:sz w:val="28"/>
          <w:sz w:val="28"/>
          <w:szCs w:val="28"/>
          <w:rtl w:val="true"/>
          <w:lang w:bidi="fa-IR"/>
        </w:rPr>
        <w:t>الواردة فی توثیق بعض الرواة،و فی بعض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زینب العطّارة الحولاء إلی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ذلک فی البحث عن حرمة الغش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جواز ذلک أنّ ذکر الأوصاف الظاهرة خارج عن تعریف الغیبة</w:t>
      </w:r>
      <w:bookmarkStart w:id="767" w:name="pg5064_65652"/>
    </w:p>
    <w:p>
      <w:pPr>
        <w:pStyle w:val="BookText"/>
        <w:rPr/>
      </w:pPr>
      <w:bookmarkEnd w:id="767"/>
      <w:r>
        <w:rPr>
          <w:rFonts w:ascii="Amiri" w:hAnsi="Amiri" w:eastAsia="Amiri" w:cs="Amiri"/>
          <w:color w:val="111111"/>
          <w:sz w:val="28"/>
          <w:sz w:val="28"/>
          <w:szCs w:val="28"/>
          <w:rtl w:val="true"/>
          <w:lang w:bidi="ar-SA"/>
        </w:rPr>
        <w:t xml:space="preserve">کما تقدّم </w:t>
      </w:r>
      <w:r>
        <w:rPr>
          <w:rStyle w:val="FootnoteAnchor"/>
          <w:rtl w:val="true"/>
        </w:rPr>
        <w:footnoteReference w:id="1091"/>
      </w:r>
      <w:r>
        <w:rPr>
          <w:rFonts w:ascii="IRNazanin" w:hAnsi="IRNazanin" w:eastAsia="IRNazanin"/>
          <w:color w:val="111111"/>
          <w:sz w:val="28"/>
          <w:sz w:val="28"/>
          <w:szCs w:val="28"/>
          <w:rtl w:val="true"/>
          <w:lang w:bidi="fa-IR"/>
        </w:rPr>
        <w:t>،لأنّها لیست ممّا ستره اللّه،إلاّ إذا کان ذکرها بقصد التنقیص و التعییر فإنّه حرام من غیر جهة الاغتیاب</w:t>
      </w:r>
      <w:r>
        <w:rPr>
          <w:rFonts w:eastAsia="IRNazanin" w:cs="IRNazanin"/>
          <w:color w:val="111111"/>
          <w:sz w:val="28"/>
          <w:szCs w:val="28"/>
          <w:rtl w:val="true"/>
          <w:lang w:bidi="fa-IR"/>
        </w:rPr>
        <w:t>.</w:t>
      </w:r>
    </w:p>
    <w:p>
      <w:pPr>
        <w:pStyle w:val="Heading5"/>
        <w:numPr>
          <w:ilvl w:val="4"/>
          <w:numId w:val="1"/>
        </w:numPr>
        <w:rPr/>
      </w:pPr>
      <w:bookmarkStart w:id="768" w:name="__RefHeading___Toc910494_774463916"/>
      <w:bookmarkStart w:id="769" w:name="_Toc281"/>
      <w:bookmarkEnd w:id="768"/>
      <w:r>
        <w:rPr>
          <w:rtl w:val="true"/>
        </w:rPr>
        <w:t>الاغتیاب عند من یعلم بمعصیة المغتاب</w:t>
      </w:r>
      <w:bookmarkEnd w:id="769"/>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 فی کشف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اثنان من رجل معصیة شاهداها فأجری أحدهما ذکرها فی غیبة ذلک العاصی جاز،لأنّه لا یؤثّر عند السامع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 تنزیه النفس عن ذلک لغیر غرض صحیح،خصوصا مع احتمال النسیان </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خروج هذا القسم عن الغیبة موضوعا،و هو واضح</w:t>
      </w:r>
      <w:r>
        <w:rPr>
          <w:rFonts w:eastAsia="IRNazanin" w:cs="IRNazanin"/>
          <w:color w:val="111111"/>
          <w:sz w:val="28"/>
          <w:szCs w:val="28"/>
          <w:rtl w:val="true"/>
          <w:lang w:bidi="fa-IR"/>
        </w:rPr>
        <w:t>.</w:t>
      </w:r>
    </w:p>
    <w:p>
      <w:pPr>
        <w:pStyle w:val="Heading5"/>
        <w:numPr>
          <w:ilvl w:val="4"/>
          <w:numId w:val="1"/>
        </w:numPr>
        <w:rPr/>
      </w:pPr>
      <w:bookmarkStart w:id="770" w:name="__RefHeading___Toc910496_774463916"/>
      <w:bookmarkStart w:id="771" w:name="_Toc282"/>
      <w:bookmarkEnd w:id="770"/>
      <w:r>
        <w:rPr>
          <w:rtl w:val="true"/>
        </w:rPr>
        <w:t>ردّ من ادّعی نسبا لیس له</w:t>
      </w:r>
      <w:bookmarkEnd w:id="771"/>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من ادّعی نسبا لیس له،و قد استدلّ علیه المصنّف بأنّ مصلحة حفظ الأنساب أولی من مراعاة حرمة المغتاب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حفظ الأنساب ثابتة فیما إذا ترتّب علی النسب أثر شرعی من التوارث و النظر إلی النساء و نحوهما،و أمّا إذا لم یترتّب علیه أثر شرعی،أو ترتّب الأثر علی دعوی النسب،کأن ادّعاه لصیانة نفسه أو عرضه أو ماله من إصابة الظالم إیّاها،فلا تجوز الغیبة بردّ هذه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فی مورد یرجع إلی المطلقات الدالّة علی حرمة الغیبة علی وجه الإطلاق،لأنّ الشبهة و إن کانت مصداقیة،إلاّ أنّ التخصیص من جهة المزاحمة،فلا بدّ من الاقتصار علی المتیقّن</w:t>
      </w:r>
      <w:r>
        <w:rPr>
          <w:rFonts w:eastAsia="IRNazanin" w:cs="IRNazanin"/>
          <w:color w:val="111111"/>
          <w:sz w:val="28"/>
          <w:szCs w:val="28"/>
          <w:rtl w:val="true"/>
          <w:lang w:bidi="fa-IR"/>
        </w:rPr>
        <w:t>.</w:t>
      </w:r>
    </w:p>
    <w:p>
      <w:pPr>
        <w:pStyle w:val="Heading5"/>
        <w:numPr>
          <w:ilvl w:val="4"/>
          <w:numId w:val="1"/>
        </w:numPr>
        <w:rPr/>
      </w:pPr>
      <w:bookmarkStart w:id="772" w:name="__RefHeading___Toc910498_774463916"/>
      <w:bookmarkStart w:id="773" w:name="_Toc283"/>
      <w:bookmarkEnd w:id="772"/>
      <w:r>
        <w:rPr>
          <w:rtl w:val="true"/>
        </w:rPr>
        <w:t>القدح فی مقالة باطلة</w:t>
      </w:r>
      <w:bookmarkEnd w:id="773"/>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 فی مقالة باطلة،فإنّ وجوب حفظ الحقّ و إضاعة الباطل أهم من احترام المقول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وقع من بعض المتجاهرین بالنسبة إلی الأعاظم أحیاء کانوا أم أمواتا من الجهر بالسوء کإطلاق الغبی و البله و نحوهما من الألفاظ القبیحة فلا شبهة فی حرمته،لکونه من الفحش و الشتم،کما تقدّمت الإشارة إلیه فی</w:t>
      </w:r>
      <w:bookmarkStart w:id="774" w:name="pg5064_65653"/>
    </w:p>
    <w:p>
      <w:pPr>
        <w:pStyle w:val="BookText"/>
        <w:rPr/>
      </w:pPr>
      <w:bookmarkEnd w:id="774"/>
      <w:r>
        <w:rPr>
          <w:rFonts w:ascii="Amiri" w:hAnsi="Amiri" w:eastAsia="Amiri" w:cs="Amiri"/>
          <w:color w:val="111111"/>
          <w:sz w:val="28"/>
          <w:sz w:val="28"/>
          <w:szCs w:val="28"/>
          <w:rtl w:val="true"/>
          <w:lang w:bidi="ar-SA"/>
        </w:rPr>
        <w:t>البحث عن حرمة السبّ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ذکروا موارد للاستثناء لا حاجة إلی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تفضیل بعض العلماء علی بعضهم و إن استلزم انتقاص الآخر،و لا ریب فی جوازه،لتوقّف الغرض الأهم علیه،و قد جری علی هذا دیدن الأصحاب فی جمیع الأزمان و الأقطار،خصوصا فی تعیین مراجع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مرحلة کم زلّت فیها الأقدام،عصمنا اللّه من الزلل</w:t>
      </w:r>
      <w:r>
        <w:rPr>
          <w:rFonts w:eastAsia="IRNazanin" w:cs="IRNazanin"/>
          <w:color w:val="111111"/>
          <w:sz w:val="28"/>
          <w:szCs w:val="28"/>
          <w:rtl w:val="true"/>
          <w:lang w:bidi="fa-IR"/>
        </w:rPr>
        <w:t>.</w:t>
      </w:r>
    </w:p>
    <w:p>
      <w:pPr>
        <w:pStyle w:val="Heading4"/>
        <w:numPr>
          <w:ilvl w:val="3"/>
          <w:numId w:val="1"/>
        </w:numPr>
        <w:rPr/>
      </w:pPr>
      <w:bookmarkStart w:id="775" w:name="__RefHeading___Toc910500_774463916"/>
      <w:bookmarkStart w:id="776" w:name="_Toc284"/>
      <w:bookmarkEnd w:id="775"/>
      <w:r>
        <w:rPr>
          <w:rtl w:val="true"/>
        </w:rPr>
        <w:t>حرمة استماع الغیبة</w:t>
      </w:r>
      <w:bookmarkEnd w:id="776"/>
    </w:p>
    <w:p>
      <w:pPr>
        <w:pStyle w:val="Heading5"/>
        <w:numPr>
          <w:ilvl w:val="4"/>
          <w:numId w:val="1"/>
        </w:numPr>
        <w:rPr/>
      </w:pPr>
      <w:bookmarkStart w:id="777" w:name="__RefHeading___Toc910502_774463916"/>
      <w:bookmarkStart w:id="778" w:name="_Toc285"/>
      <w:bookmarkEnd w:id="777"/>
      <w:r>
        <w:rPr>
          <w:rtl w:val="true"/>
        </w:rPr>
        <w:t>اشارة</w:t>
      </w:r>
      <w:bookmarkEnd w:id="778"/>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استماع الغیبة بلا خلاف،فقد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السامع للغیبة أحد المغتابین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حرمته کثیرة،إلاّ أنّ ما یدلّ علی کونه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کالروایة المذکورة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ضعیفة السند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لا خلاف بین الشیعة و السنّة </w:t>
      </w:r>
      <w:r>
        <w:rPr>
          <w:rStyle w:val="FootnoteAnchor"/>
          <w:rtl w:val="true"/>
        </w:rPr>
        <w:footnoteReference w:id="1094"/>
      </w:r>
      <w:r>
        <w:rPr>
          <w:rFonts w:ascii="IRNazanin" w:hAnsi="IRNazanin" w:eastAsia="IRNazanin"/>
          <w:color w:val="111111"/>
          <w:sz w:val="28"/>
          <w:sz w:val="28"/>
          <w:szCs w:val="28"/>
          <w:rtl w:val="true"/>
          <w:lang w:bidi="fa-IR"/>
        </w:rPr>
        <w:t xml:space="preserve">فی حرمة استماع الغیبة و لکنّا لم نجد دلیلا صحیحا یدلّ علیها بحیث یکون استماع الغیبة من المحرّمات فضلا عن کونه من الکبائر،إذ ما ورد فی حرمته من طرق الخاصّة </w:t>
      </w:r>
      <w:r>
        <w:rPr>
          <w:rStyle w:val="FootnoteAnchor"/>
          <w:rtl w:val="true"/>
        </w:rPr>
        <w:footnoteReference w:id="1095"/>
      </w:r>
      <w:r>
        <w:rPr>
          <w:rFonts w:ascii="IRNazanin" w:hAnsi="IRNazanin" w:eastAsia="IRNazanin"/>
          <w:color w:val="111111"/>
          <w:sz w:val="28"/>
          <w:sz w:val="28"/>
          <w:szCs w:val="28"/>
          <w:rtl w:val="true"/>
          <w:lang w:bidi="fa-IR"/>
        </w:rPr>
        <w:t>و من طرق</w:t>
      </w:r>
    </w:p>
    <w:p>
      <w:pPr>
        <w:pStyle w:val="BookText"/>
        <w:rPr/>
      </w:pPr>
      <w:r>
        <w:rPr>
          <w:rFonts w:ascii="Amiri" w:hAnsi="Amiri" w:eastAsia="Amiri" w:cs="Amiri"/>
          <w:color w:val="111111"/>
          <w:sz w:val="28"/>
          <w:sz w:val="28"/>
          <w:szCs w:val="28"/>
          <w:rtl w:val="true"/>
          <w:lang w:bidi="ar-SA"/>
        </w:rPr>
        <w:t xml:space="preserve">العامّة </w:t>
      </w:r>
      <w:r>
        <w:rPr>
          <w:rStyle w:val="FootnoteAnchor"/>
          <w:rtl w:val="true"/>
        </w:rPr>
        <w:footnoteReference w:id="1096"/>
      </w:r>
      <w:r>
        <w:rPr>
          <w:rFonts w:ascii="IRNazanin" w:hAnsi="IRNazanin" w:eastAsia="IRNazanin"/>
          <w:color w:val="111111"/>
          <w:sz w:val="28"/>
          <w:sz w:val="28"/>
          <w:szCs w:val="28"/>
          <w:rtl w:val="true"/>
          <w:lang w:bidi="fa-IR"/>
        </w:rPr>
        <w:t>کلّه لا یخلو عن الإرسال و ضعف السند،فلا یکون قابلا للاستناد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فی کتاب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رجل یغتاب رجلا عند الحسن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نزّه سمعک عن مثل هذا،فإنّه نظر إلی أخبث ما فی وعائه فأفرغه فی وعائک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فإنّه ربما یدّعی کونه روایة مسندة،قد أرسلها صاحب الاختصاص للاختصار،فیدلّ ذلک علی وثاقة رواتها المحذوفین عنده،إذ فرق بین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القول الأول ظاهر فی کون المنقول مرسلا،دون الثانی،و علیه فهی روایة معتبرة تدلّ علی حرمة استماع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الاعتبار عنده لا یستلزم ثبوته عندنا،إذ لعلّه یعتمد علی ما لا نعتمده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الحرمة مطلقا بحدیث المناهی،فإنّ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الغیبة و الاستماع إلیها،و نهی عن النمیمة و الاستماع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 کما عرفته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صدره و إن کان ظاهرا فی الحرمة مطلقا،إلاّ أنّ ذیله قرینة علی حرمة الاستماع مع عدم الردّ فقط</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تطوّع علی أخیه فی غیبة سمعها فیه فی مجلس فردّها عنه ردّ اللّه عنه ألف باب من الشرّ فی الدنیا و الآخرة،فإن هو لم یردّها و هو قادر علی ردّها کان علیه کوزر من اغتابه سبعین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علی السماع القهری خلاف الظاهر منها،علی أنّه أمر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یجاب عن حدیث المناهی بعدم ظهوره فی الحرمة التکلیفیة،فإنّ النهی فیه عن استماع الغیبة نهی تنزیهی،و إرشاد إلی الجهات الأخلاقیة،و یدلّ علیه من الحدیث ذکر الامور الأخلاقیة فیه من آثار الغیبة،ککونها موجبة لبطلان الوضوء و الصوم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ثبت کونه راجعا إلی الأخلاقیات ترفع الید فیه عن ظهور النهی فی الحرمة،و أمّا غیره فیؤخذ بظهوره لا محالة کما حقّق فی محلّه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الإغضاء عن جمیع ما ذکرناه و تسلیم صحّة الروایات المتقدّمة الظاهرة فی حرمة استماع الغیبة مطلقا،فلا بدّ من تقییدها بالروایات المتکثّرة </w:t>
      </w:r>
      <w:r>
        <w:rPr>
          <w:rStyle w:val="FootnoteAnchor"/>
          <w:rtl w:val="true"/>
        </w:rPr>
        <w:footnoteReference w:id="1099"/>
      </w:r>
      <w:r>
        <w:rPr>
          <w:rFonts w:ascii="IRNazanin" w:hAnsi="IRNazanin" w:eastAsia="IRNazanin"/>
          <w:color w:val="111111"/>
          <w:sz w:val="28"/>
          <w:sz w:val="28"/>
          <w:szCs w:val="28"/>
          <w:rtl w:val="true"/>
          <w:lang w:bidi="fa-IR"/>
        </w:rPr>
        <w:t>الظاهرة فی</w:t>
      </w:r>
    </w:p>
    <w:p>
      <w:pPr>
        <w:pStyle w:val="BookText"/>
        <w:rPr/>
      </w:pPr>
      <w:r>
        <w:rPr>
          <w:rFonts w:ascii="IRNazanin" w:hAnsi="IRNazanin" w:eastAsia="IRNazanin"/>
          <w:color w:val="111111"/>
          <w:sz w:val="28"/>
          <w:sz w:val="28"/>
          <w:szCs w:val="28"/>
          <w:rtl w:val="true"/>
          <w:lang w:bidi="fa-IR"/>
        </w:rPr>
        <w:t>جواز استماعها لردّها عن المقول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تخصیصها بصورة السماع القهری قد تقدّم الجواب عنه آنفا،و علیه فإنّما یحرم استماع الغیبة مع عدم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النسبة بین الأخبار الواردة فی سماع الغیبة للردّ و بین المطلقات المتقدّمة الدالّة علی حرمة سماع الغیبة هی العموم من وجه،فإنّ الطائفة الاولی أعمّ من الثانیة من حیث شمولها للسماع القهری الاتّفاقی،و أخصّ منها من حیث اختصاصها بصورة الاستماع للردّ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الطائفة الثانیة أعمّ من حیث شمولها للاستماع بغیر داعی الردّ،و أخصّ من حیث اختصاصها بالاستماع الاختیاری فیقع التعارض بینهما فی مورد الاجتماع،و یؤخذ بالطائفة الاولی،لکونها صحیحة السند،دون الطائفة الثانیة،بناء علی أنّ صحّة السند من المرجّحات،کما هو المشهور بین المتأخّرین</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صحّة السند لا یکون من المرجّحات فی معارضة</w:t>
      </w:r>
    </w:p>
    <w:p>
      <w:pPr>
        <w:pStyle w:val="BookText"/>
        <w:rPr/>
      </w:pPr>
      <w:r>
        <w:rPr>
          <w:rFonts w:ascii="IRNazanin" w:hAnsi="IRNazanin" w:eastAsia="IRNazanin"/>
          <w:color w:val="111111"/>
          <w:sz w:val="28"/>
          <w:sz w:val="28"/>
          <w:szCs w:val="28"/>
          <w:rtl w:val="true"/>
          <w:lang w:bidi="fa-IR"/>
        </w:rPr>
        <w:t xml:space="preserve">الدلیلین،و قد حقّقناه فی علم الاصول </w:t>
      </w:r>
      <w:r>
        <w:rPr>
          <w:rStyle w:val="FootnoteAnchor"/>
          <w:rtl w:val="true"/>
        </w:rPr>
        <w:footnoteReference w:id="1100"/>
      </w:r>
      <w:r>
        <w:rPr>
          <w:rFonts w:ascii="IRNazanin" w:hAnsi="IRNazanin" w:eastAsia="IRNazanin"/>
          <w:color w:val="111111"/>
          <w:sz w:val="28"/>
          <w:sz w:val="28"/>
          <w:szCs w:val="28"/>
          <w:rtl w:val="true"/>
          <w:lang w:bidi="fa-IR"/>
        </w:rPr>
        <w:t>و علیه فتسقطان للمعارضة،و یرجع إلی عمومات ما دلّ علی رجحان إعانة المؤمن،و إلاّ فیرجع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قد عرفت أنّ الطائفة الثانیة ضعیفة السند،فلا تعارض الطائفة الاولی فضلا عن وصول النوبة إلی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ذکرناه من عدم الدلیل الصحیح علی حرمة استماع الغیبة فإنّما یلتزم بالجواز إذا لم یرض السامع بالغیبة،أو لم یکن سکوته إمضاء لها أو تشجیعا للمتکلّم علیها،أو تسبیبا للاغتیاب من آخر،و إلاّ کان حراما من هذه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فی أحادیث عدیدة أنّ الراضی بفعل قوم کالداخل معهم </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w:t>
      </w:r>
      <w:r>
        <w:rPr>
          <w:rStyle w:val="FootnoteAnchor"/>
          <w:rtl w:val="true"/>
        </w:rPr>
        <w:footnoteReference w:id="1102"/>
      </w:r>
      <w:r>
        <w:rPr>
          <w:rFonts w:ascii="IRNazanin" w:hAnsi="IRNazanin" w:eastAsia="IRNazanin"/>
          <w:color w:val="111111"/>
          <w:sz w:val="28"/>
          <w:sz w:val="28"/>
          <w:szCs w:val="28"/>
          <w:rtl w:val="true"/>
          <w:lang w:bidi="fa-IR"/>
        </w:rPr>
        <w:t>فی البحث عن بیع المتنجّس حرمة التسبیب لوقوع الجاهل فی الحرام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تحرم مجالسته للأخبار المتظافرة الدالّة علی حرمة المجالسة مع أهل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سنشیر إلی مصادرها</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 xml:space="preserve">کما تحرم مجالسة من یکفر بآیات اللّه،للآیة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حرمة الاستماع بأدلّة حرمة الغیبة،بدعوی عدم تحقّقها إلاّ بالمستمع</w:t>
      </w:r>
      <w:r>
        <w:rPr>
          <w:rFonts w:eastAsia="IRNazanin" w:cs="IRNazanin"/>
          <w:color w:val="111111"/>
          <w:sz w:val="28"/>
          <w:szCs w:val="28"/>
          <w:rtl w:val="true"/>
          <w:lang w:bidi="fa-IR"/>
        </w:rPr>
        <w:t>.</w:t>
      </w:r>
      <w:bookmarkStart w:id="779" w:name="pg5064_65658"/>
    </w:p>
    <w:p>
      <w:pPr>
        <w:pStyle w:val="BookText"/>
        <w:rPr/>
      </w:pPr>
      <w:bookmarkEnd w:id="779"/>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الغیبة لا تلازم حرمة الاستماع،و إن کان بینهما تلازم خارجا فإنّ التلازم فی الخارج لا یستدعی التلازم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جاز سماع الغیبة للردّ جزما</w:t>
      </w:r>
      <w:r>
        <w:rPr>
          <w:rFonts w:eastAsia="IRNazanin" w:cs="IRNazanin"/>
          <w:color w:val="111111"/>
          <w:sz w:val="28"/>
          <w:szCs w:val="28"/>
          <w:rtl w:val="true"/>
          <w:lang w:bidi="fa-IR"/>
        </w:rPr>
        <w:t>.</w:t>
      </w:r>
    </w:p>
    <w:p>
      <w:pPr>
        <w:pStyle w:val="Heading5"/>
        <w:numPr>
          <w:ilvl w:val="4"/>
          <w:numId w:val="1"/>
        </w:numPr>
        <w:rPr/>
      </w:pPr>
      <w:bookmarkStart w:id="780" w:name="__RefHeading___Toc910504_774463916"/>
      <w:bookmarkStart w:id="781" w:name="_Toc286"/>
      <w:bookmarkEnd w:id="780"/>
      <w:r>
        <w:rPr>
          <w:rtl w:val="true"/>
        </w:rPr>
        <w:t>حرمة الغیبة لا تلازم حرمة استماعها</w:t>
      </w:r>
      <w:bookmarkEnd w:id="78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المحرّم سماع الغیبة المحرّمة دون ما علم حلّیتها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سلّمنا حرمة سماع الغیبة بالإرادة و الاختیار،فهل هو حرام مطلقا حتّی مع جواز الاغتیاب کما فی الموارد المتقدّمة،أو أنّه یحرم مع حرمة الاغتیاب فقط،أو یفصّل بین علم السامع بالحلّیة فیلتزم بالجواز،و بین جهله بها فیلتزم بالحرمة؟</w:t>
      </w:r>
    </w:p>
    <w:p>
      <w:pPr>
        <w:pStyle w:val="BookText"/>
        <w:rPr/>
      </w:pPr>
      <w:r>
        <w:rPr>
          <w:rFonts w:ascii="IRNazanin" w:hAnsi="IRNazanin" w:eastAsia="IRNazanin"/>
          <w:color w:val="111111"/>
          <w:sz w:val="28"/>
          <w:sz w:val="28"/>
          <w:szCs w:val="28"/>
          <w:rtl w:val="true"/>
          <w:lang w:bidi="fa-IR"/>
        </w:rPr>
        <w:t>ظاهر المصنّف جواز الاستماع ما لم یعلم السامع حرمة الغیبة،لأنّه قول غیر منکر،فلا یحرم الإصغاء إلیه،للأصل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السامع للغیبة أحد المغتابین</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فمع تسلیم صحّته یدلّ علی أنّ السامع لغیبة کالمتکلّم بتلک الغیبة فی الحرمة و الحلّیة،فیکون دلیلا علی الجواز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ینزّل السامع للغیبة منزلة المتکلّم بها،فإذا جاز للسامع التکلّم بالغیبة جاز له سماعها،و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خلاف الظاهر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الغیبة قد یکون حکما واقعیا،و قد یکون حکما ظاهریا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الجواز الواقعی فلا ملازمة فیه بین جواز الغیبة و جواز الاستماع إلیها،لأنّه یتصوّر علی 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المقول فیه جائز الغیبة عند الناس من غیر اختصاص بشخص دون شخص،بأن کان متجاهرا فی الفسق و متظاهرا فی مخالفة المولی،فإنّ مثل هذا تجوز غیبته واقعا لکل أحد،إمّا مطلقا أو فی خصوص ما تجاهر فیه من الذنوب،علی الخلاف المتقدّم </w:t>
      </w:r>
      <w:r>
        <w:rPr>
          <w:rStyle w:val="FootnoteAnchor"/>
          <w:rtl w:val="true"/>
        </w:rPr>
        <w:footnoteReference w:id="1106"/>
      </w:r>
      <w:r>
        <w:rPr>
          <w:rFonts w:ascii="IRNazanin" w:hAnsi="IRNazanin" w:eastAsia="IRNazanin"/>
          <w:color w:val="111111"/>
          <w:sz w:val="28"/>
          <w:sz w:val="28"/>
          <w:szCs w:val="28"/>
          <w:rtl w:val="true"/>
          <w:lang w:bidi="fa-IR"/>
        </w:rPr>
        <w:t>بل قد عرفت خروجه عن موضوع الغیبة رأسا و علیه فالاستماع إلیها أولی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الکلام فی غیبة المبدع فی الدین و الإمام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جواز الغیبة الواقعی مختصّا بالمغتاب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کالصبی الممیّز،و المکره علی اغتیاب الناس،و علیه فلا یجوز استماعها مطلقا لمن یحرم علیه الاغتیاب،لعدم الملازمة بینهما،فإنّ ارتفاع الحکم عن أحدهما لا یستلزم ارتفاعه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السماع یدور مدار الردّ عن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کان حراما و إن لم یکن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الاغتیاب جائز و الاستماع حرام،کما أنّه قد یکون السماع جائزا و الاستماع حراما،نظیر ما إذا کان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یمکن ردّه و لا الفرار منه،کالسلطان الجائر و نحوه،و لذا سکت الإمام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سبّ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إذا تصدّی أحد لقتل شخص محقون الدم بزعم أنه کافر حربی،و نحن نعلم أنّه محقون الدم،فإنّه یحرم علینا السکوت،و إن جاز له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نظائره کثیرة فی باب الرشوة و غیره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هنا ملازمة عرفیة بین جواز الغیبة و جواز الاستماع إلیها کتظلّم المظلوم،فإنّ مناط جواز الغیبة هنا هو ظهور ظلامته،و اشتهارها بین الناس و هذا المعنی لا یتحقّق فی نظر العرف إلاّ بسماع التظلّم منه،و کذلک الشأن فی سماع</w:t>
      </w:r>
    </w:p>
    <w:p>
      <w:pPr>
        <w:pStyle w:val="BookText"/>
        <w:rPr/>
      </w:pPr>
      <w:r>
        <w:rPr>
          <w:rFonts w:ascii="IRNazanin" w:hAnsi="IRNazanin" w:eastAsia="IRNazanin"/>
          <w:color w:val="111111"/>
          <w:sz w:val="28"/>
          <w:sz w:val="28"/>
          <w:szCs w:val="28"/>
          <w:rtl w:val="true"/>
          <w:lang w:bidi="fa-IR"/>
        </w:rPr>
        <w:t>الغیبة فی موارد الاستفتاء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فجواز الغیبة واقعا لا یلازم جواز السماع ملازمة دائمیة،بل النسبة بینهما عموم من وجه،فقد تحرم الغیبة دون الاستماع کالمکره علی السماع،و قد یحرم الاستماع دون الغیبة،کما إذا کان القائل معذورا فی ذلک دون السامع،و قد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الجواز الظاهری للغیبة فهل یلازم جواز استماعها أم لا،کما إذا احتمل السامع أو صرّح القائل بأنّ المقول فیه مستحق للغیبة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کشف الریبة عند ذکر مستثنیات الغیبة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أحد مغتابا لآخر،و هو لا یعلم استحقاق المقول عنه للغیبة و لا عدمه،قیل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نهی القائل،لإمکان استحقاق المقول عنه،فیحمل فعل القائل علی الصحّة ما لم یعلم فساده،لأنّ ردعه یستلزم انتهاک حرمته،و هو أحد المحرّمین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فی الکتاب المذکور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التنبیه علی ذلک إلی أن یتحقّق المخرج منه،لعموم الأدلّة،و ترک الاستفصال فیها،و هو دلیل إرادة العموم،حذرا من الإغراء بالجهل،و لأنّ ذلک لو تم لتمشّی فی من یعلم عدم استحقاق المقول عنه بالنسبة إلی السامع،لاحتمال إطّلاع القائل علی ما یوجب تسویغ مقاله،و هو یهدم قاعدة النهی عن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المصنّف بأنّ فی ذلک خلطا بین ردّ الغیبة و النهی عنها،و الذی نفاه القائل بعدم وجوب النهی هو الثانی الذی هو من صغریات النهی عن المنکر،دون الأول</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مراد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بین وجوب ردّ الغیبة و وجوب النهی عنها</w:t>
      </w:r>
    </w:p>
    <w:p>
      <w:pPr>
        <w:pStyle w:val="BookText"/>
        <w:rPr/>
      </w:pPr>
      <w:r>
        <w:rPr>
          <w:rFonts w:ascii="IRNazanin" w:hAnsi="IRNazanin" w:eastAsia="IRNazanin"/>
          <w:color w:val="111111"/>
          <w:sz w:val="28"/>
          <w:sz w:val="28"/>
          <w:szCs w:val="28"/>
          <w:rtl w:val="true"/>
          <w:lang w:bidi="fa-IR"/>
        </w:rPr>
        <w:t>عموم من وجه،فإنّه قد یجب النهی عن الغیبة لوجوب النهی عن المنکر حیث لا یجب ردّها و لو من جهة کون المقول فیه جائز الغیبة عند السامع،مع کونه مستورا عند القائل،و مع ذلک یجب نهی القائل عنها من باب وجوب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یجب ردّ الغیبة حیث لا مورد للنهی عن المنکر،کما إذا کان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 فإنّ فعله لیس بمنکر لکی یجب النهی عنه،إلاّ أنّه یجب علی السامع حینئذ ردّ الغیبة حفظا لاحترام أخیه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یجتمعان،کما إذا علم السامع بکون الاغتیاب حراما،فإنّه من حیث کونه من المنکرات فی الشریعة یجب النهی عنه،و من حیث کونه هتکا للمؤمن و کشفا لعورته یجب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شکّ فی استحقاق المقول فیه الغیبة و عدم استحقاقه حرم سماعها علی القول بحرمته،و وجب ردّها علی النحو الذی تقدّم من توجیه فعل المقول فیه علی نحو یخرجه عن المعصیة،و مع هذا لا یجب نهی القائل،بل لا یجوز،لإمکان استحقاق المقول فیه،فیحمل فعل القائل علی الصحّة ما لم یعلم فساده،فإنّ ردعه یستلزم انتهاک حرمته،و 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إثبات وجوب الردع بأدلّة النهی عن المنکر تمسّک بالعام فی الشبهات المصداقیة،و هو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یجب نهی القائل عن الغیبة فکذلک لا یجب ردّها،لاحتمال کون المقول فیه مستحقّا للغیبة عند القائل،و مسلوب الاحترام فی عقیدته،و علیه فاثبات وجوب الردّ فی الفرد المشکوک بالأدلّة الدالّة علی وجوب احترام المؤمن و وجوب ردّ غیبته تمسّک بالعام فی الشبهة المصداقیة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کون المقول فیه مؤمنا وجدانا،و عدم وجود المجوّز لاغتیابه محرز بأصالة العدم،فإنّ المقول فیه کان فی زمان و لم یکن فیه ما یجوّز</w:t>
      </w:r>
    </w:p>
    <w:p>
      <w:pPr>
        <w:pStyle w:val="BookText"/>
        <w:rPr/>
      </w:pPr>
      <w:r>
        <w:rPr>
          <w:rFonts w:ascii="IRNazanin" w:hAnsi="IRNazanin" w:eastAsia="IRNazanin"/>
          <w:color w:val="111111"/>
          <w:sz w:val="28"/>
          <w:sz w:val="28"/>
          <w:szCs w:val="28"/>
          <w:rtl w:val="true"/>
          <w:lang w:bidi="fa-IR"/>
        </w:rPr>
        <w:t>غیبته،و الأصل بقاؤه فی تلک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فی محلّه </w:t>
      </w:r>
      <w:r>
        <w:rPr>
          <w:rStyle w:val="FootnoteAnchor"/>
          <w:rtl w:val="true"/>
        </w:rPr>
        <w:footnoteReference w:id="1108"/>
      </w:r>
      <w:r>
        <w:rPr>
          <w:rFonts w:ascii="IRNazanin" w:hAnsi="IRNazanin" w:eastAsia="IRNazanin"/>
          <w:color w:val="111111"/>
          <w:sz w:val="28"/>
          <w:sz w:val="28"/>
          <w:szCs w:val="28"/>
          <w:rtl w:val="true"/>
          <w:lang w:bidi="fa-IR"/>
        </w:rPr>
        <w:t>أنّ عنوان المخصّص إذا کان أمرا وجودیا فإنّه ینفی بالأصل الموضوعی فی مورد الشک،و ینقّح به موضوع التمسّک بالعام،و لا یلزم منه التمسّک بالعام فی الشبهة المصداقیة،و کذلک فی المقام إذا شککنا أنّ المقول فیه جائز الغیبة عند القائل أم لا،نستصحب عدمه،و ینقّح به موضوع التمسّک بعموم ما دلّ علی حرمة استماع الغیبة علی تقدیر ثبوته،و بعموم ما دلّ علی وجوب ردّ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المتعارف من أفراد الغیبة هو أنّ السامع لا یعلم نوعا بحال المقول فیه،و الظاهر من الروایات الدالّة علی وجوب ردّ الغیبة أنّ ذلک هو المراد،إذ لو حملناها علی خصوص ما إذا علم السامع بکون المقول فیه غیر جائز الغیبة کان ذلک حملا لها علی المورد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الردّ غیر النهی عن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من ردّ الغیبة هو نصرة المغتاب،و تنزیهه عن تلک الوقیعة و إن أفاد النهی عن المنکر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النهی عن الغیبة فهو من صغریات النهی عن المنکر،فیجری علیه حکمه،سواء قلنا بوجوب ردّ الغیبة أم لا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نصرة الغائب بردّ الغیبة عنه تختلف باختلاف المعائب،فإن کان العیب راجعا إلی الامور الدنیویة فنصرته بأن یقول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 لیس إلاّ ما عابه اللّه من المعاصی،و إن کان راجعا إلی الامور الدینیة وجّهه بما یخرجه عن کونه معصیة،و إذا لم یقبل التوجیه ردّه بأنّ المؤمن قد یبتلی بالذنوب،فإنّه لیس بمعصوم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ینصره فی ذکر سائر العیوب</w:t>
      </w:r>
      <w:r>
        <w:rPr>
          <w:rFonts w:eastAsia="IRNazanin" w:cs="IRNazanin"/>
          <w:color w:val="111111"/>
          <w:sz w:val="28"/>
          <w:szCs w:val="28"/>
          <w:rtl w:val="true"/>
          <w:lang w:bidi="fa-IR"/>
        </w:rPr>
        <w:t>.</w:t>
      </w:r>
      <w:bookmarkStart w:id="782" w:name="pg5064_65663"/>
    </w:p>
    <w:p>
      <w:pPr>
        <w:pStyle w:val="Heading5"/>
        <w:numPr>
          <w:ilvl w:val="4"/>
          <w:numId w:val="1"/>
        </w:numPr>
        <w:rPr/>
      </w:pPr>
      <w:bookmarkStart w:id="783" w:name="__RefHeading___Toc910506_774463916"/>
      <w:bookmarkStart w:id="784" w:name="_Toc287"/>
      <w:bookmarkEnd w:id="782"/>
      <w:bookmarkEnd w:id="783"/>
      <w:r>
        <w:rPr>
          <w:rtl w:val="true"/>
        </w:rPr>
        <w:t>حرمة کون الإنسان ذا لسانین</w:t>
      </w:r>
      <w:bookmarkEnd w:id="78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قد یتضاعف عقاب المغتاب إذا کان ممّن یمدح المغتاب فی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کلامه أنّه إذا کان للإنسان لسان مدح فی الحضور،و لسان ذم فی الغیاب،استحقّ بذلک عقابین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للاغتیاب،و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ذا لسانین و یسمّی هذا منافقا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مدح المقول فیه فی حضوره بما لیس فیه عوقب بثلاث 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للاغتیاب،و الکذب،و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المدح فی الحضور بالأوصاف المباحة و إن کان جائزا فی نفسه،بل ربما یکون مطلوبا للعقلاء،و لکنّه إذا کان مسبوقا بالذمّ أو ملحوقا به کان من الجرائم الموبقة و الکبائر المهلکة،و قد ورد فی الأخبار المستفیضة أنّ ذا اللسانین یجیء یوم القیامة و له لسانان من النار </w:t>
      </w:r>
      <w:r>
        <w:rPr>
          <w:rStyle w:val="FootnoteAnchor"/>
          <w:rtl w:val="true"/>
        </w:rPr>
        <w:footnoteReference w:id="1109"/>
      </w:r>
      <w:r>
        <w:rPr>
          <w:rFonts w:ascii="IRNazanin" w:hAnsi="IRNazanin" w:eastAsia="IRNazanin"/>
          <w:color w:val="111111"/>
          <w:sz w:val="28"/>
          <w:sz w:val="28"/>
          <w:szCs w:val="28"/>
          <w:rtl w:val="true"/>
          <w:lang w:bidi="fa-IR"/>
        </w:rPr>
        <w:t>،فإنّ لسانه المدح فی الحضور و إن لم یکن لسانا من النار،إلاّ أنّه إذا تعقّبه أو تقدّمه لسان الذمّ فی الغیاب صار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النسبة بین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ذی اللسانین هی العموم من وجه فإنّه قد توجد الغیبة و لا یوجد النفاق،و قد یوجد النفاق حیث لا توجد الغیبة،کأن یمدح المقول فیه حضورا،و یذمّه بالسبّ و البهتان غیابا،و قد یجتمعان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یطلق الاغتیاب علی البهتان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الغیبة هی أن تقول فی أخیک ما ستره اللّه علیه،و أمّا</w:t>
      </w:r>
      <w:bookmarkStart w:id="785" w:name="pg5064_65664"/>
    </w:p>
    <w:p>
      <w:pPr>
        <w:pStyle w:val="BookText"/>
        <w:rPr/>
      </w:pPr>
      <w:bookmarkEnd w:id="785"/>
      <w:r>
        <w:rPr>
          <w:rFonts w:ascii="IRNazanin" w:hAnsi="IRNazanin" w:eastAsia="IRNazanin"/>
          <w:color w:val="111111"/>
          <w:sz w:val="28"/>
          <w:sz w:val="28"/>
          <w:szCs w:val="28"/>
          <w:rtl w:val="true"/>
          <w:lang w:bidi="fa-IR"/>
        </w:rPr>
        <w:t xml:space="preserve">البهتان فهو علی ما تقدّم </w:t>
      </w:r>
      <w:r>
        <w:rPr>
          <w:rStyle w:val="FootnoteAnchor"/>
          <w:rtl w:val="true"/>
        </w:rPr>
        <w:footnoteReference w:id="1110"/>
      </w:r>
      <w:r>
        <w:rPr>
          <w:rFonts w:ascii="IRNazanin" w:hAnsi="IRNazanin" w:eastAsia="IRNazanin"/>
          <w:color w:val="111111"/>
          <w:sz w:val="28"/>
          <w:sz w:val="28"/>
          <w:szCs w:val="28"/>
          <w:rtl w:val="true"/>
          <w:lang w:bidi="fa-IR"/>
        </w:rPr>
        <w:t>فی بعض أخبار الغیبة ذکرک أخاک بما لیس فیه،فهما متباینان مفهوما و مصداقا،نعم بناء علی مقالة المشهور من أنّ الغیبة ذکرک أخاک بما یکرهه یمکن اجتماعهما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إطلاق الغیبة علی البهتان فی روایة علقمة </w:t>
      </w:r>
      <w:r>
        <w:rPr>
          <w:rStyle w:val="FootnoteAnchor"/>
          <w:rtl w:val="true"/>
        </w:rPr>
        <w:footnoteReference w:id="1111"/>
      </w:r>
      <w:r>
        <w:rPr>
          <w:rFonts w:ascii="IRNazanin" w:hAnsi="IRNazanin" w:eastAsia="IRNazanin"/>
          <w:color w:val="111111"/>
          <w:sz w:val="28"/>
          <w:sz w:val="28"/>
          <w:szCs w:val="28"/>
          <w:rtl w:val="true"/>
          <w:lang w:bidi="fa-IR"/>
        </w:rPr>
        <w:t>فبنحو من المسامحة و التجوّز،علی 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عقاب التهمة أشدّ من الغیبة فلاشتمالها علی الفریة و الهتک معا</w:t>
      </w:r>
      <w:r>
        <w:rPr>
          <w:rFonts w:eastAsia="IRNazanin" w:cs="IRNazanin"/>
          <w:color w:val="111111"/>
          <w:sz w:val="28"/>
          <w:szCs w:val="28"/>
          <w:rtl w:val="true"/>
          <w:lang w:bidi="fa-IR"/>
        </w:rPr>
        <w:t>.</w:t>
      </w:r>
    </w:p>
    <w:p>
      <w:pPr>
        <w:pStyle w:val="Heading5"/>
        <w:numPr>
          <w:ilvl w:val="4"/>
          <w:numId w:val="1"/>
        </w:numPr>
        <w:rPr/>
      </w:pPr>
      <w:bookmarkStart w:id="786" w:name="__RefHeading___Toc910508_774463916"/>
      <w:bookmarkStart w:id="787" w:name="_Toc288"/>
      <w:bookmarkEnd w:id="786"/>
      <w:r>
        <w:rPr>
          <w:rtl w:val="true"/>
        </w:rPr>
        <w:t>حقوق الإخوان</w:t>
      </w:r>
      <w:bookmarkEnd w:id="78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ورد من حقوق المسلم علی أخیه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 فی الروایات المتظافرة،بل المتواترة أنّ للمسلم علی أخیه حقوقا کثیرة </w:t>
      </w:r>
      <w:r>
        <w:rPr>
          <w:rStyle w:val="FootnoteAnchor"/>
          <w:rtl w:val="true"/>
        </w:rPr>
        <w:footnoteReference w:id="1112"/>
      </w:r>
      <w:r>
        <w:rPr>
          <w:rFonts w:ascii="IRNazanin" w:hAnsi="IRNazanin" w:eastAsia="IRNazanin"/>
          <w:color w:val="111111"/>
          <w:sz w:val="28"/>
          <w:sz w:val="28"/>
          <w:szCs w:val="28"/>
          <w:rtl w:val="true"/>
          <w:lang w:bidi="fa-IR"/>
        </w:rPr>
        <w:t>،و فی روایة الکراجکی أنّ للمؤمن علی أخیه ثلاثین حقّا،و عدّها واحدا بعد واحد،ثمّ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أحدکم لیدع</w:t>
      </w:r>
    </w:p>
    <w:p>
      <w:pPr>
        <w:pStyle w:val="BookText"/>
        <w:rPr/>
      </w:pPr>
      <w:r>
        <w:rPr>
          <w:rFonts w:ascii="IRNazanin" w:hAnsi="IRNazanin" w:eastAsia="IRNazanin"/>
          <w:color w:val="111111"/>
          <w:sz w:val="28"/>
          <w:sz w:val="28"/>
          <w:szCs w:val="28"/>
          <w:rtl w:val="true"/>
          <w:lang w:bidi="fa-IR"/>
        </w:rPr>
        <w:t>من حقوق أخیه شیئا فیطالبه به یوم القیامة فیقضی له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w:t>
      </w:r>
      <w:r>
        <w:rPr>
          <w:rStyle w:val="FootnoteAnchor"/>
          <w:rtl w:val="true"/>
        </w:rPr>
        <w:footnoteReference w:id="1113"/>
      </w:r>
      <w:r>
        <w:rPr>
          <w:rFonts w:ascii="IRNazanin" w:hAnsi="IRNazanin" w:eastAsia="IRNazanin"/>
          <w:color w:val="111111"/>
          <w:sz w:val="28"/>
          <w:sz w:val="28"/>
          <w:szCs w:val="28"/>
          <w:rtl w:val="true"/>
          <w:lang w:bidi="fa-IR"/>
        </w:rPr>
        <w:t>فی البحث عن کفّارة الغیبة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مرازم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أفضل من أداء حقّ المؤمن</w:t>
      </w:r>
      <w:r>
        <w:rPr>
          <w:rFonts w:eastAsia="IRNazanin" w:cs="IRNazanin"/>
          <w:color w:val="111111"/>
          <w:sz w:val="28"/>
          <w:szCs w:val="28"/>
          <w:rtl w:val="true"/>
          <w:lang w:bidi="fa-IR"/>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خصّ المصنّف هذه الأخبار بالأخ العارف بهذه الحقوق المؤدّی لها بحسب الیسر،أمّا المؤمن المضیّع لها فالظاهر عدم تأکّد مراعاة هذه الحقوق بالنسبة إلیه،و لا یوجب إهمالها مطالبته یوم القیامة،لتحقّق المقاصّة،فإنّ التهاتر یقع فی الحقوق کما یقع فی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رأیه هذا بعدّة روایات قاصرة الدلالة علیه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و الکلینی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و قد ذکر فیها</w:t>
      </w:r>
    </w:p>
    <w:p>
      <w:pPr>
        <w:pStyle w:val="BookText"/>
        <w:rPr/>
      </w:pPr>
      <w:r>
        <w:rPr>
          <w:rFonts w:ascii="IRNazanin" w:hAnsi="IRNazanin" w:eastAsia="IRNazanin"/>
          <w:color w:val="111111"/>
          <w:sz w:val="28"/>
          <w:sz w:val="28"/>
          <w:szCs w:val="28"/>
          <w:rtl w:val="true"/>
          <w:lang w:bidi="fa-IR"/>
        </w:rPr>
        <w:t>إخوان الثقة و إخوان المکاشرة و قال فی إخوان المکاشرة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ابذل لهم ما بذلوا لک من طلاقة الوجه و حلاوة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غریبة عمّا ذکره المصنّف،فإنّها مسوقة لبیان وظیفة العمل بحقوق الإخوان علی حسب مراتب الإخوة،فإنّ منهم من هو فی أرقی مراتب الأخوة فی أداء حقوقها حتّی یطمئن به الإنسان علی عرضه و ماله و سائر شؤونه و هذا الأخ کالکفّ و الجناح،فیبذل له المال و الید،و یعادی من عاداه و یصافی من صافاه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إخوان الانس و الفرح و المجالسة و المفاکهة،فلا یبذل لهم إلاّ ما یبذلون من طلاقة الوجه و حلاوة اللسان،و لا یطمئن إلیهم فی الامور المذکورة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عبید اللّه الحلبی </w:t>
      </w:r>
      <w:r>
        <w:rPr>
          <w:rStyle w:val="FootnoteAnchor"/>
          <w:rtl w:val="true"/>
        </w:rPr>
        <w:footnoteReference w:id="1116"/>
      </w:r>
      <w:r>
        <w:rPr>
          <w:rFonts w:ascii="IRNazanin" w:hAnsi="IRNazanin" w:eastAsia="IRNazanin"/>
          <w:color w:val="111111"/>
          <w:sz w:val="28"/>
          <w:sz w:val="28"/>
          <w:szCs w:val="28"/>
          <w:rtl w:val="true"/>
          <w:lang w:bidi="fa-IR"/>
        </w:rPr>
        <w:t>فإنّها تدلّ علی أنّ للصداقة حدودا،و لا یلیق بها إلاّ من کانت فیه هذه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ذکره المصنّف من أنّه إذا لم تکن الصداقة لم تکن الاخوة،فلا بأس بترک الحقوق المذکورة بالنسبة</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الصداقة المنفیة عمّن لا یفی بحدودها غیر الاخوة الثابتة بین المؤمنین بنصّ الآیة </w:t>
      </w:r>
      <w:r>
        <w:rPr>
          <w:rStyle w:val="FootnoteAnchor"/>
          <w:rtl w:val="true"/>
        </w:rPr>
        <w:footnoteReference w:id="1117"/>
      </w:r>
      <w:r>
        <w:rPr>
          <w:rFonts w:ascii="IRNazanin" w:hAnsi="IRNazanin" w:eastAsia="IRNazanin"/>
          <w:color w:val="111111"/>
          <w:sz w:val="28"/>
          <w:sz w:val="28"/>
          <w:szCs w:val="28"/>
          <w:rtl w:val="true"/>
          <w:lang w:bidi="fa-IR"/>
        </w:rPr>
        <w:t>و الروایات،و من الواضح أنّ الحقوق المذکورة إنّما ثبتت للأخوة المحضة،سواء أکانت معها صداقة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فنفی الصداقة فی مورد لا یدلّ علی نفی الاخوة،لأنّ الصداقة فوق الاخوة،و نفی المرتبة الشدیدة لا یدلّ علی نفی المرتبة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ظهر الجواب عن الاستدلال بما فی نهج البلاغة </w:t>
      </w:r>
      <w:r>
        <w:rPr>
          <w:rStyle w:val="FootnoteAnchor"/>
          <w:rtl w:val="true"/>
        </w:rPr>
        <w:footnoteReference w:id="1118"/>
      </w:r>
      <w:r>
        <w:rPr>
          <w:rFonts w:ascii="IRNazanin" w:hAnsi="IRNazanin" w:eastAsia="IRNazanin"/>
          <w:color w:val="111111"/>
          <w:sz w:val="28"/>
          <w:sz w:val="28"/>
          <w:szCs w:val="28"/>
          <w:rtl w:val="true"/>
          <w:lang w:bidi="fa-IR"/>
        </w:rPr>
        <w:t>من نفی الصداقة عمّن لا یحفظ أخاه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ضعیف للإرسال</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سلب الأخوة عمّن لا یلبس المؤمن العاری،کروایتی الوصافی و ابن أبی عمیر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سلب الأخوة فی الروایتین کنایة عن سلب الأخوة الکاملة،فقد تعارف بین المتحاورین نفی المحمول بلسان نفی الموضوع لأجل المبالغة فی التعبیر،کما یقال یا أشباه الرجال و لا رجال،و لا صلاة لجار المسجد إلاّ فیه،و لا شکّ لکثیر الشکّ،و یقال لمن لا یعمل بعلمه إنّه لیس بعالم،إلی غیر ذلک من الإطلاقات الفصیحة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دلالة فی الروایتین علی نفی الأخوة حقیقة الذی هو مفاد لیس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أنّه لو ارید من السلب نفی الأخوة حقیقة لزم القول بعدم وجوب مراعاة سائر الحقوق الثابتة،من ردّ الاغتیاب و نحوه،و هو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جمیع ما ذکرناه أنّ الروایتین ضعیفتا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یونس بن ظبیان الدالّة علی اختبار الإخوان باتیانهم بالصلاة فی وقتها،و برّهم فی الإخوان،و إذا لم یحفظوهما فاعزبوا عنهم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الروایة کونها راجعة إلی ترک العشرة و المجالسة مع من لا یهتمّ بالإتیان بالصلاة فی أوقاتها،و الإحسان للإخوان فی الیسر و العسر،فإنّ المجالسة مؤثّرة کتأثیر النار فی الحطب،و لذا نهی عن المجالسة مع العصاة و الفسّاق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bookmarkStart w:id="788" w:name="pg5064_65669"/>
    </w:p>
    <w:p>
      <w:pPr>
        <w:pStyle w:val="BookText"/>
        <w:rPr/>
      </w:pPr>
      <w:bookmarkEnd w:id="788"/>
      <w:r>
        <w:rPr>
          <w:rFonts w:ascii="Amiri" w:hAnsi="Amiri" w:eastAsia="Amiri" w:cs="Amiri"/>
          <w:color w:val="111111"/>
          <w:sz w:val="28"/>
          <w:sz w:val="28"/>
          <w:szCs w:val="28"/>
          <w:rtl w:val="true"/>
          <w:lang w:bidi="ar-SA"/>
        </w:rPr>
        <w:t xml:space="preserve">و أمر بمجالسة العلماء </w:t>
      </w:r>
      <w:r>
        <w:rPr>
          <w:rStyle w:val="FootnoteAnchor"/>
          <w:rtl w:val="true"/>
        </w:rPr>
        <w:footnoteReference w:id="1122"/>
      </w:r>
      <w:r>
        <w:rPr>
          <w:rFonts w:ascii="IRNazanin" w:hAnsi="IRNazanin" w:eastAsia="IRNazanin"/>
          <w:color w:val="111111"/>
          <w:sz w:val="28"/>
          <w:sz w:val="28"/>
          <w:szCs w:val="28"/>
          <w:rtl w:val="true"/>
          <w:lang w:bidi="fa-IR"/>
        </w:rPr>
        <w:t>و الصلحاء،و علیه فلا دلالة فیها علی نفی الاخوة عمّن لا یقوم بحقوق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الروایة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لتقیید المطلقات الواردة فی حقوق الإخوان بصورة قیامهم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المیزان فی تأدیة حقوق الإخوة هو المیزان فی الامتثال فی بقیة الأعمال المستحبّة،من أنّ الإتیان بجمیعها تکلیف بما لا یطاق،فتقع المزاحمة بینها فی مرحلة الامتثال،فیؤتی بالأهم فالأهم</w:t>
      </w:r>
      <w:r>
        <w:rPr>
          <w:rFonts w:eastAsia="IRNazanin" w:cs="IRNazanin"/>
          <w:color w:val="111111"/>
          <w:sz w:val="28"/>
          <w:szCs w:val="28"/>
          <w:rtl w:val="true"/>
          <w:lang w:bidi="fa-IR"/>
        </w:rPr>
        <w:t>.</w:t>
      </w:r>
    </w:p>
    <w:p>
      <w:pPr>
        <w:pStyle w:val="Heading3"/>
        <w:numPr>
          <w:ilvl w:val="2"/>
          <w:numId w:val="1"/>
        </w:numPr>
        <w:rPr/>
      </w:pPr>
      <w:bookmarkStart w:id="789" w:name="__RefHeading___Toc910510_774463916"/>
      <w:bookmarkStart w:id="790" w:name="_Toc289"/>
      <w:bookmarkEnd w:id="789"/>
      <w:r>
        <w:rPr>
          <w:rtl w:val="true"/>
        </w:rPr>
        <w:t>حرمة القمار</w:t>
      </w:r>
      <w:bookmarkEnd w:id="790"/>
    </w:p>
    <w:p>
      <w:pPr>
        <w:pStyle w:val="Heading4"/>
        <w:numPr>
          <w:ilvl w:val="3"/>
          <w:numId w:val="1"/>
        </w:numPr>
        <w:rPr/>
      </w:pPr>
      <w:bookmarkStart w:id="791" w:name="__RefHeading___Toc910512_774463916"/>
      <w:bookmarkStart w:id="792" w:name="_Toc290"/>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القمار حرام إجماعا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الکلام فی حرمة القمار یقع فی جهتین،الاولی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حرمة بیع الآلات المعدّة للقمار وضعا و تکلیفا،و قد تقدّم الکلام فیه تفصیلا فی النوع الثانی </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اللعب بها،و تنقیح الکلام هنا فی ضمن مسائل أربع</w:t>
      </w:r>
      <w:r>
        <w:rPr>
          <w:rFonts w:eastAsia="IRNazanin" w:cs="IRNazanin"/>
          <w:color w:val="111111"/>
          <w:sz w:val="28"/>
          <w:szCs w:val="28"/>
          <w:rtl w:val="true"/>
          <w:lang w:bidi="fa-IR"/>
        </w:rPr>
        <w:t>:</w:t>
      </w:r>
    </w:p>
    <w:p>
      <w:pPr>
        <w:pStyle w:val="Heading4"/>
        <w:numPr>
          <w:ilvl w:val="3"/>
          <w:numId w:val="1"/>
        </w:numPr>
        <w:rPr/>
      </w:pPr>
      <w:bookmarkStart w:id="793" w:name="__RefHeading___Toc910514_774463916"/>
      <w:bookmarkStart w:id="794" w:name="_Toc291"/>
      <w:bookmarkEnd w:id="793"/>
      <w:r>
        <w:rPr>
          <w:rtl w:val="true"/>
        </w:rPr>
        <w:t>اللعب بالآلات المعدّة للقمار مع المراهنة</w:t>
      </w:r>
      <w:bookmarkEnd w:id="794"/>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خلاف بین الفقهاء من الشیعة و السنّة </w:t>
      </w:r>
      <w:r>
        <w:rPr>
          <w:rStyle w:val="FootnoteAnchor"/>
          <w:rtl w:val="true"/>
        </w:rPr>
        <w:footnoteReference w:id="1125"/>
      </w:r>
      <w:r>
        <w:rPr>
          <w:rFonts w:ascii="IRNazanin" w:hAnsi="IRNazanin" w:eastAsia="IRNazanin"/>
          <w:color w:val="111111"/>
          <w:sz w:val="28"/>
          <w:sz w:val="28"/>
          <w:szCs w:val="28"/>
          <w:rtl w:val="true"/>
          <w:lang w:bidi="fa-IR"/>
        </w:rPr>
        <w:t>فی حرمة اللعب بالآلات المعدّة للقمار مع المراهنة،و من هذا القبیل الحظّ و النصیب المعروف فی هذا الزمان المعبّر عنه فی الفارسیة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بلیط آزمایش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اللعب</w:t>
      </w:r>
      <w:bookmarkStart w:id="795" w:name="pg5064_65670"/>
    </w:p>
    <w:p>
      <w:pPr>
        <w:pStyle w:val="BookText"/>
        <w:rPr/>
      </w:pPr>
      <w:bookmarkEnd w:id="795"/>
      <w:r>
        <w:rPr>
          <w:rFonts w:ascii="IRNazanin" w:hAnsi="IRNazanin" w:eastAsia="IRNazanin"/>
          <w:color w:val="111111"/>
          <w:sz w:val="28"/>
          <w:sz w:val="28"/>
          <w:szCs w:val="28"/>
          <w:rtl w:val="true"/>
          <w:lang w:bidi="fa-IR"/>
        </w:rPr>
        <w:t>بالأقداح فی زمن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سنتعرّض لتفسیر اللعب بالأقداح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حرمة القمار ضرورة مذهب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تدلّ علیها الآیات المتظافرة </w:t>
      </w:r>
      <w:r>
        <w:rPr>
          <w:rStyle w:val="FootnoteAnchor"/>
          <w:rtl w:val="true"/>
        </w:rPr>
        <w:footnoteReference w:id="1126"/>
      </w:r>
      <w:r>
        <w:rPr>
          <w:rFonts w:ascii="IRNazanin" w:hAnsi="IRNazanin" w:eastAsia="IRNazanin"/>
          <w:color w:val="111111"/>
          <w:sz w:val="28"/>
          <w:sz w:val="28"/>
          <w:szCs w:val="28"/>
          <w:rtl w:val="true"/>
          <w:lang w:bidi="fa-IR"/>
        </w:rPr>
        <w:t xml:space="preserve">و الروایات المتواترة من طرقنا </w:t>
      </w:r>
      <w:r>
        <w:rPr>
          <w:rStyle w:val="FootnoteAnchor"/>
          <w:rtl w:val="true"/>
        </w:rPr>
        <w:footnoteReference w:id="1127"/>
      </w:r>
      <w:r>
        <w:rPr>
          <w:rFonts w:ascii="Amiri" w:hAnsi="Amiri" w:eastAsia="Amiri" w:cs="Amiri"/>
          <w:color w:val="111111"/>
          <w:sz w:val="28"/>
          <w:sz w:val="28"/>
          <w:szCs w:val="28"/>
          <w:rtl w:val="true"/>
          <w:lang w:bidi="ar-SA"/>
        </w:rPr>
        <w:t xml:space="preserve">و من طرق السنّة </w:t>
      </w:r>
      <w:r>
        <w:rPr>
          <w:rStyle w:val="FootnoteAnchor"/>
          <w:rtl w:val="true"/>
        </w:rPr>
        <w:footnoteReference w:id="1128"/>
      </w:r>
      <w:r>
        <w:rPr>
          <w:rFonts w:ascii="Amiri" w:hAnsi="Amiri" w:eastAsia="Amiri" w:cs="Amiri"/>
          <w:color w:val="111111"/>
          <w:sz w:val="28"/>
          <w:sz w:val="28"/>
          <w:szCs w:val="28"/>
          <w:rtl w:val="true"/>
          <w:lang w:bidi="ar-SA"/>
        </w:rPr>
        <w:t>و قد اشیر إلی حکمة التحریم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Style w:val="FootnoteAnchor"/>
          <w:rtl w:val="true"/>
        </w:rPr>
        <w:footnoteReference w:id="1129"/>
      </w:r>
      <w:r>
        <w:rPr>
          <w:rFonts w:ascii="IRNazanin" w:hAnsi="IRNazanin" w:eastAsia="IRNazanin"/>
          <w:color w:val="111111"/>
          <w:sz w:val="28"/>
          <w:sz w:val="28"/>
          <w:szCs w:val="28"/>
          <w:rtl w:val="true"/>
          <w:lang w:bidi="fa-IR"/>
        </w:rPr>
        <w:t>فإنّ أخذ مال الناس بغیر تجارة و مشقّة موجب لإلقاء العداوة و البغضاء،و الاشتغال بلعب القمار یصدّ عن ذکر اللّه،و عن امتثال الأحکام الإلهیة</w:t>
      </w:r>
      <w:r>
        <w:rPr>
          <w:rFonts w:eastAsia="IRNazanin" w:cs="IRNazanin"/>
          <w:color w:val="111111"/>
          <w:sz w:val="28"/>
          <w:szCs w:val="28"/>
          <w:rtl w:val="true"/>
          <w:lang w:bidi="fa-IR"/>
        </w:rPr>
        <w:t>.</w:t>
      </w:r>
    </w:p>
    <w:p>
      <w:pPr>
        <w:pStyle w:val="Heading4"/>
        <w:numPr>
          <w:ilvl w:val="3"/>
          <w:numId w:val="1"/>
        </w:numPr>
        <w:rPr/>
      </w:pPr>
      <w:bookmarkStart w:id="796" w:name="__RefHeading___Toc910516_774463916"/>
      <w:bookmarkStart w:id="797" w:name="_Toc292"/>
      <w:bookmarkEnd w:id="796"/>
      <w:r>
        <w:rPr>
          <w:rtl w:val="true"/>
        </w:rPr>
        <w:t>حرمة اللعب بالآلات المعدّة للقمار بدون الرهن</w:t>
      </w:r>
      <w:bookmarkEnd w:id="797"/>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اللعب بالآلات المعدّة للقمار بدون الرهن،بأن کان</w:t>
      </w:r>
    </w:p>
    <w:p>
      <w:pPr>
        <w:pStyle w:val="BookText"/>
        <w:rPr/>
      </w:pPr>
      <w:r>
        <w:rPr>
          <w:rFonts w:ascii="IRNazanin" w:hAnsi="IRNazanin" w:eastAsia="IRNazanin"/>
          <w:color w:val="111111"/>
          <w:sz w:val="28"/>
          <w:sz w:val="28"/>
          <w:szCs w:val="28"/>
          <w:rtl w:val="true"/>
          <w:lang w:bidi="fa-IR"/>
        </w:rPr>
        <w:t>الغرض منه مجرّد الانس و الفرح،کما هو المرسوم کثیرا بین الامراء و السلاطین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لا إشکال فی حرمته،بل فی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لا خلاف فیه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وقع الخلاف فی ذلک بین العامّة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کان،فقد استدلّ المصنّف علی حرمته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یجیء منه الفساد محضا لا یجوز التقلّب فیه من جمیع وجوه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تدلّ إلاّ علی صدق الکبری من حرمة التقلّب و التصرّف فی کل ما یجیء منه الفساد محضا،و أمّا إحراز الصغری فلا بدّ و أن یثبت من الخارج،و من الواضح أنّ کون الآلات المعدّة للقمار کذلک أوّل الکلام،إذ لو کان اللعب بها بدون مراهنة جائزا لم تکن کذلک،فلا یمکن إثبات الحرمة به،فإنّه دور ظاهر</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روایة أبی الجارود </w:t>
      </w:r>
      <w:r>
        <w:rPr>
          <w:rStyle w:val="FootnoteAnchor"/>
          <w:rtl w:val="true"/>
        </w:rPr>
        <w:footnoteReference w:id="1132"/>
      </w:r>
      <w:r>
        <w:rPr>
          <w:rFonts w:ascii="IRNazanin" w:hAnsi="IRNazanin" w:eastAsia="IRNazanin"/>
          <w:color w:val="111111"/>
          <w:sz w:val="28"/>
          <w:sz w:val="28"/>
          <w:szCs w:val="28"/>
          <w:rtl w:val="true"/>
          <w:lang w:bidi="fa-IR"/>
        </w:rPr>
        <w:t>من تفسیر المیسر بالنرد و الشطرنج و بکل قمار،إلی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بیعه و شراؤه و الانتفاع بشیء من هذا</w:t>
      </w:r>
    </w:p>
    <w:p>
      <w:pPr>
        <w:pStyle w:val="BookText"/>
        <w:rPr/>
      </w:pPr>
      <w:r>
        <w:rPr>
          <w:rFonts w:ascii="Amiri" w:hAnsi="Amiri" w:eastAsia="Amiri" w:cs="Amiri"/>
          <w:color w:val="111111"/>
          <w:sz w:val="28"/>
          <w:sz w:val="28"/>
          <w:szCs w:val="28"/>
          <w:rtl w:val="true"/>
          <w:lang w:bidi="ar-SA"/>
        </w:rPr>
        <w:t>حرام من اللّه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تشمل بإطلاقها اللعب بالآلات المعدّة للقمار بدون الرهن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بالقمار المذکور فی الروایة هو المعنی المصدری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العمل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فتکون الروایة منصرفة إلی اللعب بالآلات المذکورة مع الرهن،کما أنّ المطلقات منصرفة 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دعوی جزافیة،فإنّ المراد من القمار فیها هو نفس الآلات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من الروایة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 و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المیسر فالنرد و الشطرنج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و إن کانت صریحة الدلالة علی المقصود،و لکنّها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جملة من الروایات للتأیید،و ادّعی عدم انصرافها إلی اللعب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مجالس المفید الثانی ولد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ألهی عن ذکر اللّه فهو من المیسر</w:t>
      </w:r>
      <w:r>
        <w:rPr>
          <w:rFonts w:eastAsia="IRNazanin" w:cs="IRNazanin"/>
          <w:color w:val="111111"/>
          <w:sz w:val="28"/>
          <w:szCs w:val="28"/>
          <w:rtl w:val="true"/>
          <w:lang w:bidi="fa-IR"/>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الروایة ضعیفة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محمولة علی الکراهة فإنّ کثیرا من الامور یلهی عن ذکر اللّه و لیس بمیسر و لا بحرام،و إلاّ لزم الالتزام بحرمة کثیر من الامور الدنیویة،لقوله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الْحَیاةُ الدُّنْیا لَعِبٌ وَ لَهْوٌ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اطلق اللهو علی بعض الامور المستحبّة فی جملة من الروایات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کسباق الخیل،و مفاکهة الإخوان،و ملاعبة الرجل أهله،و متعة النساء،فإنّها من الأشیاء المندوبة فی الشریعة،و مع ذلک اطلق علیها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أنّ الملاهی غیر المحرّمة خارجة عن الحدیث توهّم فاسد،فإنّه مستلزم لتخصیص الأکثر،و هو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الفضیل عن النرد و الشطرنج و غیرهما من آلات القمار التی یلعب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میّز اللّه بین الحقّ و الباطل فی أیّهما یکون؟قلت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الباطل؟قال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لک و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ملازمة بین البطلان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زرارة عن لعبة بعض أقسام القمار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 إذا میّز اللّه الحقّ و الباطل مع أیّهما تکون؟قال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الباطل؟قال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خیر فیه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 الخیر أعم من الحرمة و الکراهة</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الواحد بن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اللعب</w:t>
      </w:r>
    </w:p>
    <w:p>
      <w:pPr>
        <w:pStyle w:val="BookText"/>
        <w:rPr/>
      </w:pPr>
      <w:r>
        <w:rPr>
          <w:rFonts w:ascii="IRNazanin" w:hAnsi="IRNazanin" w:eastAsia="IRNazanin"/>
          <w:color w:val="111111"/>
          <w:sz w:val="28"/>
          <w:sz w:val="28"/>
          <w:szCs w:val="28"/>
          <w:rtl w:val="true"/>
          <w:lang w:bidi="fa-IR"/>
        </w:rPr>
        <w:t>بالشطرنج،قال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لمشغول عن اللعب</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فإنّ إناطة الحکم باللعب تقتضی عدم اعتبار الرهن فی حرمة اللعب بالآلات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غریبة عمّا نحن فیه،فإنّ الظاهر منها أخذ عنوان المؤمن موضوعا للاجتناب عن اللعب المطلق،و بما أنّه لا دلیل علی حرمته علی وجه الإطلاق حتّی اللعب بالید و الأصابع و اللحیة و السبحة و نحوها،فتکون الروایة إرشادا إلی بیان شأن المؤمن من أنّه لا یناسبه الاشتغال بالامور اللاغیة،فإنّها غیر مفیدة له فی دینه و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حرمة القمار بدون الرهن بالمطلقات الناهیة عن المیسر و القمار من الآیات و الروایات،و قد أشرنا إلی مصادرها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المصنّف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المطلقات منصرفة إلی الفرد الغالب،و هو اللعب بالآلات المذکورة مع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اللعب بآلات القمار من غیر رهن کثیر فی نفسه لو لم یکن أکثر من اللعب بها مع المراهنة،أو مساویا له فی الکثرة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غلبة الوجود فی الخارج لا توجب الانصراف،نعم إنّ دعوی الانصراف إنّما تصحّ إذا کان لها منشأ صحیح،کأن یکون الفرد النادر أو غیر الغالب علی نحو لا یراه العرف فردا للعمومات و المطلقات،کانصراف الحیوان عن الإنسان فی نظر العرف،مع أنّه من أکمل أفراده،و لذا قلنا بانصراف الروایات</w:t>
      </w:r>
      <w:bookmarkStart w:id="798" w:name="pg5064_65675"/>
    </w:p>
    <w:p>
      <w:pPr>
        <w:pStyle w:val="BookText"/>
        <w:rPr/>
      </w:pPr>
      <w:bookmarkEnd w:id="798"/>
      <w:r>
        <w:rPr>
          <w:rFonts w:ascii="IRNazanin" w:hAnsi="IRNazanin" w:eastAsia="IRNazanin"/>
          <w:color w:val="111111"/>
          <w:sz w:val="28"/>
          <w:sz w:val="28"/>
          <w:szCs w:val="28"/>
          <w:rtl w:val="true"/>
          <w:lang w:bidi="fa-IR"/>
        </w:rPr>
        <w:t>المانعة عن الصلاة فی غیر المأکول عن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العرف یری الإنسان مباینا للحیوان حتّی أنّه لو خوطب أحد بالحیوان فإنّ العرف یعدّ ذلک من السباب</w:t>
      </w:r>
      <w:r>
        <w:rPr>
          <w:rFonts w:eastAsia="IRNazanin" w:cs="IRNazanin"/>
          <w:color w:val="111111"/>
          <w:sz w:val="28"/>
          <w:szCs w:val="28"/>
          <w:rtl w:val="true"/>
          <w:lang w:bidi="fa-IR"/>
        </w:rPr>
        <w:t>.</w:t>
      </w:r>
    </w:p>
    <w:p>
      <w:pPr>
        <w:pStyle w:val="Heading4"/>
        <w:numPr>
          <w:ilvl w:val="3"/>
          <w:numId w:val="1"/>
        </w:numPr>
        <w:rPr/>
      </w:pPr>
      <w:bookmarkStart w:id="799" w:name="__RefHeading___Toc910518_774463916"/>
      <w:bookmarkStart w:id="800" w:name="_Toc293"/>
      <w:bookmarkEnd w:id="799"/>
      <w:r>
        <w:rPr>
          <w:rtl w:val="true"/>
        </w:rPr>
        <w:t>موضوع القمار</w:t>
      </w:r>
      <w:bookmarkEnd w:id="800"/>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صدق القمار علیه نظر 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المستفاد من کلمات أهل العرف و اللغة </w:t>
      </w:r>
      <w:r>
        <w:rPr>
          <w:rStyle w:val="FootnoteAnchor"/>
          <w:rtl w:val="true"/>
        </w:rPr>
        <w:footnoteReference w:id="1137"/>
      </w:r>
      <w:r>
        <w:rPr>
          <w:rFonts w:ascii="IRNazanin" w:hAnsi="IRNazanin" w:eastAsia="IRNazanin"/>
          <w:color w:val="111111"/>
          <w:sz w:val="28"/>
          <w:sz w:val="28"/>
          <w:szCs w:val="28"/>
          <w:rtl w:val="true"/>
          <w:lang w:bidi="fa-IR"/>
        </w:rPr>
        <w:t>أنّ القمار و کذلک المیسر موضوع</w:t>
      </w:r>
    </w:p>
    <w:p>
      <w:pPr>
        <w:pStyle w:val="BookText"/>
        <w:rPr/>
      </w:pPr>
      <w:r>
        <w:rPr>
          <w:rFonts w:ascii="IRNazanin" w:hAnsi="IRNazanin" w:eastAsia="IRNazanin"/>
          <w:color w:val="111111"/>
          <w:sz w:val="28"/>
          <w:sz w:val="28"/>
          <w:szCs w:val="28"/>
          <w:rtl w:val="true"/>
          <w:lang w:bidi="fa-IR"/>
        </w:rPr>
        <w:t>للعب بأی شیء مع الرهان،و یعبّر عنه فی اللغة الفارسیة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فاللعب بالآلات بدون الرهن خارج عن المطلقات موضوعا و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ظاهر الصحاح و المصباح و التکملة و الذیل أنّه قد یطلق علی اللعب بها مطلقا،مع الرهن و دونه </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من باب المجاز،لعلاقة المشابهة و المشاکلة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الشکّ فی صدق مفهوم القمار علیه،و من المعلوم أنه مع الشکّ فی الصدق لا یجوز التمسّک بالمطلقات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لا یجوز التمسّک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فإنّ العداوة إنّما تتحقّق مع الرهان،لا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یستدلّ علی الحرمة بالمطلقات الکثیرة الناهیة عن اللعب بالنرد و الشطرنج و بکل ما یکون معدّا للتقامر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،فإنّه لا شبهة أنّ اللعب بالامور المذکورة یعمّ ما کان مع المراهنة أو بدونها</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ناقش المصنّف فی ذلک بانصراف المطلقات المذکورة إلی صورة اللعب</w:t>
      </w:r>
      <w:bookmarkStart w:id="801" w:name="pg5064_65677"/>
    </w:p>
    <w:p>
      <w:pPr>
        <w:pStyle w:val="BookText"/>
        <w:rPr/>
      </w:pPr>
      <w:bookmarkEnd w:id="801"/>
      <w:r>
        <w:rPr>
          <w:rFonts w:ascii="IRNazanin" w:hAnsi="IRNazanin" w:eastAsia="IRNazanin"/>
          <w:color w:val="111111"/>
          <w:sz w:val="28"/>
          <w:sz w:val="28"/>
          <w:szCs w:val="28"/>
          <w:rtl w:val="true"/>
          <w:lang w:bidi="fa-IR"/>
        </w:rPr>
        <w:t>بآلات القمار مع الرهن،و قد عرفت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استبعد الانصراف فی روایة أبی الربیع الشامی </w:t>
      </w:r>
      <w:r>
        <w:rPr>
          <w:rStyle w:val="FootnoteAnchor"/>
          <w:rtl w:val="true"/>
        </w:rPr>
        <w:footnoteReference w:id="1139"/>
      </w:r>
      <w:r>
        <w:rPr>
          <w:rFonts w:ascii="IRNazanin" w:hAnsi="IRNazanin" w:eastAsia="IRNazanin"/>
          <w:color w:val="111111"/>
          <w:sz w:val="28"/>
          <w:sz w:val="28"/>
          <w:szCs w:val="28"/>
          <w:rtl w:val="true"/>
          <w:lang w:bidi="fa-IR"/>
        </w:rPr>
        <w:t>الناهیة عن الاقتراب من النرد و الشطرنج،ثم التزم به فی المطلقات المذکورة،مع أنّهما من باب واحد،فإنّ النهی عن الاقتراب من النرد و الشطرنج کنایة عن حرمة اللعب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فشأن روایة أبی الربیع شأن المطلقات فی الانصراف و عدمه،و لکن الروایة ضعیفة السند</w:t>
      </w:r>
      <w:r>
        <w:rPr>
          <w:rFonts w:eastAsia="IRNazanin" w:cs="IRNazanin"/>
          <w:color w:val="111111"/>
          <w:sz w:val="28"/>
          <w:szCs w:val="28"/>
          <w:rtl w:val="true"/>
          <w:lang w:bidi="fa-IR"/>
        </w:rPr>
        <w:t>.</w:t>
      </w:r>
    </w:p>
    <w:p>
      <w:pPr>
        <w:pStyle w:val="Heading4"/>
        <w:numPr>
          <w:ilvl w:val="3"/>
          <w:numId w:val="1"/>
        </w:numPr>
        <w:rPr/>
      </w:pPr>
      <w:bookmarkStart w:id="802" w:name="__RefHeading___Toc910520_774463916"/>
      <w:bookmarkStart w:id="803" w:name="_Toc294"/>
      <w:bookmarkEnd w:id="802"/>
      <w:r>
        <w:rPr>
          <w:rtl w:val="true"/>
        </w:rPr>
        <w:t>حرمة المراهنة علی اللعب بغیر الآلات المعدّة للقمار</w:t>
      </w:r>
      <w:bookmarkEnd w:id="803"/>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المراهنة علی اللعب بغیر الآلات المعدّة للقمار،کالمراهنة علی حمل الحجر الثقیل،و علی المصارعة،و نطاح الکباش،و صراع البقر،و مهارشة الدیکة و مضاربتها،و المراهنة علی الطیور،و علی الطفرة،و نحو ذلک ممّا عدّوها فی باب السبق و الرمایة من غیر الأفراد التی نصّ علی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أنّه لا خلاف فی الجملة بین الشیعة و أکثر العامّة </w:t>
      </w:r>
      <w:r>
        <w:rPr>
          <w:rStyle w:val="FootnoteAnchor"/>
          <w:rtl w:val="true"/>
        </w:rPr>
        <w:footnoteReference w:id="1140"/>
      </w:r>
      <w:r>
        <w:rPr>
          <w:rFonts w:ascii="IRNazanin" w:hAnsi="IRNazanin" w:eastAsia="IRNazanin"/>
          <w:color w:val="111111"/>
          <w:sz w:val="28"/>
          <w:sz w:val="28"/>
          <w:szCs w:val="28"/>
          <w:rtl w:val="true"/>
          <w:lang w:bidi="fa-IR"/>
        </w:rPr>
        <w:t>فی حرمة المراهنة علی اللعب مطلقا،و إن کان بغیر الآلات المعدّة للقمار</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یظهر من الجواهر </w:t>
      </w:r>
      <w:r>
        <w:rPr>
          <w:rStyle w:val="FootnoteAnchor"/>
          <w:rtl w:val="true"/>
        </w:rPr>
        <w:footnoteReference w:id="1141"/>
      </w:r>
      <w:r>
        <w:rPr>
          <w:rFonts w:ascii="IRNazanin" w:hAnsi="IRNazanin" w:eastAsia="IRNazanin"/>
          <w:color w:val="111111"/>
          <w:sz w:val="28"/>
          <w:sz w:val="28"/>
          <w:szCs w:val="28"/>
          <w:rtl w:val="true"/>
          <w:lang w:bidi="fa-IR"/>
        </w:rPr>
        <w:t>اختصاص الحرمة بما إذا کان اللعب بالآلات المعدّة له،و أمّا مطلق الرهان و المغالبة بغیرها فلا حرمة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تفسد المعاملة علیه،و لا</w:t>
      </w:r>
    </w:p>
    <w:p>
      <w:pPr>
        <w:pStyle w:val="BookText"/>
        <w:rPr/>
      </w:pPr>
      <w:r>
        <w:rPr>
          <w:rFonts w:ascii="IRNazanin" w:hAnsi="IRNazanin" w:eastAsia="IRNazanin"/>
          <w:color w:val="111111"/>
          <w:sz w:val="28"/>
          <w:sz w:val="28"/>
          <w:szCs w:val="28"/>
          <w:rtl w:val="true"/>
          <w:lang w:bidi="fa-IR"/>
        </w:rPr>
        <w:t>یملک الراهن الجعل،فیحرم علیه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إلحاقه بالقمار فی الحرمة و الفساد،بل صرّح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مصابیحه </w:t>
      </w:r>
      <w:r>
        <w:rPr>
          <w:rStyle w:val="FootnoteAnchor"/>
          <w:rtl w:val="true"/>
        </w:rPr>
        <w:footnoteReference w:id="1142"/>
      </w:r>
      <w:r>
        <w:rPr>
          <w:rFonts w:ascii="IRNazanin" w:hAnsi="IRNazanin" w:eastAsia="IRNazanin"/>
          <w:color w:val="111111"/>
          <w:sz w:val="28"/>
          <w:sz w:val="28"/>
          <w:szCs w:val="28"/>
          <w:rtl w:val="true"/>
          <w:lang w:bidi="fa-IR"/>
        </w:rPr>
        <w:t>بعدم الخلاف فی ذلک،ثم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کل من نفی الخلاف فی تحریم المسابقة فیما عدا المنصوص مع العوض و جعل محلّ الخلاف فیها بدون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 فی حکم المسابقة بدون الرهن فی غیر الموارد المنصوصة لا معنی له إلاّ فی الحرمة التکلیفیة،فإنّ الحرمة الوضعیة عبارة عن فساد المعاملة و عدم انتقال المال إلی غیر مالکه،و المفروض أنّه لیس هنا رهن لیقع الاختلاف فی انتقاله إلی غیر مالکه و عدم انتقاله،فتعیّن أن یکون الخلاف فی هذه الصورة فی الحرمة التکلیفیة فقط دون الحرمة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فمقابلة مورد الوفاق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حرمة المسابقة مع الرهن فی غیر الموارد المنصوصة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بمورد الخلاف تقتضی أن یکون مورد الوفاق هو خصوص الحرمة التکلیفیة،أو الأعم منها و من الحرمة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تخصیص مورد الوفاق بخصوص الحرمة الوضعیة کما عرفته من ظاهر الجواهر فلا یلائم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کان،فقد استدلّ القائلون بالحرمة و الفساد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دعواه فی المقام علی الحرمة و إن لم تکن جزافیة کما عرفت،و لکنّا لا نطمئن بکونه إجماعا تعبّدیا،بل من المحتمل القریب استناده إلی سائر الوجوه المذکورة فی المسألة</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مفهوم القمار علیه بغیر عنایة و علاقة،فقد عرفت أنّ الظاهر من أهل العرف و اللغة أنّ القمار هو الرهن علی اللعب بأی شیء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تفسیره</w:t>
      </w:r>
    </w:p>
    <w:p>
      <w:pPr>
        <w:pStyle w:val="BookText"/>
        <w:rPr/>
      </w:pPr>
      <w:r>
        <w:rPr>
          <w:rFonts w:ascii="Amiri" w:hAnsi="Amiri" w:eastAsia="Amiri" w:cs="Amiri"/>
          <w:color w:val="111111"/>
          <w:sz w:val="28"/>
          <w:sz w:val="28"/>
          <w:szCs w:val="28"/>
          <w:rtl w:val="true"/>
          <w:lang w:bidi="ar-SA"/>
        </w:rPr>
        <w:t>باللعب بالآلات المعدّة للقمار دور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ما ذکرناه ترادف کلمة القمار فی لغة الفرس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نحو تحقّق،و من أوضح أفراده فی هذا الزمان الحظّ و النصیب المعبّر عن ذلک فی الفارسیة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بلیط آزمایش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صدق علیه مفهوم القمار شملته المطلقات الدالّة علی حرمة القمار و المیسر و الأزلام،و حرمة ما اصیب به من الأموال،غایة الأمر أنّ الموارد المنصوصة فی باب السبق و الرمایة قد خرجت عن هذه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الکثیرة الظاهرة فی حرمة الرهان علی المسابقة فی غیر الموارد المنصوصة</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نفار الملائکة عند الرهان و لعنها صاحبه ما خلا الحافر و الخفّ و الریش و النصل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جمیعه ضعیف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تفسیر العیاشی </w:t>
      </w:r>
      <w:r>
        <w:rPr>
          <w:rStyle w:val="FootnoteAnchor"/>
          <w:rtl w:val="true"/>
        </w:rPr>
        <w:footnoteReference w:id="1144"/>
      </w:r>
      <w:r>
        <w:rPr>
          <w:rFonts w:ascii="IRNazanin" w:hAnsi="IRNazanin" w:eastAsia="IRNazanin"/>
          <w:color w:val="111111"/>
          <w:sz w:val="28"/>
          <w:sz w:val="28"/>
          <w:szCs w:val="28"/>
          <w:rtl w:val="true"/>
          <w:lang w:bidi="fa-IR"/>
        </w:rPr>
        <w:t xml:space="preserve">من أنّ المیسر هو الثقل الخارج بین المتراهنین،فیدلّ علی الحرمة وضعا و تکلیفا،و علیه فلا وجه لحمله علی الحرمة الوضعیة فقط کما صنعه المحقّق الإیروانی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ضعیف السند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أنّ کل ما قومر به فهو من المیسر حتّی اللعب بالجوز و اللوز و الکعاب </w:t>
      </w:r>
      <w:r>
        <w:rPr>
          <w:rStyle w:val="FootnoteAnchor"/>
          <w:rtl w:val="true"/>
        </w:rPr>
        <w:footnoteReference w:id="1146"/>
      </w:r>
      <w:r>
        <w:rPr>
          <w:rFonts w:ascii="IRNazanin" w:hAnsi="IRNazanin" w:eastAsia="IRNazanin"/>
          <w:color w:val="111111"/>
          <w:sz w:val="28"/>
          <w:sz w:val="28"/>
          <w:szCs w:val="28"/>
          <w:rtl w:val="true"/>
          <w:lang w:bidi="fa-IR"/>
        </w:rPr>
        <w:t>،و معنی المقامرة هو المراهنة علی اللعب کما عرفته فی الهامش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إسحاق بن عمّار </w:t>
      </w:r>
      <w:r>
        <w:rPr>
          <w:rStyle w:val="FootnoteAnchor"/>
          <w:rtl w:val="true"/>
        </w:rPr>
        <w:footnoteReference w:id="1147"/>
      </w:r>
      <w:r>
        <w:rPr>
          <w:rFonts w:ascii="IRNazanin" w:hAnsi="IRNazanin" w:eastAsia="IRNazanin"/>
          <w:color w:val="111111"/>
          <w:sz w:val="28"/>
          <w:sz w:val="28"/>
          <w:szCs w:val="28"/>
          <w:rtl w:val="true"/>
          <w:lang w:bidi="fa-IR"/>
        </w:rPr>
        <w:t>الصریحة فی حرمة المقامرة بالجوز و البیض و حرمة أکلهما،فإنّها دلّت علی تحقّق القمار باللعب بغیر الآلات المعدّة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هذا أیضا الروایة المشتملة علی قیء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 الذی قامر به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الکلام فی هذه الروایة و بیان أنّها ضعیفة السند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الرهن علی اللعب بغیر الآلات المعدّة للقمار حرام وضعا و تکلیفا،فلا وجه لإنکار الحرمة التکلیفیة و الالتزام بخصوص الفساد کما صنعه صاحب الجواهر</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علی ما ذهب إلیه صاحب الجواهر بما فی صحیحة محمّد بن قیس </w:t>
      </w:r>
      <w:r>
        <w:rPr>
          <w:rStyle w:val="FootnoteAnchor"/>
          <w:rtl w:val="true"/>
        </w:rPr>
        <w:footnoteReference w:id="1149"/>
      </w:r>
      <w:r>
        <w:rPr>
          <w:rFonts w:ascii="IRNazanin" w:hAnsi="IRNazanin" w:eastAsia="IRNazanin"/>
          <w:color w:val="111111"/>
          <w:sz w:val="28"/>
          <w:sz w:val="28"/>
          <w:szCs w:val="28"/>
          <w:rtl w:val="true"/>
          <w:lang w:bidi="fa-IR"/>
        </w:rPr>
        <w:t>الواردة فی مؤاکلة الشاة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فی المؤاکلة من</w:t>
      </w:r>
    </w:p>
    <w:p>
      <w:pPr>
        <w:pStyle w:val="BookText"/>
        <w:rPr/>
      </w:pPr>
      <w:r>
        <w:rPr>
          <w:rFonts w:ascii="IRNazanin" w:hAnsi="IRNazanin" w:eastAsia="IRNazanin"/>
          <w:color w:val="111111"/>
          <w:sz w:val="28"/>
          <w:sz w:val="28"/>
          <w:szCs w:val="28"/>
          <w:rtl w:val="true"/>
          <w:lang w:bidi="fa-IR"/>
        </w:rPr>
        <w:t>الطعام ما قلّ منه أو کثر،و منع غرامة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 فیها لغیر فساد المراهنة فی الطعام،و أنّه لیس لها أثر یترتّب علیها،و لو کانت المراهنة المزبورة محرّمة تکلیفا لردع عنها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المصنّف عن ذلک بأنّ هذا وارد علی تقدیر القول بالبطلان و عدم التحریم،لأنّ التصرّف فی هذا المال مع فساد المعاملة حرام أیضا،فتأمّل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سکوت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بیان الحرمة فی جهة لا یستلزم ثبوت الجواز فیها،و إلاّ لکانت الروایة دالّة علی جواز التصرّف فی مال الغیر بناء علی فساد هذه المعاملة،لأنّ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سکت عن بیان حرمته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الروایة أجنبیة عن المقام،و إنّما هی مسوقة لبیان حکم عقد المؤاکلة فی الطعام،فإنّ مالک الشاة قد أباحها لأشخاص معیّنین بشرط متأخّر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أکلتموها فهی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 علیهم الضمان إذا تخلّف الشرط المذکور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تأکلوها فعلیکم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بفساد هذه المعاملة،و عدم ترتّب الأثر علیها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فی المؤاکلة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لیست من المعاملات التی أمضاها الشارع کما أمضی المزارعة و المضاربة و المساقاة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فمفاد الروایة ینحلّ إلی قضیتین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موجبة،و هی إباحة الشاة بشرط متأخّر إباحة 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سالبة،و هی عدم تحقّق الإباحة المالکیة مع تخلّف الشرط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القضیة الاولی هو الجواز وضعا و تکلیفا من غیر غرامة علی الآکلین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القضیة الثانیة هو عدم الجواز وضعا،لا تکلیفا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فتثبت علیه غرامة الأکل،لکونه مشمولا لعمومات أدلّة الضمان،لا لأنّها معاملة خاصّة توجب الضمان بنفسها</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من الروایة أمران،أحدهما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فی المؤاکلة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أنّ الصادر بین مالک الشاة و أصحابه إنّما هو عقد المؤاکلة فی</w:t>
      </w:r>
      <w:bookmarkStart w:id="804" w:name="pg5064_65683"/>
    </w:p>
    <w:p>
      <w:pPr>
        <w:pStyle w:val="BookText"/>
        <w:rPr/>
      </w:pPr>
      <w:bookmarkEnd w:id="804"/>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أکلتموها فهی لکم،و إن لم تأکلوها فعلیکم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أنّ هذا القول من المالک صیغة لعقد المؤاکلة،و أنّ المتعاملین بها یحاولون إیجاد معاملة خاصّة کسائر المعاملات المقرّرة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من الوجهین المذکورین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آکل و أصحاب له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فعل ماض من باب المفاعلة،و لیس باسم فاعل من الثلاثی المجرّد،و لا فعل ماض منه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هذه المعاملة کثیر الوقوع بین أهل العرف،فیقول أحدهم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أکلت کذا مقدارا من الثمرة،أو إن سکنت فی هذه الدار سنة واحدة،فلیس علیک شیء،و إلاّ فعلیک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حکم العوض من حیث الفساد حکم سائر المأخوذ بالمعاملات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المأخوذ بالقمار و کذلک حکم المأخوذ بسائر المعاملات الفاسدة هو وجوب ردّ عینه مع البقاء،و ردّ بدله من المثل أو القیمة مع التلف،و یأتی الکلام إن شاء اللّه عن هذا فی البحث عن المقبوض بالعقد الفاسد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5" w:name="__RefHeading___Toc910522_774463916"/>
      <w:bookmarkStart w:id="806" w:name="_Toc295"/>
      <w:bookmarkEnd w:id="805"/>
      <w:r>
        <w:rPr>
          <w:rtl w:val="true"/>
        </w:rPr>
        <w:t>ما ورد فی قیء الإمام</w:t>
      </w:r>
      <w:r>
        <w:rPr>
          <w:rtl w:val="true"/>
        </w:rPr>
        <w:t>(</w:t>
      </w:r>
      <w:r>
        <w:rPr>
          <w:rtl w:val="true"/>
        </w:rPr>
        <w:t>علیه السّلام</w:t>
      </w:r>
      <w:r>
        <w:rPr>
          <w:rtl w:val="true"/>
        </w:rPr>
        <w:t>)</w:t>
      </w:r>
      <w:r>
        <w:rPr>
          <w:rtl w:val="true"/>
        </w:rPr>
        <w:t>البیض المقامر به</w:t>
      </w:r>
      <w:bookmarkEnd w:id="80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من قیء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البیض الذی قامر به الغلام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یتوهّم أحد و لا موقع للتوهّم أیضا أنّ القیء من جهة ردّ البیض إلی</w:t>
      </w:r>
    </w:p>
    <w:p>
      <w:pPr>
        <w:pStyle w:val="BookText"/>
        <w:rPr/>
      </w:pPr>
      <w:r>
        <w:rPr>
          <w:rFonts w:ascii="IRNazanin" w:hAnsi="IRNazanin" w:eastAsia="IRNazanin"/>
          <w:color w:val="111111"/>
          <w:sz w:val="28"/>
          <w:sz w:val="28"/>
          <w:szCs w:val="28"/>
          <w:rtl w:val="true"/>
          <w:lang w:bidi="fa-IR"/>
        </w:rPr>
        <w:t>المالک،فإنّ آکل الحرام لا یجب علیه ردّ عینه و لو کان عالما عامدا،فضلا عمّا إذا تناوله جاهلا،لأنّ الطعام بعد المضغ یعدّ فی العرف تالفا،خصوصا بعد وصوله إلی المعدة،أمّا بعد القیء فإنّه یعدّ من القذارات العرفیة،و إنّما الوجه فی ذلک هو تنزّه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یصیر الحرام الواقعی جزءا من بدنه،بل الظاهر من الروایة أنّ البیض قد اشتراه الغلام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قامر به فی الطریق،فلا موضوع هنا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مالکا للبیض فیمکن أن یقال إنّ الأموال کلّها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أولی بالناس من أنفسهم،و یؤیّده ما دلّ علی أنّ الأرض و ما یخرج منها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هذین الوجهین فقیء الإمام البیض إنّما هو لئلاّ یکون ما اصیب بالقمار جزءا من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کان،فقد أورد المصنّف علی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کان تأثیره کذلک یشکل أکل المعصوم له جهلا،بناء علی عدم إقدامه علی المحرّمات الواقعیة غیر المتبدّلة بالعلم،لا جهلا و لا غفلة،لأنّ ما دلّ علی عدم جواز الغفلة علیه فی ترک الواجب و فعل الحرام دلّ علی عدم جواز الجهل علیه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الاعتراض علی الروایة مبنی علی کون علم الأئمّة بالموضوعات حاضرا عندهم من غیر توقّف علی الإرادة،و قد دلّت علیه جملة من الروایات </w:t>
      </w:r>
      <w:r>
        <w:rPr>
          <w:rStyle w:val="FootnoteAnchor"/>
          <w:rtl w:val="true"/>
        </w:rPr>
        <w:footnoteReference w:id="1153"/>
      </w:r>
      <w:r>
        <w:rPr>
          <w:rFonts w:ascii="IRNazanin" w:hAnsi="IRNazanin" w:eastAsia="IRNazanin"/>
          <w:color w:val="111111"/>
          <w:sz w:val="28"/>
          <w:sz w:val="28"/>
          <w:szCs w:val="28"/>
          <w:rtl w:val="true"/>
          <w:lang w:bidi="fa-IR"/>
        </w:rPr>
        <w:t>،کما أنّ علمهم بالأحکام کذلک</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أنّ علمهم بالموضوعات تابع لإرادتهم و اختیارهم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دلّت</w:t>
      </w:r>
      <w:bookmarkStart w:id="807" w:name="pg5064_65685"/>
    </w:p>
    <w:p>
      <w:pPr>
        <w:pStyle w:val="BookText"/>
        <w:rPr/>
      </w:pPr>
      <w:bookmarkEnd w:id="807"/>
      <w:r>
        <w:rPr>
          <w:rFonts w:ascii="IRNazanin" w:hAnsi="IRNazanin" w:eastAsia="IRNazanin"/>
          <w:color w:val="111111"/>
          <w:sz w:val="28"/>
          <w:sz w:val="28"/>
          <w:szCs w:val="28"/>
          <w:rtl w:val="true"/>
          <w:lang w:bidi="fa-IR"/>
        </w:rPr>
        <w:t xml:space="preserve">علیه جملة اخری من الروایات </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یتوجّه الإشکال علی الروایة،لإمکان صدور الفعل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قبل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أنّ البحث فی علم الإمام من المباحث الغامضة و الأولی ردّ علم ذلک إلی أهله،کما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الروایة المذکورة ضعیفة السند</w:t>
      </w:r>
      <w:r>
        <w:rPr>
          <w:rFonts w:eastAsia="IRNazanin" w:cs="IRNazanin"/>
          <w:color w:val="111111"/>
          <w:sz w:val="28"/>
          <w:szCs w:val="28"/>
          <w:rtl w:val="true"/>
          <w:lang w:bidi="fa-IR"/>
        </w:rPr>
        <w:t>.</w:t>
      </w:r>
    </w:p>
    <w:p>
      <w:pPr>
        <w:pStyle w:val="Heading3"/>
        <w:numPr>
          <w:ilvl w:val="2"/>
          <w:numId w:val="1"/>
        </w:numPr>
        <w:rPr/>
      </w:pPr>
      <w:bookmarkStart w:id="808" w:name="__RefHeading___Toc910524_774463916"/>
      <w:bookmarkStart w:id="809" w:name="_Toc296"/>
      <w:bookmarkEnd w:id="808"/>
      <w:r>
        <w:rPr>
          <w:rtl w:val="true"/>
        </w:rPr>
        <w:t>حکم المسابقة بغیر رهان فیما عدا الموارد المنصوصة</w:t>
      </w:r>
      <w:bookmarkEnd w:id="80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المغالبة بغیر عوض فی غیر ما نصّ علی جواز المسابقة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الأصحاب هو عدم جواز المسابقة بغیر رهان فیما عدا الموارد المنصوصة،کالمصارعة و حمل الأثقال و الجری علی الأقدام،و کالمسابقة علی السفن و البقر و الکلاب و الطیور،و المکث فی الماء،و حفظ الأخبار و الأشعار و رمی البنادق،و الوقوف علی رجل واحدة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ذهب بعض الأصحاب و جمع من العامّة </w:t>
      </w:r>
      <w:r>
        <w:rPr>
          <w:rStyle w:val="FootnoteAnchor"/>
          <w:rtl w:val="true"/>
        </w:rPr>
        <w:footnoteReference w:id="1155"/>
      </w:r>
      <w:r>
        <w:rPr>
          <w:rFonts w:ascii="IRNazanin" w:hAnsi="IRNazanin" w:eastAsia="IRNazanin"/>
          <w:color w:val="111111"/>
          <w:sz w:val="28"/>
          <w:sz w:val="28"/>
          <w:szCs w:val="28"/>
          <w:rtl w:val="true"/>
          <w:lang w:bidi="fa-IR"/>
        </w:rPr>
        <w:t>إلی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الحرمة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علیها،و قد ادّعاه غیر واحد من الأصحاب</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المحتمل القریب استناده إلی الوجوه الآتیة،فلیس هنا إجماع تعبّدی،و من هنا علّله بعض الأعاظم من الأصحاب بعموم النهی عن المسابقة إلاّ</w:t>
      </w:r>
    </w:p>
    <w:p>
      <w:pPr>
        <w:pStyle w:val="BookText"/>
        <w:rPr/>
      </w:pPr>
      <w:r>
        <w:rPr>
          <w:rFonts w:ascii="IRNazanin" w:hAnsi="IRNazanin" w:eastAsia="IRNazanin"/>
          <w:color w:val="111111"/>
          <w:sz w:val="28"/>
          <w:sz w:val="28"/>
          <w:szCs w:val="28"/>
          <w:rtl w:val="true"/>
          <w:lang w:bidi="fa-IR"/>
        </w:rPr>
        <w:t>فی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جملة من الأحادیث من نفی السبق إلاّ فی خفّ أو حافر أو نصل </w:t>
      </w:r>
      <w:r>
        <w:rPr>
          <w:rStyle w:val="FootnoteAnchor"/>
          <w:rtl w:val="true"/>
        </w:rPr>
        <w:footnoteReference w:id="1156"/>
      </w:r>
      <w:r>
        <w:rPr>
          <w:rFonts w:ascii="IRNazanin" w:hAnsi="IRNazanin" w:eastAsia="IRNazanin"/>
          <w:color w:val="111111"/>
          <w:sz w:val="28"/>
          <w:sz w:val="28"/>
          <w:szCs w:val="28"/>
          <w:rtl w:val="true"/>
          <w:lang w:bidi="fa-IR"/>
        </w:rPr>
        <w:t>بدعوی أنّ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لکلمة سبقه إلی کذا،أی تقدّمه و خلفه و غلبه علی کذا،فیراد من نفیه نفی مشروعیة المسابقة و المغالبة و إن لم یکن فیها رهان،فیکون مفاده کمفاد لا رهبانیة و لا نجش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إنّما یتم لو کان المذکور هو السبق بسکون الباء،و لم یثبت ذلک،بل فی المسالک أنّ قراءة الفتح هی المشهور </w:t>
      </w:r>
      <w:r>
        <w:rPr>
          <w:rStyle w:val="FootnoteAnchor"/>
          <w:rtl w:val="true"/>
        </w:rPr>
        <w:footnoteReference w:id="1157"/>
      </w:r>
      <w:r>
        <w:rPr>
          <w:rFonts w:ascii="IRNazanin" w:hAnsi="IRNazanin" w:eastAsia="IRNazanin"/>
          <w:color w:val="111111"/>
          <w:sz w:val="28"/>
          <w:sz w:val="28"/>
          <w:szCs w:val="28"/>
          <w:rtl w:val="true"/>
          <w:lang w:bidi="fa-IR"/>
        </w:rPr>
        <w:t>،و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العوض الذی یتراهن علیه المتسابقون،و علیه فلا تدلّ الروایة إلاّ علی تحریم المراهنة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غیر ظاهرة فی التحریم أیضا،لاحتمال إرادة فسادها،بل هو الأظهر،لأنّ نفی العوض ظاهر فی نفی استحقاقه،و إرادة نفی جواز العقد علیه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ثبوت قراءة الفتح فالروایة مجملة،فلا یجوز التمسّک بها إلاّ فی الموارد المتیقّنة،علی أنّها ضعیفة السند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أورد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قراءة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علی تقدیر السکون فکما</w:t>
      </w:r>
    </w:p>
    <w:p>
      <w:pPr>
        <w:pStyle w:val="BookText"/>
        <w:rPr/>
      </w:pPr>
      <w:r>
        <w:rPr>
          <w:rFonts w:ascii="IRNazanin" w:hAnsi="IRNazanin" w:eastAsia="IRNazanin"/>
          <w:color w:val="111111"/>
          <w:sz w:val="28"/>
          <w:sz w:val="28"/>
          <w:szCs w:val="28"/>
          <w:rtl w:val="true"/>
          <w:lang w:bidi="fa-IR"/>
        </w:rPr>
        <w:t>یحتمل نفی الجواز التکلیفی یحتمل نفی الصحّة،لوروده مورد الغالب من اشتمال المسابقة علی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المسابقة بدون المراهنة کثیرة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غلبة الوجود بمجرّدها لا توجب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مفهوم القمار صادق علی مطلق المغالبة و لو بدون العوض،کما یدلّ علیه ما تقدّم </w:t>
      </w:r>
      <w:r>
        <w:rPr>
          <w:rStyle w:val="FootnoteAnchor"/>
          <w:rtl w:val="true"/>
        </w:rPr>
        <w:footnoteReference w:id="1158"/>
      </w:r>
      <w:r>
        <w:rPr>
          <w:rFonts w:ascii="IRNazanin" w:hAnsi="IRNazanin" w:eastAsia="IRNazanin"/>
          <w:color w:val="111111"/>
          <w:sz w:val="28"/>
          <w:sz w:val="28"/>
          <w:szCs w:val="28"/>
          <w:rtl w:val="true"/>
          <w:lang w:bidi="fa-IR"/>
        </w:rPr>
        <w:t>فی بعض الروایات من تسمیة اللعب بالشطرنج بدون المراهنة قمارا،و علیه فتشمله الإطلاقات الدالّة علی حرمة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فیما سبق آنفا أنّ الرهان مأخوذ فی مفهوم القمار،سواء کان اللعب بالآلات المعدّة له أم لا،فالمسابقة بغیر المراهنة خارجة عن القمار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القمار علیها أحیانا لا یدلّ علی الحقیقة،فإنّه أعمّ من الحقیقة و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حرمة اللعب بالنرد و الشطرنج من جهة الأدلّة الخاصّة،لا من جهة صدق مفهوم القمار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 إطلاق القمار علی المسابقة الخالیة عن العوض علی سبیل الحقیقة فإنّ السیرة القطعیة قائمة علی جوازها،کالسباحة و المصارعة و المکاتبة و المشاعرة و غیرها،خصوصا إذا کان الفعل أمرا قریبا،کبناء المساجد و القناطر و المدارس،فإنّ فی ذلک فلیتنافس المتنافسون</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علّل تحریم اللعب بالنرد و الشطرنج فی بعض الأخبار المتقدّمة </w:t>
      </w:r>
      <w:r>
        <w:rPr>
          <w:rStyle w:val="FootnoteAnchor"/>
          <w:rtl w:val="true"/>
        </w:rPr>
        <w:footnoteReference w:id="1159"/>
      </w:r>
      <w:r>
        <w:rPr>
          <w:rFonts w:ascii="IRNazanin" w:hAnsi="IRNazanin" w:eastAsia="IRNazanin"/>
          <w:color w:val="111111"/>
          <w:sz w:val="28"/>
          <w:sz w:val="28"/>
          <w:szCs w:val="28"/>
          <w:rtl w:val="true"/>
          <w:lang w:bidi="fa-IR"/>
        </w:rPr>
        <w:t>بأنّه من اللهو و الباطل،و هو جار فیما نحن فیه أیضا،بل ورد من طرق</w:t>
      </w:r>
      <w:bookmarkStart w:id="810" w:name="pg5064_65688"/>
    </w:p>
    <w:p>
      <w:pPr>
        <w:pStyle w:val="BookText"/>
        <w:rPr/>
      </w:pPr>
      <w:bookmarkEnd w:id="810"/>
      <w:r>
        <w:rPr>
          <w:rFonts w:ascii="IRNazanin" w:hAnsi="IRNazanin" w:eastAsia="IRNazanin"/>
          <w:color w:val="111111"/>
          <w:sz w:val="28"/>
          <w:sz w:val="28"/>
          <w:szCs w:val="28"/>
          <w:rtl w:val="true"/>
          <w:lang w:bidi="fa-IR"/>
        </w:rPr>
        <w:t>الخاصّة و العامّة أنّ کل لهو المؤمن باطل إلاّ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الحاشیة </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بإطلاقه شامل للمقام،و قد تقدّم أیضا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ألهی عن ذکر اللّه فهو من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المسابقة و إن کانت بغیر عوض تلهی عن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دلیل علی حرمة مطلق اللهو کما عرفت و ستعرفه فی البحث عن حرمة اللهو </w:t>
      </w:r>
      <w:r>
        <w:rPr>
          <w:rStyle w:val="FootnoteAnchor"/>
          <w:rtl w:val="true"/>
        </w:rPr>
        <w:footnoteReference w:id="1161"/>
      </w:r>
      <w:r>
        <w:rPr>
          <w:rFonts w:ascii="IRNazanin" w:hAnsi="IRNazanin" w:eastAsia="IRNazanin"/>
          <w:color w:val="111111"/>
          <w:sz w:val="28"/>
          <w:sz w:val="28"/>
          <w:szCs w:val="28"/>
          <w:rtl w:val="true"/>
          <w:lang w:bidi="fa-IR"/>
        </w:rPr>
        <w:t>فإنّ کثیرا من الأمور لهو و هو لیس بحرام،کاللعب بالأحجار و الأشجار و السبحة و اللحیة و أزرار الثوب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ملازمة بین ما نحن فیه و بین اللهو،فإنّ النسبة بینهما هی العموم من وجه،إذ کثیرا ما تکون المسابقة للأغراض العقلائیة من تربیة البدن و معالجته و التنزّه و التفریح کما هو واضح</w:t>
      </w:r>
      <w:r>
        <w:rPr>
          <w:rFonts w:eastAsia="IRNazanin" w:cs="IRNazanin"/>
          <w:color w:val="111111"/>
          <w:sz w:val="28"/>
          <w:szCs w:val="28"/>
          <w:rtl w:val="true"/>
          <w:lang w:bidi="fa-IR"/>
        </w:rPr>
        <w:t>.</w:t>
      </w:r>
    </w:p>
    <w:p>
      <w:pPr>
        <w:pStyle w:val="Heading3"/>
        <w:numPr>
          <w:ilvl w:val="2"/>
          <w:numId w:val="1"/>
        </w:numPr>
        <w:rPr/>
      </w:pPr>
      <w:bookmarkStart w:id="811" w:name="__RefHeading___Toc910526_774463916"/>
      <w:bookmarkStart w:id="812" w:name="_Toc297"/>
      <w:bookmarkEnd w:id="811"/>
      <w:r>
        <w:rPr>
          <w:rtl w:val="true"/>
        </w:rPr>
        <w:t>حرمة القیادة</w:t>
      </w:r>
      <w:bookmarkEnd w:id="81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القیادة حرام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فی اللغة </w:t>
      </w:r>
      <w:r>
        <w:rPr>
          <w:rStyle w:val="FootnoteAnchor"/>
          <w:rtl w:val="true"/>
        </w:rPr>
        <w:footnoteReference w:id="1163"/>
      </w:r>
      <w:r>
        <w:rPr>
          <w:rFonts w:ascii="IRNazanin" w:hAnsi="IRNazanin" w:eastAsia="IRNazanin"/>
          <w:color w:val="111111"/>
          <w:sz w:val="28"/>
          <w:sz w:val="28"/>
          <w:szCs w:val="28"/>
          <w:rtl w:val="true"/>
          <w:lang w:bidi="fa-IR"/>
        </w:rPr>
        <w:t>السعی بین الشخصین لجمعهما علی الوطی المحرّم،و قد یعبّر عنها بکلمة الدیاثة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حرمتها وضعا و تکلیفا،بل ذلک من ضروریات الإسلام،و هی من الکبائر الموبقة و الجرائم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الشیخ الورّام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جبرئیل قال</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اطّلعت علی النار فرأیت فی جهنّم وادیا یغلی،فقلت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لمن هذا؟فقال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المحتکرین،و المدمنین للخمر،و القوّادین</w:t>
      </w:r>
      <w:r>
        <w:rPr>
          <w:rFonts w:eastAsia="IRNazanin" w:cs="IRNazanin"/>
          <w:color w:val="111111"/>
          <w:sz w:val="28"/>
          <w:szCs w:val="28"/>
          <w:rtl w:val="true"/>
          <w:lang w:bidi="fa-IR"/>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فی روایة سعد الإسکاف و غیرها </w:t>
      </w:r>
      <w:r>
        <w:rPr>
          <w:rStyle w:val="FootnoteAnchor"/>
          <w:rtl w:val="true"/>
        </w:rPr>
        <w:footnoteReference w:id="1165"/>
      </w:r>
      <w:r>
        <w:rPr>
          <w:rFonts w:ascii="IRNazanin" w:hAnsi="IRNazanin" w:eastAsia="IRNazanin"/>
          <w:color w:val="111111"/>
          <w:sz w:val="28"/>
          <w:sz w:val="28"/>
          <w:szCs w:val="28"/>
          <w:rtl w:val="true"/>
          <w:lang w:bidi="fa-IR"/>
        </w:rPr>
        <w:t>تفسیر الواصلة و المستوصلة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سنان عن حدّ القوّاد؟قال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ثلاثة أرباع حدّ الزانی خمسة و سبعین سوطا،و ینفی من المصر الذی هو فیه</w:t>
      </w:r>
      <w:r>
        <w:rPr>
          <w:rFonts w:eastAsia="IRNazanin" w:cs="IRNazanin"/>
          <w:color w:val="111111"/>
          <w:sz w:val="28"/>
          <w:szCs w:val="28"/>
          <w:rtl w:val="true"/>
          <w:lang w:bidi="fa-IR"/>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عاق،و لا منّان،و لا دیّوث</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التی کانت تحرق وجهها و بدنها و هی تجر أمعاءها فإنّها کانت قوّادة</w:t>
      </w:r>
      <w:r>
        <w:rPr>
          <w:rFonts w:eastAsia="IRNazanin" w:cs="IRNazanin"/>
          <w:color w:val="111111"/>
          <w:sz w:val="28"/>
          <w:szCs w:val="28"/>
          <w:rtl w:val="true"/>
          <w:lang w:bidi="fa-IR"/>
        </w:rPr>
        <w:t xml:space="preserve">» </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اللعن و التوعید علی القوّاد فی بعض الأحادیث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bookmarkStart w:id="813" w:name="pg5064_65690"/>
    </w:p>
    <w:p>
      <w:pPr>
        <w:pStyle w:val="Heading3"/>
        <w:numPr>
          <w:ilvl w:val="2"/>
          <w:numId w:val="1"/>
        </w:numPr>
        <w:rPr/>
      </w:pPr>
      <w:bookmarkStart w:id="814" w:name="__RefHeading___Toc910528_774463916"/>
      <w:bookmarkStart w:id="815" w:name="_Toc298"/>
      <w:bookmarkEnd w:id="813"/>
      <w:bookmarkEnd w:id="814"/>
      <w:r>
        <w:rPr>
          <w:rtl w:val="true"/>
        </w:rPr>
        <w:t>حرمة إتیان القائف و ترتیب الأثر علی قوله</w:t>
      </w:r>
      <w:bookmarkEnd w:id="81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القیافة حرام فی الجملة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القیافة فی اللغة </w:t>
      </w:r>
      <w:r>
        <w:rPr>
          <w:rStyle w:val="FootnoteAnchor"/>
          <w:rtl w:val="true"/>
        </w:rPr>
        <w:footnoteReference w:id="1171"/>
      </w:r>
      <w:r>
        <w:rPr>
          <w:rFonts w:ascii="IRNazanin" w:hAnsi="IRNazanin" w:eastAsia="IRNazanin"/>
          <w:color w:val="111111"/>
          <w:sz w:val="28"/>
          <w:sz w:val="28"/>
          <w:szCs w:val="28"/>
          <w:rtl w:val="true"/>
          <w:lang w:bidi="fa-IR"/>
        </w:rPr>
        <w:t>معرفة الآثار،و شبه الرجل بأخیه و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شبهة فی جواز تحصیل العلم أو الظنّ بأنساب الأشخاص بعلم القیافة و بقول القافة،و لم یرد فی الشریعة المقدّسة ما یدلّ علی حرمة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حرمة إتیان العرّاف و القائف لا مساس له بهذه الصورة،و إنّما المراد منه حرمة العمل بقول القافة و ترتیب الأثر علیه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فی الحرمة و الجواز فی هذه الصورة یرجع إلی الاصول العملیة</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شبهة فی حرمة الرجوع إلی القائف و ترتیب الآثار علی قوله،و فی الکفایة لا أعرف فیها الخلاف </w:t>
      </w:r>
      <w:r>
        <w:rPr>
          <w:rStyle w:val="FootnoteAnchor"/>
          <w:rtl w:val="true"/>
        </w:rPr>
        <w:footnoteReference w:id="1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المنتهی الإجماع علی ذلک </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لأکثر العامّة </w:t>
      </w:r>
      <w:r>
        <w:rPr>
          <w:rStyle w:val="FootnoteAnchor"/>
          <w:rtl w:val="true"/>
        </w:rPr>
        <w:footnoteReference w:id="1174"/>
      </w:r>
      <w:r>
        <w:rPr>
          <w:rFonts w:ascii="IRNazanin" w:hAnsi="IRNazanin" w:eastAsia="IRNazanin"/>
          <w:color w:val="111111"/>
          <w:sz w:val="28"/>
          <w:sz w:val="28"/>
          <w:szCs w:val="28"/>
          <w:rtl w:val="true"/>
          <w:lang w:bidi="fa-IR"/>
        </w:rPr>
        <w:t>فإنّهم جوّزوا العمل بقول القافة،استنادا إلی جملة من الروایات الواردة</w:t>
      </w:r>
    </w:p>
    <w:p>
      <w:pPr>
        <w:pStyle w:val="BookText"/>
        <w:rPr/>
      </w:pPr>
      <w:r>
        <w:rPr>
          <w:rFonts w:ascii="IRNazanin" w:hAnsi="IRNazanin" w:eastAsia="IRNazanin"/>
          <w:color w:val="111111"/>
          <w:sz w:val="28"/>
          <w:sz w:val="28"/>
          <w:szCs w:val="28"/>
          <w:rtl w:val="true"/>
          <w:lang w:bidi="fa-IR"/>
        </w:rPr>
        <w:t>من طرقهم،و سنشیر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حرمة العمل بقول القافة الآیات الدالّة علی حرمة العمل بغیر علم و علی حرمة اتّباع الظنون،و أنّها لا تغنی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هذه الآیات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نفی النسب عن شخص أو إلحاقه به بالاستحسانات الحاصلة من ملاحظة أعضاء البدن علی النحو الذی تقرّر فی علم القیافة لا یتّفق و القواعد الشرعیة،فإنّه هدم لأحکام الإرث المترتّبة علی التوالد الشرعی،و أیضا قد ثبت فی الشریعة أنّ الولد للفراش،بل هو من القواعد المسلّمة بین الفریقین،و العمل بالقیافة ینافیها فی کثیر من الموارد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إلی ما ذکرناه أنّ النسب إذا لم تقم علی ثبوته أمارة شرعیة فإنّ الاستصحاب یقتضی نفیه،و لا یجوز رفع الید عنه إلاّ بالأمارات المعتبرة شرعا و لیست القیافة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ورد فی أحادیث العامّة </w:t>
      </w:r>
      <w:r>
        <w:rPr>
          <w:rStyle w:val="FootnoteAnchor"/>
          <w:rtl w:val="true"/>
        </w:rPr>
        <w:footnoteReference w:id="1176"/>
      </w:r>
      <w:r>
        <w:rPr>
          <w:rFonts w:ascii="IRNazanin" w:hAnsi="IRNazanin" w:eastAsia="IRNazanin"/>
          <w:color w:val="111111"/>
          <w:sz w:val="28"/>
          <w:sz w:val="28"/>
          <w:szCs w:val="28"/>
          <w:rtl w:val="true"/>
          <w:lang w:bidi="fa-IR"/>
        </w:rPr>
        <w:t xml:space="preserve">من العمل بقول القافة فلا یصلح أن یکون رافعا للاستصحاب،فإنّه مضافا إلی ضعف السند فیها أنّه مناف لما ورد فی المنع عن العمل بعلم القیافة فی بعض أحادیث الشیعة </w:t>
      </w:r>
      <w:r>
        <w:rPr>
          <w:rStyle w:val="FootnoteAnchor"/>
          <w:rtl w:val="true"/>
        </w:rPr>
        <w:footnoteReference w:id="1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الجعفریات </w:t>
      </w:r>
      <w:r>
        <w:rPr>
          <w:rStyle w:val="FootnoteAnchor"/>
          <w:rtl w:val="true"/>
        </w:rPr>
        <w:footnoteReference w:id="1178"/>
      </w:r>
      <w:r>
        <w:rPr>
          <w:rFonts w:ascii="IRNazanin" w:hAnsi="IRNazanin" w:eastAsia="IRNazanin"/>
          <w:color w:val="111111"/>
          <w:sz w:val="28"/>
          <w:sz w:val="28"/>
          <w:szCs w:val="28"/>
          <w:rtl w:val="true"/>
          <w:lang w:bidi="fa-IR"/>
        </w:rPr>
        <w:t>جعل من السحت أجر القافی</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استشهد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العمل بقول القافة بروایة زکریا</w:t>
      </w:r>
    </w:p>
    <w:p>
      <w:pPr>
        <w:pStyle w:val="BookText"/>
        <w:rPr/>
      </w:pPr>
      <w:r>
        <w:rPr>
          <w:rFonts w:ascii="IRNazanin" w:hAnsi="IRNazanin" w:eastAsia="IRNazanin"/>
          <w:color w:val="111111"/>
          <w:sz w:val="28"/>
          <w:sz w:val="28"/>
          <w:szCs w:val="28"/>
          <w:rtl w:val="true"/>
          <w:lang w:bidi="fa-IR"/>
        </w:rPr>
        <w:t xml:space="preserve">ابن یحیی </w:t>
      </w:r>
      <w:r>
        <w:rPr>
          <w:rStyle w:val="FootnoteAnchor"/>
          <w:rtl w:val="true"/>
        </w:rPr>
        <w:footnoteReference w:id="1179"/>
      </w:r>
      <w:r>
        <w:rPr>
          <w:rFonts w:ascii="IRNazanin" w:hAnsi="IRNazanin" w:eastAsia="IRNazanin"/>
          <w:color w:val="111111"/>
          <w:sz w:val="28"/>
          <w:sz w:val="28"/>
          <w:szCs w:val="28"/>
          <w:rtl w:val="true"/>
          <w:lang w:bidi="fa-IR"/>
        </w:rPr>
        <w:t>الواردة فی قصّة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إثبات بنوّة ابنه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إمامته بالرجوع إلی القافة،حیث زعموا ما کان فینا إمام قطّ حائل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 نجد فی الروایة ما یستشهد به لذلک،بل الظاهر منها أنّ الشیعة أیضا کانوا یعتقدون بقضاء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القافة،و 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ینکر علیهم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یرد علی الروایة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مخالفة لضرورة المذهب،فإنّها اشتملت علی عرض أخوات الإمام و عمّاته علی القافة،و هو حرام لا یصدر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أنّ ذلک من جهة الاضطرار و هو یبیح المحظورات توهّم فاسد،إذ لم تتوقّف معرفة بنوّة الجواد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إحضار النساء</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الجماعة الذین بغوا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لینفوا بنوّة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لو کانوا معتقدین بإمامة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احتاجوا إلی القافة بعد إخباره بالبنوّة</w:t>
      </w:r>
      <w:r>
        <w:rPr>
          <w:rFonts w:eastAsia="IRNazanin" w:cs="IRNazanin"/>
          <w:color w:val="111111"/>
          <w:sz w:val="28"/>
          <w:szCs w:val="28"/>
          <w:rtl w:val="true"/>
          <w:lang w:bidi="fa-IR"/>
        </w:rPr>
        <w:t>.</w:t>
      </w:r>
      <w:bookmarkStart w:id="816" w:name="pg5064_65694"/>
    </w:p>
    <w:p>
      <w:pPr>
        <w:pStyle w:val="Heading3"/>
        <w:numPr>
          <w:ilvl w:val="2"/>
          <w:numId w:val="1"/>
        </w:numPr>
        <w:rPr/>
      </w:pPr>
      <w:bookmarkStart w:id="817" w:name="__RefHeading___Toc910530_774463916"/>
      <w:bookmarkStart w:id="818" w:name="_Toc299"/>
      <w:bookmarkEnd w:id="816"/>
      <w:bookmarkEnd w:id="817"/>
      <w:r>
        <w:rPr>
          <w:rtl w:val="true"/>
        </w:rPr>
        <w:t>حرمة الکذب</w:t>
      </w:r>
      <w:bookmarkEnd w:id="818"/>
    </w:p>
    <w:p>
      <w:pPr>
        <w:pStyle w:val="Heading4"/>
        <w:numPr>
          <w:ilvl w:val="3"/>
          <w:numId w:val="1"/>
        </w:numPr>
        <w:rPr/>
      </w:pPr>
      <w:bookmarkStart w:id="819" w:name="__RefHeading___Toc910532_774463916"/>
      <w:bookmarkStart w:id="820" w:name="_Toc300"/>
      <w:bookmarkEnd w:id="819"/>
      <w:r>
        <w:rPr>
          <w:rtl w:val="true"/>
        </w:rPr>
        <w:t>اشارة</w:t>
      </w:r>
      <w:bookmarkEnd w:id="82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الکذب حرام بضرورة العقول و الأدیان،و یدلّ علیه الأدلّة الأربعة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حرمة الکذب،فإنّه من قبائح الذنوب،و فواحش العیوب بل هو مفتاح الشرور،و رأس الفجور،و من أشدّ الجرائم،و أکبر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حرمته من ضروریات مذهب الإسلام،بل جمیع الأدیان،و قد استدلّ علیها المصنّف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الکتاب و السنّة الواردة لدی الخاصّة </w:t>
      </w:r>
      <w:r>
        <w:rPr>
          <w:rStyle w:val="FootnoteAnchor"/>
          <w:rtl w:val="true"/>
        </w:rPr>
        <w:footnoteReference w:id="1181"/>
      </w:r>
      <w:r>
        <w:rPr>
          <w:rFonts w:ascii="Amiri" w:hAnsi="Amiri" w:eastAsia="Amiri" w:cs="Amiri"/>
          <w:color w:val="111111"/>
          <w:sz w:val="28"/>
          <w:sz w:val="28"/>
          <w:szCs w:val="28"/>
          <w:rtl w:val="true"/>
          <w:lang w:bidi="ar-SA"/>
        </w:rPr>
        <w:t xml:space="preserve">و العامّة </w:t>
      </w:r>
      <w:r>
        <w:rPr>
          <w:rStyle w:val="FootnoteAnchor"/>
          <w:rtl w:val="true"/>
        </w:rPr>
        <w:footnoteReference w:id="1182"/>
      </w:r>
      <w:r>
        <w:rPr>
          <w:rFonts w:ascii="IRNazanin" w:hAnsi="IRNazanin" w:eastAsia="IRNazanin"/>
          <w:color w:val="111111"/>
          <w:sz w:val="28"/>
          <w:sz w:val="28"/>
          <w:szCs w:val="28"/>
          <w:rtl w:val="true"/>
          <w:lang w:bidi="fa-IR"/>
        </w:rPr>
        <w:t>فی ذلک فذکرهما ممّا لا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الإجماع فمن المحتمل القریب بل المقطوع به أنه مستند إلی الکتاب و السنّة،فلا یکون هنا إجماع تعبّدی،کما هو واضح</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العقل فإنّه لا یحکم بحرمة الکذب بعنوانه الأوّلی مع قطع النظر عن ترتّب المفسدة و المضرّة علیه،و کیف یحکم العقل بقبح الإخبار بالأخبار الکاذبة التی لا تترتّب علیها مفسدة دنیویة أو اخرویة،نعم إذا ترتّب علیه شیء من تلک المفاسد،کقتل النفوس المحترمة،و هتک الأعراض المحترمة،و نهب الأموال،أو إیذاء الناس و ظلمهم،و نحوها من العناوین المحرّمة،فإنّ ذلک محرّم بضرورة العقل و لکنّه لا یختصّ بالکذب،بل یجری فی کل ما استلزم شیئا من الامور المذکورة و لو کان صدقا</w:t>
      </w:r>
      <w:r>
        <w:rPr>
          <w:rFonts w:eastAsia="IRNazanin" w:cs="IRNazanin"/>
          <w:color w:val="111111"/>
          <w:sz w:val="28"/>
          <w:szCs w:val="28"/>
          <w:rtl w:val="true"/>
          <w:lang w:bidi="fa-IR"/>
        </w:rPr>
        <w:t>.</w:t>
      </w:r>
      <w:bookmarkStart w:id="821" w:name="pg5064_65695"/>
    </w:p>
    <w:p>
      <w:pPr>
        <w:pStyle w:val="Heading4"/>
        <w:numPr>
          <w:ilvl w:val="3"/>
          <w:numId w:val="1"/>
        </w:numPr>
        <w:rPr/>
      </w:pPr>
      <w:bookmarkStart w:id="822" w:name="__RefHeading___Toc910534_774463916"/>
      <w:bookmarkStart w:id="823" w:name="_Toc301"/>
      <w:bookmarkEnd w:id="821"/>
      <w:bookmarkEnd w:id="822"/>
      <w:r>
        <w:rPr>
          <w:rtl w:val="true"/>
        </w:rPr>
        <w:t>الکذب من الکبائر</w:t>
      </w:r>
      <w:bookmarkEnd w:id="82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فی مبحث الغیبة </w:t>
      </w:r>
      <w:r>
        <w:rPr>
          <w:rStyle w:val="FootnoteAnchor"/>
          <w:rtl w:val="true"/>
        </w:rPr>
        <w:footnoteReference w:id="1183"/>
      </w:r>
      <w:r>
        <w:rPr>
          <w:rFonts w:ascii="IRNazanin" w:hAnsi="IRNazanin" w:eastAsia="IRNazanin"/>
          <w:color w:val="111111"/>
          <w:sz w:val="28"/>
          <w:sz w:val="28"/>
          <w:szCs w:val="28"/>
          <w:rtl w:val="true"/>
          <w:lang w:bidi="fa-IR"/>
        </w:rPr>
        <w:t>تحقیق الحال فی کون معصیة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المصنّف علی کون الکذب من الکبائر فی الجملة بعدّة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روایتا الأعمش و عیون الأخبار </w:t>
      </w:r>
      <w:r>
        <w:rPr>
          <w:rStyle w:val="FootnoteAnchor"/>
          <w:rtl w:val="true"/>
        </w:rPr>
        <w:footnoteReference w:id="1184"/>
      </w:r>
      <w:r>
        <w:rPr>
          <w:rFonts w:ascii="IRNazanin" w:hAnsi="IRNazanin" w:eastAsia="IRNazanin"/>
          <w:color w:val="111111"/>
          <w:sz w:val="28"/>
          <w:sz w:val="28"/>
          <w:szCs w:val="28"/>
          <w:rtl w:val="true"/>
          <w:lang w:bidi="fa-IR"/>
        </w:rPr>
        <w:t>حیث جعل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من الکبائر فی هاتین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أنّهما و إن کانتا ظاهرتین فی المقصود و لکنّهما ضعیفتا السند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عثمان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للشر أقفالا،و جعل مفاتیح تلک الأقفال الشراب،و الکذب شرّ من الشراب</w:t>
      </w:r>
      <w:r>
        <w:rPr>
          <w:rFonts w:eastAsia="IRNazanin" w:cs="IRNazanin"/>
          <w:color w:val="111111"/>
          <w:sz w:val="28"/>
          <w:szCs w:val="28"/>
          <w:rtl w:val="true"/>
          <w:lang w:bidi="fa-IR"/>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مخالفة للضرورة،إذ لا یلتزم فقیه بل و لا متفقّه بأنّ جمیع أفراد الکذب شرّ من شرب الخمر،فإذا دار الأمر فی مقام الاضطرار بین ارتکاب طبیعی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بأن یقول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فلان مائة سنة مع أنّه ابن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شرب الخمر فلا یحتمل أحد ترجیح شرب</w:t>
      </w:r>
    </w:p>
    <w:p>
      <w:pPr>
        <w:pStyle w:val="BookText"/>
        <w:rPr/>
      </w:pPr>
      <w:r>
        <w:rPr>
          <w:rFonts w:ascii="IRNazanin" w:hAnsi="IRNazanin" w:eastAsia="IRNazanin"/>
          <w:color w:val="111111"/>
          <w:sz w:val="28"/>
          <w:sz w:val="28"/>
          <w:szCs w:val="28"/>
          <w:rtl w:val="true"/>
          <w:lang w:bidi="fa-IR"/>
        </w:rPr>
        <w:t>الخمر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ذکرناه ظهر الجواب عمّا دلّ علی أنّ المؤمن إذا کذب بغیر عذر کتب اللّه علیه بتلک الکذبة سبعین زنیة أهونها کمن یزنی مع امّه </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الزنا بالامّ من أکبر الکبائر،فکذلک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هذه الروایة أیضا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یضاف إلی ذلک ما ذکرناه فی مبحث الغیبة </w:t>
      </w:r>
      <w:r>
        <w:rPr>
          <w:rStyle w:val="FootnoteAnchor"/>
          <w:rtl w:val="true"/>
        </w:rPr>
        <w:footnoteReference w:id="1188"/>
      </w:r>
      <w:r>
        <w:rPr>
          <w:rFonts w:ascii="IRNazanin" w:hAnsi="IRNazanin" w:eastAsia="IRNazanin"/>
          <w:color w:val="111111"/>
          <w:sz w:val="28"/>
          <w:sz w:val="28"/>
          <w:szCs w:val="28"/>
          <w:rtl w:val="true"/>
          <w:lang w:bidi="fa-IR"/>
        </w:rPr>
        <w:t>،و هو أنّ کل واحد من الذنوب مشتمل غالبا علی خصوصیة لا توجد فی غیره،و کونه أشدّ من غیره فی هذه الخصوصیة لا یستلزم کونه أشدّ منه فی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بعض أفراد الکذب أشدّ من شرب الخمر و الزنا،کالکذب علی اللّه،و علی رسوله،و کالکذب لقتل النفس المحترمة،و لإثارة الفتنة و نحوها،و لا مضایقة فی جعله حینئذ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الخبائث کلّها فی بیت و جعل مفتاحها الکذب</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بدعوی أنّ ما یکون مفتاحا للخبائث کلّها لا بدّ و أن یکون کبیرة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ملازمة بین کون الشیء مفتاحا للخبائث و بین کونه معصیة،فضلا عن کونه من الکبائر،فإنّه قد یکون الشیء غیر محرّم و مع ذلک یکون مفتاحا للحرام،کالشبهات و مقدّمات الحرام و علیه فشأن هذه الروایة شأن الروایات الآمرة بالاجتناب عن الشبهات،فهی غیر دالّة علی حرمة الکذب فضلا عن کونه من الکبائر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الاستدلال علی کونه من الکبائر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بِآیاتِ اللّهِ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الدلالة أنّه تعالی جعل الکاذب غیر مؤمن بآیات اللّه کافرا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و إن کانت ظاهرة الدلالة علی کون الکذب المذکور فیها من الکبائر،و لکنّ الظاهر من ملاحظة الآیة و ما قبلها أنّ المراد بالکاذبین فی الآیة الشریفة هم الذین یفترون علی اللّه و علی رسوله فی آیات اللّه،کالیهود و المشرکین لزعمهم أنّ 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من تلقاء نفسه و مفتریات شخصه و قد ردّ اللّه کلامهم علیهم بقوله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یَفْتَرِی الْکَذِبَ و علی هذا فالکذّابون المذکورون فی الآیة لم یؤمنوا باللّه و برسوله و بالمعاد من الأول،لا أنّ الکذب أوجب خروجهم عن الإیمان لکی تدلّ الآیة علی مقصد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 الکبائر من غیر فرق بین أن یترتّب علی الخبر الکاذب مفسدة و أن لا یترتّب علیه شیء أصلا</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المصنّف تبعا لظاهر الفاضلین </w:t>
      </w:r>
      <w:r>
        <w:rPr>
          <w:rStyle w:val="FootnoteAnchor"/>
          <w:rtl w:val="true"/>
        </w:rPr>
        <w:footnoteReference w:id="1191"/>
      </w:r>
      <w:r>
        <w:rPr>
          <w:rFonts w:ascii="IRNazanin" w:hAnsi="IRNazanin" w:eastAsia="IRNazanin"/>
          <w:color w:val="111111"/>
          <w:sz w:val="28"/>
          <w:sz w:val="28"/>
          <w:szCs w:val="28"/>
          <w:rtl w:val="true"/>
          <w:lang w:bidi="fa-IR"/>
        </w:rPr>
        <w:t xml:space="preserve">و الشهید الثانی </w:t>
      </w:r>
      <w:r>
        <w:rPr>
          <w:rStyle w:val="FootnoteAnchor"/>
          <w:rtl w:val="true"/>
        </w:rPr>
        <w:footnoteReference w:id="1192"/>
      </w:r>
      <w:r>
        <w:rPr>
          <w:rFonts w:ascii="IRNazanin" w:hAnsi="IRNazanin" w:eastAsia="IRNazanin"/>
          <w:color w:val="111111"/>
          <w:sz w:val="28"/>
          <w:sz w:val="28"/>
          <w:szCs w:val="28"/>
          <w:rtl w:val="true"/>
          <w:lang w:bidi="fa-IR"/>
        </w:rPr>
        <w:t>إلی أنّ الکذب مطلقا من الکبائر،سواء ترتّبت علیه مفسدة أم لا،و استند فی رأیه هذا إلی الإطلاقات المتقدّمة التی استدلّ بها علی کون الکذب من الکبائر،ثم أیّده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وصیته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للذی یحدّث</w:t>
      </w:r>
    </w:p>
    <w:p>
      <w:pPr>
        <w:pStyle w:val="BookText"/>
        <w:rPr/>
      </w:pPr>
      <w:r>
        <w:rPr>
          <w:rFonts w:ascii="IRNazanin" w:hAnsi="IRNazanin" w:eastAsia="IRNazanin"/>
          <w:color w:val="111111"/>
          <w:sz w:val="28"/>
          <w:sz w:val="28"/>
          <w:szCs w:val="28"/>
          <w:rtl w:val="true"/>
          <w:lang w:bidi="fa-IR"/>
        </w:rPr>
        <w:t>فیکذب لیضحک به القوم،ویل له،ویل له،ویل له</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بدعوی أنّ الأکاذیب المضحکة لا یترتّب علیها الإلقاء فی المفسدة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جعلها من المؤیّدات ما ذکره المصنّف فی مبحث الکبائر من رسالته فی العدالة </w:t>
      </w:r>
      <w:r>
        <w:rPr>
          <w:rStyle w:val="FootnoteAnchor"/>
          <w:rtl w:val="true"/>
        </w:rPr>
        <w:footnoteReference w:id="1194"/>
      </w:r>
      <w:r>
        <w:rPr>
          <w:rFonts w:ascii="IRNazanin" w:hAnsi="IRNazanin" w:eastAsia="IRNazanin"/>
          <w:color w:val="111111"/>
          <w:sz w:val="28"/>
          <w:sz w:val="28"/>
          <w:szCs w:val="28"/>
          <w:rtl w:val="true"/>
          <w:lang w:bidi="fa-IR"/>
        </w:rPr>
        <w:t>و هو أنّ من الموازین التی تعدّ به الخطیئة کبیرة ورود النصّ المعتبر علی أنّها ممّا أوجب اللّه علیها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الوصیة المذکورة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الإطلاقات المتقدّمة لا تنهض لإثبات المطلوب،إمّا لضعف السند فیها،أو لضعف الدلالة،و کذلک الشأن فی روایة أبی ذرّ،فهی و إن کانت ظاهرة فی المقصود،و لکن قد عرفت أنّها ضعیفة السند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جعل الکذب مطلقا من الکبائر،بل المذکور فی روایة أبی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علی اللّه و علی رسوله و علی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الکبائر</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فإنّ الظاهر منها أنّها مسوقة للتحدید،و بیان أنّ الکذب الذی یعدّ کبیرة إنّما هو الکذب الخاص،و علیه فتقیّد بها المطلقات المتقدّمة الظاهرة فی کون الکذب بمطلقه من الکبائر،بناء علی صحّتها من حیث السند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روایة أبی خدیجة المذکورة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علیّ ما لم أقله فلیتبوّأ مقعده من النار</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فإنّ الظاهر منها أنّ الکذب علی الرسول من الکبائر،بناء علی تفسیر الکبیرة بما أوعد اللّه علیه النار فی الکتاب العزیز أو فی السنّة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فیدخل فیه الکذب علی اللّه و علی 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لملازمتهما للکذب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الأحادیث أنّ شهادة الزور و الیمین الغموس الکاذبة التی یتعمّدها صاحبها من الکبائر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یؤیّد أنّ الکذب لیس مطلقا من الکبائر ما ورد فی مرسلة سیف بن عمیرة من التحذیر عن الکذب الصغیر و الکبیر </w:t>
      </w:r>
      <w:r>
        <w:rPr>
          <w:rStyle w:val="FootnoteAnchor"/>
          <w:rtl w:val="true"/>
        </w:rPr>
        <w:footnoteReference w:id="1198"/>
      </w:r>
      <w:r>
        <w:rPr>
          <w:rFonts w:ascii="IRNazanin" w:hAnsi="IRNazanin" w:eastAsia="IRNazanin"/>
          <w:color w:val="111111"/>
          <w:sz w:val="28"/>
          <w:sz w:val="28"/>
          <w:szCs w:val="28"/>
          <w:rtl w:val="true"/>
          <w:lang w:bidi="fa-IR"/>
        </w:rPr>
        <w:t>،فإنّ انقسام الکذب إلی الصغیر و الکبیر یدلّ علی عدم کونه مطلقا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الروایة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ابن الحجّاج ما یشعر بعدم کون الکذب مطلقا من الکبائر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یهوّن الخطب ما تقدّمت الإشارة إلیه فی مبحث الغیبة من أنّه لا أثر لهذه المباحث،فإنّ الذنوب کلّها کبیرة و إن کان بعضها أکبر من بعض،و لذا</w:t>
      </w:r>
      <w:bookmarkStart w:id="824" w:name="pg5064_65700"/>
    </w:p>
    <w:p>
      <w:pPr>
        <w:pStyle w:val="BookText"/>
        <w:rPr/>
      </w:pPr>
      <w:bookmarkEnd w:id="824"/>
      <w:r>
        <w:rPr>
          <w:rFonts w:ascii="IRNazanin" w:hAnsi="IRNazanin" w:eastAsia="IRNazanin"/>
          <w:color w:val="111111"/>
          <w:sz w:val="28"/>
          <w:sz w:val="28"/>
          <w:szCs w:val="28"/>
          <w:rtl w:val="true"/>
          <w:lang w:bidi="fa-IR"/>
        </w:rPr>
        <w:t>اختلفت الأخبار فی تعدادها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انقسامها إلی الصغیرة و الکبیرة فإنّ جمیعها مضرّة بالعدالة،فإنّ العدالة هی الاستقامة و الاعتدال،فأیّ ذنب ارتکبه المکلّف فإنّه یوجب الخروج عنها</w:t>
      </w:r>
      <w:r>
        <w:rPr>
          <w:rFonts w:eastAsia="IRNazanin" w:cs="IRNazanin"/>
          <w:color w:val="111111"/>
          <w:sz w:val="28"/>
          <w:szCs w:val="28"/>
          <w:rtl w:val="true"/>
          <w:lang w:bidi="fa-IR"/>
        </w:rPr>
        <w:t>.</w:t>
      </w:r>
    </w:p>
    <w:p>
      <w:pPr>
        <w:pStyle w:val="Heading4"/>
        <w:numPr>
          <w:ilvl w:val="3"/>
          <w:numId w:val="1"/>
        </w:numPr>
        <w:rPr/>
      </w:pPr>
      <w:bookmarkStart w:id="825" w:name="__RefHeading___Toc910536_774463916"/>
      <w:bookmarkStart w:id="826" w:name="_Toc302"/>
      <w:bookmarkEnd w:id="825"/>
      <w:r>
        <w:rPr>
          <w:rtl w:val="true"/>
        </w:rPr>
        <w:t>حرمة الکذب فی الهزل و الجدّ</w:t>
      </w:r>
      <w:bookmarkEnd w:id="826"/>
    </w:p>
    <w:p>
      <w:pPr>
        <w:pStyle w:val="BookText"/>
        <w:rPr/>
      </w:pPr>
      <w:r>
        <w:rPr>
          <w:rFonts w:ascii="IRNazanin" w:hAnsi="IRNazanin" w:eastAsia="IRNazanin"/>
          <w:color w:val="111111"/>
          <w:sz w:val="28"/>
          <w:sz w:val="28"/>
          <w:szCs w:val="28"/>
          <w:rtl w:val="true"/>
          <w:lang w:bidi="fa-IR"/>
        </w:rPr>
        <w:t>هل یحرم الکذب مطلقا و إن کان صادرا بعنوان الهزل،أو تختصّ حرمته بالکذب الجدّی؟فنقول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المسوق للهزل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یکون الهازل بکذبه مخبرا عن الواقع،و لکن بداعی المزاح و الهزل،من دون أن یکون إخباره مطابقا للواقع،کأن یخبر أحدا بقدوم مسافر له أو حدوث حادث أو وصول حاجة لیغترّ المخاطب بقوله،فیرتّب علیه الأثر،فیضحک منه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شبهة فی کونه من الکذب،فإنّه عبارة عن الخبر غیر الموافق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الدواعی لا یخرجه عن واقعه و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فیکون مشمولا لما دلّ علی حرمة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الکلام بنفسه مصداقا للهزل،بحیث یقصد المتکلّم إنشاء بعض المعانی بداعی الهزل المحض،من غیر أن یقصد الحکایة عن واقع لیکون إخبارا،و لا یستند إلی داع آخر من دواعی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أن ینشئ المتکلّم وصفا لأحد من حضّار مجلسه بداعی الهزل،کإطلاق البطل علی الجبان،و الذکی علی الأبله،و العالم علی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دلیل علی حرمته مع نصب القرینة علیه کما استقر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الصدق و الکذب إنّما یتّصف بهما الخبر الّذی یحکی عن المخبر به،و قد عرفت أنّ الصادر عن الهازل فی المقام لیس إلاّ الإنشاء المحض،فیخرج عن حدود الخبر موضوعا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بالحرمة هنا أیضا،لإطلاق جملة من الروایات،منها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سیف</w:t>
      </w:r>
      <w:bookmarkStart w:id="827" w:name="pg5064_65701"/>
    </w:p>
    <w:p>
      <w:pPr>
        <w:pStyle w:val="BookText"/>
        <w:rPr/>
      </w:pPr>
      <w:bookmarkEnd w:id="827"/>
      <w:r>
        <w:rPr>
          <w:rFonts w:ascii="IRNazanin" w:hAnsi="IRNazanin" w:eastAsia="IRNazanin"/>
          <w:color w:val="111111"/>
          <w:sz w:val="28"/>
          <w:sz w:val="28"/>
          <w:szCs w:val="28"/>
          <w:rtl w:val="true"/>
          <w:lang w:bidi="fa-IR"/>
        </w:rPr>
        <w:t>المتقدّمة،فإنّها ظاهرة فی وجوب الاتّقاء عن صغیر الکذب و کبیره،فی الجدّ و الهزل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کونها ضعیفة السند،أنّ إنشاء الهزل خارج عن الکذب موضوعا کما عرفت،فلا یشمله ما دلّ علی حرمة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ظهر الجواب عن التمسّک بروایة أبی ذرّ المتقدّمة من إثبات الویل لمطلق الکاذب،کما ظهر الجواب عن روایة الحارث الأعور </w:t>
      </w:r>
      <w:r>
        <w:rPr>
          <w:rStyle w:val="FootnoteAnchor"/>
          <w:rtl w:val="true"/>
        </w:rPr>
        <w:footnoteReference w:id="1200"/>
      </w:r>
      <w:r>
        <w:rPr>
          <w:rFonts w:ascii="IRNazanin" w:hAnsi="IRNazanin" w:eastAsia="IRNazanin"/>
          <w:color w:val="111111"/>
          <w:sz w:val="28"/>
          <w:sz w:val="28"/>
          <w:szCs w:val="28"/>
          <w:rtl w:val="true"/>
          <w:lang w:bidi="fa-IR"/>
        </w:rPr>
        <w:t>،علی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ظاهرة فی الکراهة المصطلحة دون الحرمة،کما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الأصبغ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العبد طعم الإیمان حتّی یترک الکذب هزله و جدّه</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لا یستفاد منه أزید من الکراهة،فإنّ المکروهات مانعة أیضا عن وجدان المؤمن طعم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ظهر الجواب عن روایة الخصال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910538_774463916"/>
      <w:bookmarkStart w:id="829" w:name="_Toc303"/>
      <w:bookmarkEnd w:id="828"/>
      <w:r>
        <w:rPr>
          <w:rtl w:val="true"/>
        </w:rPr>
        <w:t>بیان حقیقة الوعد و أقسامه</w:t>
      </w:r>
      <w:bookmarkEnd w:id="82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کان،فالظاهر عدم دخول خلف الوعد فی الکذب</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بتوضیح حقیقة الوعد،و بیان حکم الخلف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حقیقة</w:t>
      </w:r>
    </w:p>
    <w:p>
      <w:pPr>
        <w:pStyle w:val="BookText"/>
        <w:rPr/>
      </w:pPr>
      <w:r>
        <w:rPr>
          <w:rFonts w:ascii="IRNazanin" w:hAnsi="IRNazanin" w:eastAsia="IRNazanin"/>
          <w:color w:val="111111"/>
          <w:sz w:val="28"/>
          <w:sz w:val="28"/>
          <w:szCs w:val="28"/>
          <w:rtl w:val="true"/>
          <w:lang w:bidi="fa-IR"/>
        </w:rPr>
        <w:t>الوعد فإنّه یتحقّق بأحد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 المتکلّم عن عزمه علی الوفاء بشیء،کأن یقول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عازم علی أن أعطیک درهما،أو إنّی ملتزم بالمجیء إلی ضیافتک،أو علی إعظامک و إکرامک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کون هذا من أفراد الخبر،غایة الأمر أنّ المخبر به من الأفعال النفسانیة،أعنی العزم علی الفعل الخارجی،نظیر الإخبار عن سائر الامور النفسانیة من العلم و الظنّ و الشکّ و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کان حین الإخبار عازما فهو صادق،و إلاّ فهو کاذب،فتشمله أدلّة حرمة الکذب،و یکون خارجا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ینشئ المتکلّم ما التزمه بنفس العلّة التی تکلّم بها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علیّ کذا درهما أو دینارا أو ثوبا،و نظیره صیغ النذر و العهد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مثل هذه الجمل إنشائیة محضة،فلا تتّصف بالصدق و لا بالکذب بالمعنی المتعارف،بل الصدق و الکذب فی ذلک بمعنی الوفاء بهذا الالتزام و عدم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 المتکلّم عن الوفاء بأمر مستقبل،کقوله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غدا،أو اعطیک درهما بعد ساعة،أو أدعوک إلی ضیافتی بعد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جمل خبریة بالحمل الشائع،و لکنّها مخبرة عن امور مستقبلة،کسائر الجمل الخبریة الحاکیة عن الحوادث الآتیة،کالإخبار عن قدوم المسافر غدا،و عن نزول الضیف یوم الجمعة و عن وقوع الحرب بین السلاطین بعد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اتّصاف هذا القسم من الوعد بالصدق و الکذب،فإنّها عبارة عن موافقة الخبر للواقع و عدم موافقته له من غیر فرق بین أنواع الخبر،و هو واضح</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حرمة الکذب هنا فإنّ تنجّزها یتوقّف علی عدم إحراز تحقّق المخبر به فی ظرفه،فیکون النهی عنه منجّزا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أحرز حین الإخبار تحقّق الوفاء بوعده فی ظرفه،و لکن بدا له،أو حصل له المانع من باب الاتّفاق،و أصبح مسلوب</w:t>
      </w:r>
      <w:bookmarkStart w:id="830" w:name="pg5064_65703"/>
    </w:p>
    <w:p>
      <w:pPr>
        <w:pStyle w:val="BookText"/>
        <w:rPr/>
      </w:pPr>
      <w:bookmarkEnd w:id="830"/>
      <w:r>
        <w:rPr>
          <w:rFonts w:ascii="IRNazanin" w:hAnsi="IRNazanin" w:eastAsia="IRNazanin"/>
          <w:color w:val="111111"/>
          <w:sz w:val="28"/>
          <w:sz w:val="28"/>
          <w:szCs w:val="28"/>
          <w:rtl w:val="true"/>
          <w:lang w:bidi="fa-IR"/>
        </w:rPr>
        <w:t>الاختیار عن الإتمام و الإنهاء،لم تکن الحرمة منجّزة،و إن کان إخباره هذا فی الواقع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حکم المقام من حیث خلف الوعد فسیأتی التکلّم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اتّضح أنّ النسبة بین حرمة الکذب و بین خلف الوعد هی العموم من وجه،فإنّه قد یتحقّق الکذب المحرّم حیث لا مورد لخلف الوعد،و قد یوجد خلف الوعد حیث لا یوجد الکذب المحرّم،و قد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مطاوی ما ذکرناه أنّ الإخبار إذا کان عن الامور المستقبلة کان صدق الخبر و کذبه منوطین بتحقّق المخبر به فی ظرفه علی نحو الشرط المتأخّر و عدم تحقّقه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کان عازما علی الوفاء بوعده حین الإخبار فهل یجب علیه البقاء علی عزمه هذا ما لم یطرأ علیه العجز،صونا لکلامه عن الاتّصاف بالکذب أو لا یجب علیه ذلک؟الظاهر هو الثانی،فإنّه لا دلیل علی وجوب إتمام العزم و علی حرمة العدول عنه لکی لا یتّصف کلامه السابق بالکذب،و نظیر ذلک الإخبار عن عزمه علی إیجاد فعل فی الخارج،کإرادة السفر و نحوه،و لم یتوهّم أحد وجوب البقاء علی عزمه السابق لئلاّ یتّصف کلامه بالکذب علی نحو الشرط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الأدلّة الناهیة عن الکذب فهی مختصّة بالکذب الفعلی،فلا تشمل غیره کما سیأتی</w:t>
      </w:r>
      <w:r>
        <w:rPr>
          <w:rFonts w:eastAsia="IRNazanin" w:cs="IRNazanin"/>
          <w:color w:val="111111"/>
          <w:sz w:val="28"/>
          <w:szCs w:val="28"/>
          <w:rtl w:val="true"/>
          <w:lang w:bidi="fa-IR"/>
        </w:rPr>
        <w:t>.</w:t>
      </w:r>
    </w:p>
    <w:p>
      <w:pPr>
        <w:pStyle w:val="Heading4"/>
        <w:numPr>
          <w:ilvl w:val="3"/>
          <w:numId w:val="1"/>
        </w:numPr>
        <w:rPr/>
      </w:pPr>
      <w:bookmarkStart w:id="831" w:name="__RefHeading___Toc910540_774463916"/>
      <w:bookmarkStart w:id="832" w:name="_Toc304"/>
      <w:bookmarkEnd w:id="831"/>
      <w:r>
        <w:rPr>
          <w:rtl w:val="true"/>
        </w:rPr>
        <w:t>خلف الوعد</w:t>
      </w:r>
      <w:bookmarkEnd w:id="832"/>
    </w:p>
    <w:p>
      <w:pPr>
        <w:pStyle w:val="BookText"/>
        <w:rPr/>
      </w:pPr>
      <w:r>
        <w:rPr>
          <w:rFonts w:ascii="IRNazanin" w:hAnsi="IRNazanin" w:eastAsia="IRNazanin"/>
          <w:color w:val="111111"/>
          <w:sz w:val="28"/>
          <w:sz w:val="28"/>
          <w:szCs w:val="28"/>
          <w:rtl w:val="true"/>
          <w:lang w:bidi="fa-IR"/>
        </w:rPr>
        <w:t>قد عرفت أنّ حقیقة الوعد إنّما تتحقّق بأحد امور ثلاثة،و أمّا المراد من خلفه فهو نقض ما التزم به،و ترک ما وعده و عدم إنهائه و إتمامه،فهل هذا حرام أم لا؟قد یقال بالحرمة،بدعوی أنّه من أفراد الکذب،فیکون مشمولا لعموم ما دلّ علی حرمته</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لکنّها دعوی جزافیة،فإنّ ما دلّ علی حرمة الکذب یختص بالکذب الفعلی</w:t>
      </w:r>
    </w:p>
    <w:p>
      <w:pPr>
        <w:pStyle w:val="BookText"/>
        <w:rPr/>
      </w:pPr>
      <w:r>
        <w:rPr>
          <w:rFonts w:ascii="IRNazanin" w:hAnsi="IRNazanin" w:eastAsia="IRNazanin"/>
          <w:color w:val="111111"/>
          <w:sz w:val="28"/>
          <w:sz w:val="28"/>
          <w:szCs w:val="28"/>
          <w:rtl w:val="true"/>
          <w:lang w:bidi="fa-IR"/>
        </w:rPr>
        <w:t>الابتدائی،فلا یشمل الکذب فی مرحلة البقاء،و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إنّما هو إیجاد الکلام الکاذب،لا إیجاد صفة الکذب فی کلام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ما حقّقناه فی کتاب الصلاة </w:t>
      </w:r>
      <w:r>
        <w:rPr>
          <w:rStyle w:val="FootnoteAnchor"/>
          <w:rtl w:val="true"/>
        </w:rPr>
        <w:footnoteReference w:id="1203"/>
      </w:r>
      <w:r>
        <w:rPr>
          <w:rFonts w:ascii="IRNazanin" w:hAnsi="IRNazanin" w:eastAsia="IRNazanin"/>
          <w:color w:val="111111"/>
          <w:sz w:val="28"/>
          <w:sz w:val="28"/>
          <w:szCs w:val="28"/>
          <w:rtl w:val="true"/>
          <w:lang w:bidi="fa-IR"/>
        </w:rPr>
        <w:t>فی البحث عن معنی الزیادة فی المکتوبة،و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بها هو الزیادة الابتدائیة،أی الشیء الذی لا یطابق المأمور به حین صدوره من الفاعل،بحیث إذا وجد لم یوجد إلاّ بعنوان الزیادة و علیه فإذا أوجد المصلّی شیئا فی صلاته بعنوان الجزئیة أو الشرطیة،ثم بدا له ما أخرجه عن عنوانه الأوّلی و ألحقه بالزیادة لم یکن محکوما بحکم الزیادة فی الفریضة فلا یشمله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فی المقام،فإنّ ما دلّ علی حرمة الکذب مختصّ بالکذب الابتدائی الفعلی المعنون بعنوان الکذب حین صدوره من المتکلّم،أمّا إذا وجد کلام فی الخارج و هو غیر متّصف بالکذب،و لکن عرض له ما ألحقه بالکذب بعد ذلک فلا یکون حراما،لانصراف ما دلّ علی حرمة الکذب عنه،و إن صدق علیه مفهوم الکذب حقیقة من حیث مخالفة المتکلّم لوعده و عدم جریه علی وفق عهده،و لذا یطلق علیه وعد کاذب و وعد مکذوب،کما یطلق علی الوفاء به وعد صادق و وعد غیر مکذوب</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علی حرمة مخالفة الوعد علی وجه الإطلاق بالأخبار الکثیرة الدالّة علی وجوب الوفاء به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هذا المقام کثیرة جدّا،و کلّها ظاهرة فی وجوب الوفاء بالوعد،و حرمة مخالفته،و لم نجد منها ما یکون ظاهرا فی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خلف الوعد حیث کان تعمّ به البلوی جمیع الطبقات فی جمیع الأزمان،فلو کان حراما لاشتهر بین الفقهاء کاشتهار سائر المحرّمات بینهم،مع ما عرفت من کثرة الروایات فی ذلک،و کونها بمرأی منهم و مسمع،و مع ذلک کلّه فقد أفتوا باستحباب الوفاء به و کراهة مخالفته،حتّی المحدّثین منهم کصاحبی الوسائل </w:t>
      </w:r>
      <w:r>
        <w:rPr>
          <w:rStyle w:val="FootnoteAnchor"/>
          <w:rtl w:val="true"/>
        </w:rPr>
        <w:footnoteReference w:id="1206"/>
      </w:r>
      <w:r>
        <w:rPr>
          <w:rFonts w:ascii="IRNazanin" w:hAnsi="IRNazanin" w:eastAsia="IRNazanin"/>
          <w:color w:val="111111"/>
          <w:sz w:val="28"/>
          <w:sz w:val="28"/>
          <w:szCs w:val="28"/>
          <w:rtl w:val="true"/>
          <w:lang w:bidi="fa-IR"/>
        </w:rPr>
        <w:t xml:space="preserve">و المستدرک </w:t>
      </w:r>
      <w:r>
        <w:rPr>
          <w:rStyle w:val="FootnoteAnchor"/>
          <w:rtl w:val="true"/>
        </w:rPr>
        <w:footnoteReference w:id="1207"/>
      </w:r>
      <w:r>
        <w:rPr>
          <w:rFonts w:ascii="IRNazanin" w:hAnsi="IRNazanin" w:eastAsia="IRNazanin"/>
          <w:color w:val="111111"/>
          <w:sz w:val="28"/>
          <w:sz w:val="28"/>
          <w:szCs w:val="28"/>
          <w:rtl w:val="true"/>
          <w:lang w:bidi="fa-IR"/>
        </w:rPr>
        <w:t>و غیرهما مع جمودهم علی ظهور الروایات،و ذلک یدلّنا علی أنّهم اطّلعوا فی هذه الروایات علی قرینة الاستحباب،فأعرضوا عن ظاهرها</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لکنّا قد حقّقنا فی علم الاصول </w:t>
      </w:r>
      <w:r>
        <w:rPr>
          <w:rStyle w:val="FootnoteAnchor"/>
          <w:rtl w:val="true"/>
        </w:rPr>
        <w:footnoteReference w:id="1208"/>
      </w:r>
      <w:r>
        <w:rPr>
          <w:rFonts w:ascii="IRNazanin" w:hAnsi="IRNazanin" w:eastAsia="IRNazanin"/>
          <w:color w:val="111111"/>
          <w:sz w:val="28"/>
          <w:sz w:val="28"/>
          <w:szCs w:val="28"/>
          <w:rtl w:val="true"/>
          <w:lang w:bidi="fa-IR"/>
        </w:rPr>
        <w:t>أنّ إعراض المشهور عن العمل بالروایة الصحیحة لا یوجب و هنها،کما أنّ عملهم بالروایة الضعیفة لا یوجب اعتبارها،إلاّ</w:t>
      </w:r>
    </w:p>
    <w:p>
      <w:pPr>
        <w:pStyle w:val="BookText"/>
        <w:rPr/>
      </w:pPr>
      <w:r>
        <w:rPr>
          <w:rFonts w:ascii="IRNazanin" w:hAnsi="IRNazanin" w:eastAsia="IRNazanin"/>
          <w:color w:val="111111"/>
          <w:sz w:val="28"/>
          <w:sz w:val="28"/>
          <w:szCs w:val="28"/>
          <w:rtl w:val="true"/>
          <w:lang w:bidi="fa-IR"/>
        </w:rPr>
        <w:t>إذا رجع إعراضهم إلی تضعیف الروایة،و رجع عملهم إلی توثیقها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وجه لرفع الید عن ظهور الروایات المذکورة علی کثرتها،و حملها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أنّ السیرة القطعیّة بین المتشرّعة قائمة علی جواز خلف الوعد،و علی عدم معاملة من أخلف بوعده معاملة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نعهد من أعاظم الأصحاب أن ینکروا علی مخالفة الوعد کانکارهم علی مخالفة الواجب و ارتکاب الحرام،فهذه السیرة القطعیة تکون قرینة علی حمل الأخبار المذکورة علی استحباب الوفاء بالوعد،و کراهة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الوفاء به و الجری علی طبقه من مهمّات الجهات الأخلاقیة،بل ربما توجب مخالفته سقوط الشخص عن الاعتبار فی الأنظار،لحکم العقل و العقلاء علی مرجوحیته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فرفع الید عن ظهور الروایات،و حملها علی الاستحباب یحتاج إلی الجرأة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الأوفق بالاحتیاط هو الوفاء بالوعد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یستدلّ علی الحرمة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قیل </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أن تعدوا من أنفسکم ما لا تفون به مقتا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استشهد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الآیة أیضا علی ذلک فی بعض الروایات المتقدّمة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أجنبیة عن حرمة مخالفة الوعد،فإنّها راجعة إلی ذمّ القول بغیر العمل،و علیه فموردها أحد الأمرین علی سبیل مانعة الخلو</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یتکلّم الإنسان بالأقاویل الکاذبة،بأن یخبر عن أشیاء مع علمه بکذبها و عدم موافقتها للواقع و نفس الأمر،فإنّ هذا حرام بضرورة الإسلام کما</w:t>
      </w:r>
      <w:bookmarkStart w:id="833" w:name="pg5064_65707"/>
    </w:p>
    <w:p>
      <w:pPr>
        <w:pStyle w:val="BookText"/>
        <w:rPr/>
      </w:pPr>
      <w:bookmarkEnd w:id="833"/>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الأمر بالمعروف و النهی عن المنکر،بأن یأمر الناس بالمعروف و یترکه هو،و ینهاهم عن المنکر و یرتکبه،و هذا هو الظاهر من الآیة،و من الطبرسی فی تفسیرها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علیه فشأن الآیة شأن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أَنْفُسَکُمْ </w:t>
      </w:r>
      <w:r>
        <w:rPr>
          <w:rStyle w:val="FootnoteAnchor"/>
          <w:rtl w:val="true"/>
        </w:rPr>
        <w:footnoteReference w:id="1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حرام بالضرورة،بل هو أقوی من الأمر بالمنکر و النهی عن المعروف بالقول،لکونه ترویجا للباطل بالعمل،و من البدیهی أنّ تأثیره فی الترویج أقوی من تأثیر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الوعید فمن حیث القاعدة یجری فیه ما جری فی الوعد إنشاء و إخبارا و أمّا من حیث الروایات فلا تشمله الأحادیث المتقدّمة فی الحاشیة الظاهرة فی الوجوب،بداهة أنّه لا یجب الوفاء بالوعید قطعا،بل قد یحرم ذلک فی بعض الموارد جزما</w:t>
      </w:r>
      <w:r>
        <w:rPr>
          <w:rFonts w:eastAsia="IRNazanin" w:cs="IRNazanin"/>
          <w:color w:val="111111"/>
          <w:sz w:val="28"/>
          <w:szCs w:val="28"/>
          <w:rtl w:val="true"/>
          <w:lang w:bidi="fa-IR"/>
        </w:rPr>
        <w:t>.</w:t>
      </w:r>
    </w:p>
    <w:p>
      <w:pPr>
        <w:pStyle w:val="Heading4"/>
        <w:numPr>
          <w:ilvl w:val="3"/>
          <w:numId w:val="1"/>
        </w:numPr>
        <w:rPr/>
      </w:pPr>
      <w:bookmarkStart w:id="834" w:name="__RefHeading___Toc910542_774463916"/>
      <w:bookmarkStart w:id="835" w:name="_Toc305"/>
      <w:bookmarkEnd w:id="834"/>
      <w:r>
        <w:rPr>
          <w:rtl w:val="true"/>
        </w:rPr>
        <w:t>خروج المبالغة عن الکذب موضوعا</w:t>
      </w:r>
      <w:bookmarkEnd w:id="83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ینبغی الإشکال فی أنّ المبالغة فی الادّعاء و إن بلغت ما بلغت لیست من الکذب</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المبالغة بالزیادة علی الواقع کانت کذبا حقیقة،کما إذا أعطی زیدا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أعطیته عشرة دراهم،أو إذا زار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بقیّة المشاهد المشرّفة أو الکعبة المکرّمة مرّة واحدة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 عشرین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هذا القبیل تأدیة المعنی بلفظ واحد موضوع للکثرة و المبالغة،کإطلاق الضراب علی الضارب،فإنّه إخبار عن الکثرة بالهیئة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قامت قرینة خارجیة علی إرادة الواقع،و کون استعمال اللفظ فیه لأجل المبالغة فقط لما کان کذبا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ما هو متعارف بین المتحاورین من استعمال بعض الفصول من الأعداد فی مقام التکثیر و الاهتمام،کلفظ سبع أو سبعین أو ألف،فیقول المولی لعبده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اعتذرت منّی ألف مرّة لما قبلت عذرک،و من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سَبْعِینَ مَرَّةً فَلَنْ یَغْفِرَ اللّهُ لَهُمْ </w:t>
      </w:r>
      <w:r>
        <w:rPr>
          <w:rStyle w:val="FootnoteAnchor"/>
          <w:rtl w:val="true"/>
        </w:rPr>
        <w:footnoteReference w:id="1213"/>
      </w:r>
      <w:r>
        <w:rPr>
          <w:rFonts w:ascii="IRNazanin" w:hAnsi="IRNazanin" w:eastAsia="IRNazanin"/>
          <w:color w:val="111111"/>
          <w:sz w:val="28"/>
          <w:sz w:val="28"/>
          <w:szCs w:val="28"/>
          <w:rtl w:val="true"/>
          <w:lang w:bidi="fa-IR"/>
        </w:rPr>
        <w:t xml:space="preserve">کما ذکره الطبرسی </w:t>
      </w:r>
      <w:r>
        <w:rPr>
          <w:rStyle w:val="FootnoteAnchor"/>
          <w:rtl w:val="true"/>
        </w:rPr>
        <w:footnoteReference w:id="1214"/>
      </w:r>
      <w:r>
        <w:rPr>
          <w:rFonts w:ascii="IRNazanin" w:hAnsi="IRNazanin" w:eastAsia="IRNazanin"/>
          <w:color w:val="111111"/>
          <w:sz w:val="28"/>
          <w:sz w:val="28"/>
          <w:szCs w:val="28"/>
          <w:rtl w:val="true"/>
          <w:lang w:bidi="fa-IR"/>
        </w:rPr>
        <w:t>،فإنّ الغرض من الآیة هو نفی الغفران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تجوز المبالغة أیضا بالتشبیه و الاستعارة،کتشبیه الرجل العالم بالبحر الموّاج و تشبیه الوجه الحسن بفلقة القمر،و کالکنایة عن الجود بکثرة الرماد،و هزال الفصیل و جبن الکلب،و استعارة الأسد و السیف البتّار للرجل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یعدّ شیء منها کذب،کیف و القرآن الکریم و خطب الأئمّة و کلمات الفصحاء مشحونة بذلک،بل ربما تکون هذه الخصوصیات و أمثالها موجبة لقوّة الکلام،و وصوله إلی حدّ الإعجاز أو ما یقرب منه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خروج المبالغة بأقسامها عن الکذب هو أنّ المتکلّم إنّما قصد الإخبار عن لبّ الواقع فقط،إلاّ أنّه بالغ فی کیفیة الأداء،فتخرج عن الکذب موضوعا،نعم إذا انتفی ما هو ملاک المبالغة من وجه الشبه و نحوه کان الکلام کاذبا</w:t>
      </w:r>
      <w:r>
        <w:rPr>
          <w:rFonts w:eastAsia="IRNazanin" w:cs="IRNazanin"/>
          <w:color w:val="111111"/>
          <w:sz w:val="28"/>
          <w:szCs w:val="28"/>
          <w:rtl w:val="true"/>
          <w:lang w:bidi="fa-IR"/>
        </w:rPr>
        <w:t>.</w:t>
      </w:r>
      <w:bookmarkStart w:id="836" w:name="pg5064_65709"/>
    </w:p>
    <w:p>
      <w:pPr>
        <w:pStyle w:val="Heading4"/>
        <w:numPr>
          <w:ilvl w:val="3"/>
          <w:numId w:val="1"/>
        </w:numPr>
        <w:rPr/>
      </w:pPr>
      <w:bookmarkStart w:id="837" w:name="__RefHeading___Toc910544_774463916"/>
      <w:bookmarkStart w:id="838" w:name="_Toc306"/>
      <w:bookmarkEnd w:id="836"/>
      <w:bookmarkEnd w:id="837"/>
      <w:r>
        <w:rPr>
          <w:rtl w:val="true"/>
        </w:rPr>
        <w:t>خروج التوریة عن الکذب</w:t>
      </w:r>
      <w:bookmarkEnd w:id="83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التوریة و هو أن یرید بلفظ معنی مطابقا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بین أهل اللغة </w:t>
      </w:r>
      <w:r>
        <w:rPr>
          <w:rStyle w:val="FootnoteAnchor"/>
          <w:rtl w:val="true"/>
        </w:rPr>
        <w:footnoteReference w:id="1215"/>
      </w:r>
      <w:r>
        <w:rPr>
          <w:rFonts w:ascii="IRNazanin" w:hAnsi="IRNazanin" w:eastAsia="IRNazanin"/>
          <w:color w:val="111111"/>
          <w:sz w:val="28"/>
          <w:sz w:val="28"/>
          <w:szCs w:val="28"/>
          <w:rtl w:val="true"/>
          <w:lang w:bidi="fa-IR"/>
        </w:rPr>
        <w:t>و غیرهم أنّ الکذب نقیض الصدق،فصدق الکلام بالمطابقة،و کذبه بعدم المطابقة،و إنّما الکلام فی بیان معنی المطابق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عبارة عمّا یظهر من کلام المتکلّم،أو عبارة عن مراده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بیان المطابق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عبارة عن الواقع و النسبة الخارجیة،أو عن اعتقاد المخبر،أو عن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المشهور إلی أنّ صدق الخبر مطابقته بظهوره للواقع،و کذبه عدم مطابقته للواقع،بدعوی أنّ هیئة الجملة الخبریة إنّما وضعت لتحقّق النسبة فی الخارج سواء کانت النسبة ثبوتیة أو سلبیة،کما أنّ ألفاظ أجزائها موضوعة للمعانی التصوّریة من الموضوع و المحمول و متعلّقاتها،فمطابقة الخبر لتلک النسبة الخارجیة الواقعیة صدق،و عدمها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قائم،فإنّ هذا القول یدلّ علی تحقّق النسبة الخبریة فی الخارج،أعنی اتّصاف زید بالقیام،فإن طابقها کان صادقا،و إن خالفها کان کاذبا</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لا تکون للنسبة خارجیة أصلا،کقولنا شریک الباری ممتنع و اجتماع النقیضین محال،و الدور أو التسلسل باطل،و ما سوی اللّه ممکن،إذ لا وجود للامتناع و الإمکان و البطلان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بالخارج ما هو أعمّ منه و من نفس الأمر،و من البیّن أنّ الأمثلة المذکورة مطابقة للنسبة فی نفس الأمر،و تفسیر الخارج بذلک ظاهر المحقّق التفتازانی حیث قال فی المطوّل بعد تفسیره الصدق بمطابقة الخبر للواقع،و الکذب بعدم مطابقته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w:t>
      </w:r>
    </w:p>
    <w:p>
      <w:pPr>
        <w:pStyle w:val="BookText"/>
        <w:rPr/>
      </w:pPr>
      <w:r>
        <w:rPr>
          <w:rFonts w:ascii="IRNazanin" w:hAnsi="IRNazanin" w:eastAsia="IRNazanin"/>
          <w:color w:val="111111"/>
          <w:sz w:val="28"/>
          <w:sz w:val="28"/>
          <w:szCs w:val="28"/>
          <w:rtl w:val="true"/>
          <w:lang w:bidi="fa-IR"/>
        </w:rPr>
        <w:t xml:space="preserve">مطابقة الکلام للواقع و الخارج و ما فی نفس الأمر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المذکور لا یتّفق مع تعریف القضیة بأنّها تحتمل الصدق و الکذب،فإنّ دلالة الجملة علی وقوع النسبة فی الخارج تقتضی الجزم بالوقوع و مقتضی التعریف المذکور هو الشکّ فی ذلک،و هما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الجمل الخبریة بهیئاتها موضوعة للنسبة الخارجیة لکانت دلالتها علیها قطعیة،کما أنّ دلالة الألفاظ المفردة علی معانیها التصوّریة قطعیة،فإنّ الشکّ لا یتطرّق إلی الدلالة بعد العلم بالموضوع له و إرادة اللافظ،مع أنّه لا یحصل للمخاطب بعد سماع الجمل الخبریة غیر احتمال وقوع النسبة فی الخارج،و قد کان هذا الاحتمال حاصلا قبل سماعها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یحصل العلم بوقوع النسبة فی الخارج من إخبار المتکلّم،لقوّة الوثوق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موضع بحثنا إذا اشتملت الجملة الخبریة علی قرائن خارجیة تدلّ علی صدقها،بل مورد الکلام هو نفس الخبر العاری علی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یتم إلاّ مع الوثوق بالمتکلّم،و مورد البحث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 یحصل له من سماع الخبر ما لم یحصل قبله من العلوم فکیف یسوغ القول بأنّ استماع الخبر لم یفده غیر ما کان یعرفه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یحصل للمخاطب من المعانی التصوّریة و غیرها فیما سنذکره غیر مقصود للقائل بوضع الجمل الخبریة للنسب الخارجیة،و ما هو مقصوده لا یحصل من ذلک</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النظّام </w:t>
      </w:r>
      <w:r>
        <w:rPr>
          <w:rStyle w:val="FootnoteAnchor"/>
          <w:rtl w:val="true"/>
        </w:rPr>
        <w:footnoteReference w:id="1217"/>
      </w:r>
      <w:r>
        <w:rPr>
          <w:rFonts w:ascii="IRNazanin" w:hAnsi="IRNazanin" w:eastAsia="IRNazanin"/>
          <w:color w:val="111111"/>
          <w:sz w:val="28"/>
          <w:sz w:val="28"/>
          <w:szCs w:val="28"/>
          <w:rtl w:val="true"/>
          <w:lang w:bidi="fa-IR"/>
        </w:rPr>
        <w:t>و من تابعه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 الخبر مطابقته لاعتقاد المخبر،و کذبه</w:t>
      </w:r>
    </w:p>
    <w:p>
      <w:pPr>
        <w:pStyle w:val="BookText"/>
        <w:rPr/>
      </w:pPr>
      <w:r>
        <w:rPr>
          <w:rFonts w:ascii="IRNazanin" w:hAnsi="IRNazanin" w:eastAsia="IRNazanin"/>
          <w:color w:val="111111"/>
          <w:sz w:val="28"/>
          <w:sz w:val="28"/>
          <w:szCs w:val="28"/>
          <w:rtl w:val="true"/>
          <w:lang w:bidi="fa-IR"/>
        </w:rPr>
        <w:t xml:space="preserve">عدمها و إن کان الاعتقاد خطأ،و استدلّ علیه بآیة المنافقین </w:t>
      </w:r>
      <w:r>
        <w:rPr>
          <w:rStyle w:val="FootnoteAnchor"/>
          <w:rtl w:val="true"/>
        </w:rPr>
        <w:footnoteReference w:id="1218"/>
      </w:r>
      <w:r>
        <w:rPr>
          <w:rFonts w:ascii="IRNazanin" w:hAnsi="IRNazanin" w:eastAsia="IRNazanin"/>
          <w:color w:val="111111"/>
          <w:sz w:val="28"/>
          <w:sz w:val="28"/>
          <w:szCs w:val="28"/>
          <w:rtl w:val="true"/>
          <w:lang w:bidi="fa-IR"/>
        </w:rPr>
        <w:t>بدعوی أنّ اللّه سجّل علیهم بأنّهم لکاذبون فی قولهم إنّک لرسول اللّه،لعدم اعتقادهم بالرسالة المحمّدیة و إن کان قولهم مطابقا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عنه بأنّ المنافقین لکاذبون فی شهادتهم بالرسالة،لعدم کونها عن خلوص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 یحتاج إلی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الشهادة فی العرف و اللغة </w:t>
      </w:r>
      <w:r>
        <w:rPr>
          <w:rStyle w:val="FootnoteAnchor"/>
          <w:rtl w:val="true"/>
        </w:rPr>
        <w:footnoteReference w:id="1219"/>
      </w:r>
      <w:r>
        <w:rPr>
          <w:rFonts w:ascii="Amiri" w:hAnsi="Amiri" w:eastAsia="Amiri" w:cs="Amiri"/>
          <w:color w:val="111111"/>
          <w:sz w:val="28"/>
          <w:sz w:val="28"/>
          <w:szCs w:val="28"/>
          <w:rtl w:val="true"/>
          <w:lang w:bidi="ar-SA"/>
        </w:rPr>
        <w:t>بمعنی الحضور،سواء کان حضورا خارجیا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w:t>
      </w:r>
      <w:r>
        <w:rPr>
          <w:rStyle w:val="FootnoteAnchor"/>
          <w:rtl w:val="true"/>
        </w:rPr>
        <w:footnoteReference w:id="1220"/>
      </w:r>
      <w:r>
        <w:rPr>
          <w:rFonts w:ascii="IRNazanin" w:hAnsi="IRNazanin" w:eastAsia="IRNazanin"/>
          <w:color w:val="111111"/>
          <w:sz w:val="28"/>
          <w:sz w:val="28"/>
          <w:szCs w:val="28"/>
          <w:rtl w:val="true"/>
          <w:lang w:bidi="fa-IR"/>
        </w:rPr>
        <w:t>و کقول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شاهدت البلدة الفلانیة و أقمت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حضورا ذهنیا،کحضور الواقعة فی ذهن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المخبر به قد یکون أمرا خارجیا،و قد یکون أمرا اعتباریا،و قد یکون أمرا ذهنیا،کالإخبار عن الصور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فیتجلّی من هاتین المقدّمتین أنّ الإخبار عن الشهادة بالرسالة مبنی علی حضور المخبر به و المشهود به فی صقع الذهن،لأنّ الشهادة لیست من الأعیان الخارجیة،و حیث إنّ المنافقین غیر معتقدین بالرسالة،و لم یکن المخبر به و هو الاعتقاد بالنبوّة موجودا فی أذهانهم فرماهم اللّه إلی الکذب و الفریة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دلالة فی الآیة علی مقصود النظام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إلی ذلک أنّه لو أخبر أحد عن قضیة لم یعتقد بوقوعها فی الخارج و هی واقعة فیه،فإنّه علی مسلک النظام خبر کاذب،مع أنّه صادق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الجاحظ </w:t>
      </w:r>
      <w:r>
        <w:rPr>
          <w:rStyle w:val="FootnoteAnchor"/>
          <w:rtl w:val="true"/>
        </w:rPr>
        <w:footnoteReference w:id="1221"/>
      </w:r>
      <w:r>
        <w:rPr>
          <w:rFonts w:ascii="Amiri" w:hAnsi="Amiri" w:eastAsia="Amiri" w:cs="Amiri"/>
          <w:color w:val="111111"/>
          <w:sz w:val="28"/>
          <w:sz w:val="28"/>
          <w:szCs w:val="28"/>
          <w:rtl w:val="true"/>
          <w:lang w:bidi="ar-SA"/>
        </w:rPr>
        <w:t>أنّ صدق الخبر مطابقته للواقع و الاعتقاد معا،و کذبه عدم مطابقته لهما معا،و غیر ذلک لا صدق و لا کذب،و استدلّ علی رأیه هذا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أَفْتَری عَلَی اللّهِ کَذِباً أَمْ بِهِ جِنَّةٌ </w:t>
      </w:r>
      <w:r>
        <w:rPr>
          <w:rStyle w:val="FootnoteAnchor"/>
          <w:rtl w:val="true"/>
        </w:rPr>
        <w:footnoteReference w:id="1222"/>
      </w:r>
      <w:r>
        <w:rPr>
          <w:rFonts w:ascii="IRNazanin" w:hAnsi="IRNazanin" w:eastAsia="IRNazanin"/>
          <w:color w:val="111111"/>
          <w:sz w:val="28"/>
          <w:sz w:val="28"/>
          <w:szCs w:val="28"/>
          <w:rtl w:val="true"/>
          <w:lang w:bidi="fa-IR"/>
        </w:rPr>
        <w:t>فإنّ الإخبار حال الجنّة غیر الکذب لأنّهم جعلوه قسیما للافتراء و غیر الصدق،لعدم مطابقته للواقع فی عقیدتهم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نری بالعیان،و نشاهد بالوجدان و بحکم الضرورة انحصار الخبر بالصدق و الکذب،و عدم الواسطة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الآیة المذکورة فهی غریبة عن مقصود الجاحظ،لأنّ الظاهر منها أنّ المشرکین نسبوا إخبار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الافتراء الذی هو کذب خاصّ،أو إلی الإخبار حال الجنّة الذی لا أثر له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 بأجمعها خبریة کانت أم إنشائیة قد وضعت بهیئاتها النوعیة لإبراز الصور الذهنیة،و إظهار الدعاوی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فعبّر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الواضع أیّ شخص کان إنّما 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تابعه بقیة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متی أراد أن یبرز شیئا من دعاویه و مقاصده أن یتکلّم بجملة مشتملة علی هیئة خاصّة تفی بمراده و أداء دعواه فی مقام المحادثة و المحاورة،و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إبراز المقاصد النفسانیة بمظهر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فی مرحلة دلالة اللفظ علی معناه الموضوع له،فیشترک فیها جمیع الجمل خبریة کانت أم إنشائیة،بل یشترک فیها جمیع الألفاظ الموضوعة،مفردة کانت أم مرکّبة</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اللفظ علی معناه بحسب العلقة الوضعیة أمر ضروری فلا یعقل الانفکاک بینهما فی مرحلة الاستعمال،إلاّ بانسلاخ اللفظ عن معناه بالقرائن</w:t>
      </w:r>
    </w:p>
    <w:p>
      <w:pPr>
        <w:pStyle w:val="BookText"/>
        <w:rPr/>
      </w:pPr>
      <w:r>
        <w:rPr>
          <w:rFonts w:ascii="IRNazanin" w:hAnsi="IRNazanin" w:eastAsia="IRNazanin"/>
          <w:color w:val="111111"/>
          <w:sz w:val="28"/>
          <w:sz w:val="28"/>
          <w:szCs w:val="28"/>
          <w:rtl w:val="true"/>
          <w:lang w:bidi="fa-IR"/>
        </w:rPr>
        <w:t>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الدعاوی النفسانیة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أمرا اعتباریا محضا و قائما بنفس المعتبر،بأن یعتبر فی نفسه شیئا ثم یظهره فی الخارج بمبرز من لفظ أو غیره،من دون قصد للحکایة عن شیء و هذا یسمّی إنشاء،و لا یتّصف بالصدق و الکذب بوجه،لأنّه شیء یقوم بالاعتبار الساذج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حاکیة عن شیء آخر،سواء کان هذا المحکی من القضایا الخارجیة کقیام زید فی الخارج،أم من الأوصاف النفسانیة کالعلم و الشجاعة و السخاوة و نحوها،و هذه الحکایة إن طابقت الواقع المحکی اتّصفت الدعاوی المذکورة بالصدق،و إلاّ فهی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اتّصاف الجمل الخبریة بهما فمن قبیل اتّصاف الشیء بحال متعلّقه،کرجل منیع جاره،و مؤدّب خدّامه،و رحب فناؤه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مراد المتکلّم أی الدعاوی النفسانیة،لا ظهور کلامه کما توهّم،و أنّ المراد من المطابق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الواقع و نفس الأمر المحکی بالدعاوی النفسانیة</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تلوناه علیک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شبهة فی خروج التوریة عن الکذب موضوعا،فإنّها فی اللغة </w:t>
      </w:r>
      <w:r>
        <w:rPr>
          <w:rStyle w:val="FootnoteAnchor"/>
          <w:rtl w:val="true"/>
        </w:rPr>
        <w:footnoteReference w:id="1223"/>
      </w:r>
      <w:r>
        <w:rPr>
          <w:rFonts w:ascii="IRNazanin" w:hAnsi="IRNazanin" w:eastAsia="IRNazanin"/>
          <w:color w:val="111111"/>
          <w:sz w:val="28"/>
          <w:sz w:val="28"/>
          <w:szCs w:val="28"/>
          <w:rtl w:val="true"/>
          <w:lang w:bidi="fa-IR"/>
        </w:rPr>
        <w:t>بمعنی الستر،فکأنّ المتکلّم و اری مراده عن المخاطب بإظهار غیره،و خیّل إلیه أنّه أراد ظاهر کلامه،و قد عرفت آنفا أنّ الکذب هو مخالفة الدعاوی النفسانیة للواقع،لا مخالفة ظاهر الکلام له،و یتفرّع علی هذا أنّ جواز التوریة لا یختصّ بمورد الاضطرار و نحوه،لأنّها لیست من مستثنیات الکذب</w:t>
      </w:r>
    </w:p>
    <w:p>
      <w:pPr>
        <w:pStyle w:val="BookText"/>
        <w:rPr/>
      </w:pPr>
      <w:r>
        <w:rPr>
          <w:rFonts w:ascii="IRNazanin" w:hAnsi="IRNazanin" w:eastAsia="IRNazanin"/>
          <w:color w:val="111111"/>
          <w:sz w:val="28"/>
          <w:sz w:val="28"/>
          <w:szCs w:val="28"/>
          <w:rtl w:val="true"/>
          <w:lang w:bidi="fa-IR"/>
        </w:rPr>
        <w:t>بل هی خارجة عنه موضوعا،و من هنا ذهب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سیأتی من جواز الکذب عند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وجوب التوریة مع التمکّن منها،و علّلوا ذلک بتمکّن المتکلّم ممّا یخرج به کلامه عن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الکلام الذی یورّی به قد یکون ظاهرا فی بیان مراد المتکلّم،و لکن المخاطب لغباوته و قصور فهمه لا یلتفت إلیه،و هذا خارج عن التوریة،بل هو کسائر الخطابات الصادرة من المتکلّم فی مقام المحادثة و المحاورة،و من هذا القبیل ما نقل عن بعض الأجلّة أنّ شخصا اقترح علیه أن یعطیه شیئا من الدراهم،و کان یراه غیر مستحقّ لذلک،فألقی السبحة من 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یدی خالیة،و تخیّل السائل من کلامه أنّه غیر متمکّن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الکلام ظاهرا فی غیر ما أراده المتکلّم،و هو مورد التوریة،کما إذا أراد أحد أن ینکر مقالته الصادرة منه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ما قلته،و یظهر کلمة الموصول علی صورة أداة النفی،و یخیّل إلی السامع أنه ینکر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ما ذکره سلطان المحقّقین فی حاشیة المعالم </w:t>
      </w:r>
      <w:r>
        <w:rPr>
          <w:rStyle w:val="FootnoteAnchor"/>
          <w:rtl w:val="true"/>
        </w:rPr>
        <w:footnoteReference w:id="1224"/>
      </w:r>
      <w:r>
        <w:rPr>
          <w:rFonts w:ascii="IRNazanin" w:hAnsi="IRNazanin" w:eastAsia="IRNazanin"/>
          <w:color w:val="111111"/>
          <w:sz w:val="28"/>
          <w:sz w:val="28"/>
          <w:szCs w:val="28"/>
          <w:rtl w:val="true"/>
          <w:lang w:bidi="fa-IR"/>
        </w:rPr>
        <w:t>فی البحث عن المجمل من أنّه سئل أحد العلماء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 بکر أیّهما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بنته فی بیته،و منه قول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معاویة أن ألعن علیا ألا فالعنوه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أیضا ما سئل بعض الشیعة عن عدد الخلفاء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أربعة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قصد منها الأئمّة الاثنی عشر،و زعم السائل أنّه أراد الخلفاء الأربعة</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جواز التوریة و خروجها عن الکذب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إدریس فی آخر السرائر من کتاب عبد اللّه بن بکیر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یستأذن علیه فیقول للجاریة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لیس هو ههنا؟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بأس،لیس بکذب</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سوید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و معنا وابل بن حجر یرید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أعداء له فخرج القوم أن یحلفوا و حلفت باللّه أنّه أخی فخلّی عنه العدو،فذکرت ذلک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صدقت،المسلم أخو المسلم</w:t>
      </w:r>
      <w:r>
        <w:rPr>
          <w:rFonts w:eastAsia="IRNazanin" w:cs="IRNazanin"/>
          <w:color w:val="111111"/>
          <w:sz w:val="28"/>
          <w:szCs w:val="28"/>
          <w:rtl w:val="true"/>
          <w:lang w:bidi="fa-IR"/>
        </w:rPr>
        <w:t xml:space="preserve">» </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کانت ظاهرة الدلالة علی جواز التوریة،و عدم کونها من الکذب،و لکنّها ضعیفة السند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w:t>
      </w:r>
      <w:r>
        <w:rPr>
          <w:rStyle w:val="FootnoteAnchor"/>
          <w:rtl w:val="true"/>
        </w:rPr>
        <w:footnoteReference w:id="1227"/>
      </w:r>
      <w:r>
        <w:rPr>
          <w:rFonts w:ascii="Amiri" w:hAnsi="Amiri" w:eastAsia="Amiri" w:cs="Amiri"/>
          <w:color w:val="111111"/>
          <w:sz w:val="28"/>
          <w:sz w:val="28"/>
          <w:szCs w:val="28"/>
          <w:rtl w:val="true"/>
          <w:lang w:bidi="ar-SA"/>
        </w:rPr>
        <w:t>من نفی الکذب عن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w:t>
      </w:r>
    </w:p>
    <w:p>
      <w:pPr>
        <w:pStyle w:val="BookText"/>
        <w:rPr/>
      </w:pPr>
      <w:r>
        <w:rPr>
          <w:rFonts w:ascii="Amiri" w:hAnsi="Amiri" w:eastAsia="Amiri" w:cs="Amiri"/>
          <w:color w:val="111111"/>
          <w:sz w:val="28"/>
          <w:sz w:val="28"/>
          <w:szCs w:val="28"/>
          <w:rtl w:val="true"/>
          <w:lang w:bidi="ar-SA"/>
        </w:rPr>
        <w:t>کَبِیرُهُمْ هذا مع أنّ کبیرهم لم یفعله،و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سَقِیمٌ و ما کان سقیما،و عن قول یوسف أَیَّتُهَا الْعِیرُ إِنَّکُمْ لَسارِقُونَ و ما کانوا سرّاقا،فیدلّ ذلک کلّه علی کون الأقوال المذکورة من التوریة،و أنّ التوریة خارجة عن الکذب موضوعا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نفی الکذب عن قول إبراهیم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بلحاظ نفی الحکم،و أنّهما قد ارتکبا الکذب لإرادة الإصلاح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روایة الصیقل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کَبِیرُهُمْ هذا إرادة الإصلاح،و قال یوسف إرادة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روایة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کذب علی مصلح،ثمّ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الْعِیرُ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ذکرت الروایتان فی الحاشیة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یؤیّده ما فی بعض أحادیث العامّة </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کذب ثلاث کذبات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هذا،و قوله فی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اختی</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الروایات المذکورة کلّها ضعیفة السند،کما أنّ بقیة الأحادیث التی اطّلعت علیها فی القصص المزبورة مشتملة علی ضعف فی السند أیضا و جهالة فی</w:t>
      </w:r>
      <w:bookmarkStart w:id="839" w:name="pg5064_65717"/>
    </w:p>
    <w:p>
      <w:pPr>
        <w:pStyle w:val="BookText"/>
        <w:rPr/>
      </w:pPr>
      <w:bookmarkEnd w:id="839"/>
      <w:r>
        <w:rPr>
          <w:rFonts w:ascii="IRNazanin" w:hAnsi="IRNazanin" w:eastAsia="IRNazanin"/>
          <w:color w:val="111111"/>
          <w:sz w:val="28"/>
          <w:sz w:val="28"/>
          <w:szCs w:val="28"/>
          <w:rtl w:val="true"/>
          <w:lang w:bidi="fa-IR"/>
        </w:rPr>
        <w:t>الراوی،فلا یمکن الاستناد إلیها بوجه</w:t>
      </w:r>
      <w:r>
        <w:rPr>
          <w:rFonts w:eastAsia="IRNazanin" w:cs="IRNazanin"/>
          <w:color w:val="111111"/>
          <w:sz w:val="28"/>
          <w:szCs w:val="28"/>
          <w:rtl w:val="true"/>
          <w:lang w:bidi="fa-IR"/>
        </w:rPr>
        <w:t>.</w:t>
      </w:r>
    </w:p>
    <w:p>
      <w:pPr>
        <w:pStyle w:val="Heading4"/>
        <w:numPr>
          <w:ilvl w:val="3"/>
          <w:numId w:val="1"/>
        </w:numPr>
        <w:rPr/>
      </w:pPr>
      <w:bookmarkStart w:id="840" w:name="__RefHeading___Toc910546_774463916"/>
      <w:bookmarkStart w:id="841" w:name="_Toc307"/>
      <w:bookmarkEnd w:id="840"/>
      <w:r>
        <w:rPr>
          <w:rtl w:val="true"/>
        </w:rPr>
        <w:t>رفع غشاوة</w:t>
      </w:r>
      <w:bookmarkEnd w:id="841"/>
    </w:p>
    <w:p>
      <w:pPr>
        <w:pStyle w:val="BookText"/>
        <w:rPr/>
      </w:pPr>
      <w:r>
        <w:rPr>
          <w:rFonts w:ascii="Amiri" w:hAnsi="Amiri" w:eastAsia="Amiri" w:cs="Amiri"/>
          <w:color w:val="111111"/>
          <w:sz w:val="28"/>
          <w:sz w:val="28"/>
          <w:szCs w:val="28"/>
          <w:rtl w:val="true"/>
          <w:lang w:bidi="ar-SA"/>
        </w:rPr>
        <w:t>قد یتوهّم أنّه لا محیص أن تکون أقوال إبراهیم و یوسف المذکورة کاذبة غایة الأمر أنّها من الأکاذیب الجائزة،أمّا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سَقِیمٌ و قول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الْعِیرُ إِنَّکُمْ لَسارِقُونَ فصدق الکذب علیهما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کَبِیرُهُمْ هذا فَسْئَلُوهُمْ إِنْ کانُوا یَنْطِقُونَ فلأنّ الشرط فیه إمّا أن یرجع إلی السؤال المذکور فیه،و إمّا أن یرجع إلی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راجعا إلی السؤال انحلّت الآیة الکریمة إلی قضیتین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حملیة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کَبِیرُهُمْ هذا و الثانیة إنشائیة مشروطة،و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فَسْئَلُوهُمْ إِنْ کانُوا یَنْطِقُونَ أمّا القضیة الاولی فهی کاذبة،لکونها غیر مطابقة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القضیة الثانیة فهی إنشائیة لا تتّصف بالصدق و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راجعا إلی الفعل الذی نسبه إلی کبیرهم کانت الآیة مسوقة لبیان قضیة شرطیة،تالیها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کَبِیرُهُمْ هذا و مقدّمها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یَنْطِقُونَ فقد دخلت علیها أداة الشرط،و جعلتهما قضیّة واحدة شرطیة و من البدیهی أنّها أیضا کاذبة،فإنّ الصدق و الکذب فی القضایا الشرطیة یدوران مدار صحّة الملازمة و فسادها،و لا شبهة أنّها منتفیة فی المقام،بداهة أنّه لا ملازمة بین نطق کبیر الأصنام و بین صدور الفعل منه،بل الفعل قد صدر من إبراهیم علی کل تقدیر،سواء نطق کبیرهم أم لم ینطق</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رمی قول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کَبِیرُهُمْ هذا بالکذب فجوابه أنّا قد</w:t>
      </w:r>
    </w:p>
    <w:p>
      <w:pPr>
        <w:pStyle w:val="BookText"/>
        <w:rPr/>
      </w:pPr>
      <w:r>
        <w:rPr>
          <w:rFonts w:ascii="IRNazanin" w:hAnsi="IRNazanin" w:eastAsia="IRNazanin"/>
          <w:color w:val="111111"/>
          <w:sz w:val="28"/>
          <w:sz w:val="28"/>
          <w:szCs w:val="28"/>
          <w:rtl w:val="true"/>
          <w:lang w:bidi="fa-IR"/>
        </w:rPr>
        <w:t xml:space="preserve">حقّقنا فی مبحث الواجب المشروط من علم الاصول </w:t>
      </w:r>
      <w:r>
        <w:rPr>
          <w:rStyle w:val="FootnoteAnchor"/>
          <w:rtl w:val="true"/>
        </w:rPr>
        <w:footnoteReference w:id="1229"/>
      </w:r>
      <w:r>
        <w:rPr>
          <w:rFonts w:ascii="IRNazanin" w:hAnsi="IRNazanin" w:eastAsia="IRNazanin"/>
          <w:color w:val="111111"/>
          <w:sz w:val="28"/>
          <w:sz w:val="28"/>
          <w:szCs w:val="28"/>
          <w:rtl w:val="true"/>
          <w:lang w:bidi="fa-IR"/>
        </w:rPr>
        <w:t>أنّ الشروط فی الواجبات المشروطة إمّا أن ترجع إلی الإنشاء،أعنی به إبراز الاعتبار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أن ترجع إلی متعلّق الوجوب،أی المادّة المحضة،کما فی الواجب المعلّق علی ما نسب إلی المصنّف فی التقریرات </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ترجع إلی المنشأ،و هو ما اعتبره فی النفس ثمّ أبرزه بالإنشاء،فیکون مرجع القید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فأکرمه،هو وجوب الإکرام،فیصیر مقیّدا بمجیء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محال،لأنّ الإنشاء من الامور التکوینیة التی یدور أمرها بین الوجود و العدم،فإذا أوجده المتکلّم استحال أن یتوقّف وجوده علی شیء آخر لاستحالة انقلاب الشیء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و إن کان ممکنا فی مرحلة الثبوت،و لکنّه خلاف ظاهر الأدلّة فی مقام الإثبات،و لا یمکن المصیر إلیه بدون دلیل و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فیتعیّن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بعینه جار فی القضایا المشروطة من الجمل الخبریة أیضا،فإنّ إرجاع القید فیها إلی نفس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الألفاظ المظهرة للدعاوی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معقول،لتحقّقه بمجرد التکلّم بالقضیة الشرطیة،و لا یعقل بعد ذلک أن تکون موقوفة علی حصول قید أو شرط</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إرجاعه إلی متعلّق الخبر و هو و إن کان سائغا فی نفسه،و لکنّه خلاف ظاهر القضایا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فیتعیّن إرجاعه إلی المخبر به،و هو الدعاوی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قال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الشمس طالعة فالنهار موجود،فإنّ معناه أنّ</w:t>
      </w:r>
    </w:p>
    <w:p>
      <w:pPr>
        <w:pStyle w:val="BookText"/>
        <w:rPr/>
      </w:pPr>
      <w:r>
        <w:rPr>
          <w:rFonts w:ascii="IRNazanin" w:hAnsi="IRNazanin" w:eastAsia="IRNazanin"/>
          <w:color w:val="111111"/>
          <w:sz w:val="28"/>
          <w:sz w:val="28"/>
          <w:szCs w:val="28"/>
          <w:rtl w:val="true"/>
          <w:lang w:bidi="fa-IR"/>
        </w:rPr>
        <w:t>دعوی تحقّق النهار مقیّدة بطلوع الشمس،و مع عدم طلوعها فالدعوی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فتقدیر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إن نطقوا فاسألوهم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علّقت الدعوی علی نطقهم،و لمّا استحال نطقهم انتفت الدعوی،فلا تکون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صادق فیما یقول إن لم یکن فوقنا سماء،و کقولک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أعتقد إلها إن کان له شریک،و لا أعتقد خلیفة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منصوبا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ما ذکرناه خبر الاحتجاج </w:t>
      </w:r>
      <w:r>
        <w:rPr>
          <w:rStyle w:val="FootnoteAnchor"/>
          <w:rtl w:val="true"/>
        </w:rPr>
        <w:footnoteReference w:id="1231"/>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فعله کبیرهم و ما کذب إبراهیم،قیل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ینطقون،فإن نطقوا فکبیرهم فعل،و إن لم ینطقوا فلم یفعل کبیرهم شیئا،فما نطقوا و ما کذب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المفسّرون وجوها لتفسیر الآیة </w:t>
      </w:r>
      <w:r>
        <w:rPr>
          <w:rStyle w:val="FootnoteAnchor"/>
          <w:rtl w:val="true"/>
        </w:rPr>
        <w:footnoteReference w:id="123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رمی قول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بالکذب فجوابه أنّ المراد به کونه سقیما فی دینه،أی مرتادا و طالبا فی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فی خبر الاحتجاج المتقدّم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إبراهیم سقیما،و ما کذب،و إنّما عنی سقیما فی دینه،أی مرتادا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المرتاد فی اللغة </w:t>
      </w:r>
      <w:r>
        <w:rPr>
          <w:rStyle w:val="FootnoteAnchor"/>
          <w:rtl w:val="true"/>
        </w:rPr>
        <w:footnoteReference w:id="1233"/>
      </w:r>
      <w:r>
        <w:rPr>
          <w:rFonts w:ascii="IRNazanin" w:hAnsi="IRNazanin" w:eastAsia="IRNazanin"/>
          <w:color w:val="111111"/>
          <w:sz w:val="28"/>
          <w:sz w:val="28"/>
          <w:szCs w:val="28"/>
          <w:rtl w:val="true"/>
          <w:lang w:bidi="fa-IR"/>
        </w:rPr>
        <w:t>هو الطلب و المیل،أی أنّی طالب فی دینی و مجدّ لتحصیل الاعتقاد بالمبدأ و المعاد،فقد خیّل بذلک إلی عبدة الأصنام و النجوم أنّه مریض لا یقدر علی التکلّم،فتولّوا عنه مدبرین،و أخّروا المحاکمة إلی وقت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للعلماء فیه وجوه اخری قد ذکرها المفسّرون فی تفاسیرهم</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رمی قول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الْعِیرُ إِنَّکُمْ لَسارِقُونَ بالکذب</w:t>
      </w:r>
      <w:bookmarkStart w:id="842" w:name="pg5064_65720"/>
    </w:p>
    <w:p>
      <w:pPr>
        <w:pStyle w:val="BookText"/>
        <w:rPr/>
      </w:pPr>
      <w:bookmarkEnd w:id="842"/>
      <w:r>
        <w:rPr>
          <w:rFonts w:ascii="IRNazanin" w:hAnsi="IRNazanin" w:eastAsia="IRNazanin"/>
          <w:color w:val="111111"/>
          <w:sz w:val="28"/>
          <w:sz w:val="28"/>
          <w:szCs w:val="28"/>
          <w:rtl w:val="true"/>
          <w:lang w:bidi="fa-IR"/>
        </w:rPr>
        <w:t>فقد ذکروا فی الجواب عنه وجوها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أظهرها أنّ المؤذّن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العیر إنّکم لسرقتم صواع الملک،بل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لسارقون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مراده أنّکم سرقتم یوسف من أبیه،ألا تری أنّهم لمّا سألوا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تفقدون؟قالوا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نفقد صواع الملک،و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خبر الاحتجاج المتقدّم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سرقوا یوسف من أبیه،ألا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843" w:name="__RefHeading___Toc910548_774463916"/>
      <w:bookmarkStart w:id="844" w:name="_Toc308"/>
      <w:bookmarkEnd w:id="843"/>
      <w:r>
        <w:rPr>
          <w:rtl w:val="true"/>
        </w:rPr>
        <w:t>مسوغات الکذب</w:t>
      </w:r>
      <w:bookmarkEnd w:id="844"/>
    </w:p>
    <w:p>
      <w:pPr>
        <w:pStyle w:val="Heading5"/>
        <w:numPr>
          <w:ilvl w:val="4"/>
          <w:numId w:val="1"/>
        </w:numPr>
        <w:rPr/>
      </w:pPr>
      <w:bookmarkStart w:id="845" w:name="__RefHeading___Toc910550_774463916"/>
      <w:bookmarkStart w:id="846" w:name="_Toc309"/>
      <w:bookmarkEnd w:id="845"/>
      <w:r>
        <w:rPr>
          <w:rtl w:val="true"/>
        </w:rPr>
        <w:t>جواز الکذب لدفع الضرورة</w:t>
      </w:r>
      <w:bookmarkEnd w:id="846"/>
    </w:p>
    <w:p>
      <w:pPr>
        <w:pStyle w:val="Heading6"/>
        <w:numPr>
          <w:ilvl w:val="5"/>
          <w:numId w:val="1"/>
        </w:numPr>
        <w:rPr/>
      </w:pPr>
      <w:bookmarkStart w:id="847" w:name="__RefHeading___Toc910552_774463916"/>
      <w:bookmarkStart w:id="848" w:name="_Toc310"/>
      <w:bookmarkEnd w:id="847"/>
      <w:r>
        <w:rPr>
          <w:rtl w:val="true"/>
        </w:rPr>
        <w:t>اشارة</w:t>
      </w:r>
      <w:bookmarkEnd w:id="84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یسوغ الکذب لوجهین،أحدهما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 إلیه،فیسوغ معها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کون الکذب حراما فی نفسه و مبغوضا بعینه،لظاهر الأدلّة المتقدّمة المطبقة علی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فلا وجه لما زعمه الغزالی من أنّ الکذب لیس حراما لعینه،بل لما فیه من الضرر علی المخاطب أو علی غیره،فإنّ أقلّ درجاته أن یعتقد المخبر الشیء علی خلاف ما هو علیه فیکون جاهلا،و قد یتعلّق به ضرر غیره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الظاهر أنّ حرمة الکذب لیست ذاتیة کحرمة الظلم،و لذا یختلف حکمه بالوجوه و الاعتبارات،و علیه فإذا توقّف الواجب علی الکذب و انحصرت به المقدّمة وقعت المزاحمة بین حرمة الکذب و بین ذلک الواجب فی مقام الامتثال و جرت علیهما أحکام المتزاحمین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توقّف إنجاء المؤمن و دفع الهلکة عنه علی</w:t>
      </w:r>
    </w:p>
    <w:p>
      <w:pPr>
        <w:pStyle w:val="BookText"/>
        <w:rPr/>
      </w:pPr>
      <w:r>
        <w:rPr>
          <w:rFonts w:ascii="IRNazanin" w:hAnsi="IRNazanin" w:eastAsia="IRNazanin"/>
          <w:color w:val="111111"/>
          <w:sz w:val="28"/>
          <w:sz w:val="28"/>
          <w:szCs w:val="28"/>
          <w:rtl w:val="true"/>
          <w:lang w:bidi="fa-IR"/>
        </w:rPr>
        <w:t>الکذب کان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 علی جواز الکذب فی مورد الاضطرار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الإجماع فهو و إن کان محقّقا،و لکنّه لیس إجماعا تعبّدیا کاشفا عن رأی المعصوم،فإنّ الظاهر أنّ المجمعین قد استندوا فی فتیاهم بالجواز إلی الکتاب و السنّة فلا وجه لجعله دلیلا مستقلا فی المسألة،و قد مرّ نظیر ذلک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فهو و إن کان حاکما بجواز الکذب لدفع الضرورات فی الجملة کحفظ النفس المحترمة و نحوه،إلاّ أنّه لا یحکم بذلک فی جمیع الموارد،فلو توقّف علی الکذب حفظ مال یسیر لا یضرّ ذهابه بالمالک فإنّ العقل لا یحکم بجواز الکذب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الکتاب فقد ذکر المصنّف منه آیتین،الاولی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الشریفة تدلّ بالمطابقة علی جواز التکلّم بکلمة الکفر و الارتداد عن الإسلام عند الإکراه و الاضطرار،بشرط أن یکون المتکلّم معتقدا باللّه و مطمئنا بالإیمان،فتدلّ علی جواز الکذب فی غیر ذلک للمکره بطریق أولی</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w:t>
      </w:r>
      <w:r>
        <w:rPr>
          <w:rStyle w:val="FootnoteAnchor"/>
          <w:rtl w:val="true"/>
        </w:rPr>
        <w:footnoteReference w:id="1236"/>
      </w:r>
      <w:r>
        <w:rPr>
          <w:rFonts w:ascii="IRNazanin" w:hAnsi="IRNazanin" w:eastAsia="IRNazanin"/>
          <w:color w:val="111111"/>
          <w:sz w:val="28"/>
          <w:sz w:val="28"/>
          <w:szCs w:val="28"/>
          <w:rtl w:val="true"/>
          <w:lang w:bidi="fa-IR"/>
        </w:rPr>
        <w:t>أی لا یجوز للمؤمنین أن یتّخذوا الکافرین أولیاء لأنفسهم یستعینون بهم،و یلتجؤون إلیهم و یظهرون المحبّة و المودّة لهم،إلاّ أن یتّقوا منهم تقاة،فإنّه حینئذ یجوز إظهار مودّتهم</w:t>
      </w:r>
      <w:bookmarkStart w:id="849" w:name="pg5064_65722"/>
    </w:p>
    <w:p>
      <w:pPr>
        <w:pStyle w:val="BookText"/>
        <w:rPr/>
      </w:pPr>
      <w:bookmarkEnd w:id="849"/>
      <w:r>
        <w:rPr>
          <w:rFonts w:ascii="IRNazanin" w:hAnsi="IRNazanin" w:eastAsia="IRNazanin"/>
          <w:color w:val="111111"/>
          <w:sz w:val="28"/>
          <w:sz w:val="28"/>
          <w:szCs w:val="28"/>
          <w:rtl w:val="true"/>
          <w:lang w:bidi="fa-IR"/>
        </w:rPr>
        <w:t>تقیّة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هذه الآیة أیضا علی جواز الکذب فی سائر موارد التقیة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دلالة فی الآیتین علی جواز الکذب فی جمیع موارد الاضطرار غیر مورد الخوف و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المجوّزة للکذب فی موارد الخوف و التقیّة فهی أکثر من أن تحصی و قد استفاضت بل تواترت علی جواز الحلف کاذبا لدفع الضرر البدنی أو المالی عن نفسه أو عن أخیه،و ستأتی الإشارة إلی جملة منها</w:t>
      </w:r>
      <w:r>
        <w:rPr>
          <w:rFonts w:eastAsia="IRNazanin" w:cs="IRNazanin"/>
          <w:color w:val="111111"/>
          <w:sz w:val="28"/>
          <w:szCs w:val="28"/>
          <w:rtl w:val="true"/>
          <w:lang w:bidi="fa-IR"/>
        </w:rPr>
        <w:t>.</w:t>
      </w:r>
    </w:p>
    <w:p>
      <w:pPr>
        <w:pStyle w:val="Heading6"/>
        <w:numPr>
          <w:ilvl w:val="5"/>
          <w:numId w:val="1"/>
        </w:numPr>
        <w:rPr/>
      </w:pPr>
      <w:bookmarkStart w:id="850" w:name="__RefHeading___Toc910554_774463916"/>
      <w:bookmarkStart w:id="851" w:name="_Toc311"/>
      <w:bookmarkEnd w:id="850"/>
      <w:r>
        <w:rPr>
          <w:rtl w:val="true"/>
        </w:rPr>
        <w:t>هل تجب التوریة فی حالة الضرورة لمن یتمکّن منها؟</w:t>
      </w:r>
      <w:bookmarkEnd w:id="85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الإشکال و الخلاف فی أنّه هل یجب حینئذ التوریة لمن یقدر علیها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الخلاف بین الأعلام فی أنّ جواز الکذب هل هو مقیّد بعدم التمکّن من التوریة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فنسب المصنّف القول الأوّل إلی ظاهر المشهور،و لکن العبارات التی نقلها عنهم إمّا غیر ظاهرة فی مقصوده،و إمّا ظاهرة فی خلافه</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فکالمحکی عن الغنیة </w:t>
      </w:r>
      <w:r>
        <w:rPr>
          <w:rStyle w:val="FootnoteAnchor"/>
          <w:rtl w:val="true"/>
        </w:rPr>
        <w:footnoteReference w:id="1237"/>
      </w:r>
      <w:r>
        <w:rPr>
          <w:rFonts w:ascii="IRNazanin" w:hAnsi="IRNazanin" w:eastAsia="IRNazanin"/>
          <w:color w:val="111111"/>
          <w:sz w:val="28"/>
          <w:sz w:val="28"/>
          <w:szCs w:val="28"/>
          <w:rtl w:val="true"/>
          <w:lang w:bidi="fa-IR"/>
        </w:rPr>
        <w:t xml:space="preserve">و السرائر </w:t>
      </w:r>
      <w:r>
        <w:rPr>
          <w:rStyle w:val="FootnoteAnchor"/>
          <w:rtl w:val="true"/>
        </w:rPr>
        <w:footnoteReference w:id="1238"/>
      </w:r>
      <w:r>
        <w:rPr>
          <w:rFonts w:ascii="IRNazanin" w:hAnsi="IRNazanin" w:eastAsia="IRNazanin"/>
          <w:color w:val="111111"/>
          <w:sz w:val="28"/>
          <w:sz w:val="28"/>
          <w:szCs w:val="28"/>
          <w:rtl w:val="true"/>
          <w:lang w:bidi="fa-IR"/>
        </w:rPr>
        <w:t xml:space="preserve">و الشرائع </w:t>
      </w:r>
      <w:r>
        <w:rPr>
          <w:rStyle w:val="FootnoteAnchor"/>
          <w:rtl w:val="true"/>
        </w:rPr>
        <w:footnoteReference w:id="1239"/>
      </w:r>
      <w:r>
        <w:rPr>
          <w:rFonts w:ascii="IRNazanin" w:hAnsi="IRNazanin" w:eastAsia="IRNazanin"/>
          <w:color w:val="111111"/>
          <w:sz w:val="28"/>
          <w:sz w:val="28"/>
          <w:szCs w:val="28"/>
          <w:rtl w:val="true"/>
          <w:lang w:bidi="fa-IR"/>
        </w:rPr>
        <w:t xml:space="preserve">و القواعد </w:t>
      </w:r>
      <w:r>
        <w:rPr>
          <w:rStyle w:val="FootnoteAnchor"/>
          <w:rtl w:val="true"/>
        </w:rPr>
        <w:footnoteReference w:id="1240"/>
      </w:r>
      <w:r>
        <w:rPr>
          <w:rFonts w:ascii="Amiri" w:hAnsi="Amiri" w:eastAsia="Amiri" w:cs="Amiri"/>
          <w:color w:val="111111"/>
          <w:sz w:val="28"/>
          <w:sz w:val="28"/>
          <w:szCs w:val="28"/>
          <w:rtl w:val="true"/>
          <w:lang w:bidi="ar-SA"/>
        </w:rPr>
        <w:t xml:space="preserve">و اللمعة و شرحها </w:t>
      </w:r>
      <w:r>
        <w:rPr>
          <w:rStyle w:val="FootnoteAnchor"/>
          <w:rtl w:val="true"/>
        </w:rPr>
        <w:footnoteReference w:id="1241"/>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242"/>
      </w:r>
      <w:r>
        <w:rPr>
          <w:rFonts w:ascii="IRNazanin" w:hAnsi="IRNazanin" w:eastAsia="IRNazanin"/>
          <w:color w:val="111111"/>
          <w:sz w:val="28"/>
          <w:sz w:val="28"/>
          <w:szCs w:val="28"/>
          <w:rtl w:val="true"/>
          <w:lang w:bidi="fa-IR"/>
        </w:rPr>
        <w:t>و غیرها من الکتب،فإنّ مفروض الکلام فیها إنّما هو اشتراط جواز الحلف الکاذب بعدم التمکّن من التوریة،و أمّا جواز مطلق الکذب فهو خارج عن مورد کلامهم،فإنّهم قالوا فی مسألة جواز الحلف</w:t>
      </w:r>
    </w:p>
    <w:p>
      <w:pPr>
        <w:pStyle w:val="BookText"/>
        <w:rPr/>
      </w:pPr>
      <w:r>
        <w:rPr>
          <w:rFonts w:ascii="IRNazanin" w:hAnsi="IRNazanin" w:eastAsia="IRNazanin"/>
          <w:color w:val="111111"/>
          <w:sz w:val="28"/>
          <w:sz w:val="28"/>
          <w:szCs w:val="28"/>
          <w:rtl w:val="true"/>
          <w:lang w:bidi="fa-IR"/>
        </w:rPr>
        <w:t>لدفع الظالم عن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یجوز الحلف کاذبا إذا لم یحسن التوریة،و إلاّ فیورّی بما یخرجه عن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فکالمحکی عن المقنعة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عنده أمانة فطالبها ظالم فلیجحد،و إن استحلفه ظالم علی ذلک فلیحلف،و یورّی فی نفسه بما یخرجه عن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یحسن التوریة و کانت نیّته حفظ الأمانة أجزأته النیّة و کان مأجورا </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هذه العبارة ظاهرة فی خلاف مقصود المصنّف فلأنّ المذکور فیها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 الظالم الودیعة من الودعی جاز له إنکارها مطلقا،سواء تمکّن من التوریة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استحلف الظالم الودعی علی إنکار الودیعة جاز له الحلف مع عدم التمکّن من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نظر صاحب المقنعة إلی اعتبار التمکّن من التوریة فی جواز مطلق الکذب لم یفصل بین الحلف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الإجمال فلا دلالة فی شیء من هذه العبارات المنقولة عن الأصحاب علی مقصود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المصنّف وجّه ما نسبه إلی المشهور بوجهین،و سنتعرّض لهما فیما بعد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مقتضی إطلاقات أدلّة الترخیص فی الحلف کاذبا لدفع الضرر البدنی أو المالی عن نفسه أو أخیه عدم اعتبار ذلک</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نسب المصنّف القول المذکور إلی ظاهر المشهور و وجّهه بوجهین آتیین،حاول استفادة حکم المسألة من الأخبار،و جعل اعتبار عدم التمکّن من التوریة فی جواز الحلف کاذبا موافقا للأخبار،و ذکر جملة منها و ترک جملة اخری</w:t>
      </w:r>
    </w:p>
    <w:p>
      <w:pPr>
        <w:pStyle w:val="BookText"/>
        <w:rPr/>
      </w:pPr>
      <w:r>
        <w:rPr>
          <w:rFonts w:ascii="IRNazanin" w:hAnsi="IRNazanin" w:eastAsia="IRNazanin"/>
          <w:color w:val="111111"/>
          <w:sz w:val="28"/>
          <w:sz w:val="28"/>
          <w:szCs w:val="28"/>
          <w:rtl w:val="true"/>
          <w:lang w:bidi="fa-IR"/>
        </w:rPr>
        <w:t>و أحال بعضها إلی ما یأتی من جواز الکذب فی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بأجمعها </w:t>
      </w:r>
      <w:r>
        <w:rPr>
          <w:rStyle w:val="FootnoteAnchor"/>
          <w:rtl w:val="true"/>
        </w:rPr>
        <w:footnoteReference w:id="1244"/>
      </w:r>
      <w:r>
        <w:rPr>
          <w:rFonts w:ascii="IRNazanin" w:hAnsi="IRNazanin" w:eastAsia="IRNazanin"/>
          <w:color w:val="111111"/>
          <w:sz w:val="28"/>
          <w:sz w:val="28"/>
          <w:szCs w:val="28"/>
          <w:rtl w:val="true"/>
          <w:lang w:bidi="fa-IR"/>
        </w:rPr>
        <w:t>ظاهرة فی جواز الحلف الکاذب لدفع الضرر البدنی أو المالی عن نفسه أو عن أخیه علی وجه الإطلاق،و لیست مقیّدة بعدم التمکّن من التوریة،و هی تدلّ بطریق الأولویة علی جواز الکذب بغیر حلف لدفع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استحسن المصنّف عدم اعتبار القید المزبور،لأنّ إیجاب التوریة علی القادر لا یخلو عن الإلزام بالعسر و الحرج،حیث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قیل بتوسعة الشارع علی العباد بعدم ترتیب الآثار علی الکذب فیما نحن فیه و إن قدر علی التوریة کان حسنا</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احتاط فی المسألة،و رجع إلی ما نسبه إلی ظاهر المشهور</w:t>
      </w:r>
    </w:p>
    <w:p>
      <w:pPr>
        <w:pStyle w:val="BookText"/>
        <w:rPr/>
      </w:pPr>
      <w:r>
        <w:rPr>
          <w:rFonts w:ascii="IRNazanin" w:hAnsi="IRNazanin" w:eastAsia="IRNazanin"/>
          <w:color w:val="111111"/>
          <w:sz w:val="28"/>
          <w:sz w:val="28"/>
          <w:szCs w:val="28"/>
          <w:rtl w:val="true"/>
          <w:lang w:bidi="fa-IR"/>
        </w:rPr>
        <w:t>و جعله مطابقا للقاعدة،و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الاحتیاط فی خلافه،بل هو المطابق للقواعد لو لا استبعاد التقیید فی هذه المطلقات،لأنّ النسبة بین هذه المطلقات و بین ما دلّ کالروایة الأخیرة و غیرها علی اختصاص الجواز بصورة الاضطرار المستلزم للمنع مع عدمه مطلقا عموم من وجه،فیرجع إلی عمومات حرمة الکذب،فتأمّل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من التقیید ما ذکره قبیل هذا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یصعب علی الفقیه التزام تقییدها بصورة عدم القدرة علی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من المطلقات ما ذکره من الأخبار الواردة فی جواز الحلف الکاذب لدفع الضرر البدنی أو المالی عن نفسه أو عن أخیه،و ما یأتی من الأخبار الواردة فی جواز الکذب للإصلاح</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مرامه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قطعنا النظر عن استبعاد التقیید فی هذه المطلقات فإنّ ما ذهب إلیه المشهور هو الموافق للاحتیاط و المطابق للقواعد،لأنّ النسبة بین المطلقات المزبورة و بین روایة سماعة </w:t>
      </w:r>
      <w:r>
        <w:rPr>
          <w:rStyle w:val="FootnoteAnchor"/>
          <w:rtl w:val="true"/>
        </w:rPr>
        <w:footnoteReference w:id="1245"/>
      </w:r>
      <w:r>
        <w:rPr>
          <w:rFonts w:ascii="IRNazanin" w:hAnsi="IRNazanin" w:eastAsia="IRNazanin"/>
          <w:color w:val="111111"/>
          <w:sz w:val="28"/>
          <w:sz w:val="28"/>
          <w:szCs w:val="28"/>
          <w:rtl w:val="true"/>
          <w:lang w:bidi="fa-IR"/>
        </w:rPr>
        <w:t xml:space="preserve">و ما فی معناها </w:t>
      </w:r>
      <w:r>
        <w:rPr>
          <w:rStyle w:val="FootnoteAnchor"/>
          <w:rtl w:val="true"/>
        </w:rPr>
        <w:footnoteReference w:id="1246"/>
      </w:r>
      <w:r>
        <w:rPr>
          <w:rFonts w:ascii="IRNazanin" w:hAnsi="IRNazanin" w:eastAsia="IRNazanin"/>
          <w:color w:val="111111"/>
          <w:sz w:val="28"/>
          <w:sz w:val="28"/>
          <w:szCs w:val="28"/>
          <w:rtl w:val="true"/>
          <w:lang w:bidi="fa-IR"/>
        </w:rPr>
        <w:t>هی العموم من وجه،فإنّ بعض المطلقات ظاهرة فی جواز الکذب لمجرد إرادة الإصلاح،و بعضها ظاهر فی جواز الحلف الکاذب لدفع الضرر البدنی أو المالی عن نفسه أو عن أخیه،سواء بلغ ذلک حدّ الاضطرار أم لا،و روایة سماعة و ما یساویها فی المضمون ظاهرة فی اختصاص جواز الحلف کاذبا بصورة الخوف و الاضطرار و الإکراه،فتدلّ بمفهومها علی حرمته فی غیر الموارد المذکورة،و حینئذ فتقع المعارضة بین مفهوم روایة سماعة</w:t>
      </w:r>
    </w:p>
    <w:p>
      <w:pPr>
        <w:pStyle w:val="BookText"/>
        <w:rPr/>
      </w:pPr>
      <w:r>
        <w:rPr>
          <w:rFonts w:ascii="IRNazanin" w:hAnsi="IRNazanin" w:eastAsia="IRNazanin"/>
          <w:color w:val="111111"/>
          <w:sz w:val="28"/>
          <w:sz w:val="28"/>
          <w:szCs w:val="28"/>
          <w:rtl w:val="true"/>
          <w:lang w:bidi="fa-IR"/>
        </w:rPr>
        <w:t>و بین مطلقات الحلف الکاذب فی غیر الموارد المذکورة،کما تقع المعارضة بینها و بین مطلقات الکذب لإرادة الإصلاح فی غیر الموارد المذکورة أیضا،فیتساقطان فی مورد الاجتماع،و یرجع إلی عمومات حرمة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بعد فی تقیید المطلقات،فإنّها واردة بلحاظ حال عامّة الناس الذین لا یلتفتون إلی التوریة لیقصدوها،و یلتجئوا إلیها عند الخوف و التقیة،و علیه فلا بأس بتقییدها بمن لا یتمکّن من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المحقّق الإیروانی </w:t>
      </w:r>
      <w:r>
        <w:rPr>
          <w:rStyle w:val="FootnoteAnchor"/>
          <w:rtl w:val="true"/>
        </w:rPr>
        <w:footnoteReference w:id="1247"/>
      </w:r>
      <w:r>
        <w:rPr>
          <w:rFonts w:ascii="IRNazanin" w:hAnsi="IRNazanin" w:eastAsia="IRNazanin"/>
          <w:color w:val="111111"/>
          <w:sz w:val="28"/>
          <w:sz w:val="28"/>
          <w:szCs w:val="28"/>
          <w:rtl w:val="true"/>
          <w:lang w:bidi="fa-IR"/>
        </w:rPr>
        <w:t>علی المصنّف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مفهوم لروایة سماعة،فإنّها ناظرة إلی جواز الکذب لأجل الإکراه و الاضطرار،و أمّا جوازه فی غیر مورد الضرورة أو حرمته فیه فخارج عن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المحقّق المذکور أنّه إنّما نفی المفهوم عن الروایة لأنّه لم ینظر إلاّ إلی ذیلها،و هو مسوق لضرب قاعدة کلّیة لیس لها مفهوم،و من المعلوم أنّ المصنّف إنّما أثبت المفهوم للروایة نظرا إلی صدرها،و لا شبهة أنّه قضیة شرطیة مشتملة علی عقد شرطی إیجابی و هو المنطوق،و علی عقد شرطی سلبی و هو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المعارضة المذکورة التی أبداها المصنّف بین مفهوم روایة سماعة و بین المطلقات المزبورة،فإنّه لا وجه للرجوع إلی مطلقات حرمة الکذب،إذ النسبة بین الإطلاقین هی العموم من وجه،و بعد تعارضهما فی مادّة الاجتماع و تساقطهما فیها یرجع إلی أصالة الحل</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یظهر لنا مراده من هذا الإشکال،فإنّ النسبة بین الإطلاقین هی</w:t>
      </w:r>
    </w:p>
    <w:p>
      <w:pPr>
        <w:pStyle w:val="BookText"/>
        <w:rPr/>
      </w:pPr>
      <w:r>
        <w:rPr>
          <w:rFonts w:ascii="IRNazanin" w:hAnsi="IRNazanin" w:eastAsia="IRNazanin"/>
          <w:color w:val="111111"/>
          <w:sz w:val="28"/>
          <w:sz w:val="28"/>
          <w:szCs w:val="28"/>
          <w:rtl w:val="true"/>
          <w:lang w:bidi="fa-IR"/>
        </w:rPr>
        <w:t>العموم المطلق،لأنّ ما دلّ علی جواز الکذب أخصّ ممّا دلّ علی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مناص عن تقیید مطلقات حرمة الکذب بما دلّ علی جوازه فی موارد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وجه لرفع الید عن المطلقات الدالّة علی جواز الحلف کاذبا لإنجاء النفس المحترمة من الهلکة،و لحفظ مال نفسه أو مال أخیه عن التلف،فقد ذکرنا فی مبحث التعادل و الترجیح من علم الاصول أنّ من المرجّحات فی الدلیلین المتعارضین بالعموم من وجه أن یلزم من تقدیم أحدهما إلغاء العنوان المأخوذ فی الدلیل الآخر علی سبیل الموضوعیة بخلاف العکس،و قد مثّلنا له فی بعض المباحث السابقة </w:t>
      </w:r>
      <w:r>
        <w:rPr>
          <w:rStyle w:val="FootnoteAnchor"/>
          <w:rtl w:val="true"/>
        </w:rPr>
        <w:footnoteReference w:id="1248"/>
      </w:r>
      <w:r>
        <w:rPr>
          <w:rFonts w:ascii="IRNazanin" w:hAnsi="IRNazanin" w:eastAsia="IRNazanin"/>
          <w:color w:val="111111"/>
          <w:sz w:val="28"/>
          <w:sz w:val="28"/>
          <w:szCs w:val="28"/>
          <w:rtl w:val="true"/>
          <w:lang w:bidi="fa-IR"/>
        </w:rPr>
        <w:t>بأمثلة متعدّدة،و واضح أنّ ما نحن فیه من هذا القبیل،فإنّ المطلقات المذکورة دلّت علی جواز الحلف کاذبا لإنجاء النفس المحترمة،و لحفظ مال نفسه أو مال أخیه،و هی مشترکة مع روایة سماعة و ما فی معناها فی تجویز الحلف کاذبا للإکراه و الاضطرار،و إنّما تمتاز المطلقات عن روایة سماعة و ما یساویها فی المضمون باشتمالها علی جواز الحلف الکاذب فی غیر موارد الخوف و الاضطرار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قدّمنا روایة سماعة و ما فی مضمونها علی المطلقات المزبورة و حکمنا لذلک بحرمة الحلف کاذبا فی غیر موارد الإکراه و الاضطرار لکانت العناوین المأخوذة فی تلک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حفظ النفس و المال لنفسه أو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لاغیة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قدّمنا المطلقات و حفظنا العناوین المذکورة فیها فإنّه لا یلزم منه إلاّ إلغاء المفهوم فقط عن روایة سماعة و ما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الحلف کاذبا لإنجاء النفس المحترمة،و لحفظ مال نفسه أو مال أخیه علی وجه الإطلاق فیقیّد بها ما دلّ علی حرمة الکذب علی وجه الإطلاق</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الکذب ذاتیة،لاستقلال العقل بقبحه،فلیست قابلة</w:t>
      </w:r>
    </w:p>
    <w:p>
      <w:pPr>
        <w:pStyle w:val="BookText"/>
        <w:rPr/>
      </w:pPr>
      <w:r>
        <w:rPr>
          <w:rFonts w:ascii="IRNazanin" w:hAnsi="IRNazanin" w:eastAsia="IRNazanin"/>
          <w:color w:val="111111"/>
          <w:sz w:val="28"/>
          <w:sz w:val="28"/>
          <w:szCs w:val="28"/>
          <w:rtl w:val="true"/>
          <w:lang w:bidi="fa-IR"/>
        </w:rPr>
        <w:t>للتخصیص،و أمّا ارتکابه فی موارد الضرورة فلأنّ العقل یستقلّ بوجوب ارتکاب أقلّ القبیحین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آنفا أنّ العقل لا یستقل بقبح الکذب فی نفسه إلاّ إذا ترتّبت علیه المفسدة،فلا تکون حرمته ذاتیة لا تقبل التخصیص،فیکشف من تجویز الشارع الکذب فی بعض الموارد أنّه لیس بقبیح،لا أنّه من باب حکم العقل بارتکاب أقل القبیحین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وجّه المصنّف کلام المشهور بوجهین،الأول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الکذب حرام،و مع التمکّن من التوریة لا یحصل الاضطرار إلیه،فیدخل تحت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قبح الکذب عقلی،فلا یسوغ إلاّ مع عروض عنوان حسن علیه یغلب علی قبحه،و هذا لا یتحقّق إلاّ مع العجز عن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ظهر لک ممّا قدّمناه آنفا ضعف الوجهین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المطلقات الدالّة علی جواز الکذب للإصلاح فلا معارضة بینها و بین روایة سماعة و ما فی معناها،و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المطلقات إنّما دلّت علی جواز الکذب للإصلاح،و روایة سماعة و ما فی مضمونها إنّما دلّت علی حرمة الحلف کاذبا فی غیر موارد الإکراه و الاضطرار و الخوف،فلا وجه لوقوع المعارضة بینهما کما یرومه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دلّ علی جواز الحلف کاذبا لحفظ النفس و المال دلّ علی جواز الکذب لهما بطریق الأولویة کما أشرنا إلیه سابقا،و علیه فتقع المعارضة بینها و بین روایة سماعة و ما فی مضمونها فی مطلق الکذب أیضا</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بین جواز الکذب لحفظ النفس و المال و بین مفهوم روایة سماعة من تخصیص حرمة الحلف کاذبا بغیر موارد الإکراه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أکثر الأصحاب مع تقییدهم جواز الکذب بعدم القدرة علی التوریة،الخ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أکثر الأصحاب قیّدوا جواز الکذب بعدم التمکّن من التوریة،و مع ذلک فقد أطلقوا القول بفساد ما اکره علیه من العقود و الإیقاعات،و لم یقیّدوا ذلک بعدم القدرة علی التوریة،و صرّح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الروضة و المسالک فی باب الطلاق </w:t>
      </w:r>
      <w:r>
        <w:rPr>
          <w:rStyle w:val="FootnoteAnchor"/>
          <w:rtl w:val="true"/>
        </w:rPr>
        <w:footnoteReference w:id="1249"/>
      </w:r>
      <w:r>
        <w:rPr>
          <w:rFonts w:ascii="IRNazanin" w:hAnsi="IRNazanin" w:eastAsia="IRNazanin"/>
          <w:color w:val="111111"/>
          <w:sz w:val="28"/>
          <w:sz w:val="28"/>
          <w:szCs w:val="28"/>
          <w:rtl w:val="true"/>
          <w:lang w:bidi="fa-IR"/>
        </w:rPr>
        <w:t>بعدم اعتبار العجز عنها،بل فی کلام بعضهم دعوی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المصنّف علی ذلک بأنّ المکره علی البیع إنّما اکره علی التلفّظ بصیغة البیع،و لم یکره علی حقیقته،فالإکراه علی البیع الحقیقی یختص بغیر القادر علی التوریة،کما أنّ الاضطرار إلی الکذب مختص بالعاجز عنها،و علیه فإذا اکره علی البیع فلم یورّ مع قدرته علی التوریة فقد أوجد البیع بإرادته و اختیاره،فیکون صحیحا</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 هذا الإیراد بوجود الفارق بین المقامین،و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اکره علیه فی باب المعاملات إنّما هو نفس المعاملة و واقعها،و الأخبار الدالّة علی رفع ما استکره علیه کحدیث الرفع </w:t>
      </w:r>
      <w:r>
        <w:rPr>
          <w:rStyle w:val="FootnoteAnchor"/>
          <w:rtl w:val="true"/>
        </w:rPr>
        <w:footnoteReference w:id="1250"/>
      </w:r>
      <w:r>
        <w:rPr>
          <w:rFonts w:ascii="IRNazanin" w:hAnsi="IRNazanin" w:eastAsia="IRNazanin"/>
          <w:color w:val="111111"/>
          <w:sz w:val="28"/>
          <w:sz w:val="28"/>
          <w:szCs w:val="28"/>
          <w:rtl w:val="true"/>
          <w:lang w:bidi="fa-IR"/>
        </w:rPr>
        <w:t>و نحوه لم تقیّد ذلک بعدم القدرة علی التوریة،فإذا أوجد المکره المعاملة فقد أوجد نفس ما اکره علیه،و یرتفع أثره بالإکراه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الکذب،فإنّه لا یجوز إلاّ فی مورد الاضطرار،و من المعلوم أنّ الاضطرار لا یتحقّق مع التمکّن من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فارق بین الإکراه و الاضطرار،لأنّ الإکراه فی اللغة </w:t>
      </w:r>
      <w:r>
        <w:rPr>
          <w:rStyle w:val="FootnoteAnchor"/>
          <w:rtl w:val="true"/>
        </w:rPr>
        <w:footnoteReference w:id="1251"/>
      </w:r>
      <w:r>
        <w:rPr>
          <w:rFonts w:ascii="IRNazanin" w:hAnsi="IRNazanin" w:eastAsia="IRNazanin"/>
          <w:color w:val="111111"/>
          <w:sz w:val="28"/>
          <w:sz w:val="28"/>
          <w:szCs w:val="28"/>
          <w:rtl w:val="true"/>
          <w:lang w:bidi="fa-IR"/>
        </w:rPr>
        <w:t>حمل المکره علی أمر و إجباره علیه من غیر رضی منه،و لا شبهة فی أنّ هذا المعنی لا یتحقّق إذا أمکن التفصّی،کما هو الحال فی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لم نعتبر فی مفهوم الإکراه أن لا یتمکّن المکره من التفصّی،فإنّ لازم ذلک جواز ارتکاب المحرّمات إذا اکره علیها و إن کان قادرا علی التخلّص،کما إذا أکرهه أحد علی شرب الخمر و کان متمکّنا من هراقتها علی 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إذا أکرهه جائر علی أخذ أموال الناس بالظلم و العدوان و کان متمکّنا من أن یدفع مال الظالم إلیه،و یوهمه أنّه إنّما یعطیه من مال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حرمة الارتکاب فی أمثال هذه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المشهور،کما نسبه المصنّف إلی ظاهرهم من تقیید جواز الکذب بعدم القدرة علی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یفصّل بین الأحکام التکلیفیة و بین الأحکام الوضعیة فی باب المعاملات،العقود منها و الإیقاعات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الأحکام التکلیفیة وجوبیة کانت أم تحریمیة فإنّ تنجّزها علی المکلّفین و وصولها إلی مرتبة الفعلیة لتبعثهم علی الإطاعة و الامتثال مشروطة بالقدرة العقلیة و الشرعیة،و اختلاف الدواعی فی ترک الواجبات و ارتکاب المحرّمات لا یؤثّر فی تبدیلها أو فی رفعها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شرب الخمر مع التمکّن من ترکه حرام و إن کان شربه بداعی رفع العطش أو غیره من الدواعی عدا الإسکار،کما أنّ المناط فی رفع الأحکام التکلیفیة هو عدم القدرة علی الامتثال و لو بالتوریة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أکره الجائر أحدا علی شرب الخمر و لم یتمکّن المجبور من ترکه بالتوریة أو بطریق آخر،فإنّ الحرمة ترتفع بحدیث الرفع و نحوه،و أمّا إذا تمکّن من</w:t>
      </w:r>
    </w:p>
    <w:p>
      <w:pPr>
        <w:pStyle w:val="BookText"/>
        <w:rPr/>
      </w:pPr>
      <w:r>
        <w:rPr>
          <w:rFonts w:ascii="IRNazanin" w:hAnsi="IRNazanin" w:eastAsia="IRNazanin"/>
          <w:color w:val="111111"/>
          <w:sz w:val="28"/>
          <w:sz w:val="28"/>
          <w:szCs w:val="28"/>
          <w:rtl w:val="true"/>
          <w:lang w:bidi="fa-IR"/>
        </w:rPr>
        <w:t>موافقة التکلیف بالتوریة أو بجهة اخری فلا موجب لسقوط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جملة من الروایات الماضیة،و جملة اخری من الروایات الآتیة هو جواز الکذب و الحلف الکاذب فی موارد خاصّة علی وجه الإطلاق،حتّی مع التمکّن من التوریة،و علیه فیمتاز حکم الکذب بذلک عن بقیة الأحکام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ضعف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الضرر المسوغ للکذب هو المسوغ لسائر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الوضعیة فی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کصحّة العقود و الإیقاعات أو فسادهما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تدور من حیث الوجود و العدم مدار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المتعاملین قادرین علی المعاملة بالقدرة التی هی من الشرائط العامّة المعتبرة فی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صدور إنشاء المعاملة عن الرضی و طیب النفس،لآیة التجارة عن تراض </w:t>
      </w:r>
      <w:r>
        <w:rPr>
          <w:rStyle w:val="FootnoteAnchor"/>
          <w:rtl w:val="true"/>
        </w:rPr>
        <w:footnoteReference w:id="1252"/>
      </w:r>
      <w:r>
        <w:rPr>
          <w:rFonts w:ascii="IRNazanin" w:hAnsi="IRNazanin" w:eastAsia="IRNazanin"/>
          <w:color w:val="111111"/>
          <w:sz w:val="28"/>
          <w:sz w:val="28"/>
          <w:szCs w:val="28"/>
          <w:rtl w:val="true"/>
          <w:lang w:bidi="fa-IR"/>
        </w:rPr>
        <w:t xml:space="preserve">،و الروایات الدالّة علی حرمة التصرّف فی مال غیره إلاّ بطیب النفس و الرضی </w:t>
      </w:r>
      <w:r>
        <w:rPr>
          <w:rStyle w:val="FootnoteAnchor"/>
          <w:rtl w:val="true"/>
        </w:rPr>
        <w:footnoteReference w:id="1253"/>
      </w:r>
      <w:r>
        <w:rPr>
          <w:rFonts w:ascii="IRNazanin" w:hAnsi="IRNazanin" w:eastAsia="IRNazanin"/>
          <w:color w:val="111111"/>
          <w:sz w:val="28"/>
          <w:sz w:val="28"/>
          <w:szCs w:val="28"/>
          <w:rtl w:val="true"/>
          <w:lang w:bidi="fa-IR"/>
        </w:rPr>
        <w:t>،فإذا انتفی أحد الأمرین فسدت المعاملة،و لم تترتّب علیها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أکره الظالم أحدا علی بیع أمواله فباعها بغیر رضی و طیب نفس کان البیع فاسدا،سواء تمکّن المکره فی دفع الإکراه من التوریة أم لم یتمکّن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باعها عن طیب نفس کان البیع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فالمناط فی صحّة المعاملات صدورها عن طیب النفس و الرضی</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عدم ثبوت أحکام المکره علی المضطرّ فی باب المعاملات و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الرفع إنّما ورد فی مقام الامتنان علی الامّة،و علی هذا فلو</w:t>
      </w:r>
    </w:p>
    <w:p>
      <w:pPr>
        <w:pStyle w:val="BookText"/>
        <w:rPr/>
      </w:pPr>
      <w:r>
        <w:rPr>
          <w:rFonts w:ascii="IRNazanin" w:hAnsi="IRNazanin" w:eastAsia="IRNazanin"/>
          <w:color w:val="111111"/>
          <w:sz w:val="28"/>
          <w:sz w:val="28"/>
          <w:szCs w:val="28"/>
          <w:rtl w:val="true"/>
          <w:lang w:bidi="fa-IR"/>
        </w:rPr>
        <w:t>اضطرّ أحد إلی بیع أمواله لأداء دینه،أو لمعالجة مریضه،أو لغیرهما من حاجاته فإنّ الحکم بفساد البیع حینئذ مناف للامتنان،و أمّا الإکراه فلیس کذلک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یستحبّ تحمّل الضرر المالی الذی لا یجحف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یستحبّ تحمّل الضرر المالی الذی لا یجحف و التجنّب عن الکذب فی موارد جوازه لحفظ المال،و حمل علیه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الإیمان أن تؤثر الصدق حیث یضرّک علی الکذب حیث ینفعک</w:t>
      </w:r>
      <w:r>
        <w:rPr>
          <w:rFonts w:eastAsia="IRNazanin" w:cs="IRNazanin"/>
          <w:color w:val="111111"/>
          <w:sz w:val="28"/>
          <w:szCs w:val="28"/>
          <w:rtl w:val="true"/>
          <w:lang w:bidi="fa-IR"/>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ثبوت هذا الاستحباب،فإنّ الضرر المالی إن بلغ إلی مرتبة یعدّ فی العرف ضررا جاز الکذب لدفعه،و إلاّ فهو حرام،لانصراف الأدلّة المجوّزة عن ذلک،فلا دلیل علی وجود الواسطة بینهما لکی تکون 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نهج البلاغة فأجنبی عن الکذب الجائز الذی هو مورد کلامنا بل هو راجع إلی الکذب المحرّم،و أن یتّخذه الإنسان وسیلة لانتفاعه،و من الواضح جدّا أنّ ترک ذلک من علائم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تقابل الصدق المضرّ مع الکذب النافع فیه،لأنّ الظاهر من الکذب النافع هو ما یکون وسیلة لتحصیل المنافع،و یکون المراد من الصدق المضرّ حینئذ عدم النفع،لکثرة إطلاق الضرر علیه فی العرف</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فشأن الحدیث شأن ما ورد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الزانی حین یزنی و هو مؤمن،و لا یسرق السارق حین یسرق و هو مؤمن</w:t>
      </w:r>
      <w:r>
        <w:rPr>
          <w:rFonts w:eastAsia="IRNazanin" w:cs="IRNazanin"/>
          <w:color w:val="111111"/>
          <w:sz w:val="28"/>
          <w:szCs w:val="28"/>
          <w:rtl w:val="true"/>
          <w:lang w:bidi="fa-IR"/>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bookmarkStart w:id="852" w:name="pg5064_65733"/>
    </w:p>
    <w:p>
      <w:pPr>
        <w:pStyle w:val="BookText"/>
        <w:rPr/>
      </w:pPr>
      <w:bookmarkEnd w:id="852"/>
      <w:r>
        <w:rPr>
          <w:rFonts w:ascii="IRNazanin" w:hAnsi="IRNazanin" w:eastAsia="IRNazanin"/>
          <w:color w:val="111111"/>
          <w:sz w:val="28"/>
          <w:sz w:val="28"/>
          <w:szCs w:val="28"/>
          <w:rtl w:val="true"/>
          <w:lang w:bidi="fa-IR"/>
        </w:rPr>
        <w:t xml:space="preserve">نعم یمکن الاستدلال علی الاستحباب بناء علی التسامح فی أدلّة السنن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الکذب و إن رأیتم فیه النجاة،فإنّ فیه الهلکة</w:t>
      </w:r>
      <w:r>
        <w:rPr>
          <w:rFonts w:eastAsia="IRNazanin" w:cs="IRNazanin"/>
          <w:color w:val="111111"/>
          <w:sz w:val="28"/>
          <w:szCs w:val="28"/>
          <w:rtl w:val="true"/>
          <w:lang w:bidi="fa-IR"/>
        </w:rPr>
        <w:t xml:space="preserve">» </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مفاد الحدیث أعم ممّا ذکره المصنّف</w:t>
      </w:r>
      <w:r>
        <w:rPr>
          <w:rFonts w:eastAsia="IRNazanin" w:cs="IRNazanin"/>
          <w:color w:val="111111"/>
          <w:sz w:val="28"/>
          <w:szCs w:val="28"/>
          <w:rtl w:val="true"/>
          <w:lang w:bidi="fa-IR"/>
        </w:rPr>
        <w:t>.</w:t>
      </w:r>
    </w:p>
    <w:p>
      <w:pPr>
        <w:pStyle w:val="Heading6"/>
        <w:numPr>
          <w:ilvl w:val="5"/>
          <w:numId w:val="1"/>
        </w:numPr>
        <w:rPr/>
      </w:pPr>
      <w:bookmarkStart w:id="853" w:name="__RefHeading___Toc910556_774463916"/>
      <w:bookmarkStart w:id="854" w:name="_Toc312"/>
      <w:bookmarkEnd w:id="853"/>
      <w:r>
        <w:rPr>
          <w:rtl w:val="true"/>
        </w:rPr>
        <w:t>الأقوال الصادرة عن الأئمّة</w:t>
      </w:r>
      <w:r>
        <w:rPr>
          <w:rtl w:val="true"/>
        </w:rPr>
        <w:t>(</w:t>
      </w:r>
      <w:r>
        <w:rPr>
          <w:rtl w:val="true"/>
        </w:rPr>
        <w:t>علیهم السّلام</w:t>
      </w:r>
      <w:r>
        <w:rPr>
          <w:rtl w:val="true"/>
        </w:rPr>
        <w:t>)</w:t>
      </w:r>
      <w:r>
        <w:rPr>
          <w:rtl w:val="true"/>
        </w:rPr>
        <w:t>تقیّة</w:t>
      </w:r>
      <w:bookmarkEnd w:id="854"/>
    </w:p>
    <w:p>
      <w:pPr>
        <w:pStyle w:val="BookText"/>
        <w:rPr/>
      </w:pPr>
      <w:r>
        <w:rPr>
          <w:rFonts w:ascii="IRNazanin" w:hAnsi="IRNazanin" w:eastAsia="IRNazanin"/>
          <w:color w:val="111111"/>
          <w:sz w:val="28"/>
          <w:sz w:val="28"/>
          <w:szCs w:val="28"/>
          <w:rtl w:val="true"/>
          <w:lang w:bidi="fa-IR"/>
        </w:rPr>
        <w:t>لا خلاف بین المسلمین،بل بین عقلاء العالم فی جواز الکذب لإنجاء النفس المحترمة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فمهما کان فی الصدق سفک دم امرئ مسلم فالکذب فیه واجب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تقدّمت </w:t>
      </w:r>
      <w:r>
        <w:rPr>
          <w:rStyle w:val="FootnoteAnchor"/>
          <w:rtl w:val="true"/>
        </w:rPr>
        <w:footnoteReference w:id="1258"/>
      </w:r>
      <w:r>
        <w:rPr>
          <w:rFonts w:ascii="IRNazanin" w:hAnsi="IRNazanin" w:eastAsia="IRNazanin"/>
          <w:color w:val="111111"/>
          <w:sz w:val="28"/>
          <w:sz w:val="28"/>
          <w:szCs w:val="28"/>
          <w:rtl w:val="true"/>
          <w:lang w:bidi="fa-IR"/>
        </w:rPr>
        <w:t>دلالة جملة من الآیات و الروایات علی هذا،بل هو من المستقلاّت العقلیة،و من الضروریات الدینیة التی لا خلاف فیها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فمن أنکره کان منکرا لإحدی ضروریات الدین،و لحقه حکم منکر الضروری من الکفر،و وجوب القتل،و بینونة الزوجة،و قسمة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فقد اتّضح لک الحال فی الأقوال الصادرة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التقیّة،فإنّا لو حملناها علی الکذب السائغ لحفظ أنفسهم و أصحابهم لم یکن بذلک بأس،مع أنّه یمکن حملها علی التوریة أیضا کما سیأتی</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یتجلّی لک افتضاح الناصبی المتعصّب إمام المشکّکین،حیث لهج بما لم یلهج به البشر،و قال فی خاتمة محصّل الأفکار حاکیا عن الزندیق سلیمان 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أئمّة الرافضة وضعوا القول بالتقیّة لئلاّ یظفر معها أحد علیهم،فإنّهم کلّما أرادوا شیئا تکلّموا به،فإذا قیل لهم هذا خطأ أو ظهر لهم بطلانه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قلناه تقیّة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أنّ التفوّه بذلک افتراء علی الأئمّة الطاهرین الذین أذهب اللّه عنهم الرجس و طهّرهم تطهیرا،قال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الأقوال الصادرة عن أئمّتنا فی مقام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صدر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تقیّة فی بیان الأحکام و إن جاز حمله علی الکذب الجائز حفظا لأنفسهم و أصحابهم عن الهلاک و لکنّ المناسب لکلامهم و الألیق بشأنهم حمله علی إرادة خلاف ظاهره من دون نصب قرینة علی المراد الجدّی،کأن یراد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بالصلاة فی ثوب أصابه خمر </w:t>
      </w:r>
      <w:r>
        <w:rPr>
          <w:rStyle w:val="FootnoteAnchor"/>
          <w:rtl w:val="true"/>
        </w:rPr>
        <w:footnoteReference w:id="1261"/>
      </w:r>
      <w:r>
        <w:rPr>
          <w:rFonts w:ascii="IRNazanin" w:hAnsi="IRNazanin" w:eastAsia="IRNazanin"/>
          <w:color w:val="111111"/>
          <w:sz w:val="28"/>
          <w:sz w:val="28"/>
          <w:szCs w:val="28"/>
          <w:rtl w:val="true"/>
          <w:lang w:bidi="fa-IR"/>
        </w:rPr>
        <w:t>جواز الصلاة فی الثوب المذکور مع تعذّر غسله و الاضطرار إلی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تصریحهم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بإرادة المحامل البعیدة فی بعض المقامات،ففی روایة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النوافل؟قال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ففزعنا و فزع الرجل،فقال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أعنی صلاة اللیل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آنفا عدم استقلال العقل بقبح الکذب فی جمیع الموارد و إنّما هو تابع للدلیل الشرعی،و علیه فمهما حرّمه الشارع یکشف منه أنّه قبیح</w:t>
      </w:r>
      <w:bookmarkStart w:id="855" w:name="pg5064_65735"/>
    </w:p>
    <w:p>
      <w:pPr>
        <w:pStyle w:val="BookText"/>
        <w:rPr/>
      </w:pPr>
      <w:bookmarkEnd w:id="855"/>
      <w:r>
        <w:rPr>
          <w:rFonts w:ascii="IRNazanin" w:hAnsi="IRNazanin" w:eastAsia="IRNazanin"/>
          <w:color w:val="111111"/>
          <w:sz w:val="28"/>
          <w:sz w:val="28"/>
          <w:szCs w:val="28"/>
          <w:rtl w:val="true"/>
          <w:lang w:bidi="fa-IR"/>
        </w:rPr>
        <w:t>و مهما ورد الدلیل علی جوازه یکشف منه أنّه لیس بقبیح،و حینئذ فالکذب الجائز و التوریة سواء فی الإباحة،و لا ترجیح لحمل الأخبار الموافقة للتقیة علی الثانی</w:t>
      </w:r>
      <w:r>
        <w:rPr>
          <w:rFonts w:eastAsia="IRNazanin" w:cs="IRNazanin"/>
          <w:color w:val="111111"/>
          <w:sz w:val="28"/>
          <w:szCs w:val="28"/>
          <w:rtl w:val="true"/>
          <w:lang w:bidi="fa-IR"/>
        </w:rPr>
        <w:t>.</w:t>
      </w:r>
    </w:p>
    <w:p>
      <w:pPr>
        <w:pStyle w:val="Heading6"/>
        <w:numPr>
          <w:ilvl w:val="5"/>
          <w:numId w:val="1"/>
        </w:numPr>
        <w:rPr/>
      </w:pPr>
      <w:bookmarkStart w:id="856" w:name="__RefHeading___Toc910558_774463916"/>
      <w:bookmarkStart w:id="857" w:name="_Toc313"/>
      <w:bookmarkEnd w:id="856"/>
      <w:r>
        <w:rPr>
          <w:rtl w:val="true"/>
        </w:rPr>
        <w:t>دوران الأمر بین الحمل علی الوجوب تقیّة و الاستحباب</w:t>
      </w:r>
      <w:bookmarkEnd w:id="85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أنّه إذا دار الأمر فی بعض المواضع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ورد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 تردّدنا بین أن نحمله علی الوجوب بداعی التقیّة أو علی الاستحباب بداعی بیان الواقع تعیّن الحمل علی الثانی،بأن یراد من الأمر معناه المجازی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نصب قرینة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مثاله أن یرد أمر بالوضوء عقیب ما یعدّه العامّة حدثا و ناقضا للوضوء کالمذی و الودی و مسّ الفرج و الانثیین،و غیرها من الامور التی یراها العامّة أحداثا ناقضة للوضوء </w:t>
      </w:r>
      <w:r>
        <w:rPr>
          <w:rStyle w:val="FootnoteAnchor"/>
          <w:rtl w:val="true"/>
        </w:rPr>
        <w:footnoteReference w:id="1263"/>
      </w:r>
      <w:r>
        <w:rPr>
          <w:rFonts w:ascii="IRNazanin" w:hAnsi="IRNazanin" w:eastAsia="IRNazanin"/>
          <w:color w:val="111111"/>
          <w:sz w:val="28"/>
          <w:sz w:val="28"/>
          <w:szCs w:val="28"/>
          <w:rtl w:val="true"/>
          <w:lang w:bidi="fa-IR"/>
        </w:rPr>
        <w:t>فإنّه یدور الأمر حینئذ بین حمله علی الوجوب بداعی التقیّة،و بین حمله علی الاستحباب بداعی بیان الواقع،و من المعلوم أنّ الحمل علی الثانی أولی،إذ لم یثبت من مذهب الشیعة عدم استحباب الوضوء عقیب الامور المذکورة،و لکن ثبت عندهم أنّها لا تنقض الوضوء جزما،و علیه فتتأدّی التقیّة بإرادة المجاز و إخفاء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المصنّف حیث أشار بکلامه هذا إلی قاعدة کلّیة و ضابطة شریفة تتفرّع عنها فروع کثیرة،و من شأنها أن یبحث عنها فی علم الاصول فی فصل من فصول أبحاث الأوامر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الکلام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یدور أمره بین الحمل علی التقیّة و بین الحمل علی الاستحباب علی ثلاثة أقسام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ظهوره فی بیان الحکم الوضعی المحض،کما إذا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الرعاف أو الحجامة مثلا من النواقض للوضوء،فإنّه لا ریب فی</w:t>
      </w:r>
    </w:p>
    <w:p>
      <w:pPr>
        <w:pStyle w:val="BookText"/>
        <w:rPr/>
      </w:pPr>
      <w:r>
        <w:rPr>
          <w:rFonts w:ascii="IRNazanin" w:hAnsi="IRNazanin" w:eastAsia="IRNazanin"/>
          <w:color w:val="111111"/>
          <w:sz w:val="28"/>
          <w:sz w:val="28"/>
          <w:szCs w:val="28"/>
          <w:rtl w:val="true"/>
          <w:lang w:bidi="fa-IR"/>
        </w:rPr>
        <w:t>حمل هذا القسم علی التقیّة،بأن یکون المراد أنّها ناقضة حقیقة للوضوء،و لکن صدور هذا الحکم بداعی التقیّة،لا بداعی 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یدلّ بظهوره علی الحکم التکلیفی المولوی المحض،کما إذا فرضنا أنّ قراءة الدعاء عند رؤیة الهلال واجبة عند العامّة و مستحبّة عندنا،و وردت روایة من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الوجوب،فإنّ الأمر حینئذ یدور بین حمل هذه الروایة علی الوجوب بداعی التقیّة و بین حملها علی الاستحباب بداعی الجدّ غایة الأمر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ینصب قرینة علی مراده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فبناء علی مسلک المصنّف من کون الأمر حقیقة فی الوجوب و مجازا فی غیره یدور الأمر بین حمله علی التقیّة فی بیان الحکم،و رفع الید عن المراد الجدّی أعنی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حمله علی الوجوب الخاص أعنی الوجوب حال التقیّة،و رفع الید عن ظهور الأمر فی الوجوب المطلق،بأن یکون المراد أنّ قراءة الدعاء عند رؤیة الهلال واجبة حال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حمله علی الاستحباب و رفع الید عن ظهور الکلام فی الوجوب من دون نصب قرینة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مرجّح لأحد الامور الثلاثة بعینه،فیکون الکلام مجملا</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علی ما حقّقناه فی محلّه </w:t>
      </w:r>
      <w:r>
        <w:rPr>
          <w:rStyle w:val="FootnoteAnchor"/>
          <w:rtl w:val="true"/>
        </w:rPr>
        <w:footnoteReference w:id="1264"/>
      </w:r>
      <w:r>
        <w:rPr>
          <w:rFonts w:ascii="IRNazanin" w:hAnsi="IRNazanin" w:eastAsia="IRNazanin"/>
          <w:color w:val="111111"/>
          <w:sz w:val="28"/>
          <w:sz w:val="28"/>
          <w:szCs w:val="28"/>
          <w:rtl w:val="true"/>
          <w:lang w:bidi="fa-IR"/>
        </w:rPr>
        <w:t>من أنّ الأمر موضوع لواقع الطلب،أعنی إظهار الاعتبار النفسانی علی ذمّة المکلّف،فما لم یثبت الترخیص من الخارج فإنّ العقل یحکم بالوجوب،و إذا ثبت الترخیص فیه من القرائن الخارجیة حمل علی الاستحباب،و علیه فلا مانع من حمل الأمر بقراءة الدعاء عند رؤیة الهلال علی الاستحباب،للقطع الخارجی بعدم وجوبها عند رؤیة الهلال،فیتعیّن الاستحباب إذ لیس هنا احتمال آخر غیره لکی یلزم الإجمال</w:t>
      </w:r>
      <w:r>
        <w:rPr>
          <w:rFonts w:eastAsia="IRNazanin" w:cs="IRNazanin"/>
          <w:color w:val="111111"/>
          <w:sz w:val="28"/>
          <w:szCs w:val="28"/>
          <w:rtl w:val="true"/>
          <w:lang w:bidi="fa-IR"/>
        </w:rPr>
        <w:t>.</w:t>
      </w:r>
      <w:bookmarkStart w:id="858" w:name="pg5064_65737"/>
    </w:p>
    <w:p>
      <w:pPr>
        <w:pStyle w:val="BookText"/>
        <w:rPr/>
      </w:pPr>
      <w:bookmarkEnd w:id="858"/>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الکلام الصادر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فی بیان الحکم التکلیفی،إلاّ أنّه فی الواقع بیان للحکم الوضعی الصرف،کما إذا ورد الأمر بالوضوء عقیب المذی و الودی و مسّ الفرج و الانثیین أو غیرها من الامور التی یراها العامّة أحداثا ناقضة للوضوء،فإنّ الأمر فی هذه الموارد إرشاد إلی ناقضیة الامور المذکورة للوضوء،کما أنّ الأمر بالوضوء عقیب البول و النوم إرشاد إلی ذلک أیضا،و حینئذ فیدور الأمر بین حمله علی ظاهره من الناقضیة بداعی التقیّة لا الجدّ و بین حمله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الأول،فإنّ حمله علی الثانی یستلزم مخالفة الظاهر من جهتین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ما هو ظاهر فی الإرشاد إلی الناقضیة علی خلاف ظاهره من إرادة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ما هو ظاهر فی الوجوب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حملناه علی التقیّة فلا یلزم منه إلاّ مخالفة الظاهر فی جهة واحدة،و هی حمل الکلام علی غیر ظاهره من المراد الجدّی</w:t>
      </w:r>
      <w:r>
        <w:rPr>
          <w:rFonts w:eastAsia="IRNazanin" w:cs="IRNazanin"/>
          <w:color w:val="111111"/>
          <w:sz w:val="28"/>
          <w:szCs w:val="28"/>
          <w:rtl w:val="true"/>
          <w:lang w:bidi="fa-IR"/>
        </w:rPr>
        <w:t>.</w:t>
      </w:r>
    </w:p>
    <w:p>
      <w:pPr>
        <w:pStyle w:val="Heading5"/>
        <w:numPr>
          <w:ilvl w:val="4"/>
          <w:numId w:val="1"/>
        </w:numPr>
        <w:rPr/>
      </w:pPr>
      <w:bookmarkStart w:id="859" w:name="__RefHeading___Toc910560_774463916"/>
      <w:bookmarkStart w:id="860" w:name="_Toc314"/>
      <w:bookmarkEnd w:id="859"/>
      <w:r>
        <w:rPr>
          <w:rtl w:val="true"/>
        </w:rPr>
        <w:t>جواز الکذب لإرادة الإصلاح</w:t>
      </w:r>
      <w:bookmarkEnd w:id="86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من مسوّغات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الإصلاح</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شبهة فی جواز الکذب للإصلاح بین المتخاصمین فی الجملة عند الفریقین نصّا </w:t>
      </w:r>
      <w:r>
        <w:rPr>
          <w:rStyle w:val="FootnoteAnchor"/>
          <w:rtl w:val="true"/>
        </w:rPr>
        <w:footnoteReference w:id="1265"/>
      </w:r>
      <w:r>
        <w:rPr>
          <w:rFonts w:ascii="IRNazanin" w:hAnsi="IRNazanin" w:eastAsia="IRNazanin"/>
          <w:color w:val="111111"/>
          <w:sz w:val="28"/>
          <w:sz w:val="28"/>
          <w:szCs w:val="28"/>
          <w:rtl w:val="true"/>
          <w:lang w:bidi="fa-IR"/>
        </w:rPr>
        <w:t>و فتوی،و 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و البغضاء بین المتخاصمین تارة</w:t>
      </w:r>
    </w:p>
    <w:p>
      <w:pPr>
        <w:pStyle w:val="BookText"/>
        <w:rPr/>
      </w:pPr>
      <w:r>
        <w:rPr>
          <w:rFonts w:ascii="IRNazanin" w:hAnsi="IRNazanin" w:eastAsia="IRNazanin"/>
          <w:color w:val="111111"/>
          <w:sz w:val="28"/>
          <w:sz w:val="28"/>
          <w:szCs w:val="28"/>
          <w:rtl w:val="true"/>
          <w:lang w:bidi="fa-IR"/>
        </w:rPr>
        <w:t>یکون من کلا الطرفین،بأن یکون کل منهما حربا للآخر،و قاصدا لإیقاع الضرر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یکون الحقد و النفاق من طرف واحد،کأن وشی إلیه نمّام علی أخیه کاذبا فحقد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القسمین مشمولان لإطلاق ما دلّ علی جواز الکذب فی مورد الإصلاح</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الاستدلال علی جواز الکذب للإصلاح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w:t>
      </w:r>
      <w:r>
        <w:rPr>
          <w:rStyle w:val="FootnoteAnchor"/>
          <w:rtl w:val="true"/>
        </w:rPr>
        <w:footnoteReference w:id="1266"/>
      </w:r>
      <w:r>
        <w:rPr>
          <w:rFonts w:ascii="IRNazanin" w:hAnsi="IRNazanin" w:eastAsia="IRNazanin"/>
          <w:color w:val="111111"/>
          <w:sz w:val="28"/>
          <w:sz w:val="28"/>
          <w:szCs w:val="28"/>
          <w:rtl w:val="true"/>
          <w:lang w:bidi="fa-IR"/>
        </w:rPr>
        <w:t>أی أصلحوا بین المؤمنین إذا تخاصموا و تقاتلوا وَ اتَّقُوا اللّهَ فی ترک العدل و الإصلاح لَعَلَّکُمْ تُرْحَمُونَ فإنّ إطلاق الآیة یشمل الإصلاح بالکذب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فتکون الآیة معارضة لعموم ما دلّ علی حرمة الکذب بالعموم من وجه،و بعد تساقطهما فی مادّة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الکذب للإصلاح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البراءة،أو إلی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 لیس بکذّاب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ینفی الکذب عن المصلح علی سبیل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جواز الکذب للإصلاح بین أن یکون المصلح أحد المتخاصمین أو غیرهما،و یدلّ علی تأکّد الحکم فی الأول بعض الأحادیث الواردة فی حرمة هجران المؤمن فوق ثلاثة أیّام،کقوله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مؤمنین اهتجرا فوق ثلاث إلاّ برئت منهما فی الثالثة،قیل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 الظالم فما بال المظلوم؟فقال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المظلوم لا یصیر إلی الظالم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الظالم،حتّی یصطلحا</w:t>
      </w:r>
      <w:r>
        <w:rPr>
          <w:rFonts w:eastAsia="IRNazanin" w:cs="IRNazanin"/>
          <w:color w:val="111111"/>
          <w:sz w:val="28"/>
          <w:szCs w:val="28"/>
          <w:rtl w:val="true"/>
          <w:lang w:bidi="fa-IR"/>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جدّا أنّ قول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 قد ذمّه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ترکه،فیکون مستحبّا مؤکّدا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أخبار کثیرة جواز الوعد الکاذب مع الزوجة،بل مطلق 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الوعد علی سبیل الإنشاء فهو خارج عن الکذب موضوعا علی ما عرفته سابقا </w:t>
      </w:r>
      <w:r>
        <w:rPr>
          <w:rStyle w:val="FootnoteAnchor"/>
          <w:rtl w:val="true"/>
        </w:rPr>
        <w:footnoteReference w:id="1268"/>
      </w:r>
      <w:r>
        <w:rPr>
          <w:rFonts w:ascii="IRNazanin" w:hAnsi="IRNazanin" w:eastAsia="IRNazanin"/>
          <w:color w:val="111111"/>
          <w:sz w:val="28"/>
          <w:sz w:val="28"/>
          <w:szCs w:val="28"/>
          <w:rtl w:val="true"/>
          <w:lang w:bidi="fa-IR"/>
        </w:rPr>
        <w:t>،و إن کان علی سبیل الإخبار و لم یحرز المتکلّم تحقّق المخبر به فی ظرفه فهو کذب محرّم علی صورة الوعد،کما عرفت فی البحث عن حکم خلف الوعد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ظاهر جملة من الروایات التی تقدّم بعضها فی البحث عن جواز الکذب للإصلاح هو جواز الوعد الکاذب للزوجة،بل لمطلق الأهل،و علیه فیقیّد بها ما دلّ علی حرمة الکذب،کما یقیّد بها أیضا ما دلّ علی وجوب الوفاء بالوعد لو قلنا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بعدم صلاحیة ذلک للتقیید،لضعف السند</w:t>
      </w:r>
      <w:r>
        <w:rPr>
          <w:rFonts w:eastAsia="IRNazanin" w:cs="IRNazanin"/>
          <w:color w:val="111111"/>
          <w:sz w:val="28"/>
          <w:szCs w:val="28"/>
          <w:rtl w:val="true"/>
          <w:lang w:bidi="fa-IR"/>
        </w:rPr>
        <w:t>.</w:t>
      </w:r>
      <w:bookmarkStart w:id="861" w:name="pg5064_65740"/>
    </w:p>
    <w:p>
      <w:pPr>
        <w:pStyle w:val="Heading3"/>
        <w:numPr>
          <w:ilvl w:val="2"/>
          <w:numId w:val="1"/>
        </w:numPr>
        <w:rPr/>
      </w:pPr>
      <w:bookmarkStart w:id="862" w:name="__RefHeading___Toc910562_774463916"/>
      <w:bookmarkStart w:id="863" w:name="_Toc315"/>
      <w:bookmarkEnd w:id="861"/>
      <w:bookmarkEnd w:id="862"/>
      <w:r>
        <w:rPr>
          <w:rtl w:val="true"/>
        </w:rPr>
        <w:t>حرمة الکهانة</w:t>
      </w:r>
      <w:bookmarkEnd w:id="863"/>
    </w:p>
    <w:p>
      <w:pPr>
        <w:pStyle w:val="Heading4"/>
        <w:numPr>
          <w:ilvl w:val="3"/>
          <w:numId w:val="1"/>
        </w:numPr>
        <w:rPr/>
      </w:pPr>
      <w:bookmarkStart w:id="864" w:name="__RefHeading___Toc910564_774463916"/>
      <w:bookmarkStart w:id="865" w:name="_Toc316"/>
      <w:bookmarkEnd w:id="864"/>
      <w:r>
        <w:rPr>
          <w:rtl w:val="true"/>
        </w:rPr>
        <w:t>اشارة</w:t>
      </w:r>
      <w:bookmarkEnd w:id="86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الکهانة؟و ما حکم الرجوع إلی الکاهن؟و ما حکم الإخبار عن الامور المستقبلة؟</w:t>
      </w:r>
    </w:p>
    <w:p>
      <w:pPr>
        <w:pStyle w:val="Heading4"/>
        <w:numPr>
          <w:ilvl w:val="3"/>
          <w:numId w:val="1"/>
        </w:numPr>
        <w:rPr/>
      </w:pPr>
      <w:bookmarkStart w:id="866" w:name="__RefHeading___Toc910566_774463916"/>
      <w:bookmarkStart w:id="867" w:name="_Toc317"/>
      <w:bookmarkEnd w:id="866"/>
      <w:r>
        <w:rPr>
          <w:rtl w:val="true"/>
        </w:rPr>
        <w:t>موضوع الکهانة و أقسامها</w:t>
      </w:r>
      <w:bookmarkEnd w:id="867"/>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الکهانة فهی فی اللغة </w:t>
      </w:r>
      <w:r>
        <w:rPr>
          <w:rStyle w:val="FootnoteAnchor"/>
          <w:rtl w:val="true"/>
        </w:rPr>
        <w:footnoteReference w:id="1269"/>
      </w:r>
      <w:r>
        <w:rPr>
          <w:rFonts w:ascii="IRNazanin" w:hAnsi="IRNazanin" w:eastAsia="IRNazanin"/>
          <w:color w:val="111111"/>
          <w:sz w:val="28"/>
          <w:sz w:val="28"/>
          <w:szCs w:val="28"/>
          <w:rtl w:val="true"/>
          <w:lang w:bidi="fa-IR"/>
        </w:rPr>
        <w:t>الإخبار عن الکائنات فی مستقبل الزمان،و قیل هی عمل یوجب طاعة الجانّ للکاهن،و من 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الکاهن من کان له رأی من الجنّ یأتیه بالأخبار،و هی قریبة من السحر أو أخصّ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العرّاف </w:t>
      </w:r>
      <w:r>
        <w:rPr>
          <w:rStyle w:val="FootnoteAnchor"/>
          <w:rtl w:val="true"/>
        </w:rPr>
        <w:footnoteReference w:id="1270"/>
      </w:r>
      <w:r>
        <w:rPr>
          <w:rFonts w:ascii="IRNazanin" w:hAnsi="IRNazanin" w:eastAsia="IRNazanin"/>
          <w:color w:val="111111"/>
          <w:sz w:val="28"/>
          <w:sz w:val="28"/>
          <w:szCs w:val="28"/>
          <w:rtl w:val="true"/>
          <w:lang w:bidi="fa-IR"/>
        </w:rPr>
        <w:t>هو المنجّم و الکاهن،و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العرّاف کالکاهن،إلاّ أنّ العرّاف یختصّ بمن یخبر عن الأحوال المستقبلة،و الکاهن بمن یخبر عن الأحوال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کان،فالکهانة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 الکاهن عن الحوادث المستقبلة،لاتّصاله بالشیاطین القاعدین مقاعد استراق السمع من السماء،فیطّلعون علی أسرارها،ثمّ یرجعون إلی أولیائهم لکی یؤدّوها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 الکاهن عن الکائنات الأرضیة و الحوادث السفلیة،لاتّصاله بطائفة من الجنّ و الشیاطین التی تلقی إلیه الأخبار الراجعة إلی الحوادث الأرضیة فقط،لأنّ الشیاطین قد منعت عن الاطّلاع إلی السماء و أخبارها بعد بعثة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خبر الاحتجاج </w:t>
      </w:r>
      <w:r>
        <w:rPr>
          <w:rStyle w:val="FootnoteAnchor"/>
          <w:rtl w:val="true"/>
        </w:rPr>
        <w:footnoteReference w:id="1271"/>
      </w:r>
      <w:r>
        <w:rPr>
          <w:rFonts w:ascii="IRNazanin" w:hAnsi="IRNazanin" w:eastAsia="IRNazanin"/>
          <w:color w:val="111111"/>
          <w:sz w:val="28"/>
          <w:sz w:val="28"/>
          <w:szCs w:val="28"/>
          <w:rtl w:val="true"/>
          <w:lang w:bidi="fa-IR"/>
        </w:rPr>
        <w:t>أطلق لفظ الکاهن علی کلا القسمین،أمّا إطلاقه علی القسم الأول فهو صریح جملة من فقراته،و أمّا إطلاقه علی القسم الثانی فقد وقع منه فی فقرتین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یحدث فی الأرض من الحوادث الظاهرة فذلک یعلم الشیاطین،و یؤدّیه إلی الکاهن،و یخبره بما یحدث فی المنازل و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أنّ الشیاطین کانوا یسترقون أخبار السماء،و یقذفونها إلی الکاهن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فمنذ منعت الشیطان عن استراق السمع انقطعت الکهانة،و الیوم إنّما تؤدّی الشیاطین إلی کهّانها أخبارا للناس ممّا یتحدّثون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یحدث فی البعد من 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أطلق الکاهن فی هاتین الفقرتین علی المخبر عن الکائنات السفلیة بواسطة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انقطعت الکهانة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منها هو الکهانة الکاملة،أعنی القسم الأول</w:t>
      </w:r>
      <w:r>
        <w:rPr>
          <w:rFonts w:eastAsia="IRNazanin" w:cs="IRNazanin"/>
          <w:color w:val="111111"/>
          <w:sz w:val="28"/>
          <w:szCs w:val="28"/>
          <w:rtl w:val="true"/>
          <w:lang w:bidi="fa-IR"/>
        </w:rPr>
        <w:t>.</w:t>
      </w:r>
      <w:bookmarkStart w:id="868" w:name="pg5064_65742"/>
    </w:p>
    <w:p>
      <w:pPr>
        <w:pStyle w:val="BookText"/>
        <w:rPr/>
      </w:pPr>
      <w:bookmarkEnd w:id="868"/>
      <w:r>
        <w:rPr>
          <w:rFonts w:ascii="IRNazanin" w:hAnsi="IRNazanin" w:eastAsia="IRNazanin"/>
          <w:color w:val="111111"/>
          <w:sz w:val="28"/>
          <w:sz w:val="28"/>
          <w:szCs w:val="28"/>
          <w:rtl w:val="true"/>
          <w:lang w:bidi="fa-IR"/>
        </w:rPr>
        <w:t xml:space="preserve">و تدلّ علی حرمة کلا القسمین مضافا إلی خبر الاحتجاج المتقدّم جملة من الروایات من طرق الخاصّة </w:t>
      </w:r>
      <w:r>
        <w:rPr>
          <w:rStyle w:val="FootnoteAnchor"/>
          <w:rtl w:val="true"/>
        </w:rPr>
        <w:footnoteReference w:id="1272"/>
      </w:r>
      <w:r>
        <w:rPr>
          <w:rFonts w:ascii="Amiri" w:hAnsi="Amiri" w:eastAsia="Amiri" w:cs="Amiri"/>
          <w:color w:val="111111"/>
          <w:sz w:val="28"/>
          <w:sz w:val="28"/>
          <w:szCs w:val="28"/>
          <w:rtl w:val="true"/>
          <w:lang w:bidi="ar-SA"/>
        </w:rPr>
        <w:t xml:space="preserve">و من طرق العامّة </w:t>
      </w:r>
      <w:r>
        <w:rPr>
          <w:rStyle w:val="FootnoteAnchor"/>
          <w:rtl w:val="true"/>
        </w:rPr>
        <w:footnoteReference w:id="1273"/>
      </w:r>
      <w:r>
        <w:rPr>
          <w:rFonts w:ascii="IRNazanin" w:hAnsi="IRNazanin" w:eastAsia="IRNazanin"/>
          <w:color w:val="111111"/>
          <w:sz w:val="28"/>
          <w:sz w:val="28"/>
          <w:szCs w:val="28"/>
          <w:rtl w:val="true"/>
          <w:lang w:bidi="fa-IR"/>
        </w:rPr>
        <w:t xml:space="preserve">و قد تقدّم بعضها فی البحث عن حرمة التنجیم و السحر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9" w:name="__RefHeading___Toc910568_774463916"/>
      <w:bookmarkStart w:id="870" w:name="_Toc318"/>
      <w:bookmarkEnd w:id="869"/>
      <w:r>
        <w:rPr>
          <w:rtl w:val="true"/>
        </w:rPr>
        <w:t>حرمة الرجوع إلی الکاهن</w:t>
      </w:r>
      <w:bookmarkEnd w:id="870"/>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الرجوع إلی الکاهن و العمل بقوله،و ترتیب الأثر علیه فی الامور الدینیة،و الاستناد إلیه فی إثبات أمر أو نفیه،فلا شبهة فی حرمته،بل لا خلاف فیها بین المسلمین،لکونه افتراء علی اللّه،و عملا بالظنّ الذی لا یغنی من الحقّ شیئا</w:t>
      </w:r>
      <w:r>
        <w:rPr>
          <w:rFonts w:eastAsia="IRNazanin" w:cs="IRNazanin"/>
          <w:color w:val="111111"/>
          <w:sz w:val="28"/>
          <w:szCs w:val="28"/>
          <w:rtl w:val="true"/>
          <w:lang w:bidi="fa-IR"/>
        </w:rPr>
        <w:t>.</w:t>
      </w:r>
      <w:bookmarkStart w:id="871" w:name="pg5064_65743"/>
    </w:p>
    <w:p>
      <w:pPr>
        <w:pStyle w:val="BookText"/>
        <w:rPr/>
      </w:pPr>
      <w:bookmarkEnd w:id="871"/>
      <w:r>
        <w:rPr>
          <w:rFonts w:ascii="IRNazanin" w:hAnsi="IRNazanin" w:eastAsia="IRNazanin"/>
          <w:color w:val="111111"/>
          <w:sz w:val="28"/>
          <w:sz w:val="28"/>
          <w:szCs w:val="28"/>
          <w:rtl w:val="true"/>
          <w:lang w:bidi="fa-IR"/>
        </w:rPr>
        <w:t>و تدلّ علی الحرمة أیضا جملة من روایات الفریقین الناهیة عن إتیان الکاهن و العرّاف،فإنّ الإتیان إلیهم کنایة عن تصدیقهم و العمل بقولهم،کما فی تاج العروس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کاهنا أو عرّافا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صدّقهم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العرّاف یصدق علیه الکاهن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الخصال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تکهّن أو تکهّن له فقد برئ من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جاء إلی الکاهن و أخذ منه الرأی فلیس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إلی هذه الروایات فی الحاشیة</w:t>
      </w:r>
      <w:r>
        <w:rPr>
          <w:rFonts w:eastAsia="IRNazanin" w:cs="IRNazanin"/>
          <w:color w:val="111111"/>
          <w:sz w:val="28"/>
          <w:szCs w:val="28"/>
          <w:rtl w:val="true"/>
          <w:lang w:bidi="fa-IR"/>
        </w:rPr>
        <w:t>.</w:t>
      </w:r>
    </w:p>
    <w:p>
      <w:pPr>
        <w:pStyle w:val="Heading4"/>
        <w:numPr>
          <w:ilvl w:val="3"/>
          <w:numId w:val="1"/>
        </w:numPr>
        <w:rPr/>
      </w:pPr>
      <w:bookmarkStart w:id="872" w:name="__RefHeading___Toc910570_774463916"/>
      <w:bookmarkStart w:id="873" w:name="_Toc319"/>
      <w:bookmarkEnd w:id="872"/>
      <w:r>
        <w:rPr>
          <w:rtl w:val="true"/>
        </w:rPr>
        <w:t>حکم الإخبار عن الامور المستقبلة</w:t>
      </w:r>
      <w:bookmarkEnd w:id="873"/>
    </w:p>
    <w:p>
      <w:pPr>
        <w:pStyle w:val="BookText"/>
        <w:rPr/>
      </w:pPr>
      <w:r>
        <w:rPr>
          <w:rFonts w:ascii="IRNazanin" w:hAnsi="IRNazanin" w:eastAsia="IRNazanin"/>
          <w:color w:val="111111"/>
          <w:sz w:val="28"/>
          <w:sz w:val="28"/>
          <w:szCs w:val="28"/>
          <w:rtl w:val="true"/>
          <w:lang w:bidi="fa-IR"/>
        </w:rPr>
        <w:t>و أمّا الإخبار عن الامور المستقبلة جزما فیقع البحث عن حکمه تارة من حیث القاعدة،و اخری من حیث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المخبر عن الحوادث الآتیة شاکّا فی وقوعها فی مستقبل الزمان،و قد یکون جازما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فلا شبهة فی حرمته،لکونه من الکذب المحرّم،و من القول بغیر علم،و قد عرفت فی البحث عن حکم خلف الوعد </w:t>
      </w:r>
      <w:r>
        <w:rPr>
          <w:rStyle w:val="FootnoteAnchor"/>
          <w:rtl w:val="true"/>
        </w:rPr>
        <w:footnoteReference w:id="1275"/>
      </w:r>
      <w:r>
        <w:rPr>
          <w:rFonts w:ascii="IRNazanin" w:hAnsi="IRNazanin" w:eastAsia="IRNazanin"/>
          <w:color w:val="111111"/>
          <w:sz w:val="28"/>
          <w:sz w:val="28"/>
          <w:szCs w:val="28"/>
          <w:rtl w:val="true"/>
          <w:lang w:bidi="fa-IR"/>
        </w:rPr>
        <w:t>أنّ المخبر ما لم یکن جازما بوقوع المخبر به فی الخارج فهو کاذب فی إخباره،نعم لو صادف الواقع فی هذا الحال کان حراما من جهة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 وجه لحرمته،فإنّه خارج عن الکذب و عن القول بغیر علم موضوعا و حکما،و لکن المصنّف التزم بحرمته لامور</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الهیثم،قال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بالجزیرة رجلا ربما أخبر من یأتیه یسأله عن الشیء یسرق أو شبه ذلک،فنسأله؟فقال قال</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إلی ساحر أو کاهن أو کذّاب یصدّقه فیما یقول فقد کفر بما أنزل اللّه من کتاب</w:t>
      </w:r>
      <w:r>
        <w:rPr>
          <w:rFonts w:eastAsia="IRNazanin" w:cs="IRNazanin"/>
          <w:color w:val="111111"/>
          <w:sz w:val="28"/>
          <w:szCs w:val="28"/>
          <w:rtl w:val="true"/>
          <w:lang w:bidi="fa-IR"/>
        </w:rPr>
        <w:t xml:space="preserve">» </w:t>
      </w:r>
      <w:r>
        <w:rPr>
          <w:rStyle w:val="FootnoteAnchor"/>
          <w:rtl w:val="true"/>
        </w:rPr>
        <w:footnoteReference w:id="1276"/>
      </w:r>
      <w:r>
        <w:rPr>
          <w:rFonts w:ascii="IRNazanin" w:hAnsi="IRNazanin" w:eastAsia="IRNazanin"/>
          <w:color w:val="111111"/>
          <w:sz w:val="28"/>
          <w:sz w:val="28"/>
          <w:szCs w:val="28"/>
          <w:rtl w:val="true"/>
          <w:lang w:bidi="fa-IR"/>
        </w:rPr>
        <w:t>بدعوی أنّ الإخبار عن الغائبات علی سبیل الجزم محرّم مطلقا،سواء أکان بالکهانة أم بغیرها،لأنّه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المخبر بالشیء الغائب بالساحر و الکاهن و الکذّاب،و جعل الکل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بقرینة السؤال ظاهرة فی الإخبار عن الامور الماضیة من السرقة و الضالّة و نحوها،و لا إشکال فی جواز الإخبار عن الامور الماضیة إذا کان المخبر جازما بوقوعها،و إنّما الکلام فی الإخبار علی سبیل الجزم عن الحوادث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فمورد الروایة أجنبی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 الروایة علی انحصار المخبر عن الامور المغیّبة بالکاهن و الساحر و الکذّاب،بل الظاهر منها أنّ الإخبار المحرّم منحصر بإخبار هذه الطوائف الثلاث،فالإمام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ضابطة حرمة الإخبار عن الغائبات و نظیره ما إذا سئل أحد عن حرمة شرب العصیر التمری فأجاب بأنّ الحرام من المشروبات إنّما هو الخمر و النبیذ و العصیر العنبی إذا غلی،فإنّ هذا الجواب لا یدلّ علی حصر جمیع المشروبات بالمحرّم،و إنّما یدلّ علی حصر المشروبات المحرّمة بالامور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دلالة فی الروایة علی حرمة مطلق الإخبار عن الامور المستقبلة و لو من غیر الکاهن و الساحر و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تدلّ علیه الروایة أنّ تصدیق المخبر فی إخباره حرام،لأنّه غیر حجّة،و أمّا حرمة إخبار المخبر فلا تدلّ الروایة علی حرمته،کما هو الحال فی إخبار الفاسق و غیره فیما لا یکون قوله حجّة</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المناهی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نهی</w:t>
      </w:r>
    </w:p>
    <w:p>
      <w:pPr>
        <w:pStyle w:val="BookText"/>
        <w:rPr/>
      </w:pPr>
      <w:r>
        <w:rPr>
          <w:rFonts w:ascii="IRNazanin" w:hAnsi="IRNazanin" w:eastAsia="IRNazanin"/>
          <w:color w:val="111111"/>
          <w:sz w:val="28"/>
          <w:sz w:val="28"/>
          <w:szCs w:val="28"/>
          <w:rtl w:val="true"/>
          <w:lang w:bidi="fa-IR"/>
        </w:rPr>
        <w:t>عن إتیان العرّاف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أتاه و صدّقه فقد برئ ممّا أنزل اللّه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المخبر عن الغائبات فی المستقبل کاهن و یختصّ باسم العرّاف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إتیان العرّاف کنایة عن العمل بقوله،و ترتیب الأثر علیه،کما عرفته آنفا،فلا دلالة فیه علی حرمة الإخبار عن الامور المستقبلة بأیّ نحو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یقع فی الأرض سبب یشاکل الوحی</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إلخ،فإنّ الإخبار عن الغائبات و الکائنات فی مستقبل الزمان من الامور تشاکل الوحی،و من المقطوع به أنّه مبغوض للشارع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الممنوع فی الروایة هو الإخبار عن السماء بوساطة الشیاطین،فإنّهم کانوا یقعدون مقاعد استراق السمع من السماء،و یطلعون علی مستقبل الامور و یحملونها إلی الکهنة،و یبثّونها فیهم،و قد منعوا عن ذلک بالشهاب الثاقب لئلاّ یقع فی الأرض ما یشاکل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مجرد الإخبار عن الامور الآتیة بأیّ سبب کان فلا یرتبط بالکهانة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من ذلک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المتحصّل ممّا ذکرناه هو حرمة الإخبار عن الغائبات من غیر نظر فی بعض ما صحّ اعتباره،کنبذ من الرمل و الجفر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جواز الإخبار عن الغائبات فی مستقبل الزمان إنّما هو حصول الاطمئنان بوقوع المخبر به کما عرفت،و علیه فلا فرق بین الرمل و الجفر و غیرهما من موجبات الاطمئنان</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عبارة المصنّف هو اعتبار بعض أقسام الرمل و الجفر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w:t>
      </w:r>
      <w:bookmarkStart w:id="874" w:name="pg5064_65746"/>
    </w:p>
    <w:p>
      <w:pPr>
        <w:pStyle w:val="BookText"/>
        <w:rPr/>
      </w:pPr>
      <w:bookmarkEnd w:id="874"/>
      <w:r>
        <w:rPr>
          <w:rFonts w:ascii="IRNazanin" w:hAnsi="IRNazanin" w:eastAsia="IRNazanin"/>
          <w:color w:val="111111"/>
          <w:sz w:val="28"/>
          <w:sz w:val="28"/>
          <w:szCs w:val="28"/>
          <w:rtl w:val="true"/>
          <w:lang w:bidi="fa-IR"/>
        </w:rPr>
        <w:t>عجیب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یقم دلیل علی اعتبارهما فی الشریعة المقدّسة،غایة الأمر أنّهما یفیدان الظنّ،و هو لا یغنی من الحقّ شیئا</w:t>
      </w:r>
      <w:r>
        <w:rPr>
          <w:rFonts w:eastAsia="IRNazanin" w:cs="IRNazanin"/>
          <w:color w:val="111111"/>
          <w:sz w:val="28"/>
          <w:szCs w:val="28"/>
          <w:rtl w:val="true"/>
          <w:lang w:bidi="fa-IR"/>
        </w:rPr>
        <w:t>.</w:t>
      </w:r>
    </w:p>
    <w:p>
      <w:pPr>
        <w:pStyle w:val="Heading3"/>
        <w:numPr>
          <w:ilvl w:val="2"/>
          <w:numId w:val="1"/>
        </w:numPr>
        <w:rPr/>
      </w:pPr>
      <w:bookmarkStart w:id="875" w:name="__RefHeading___Toc910572_774463916"/>
      <w:bookmarkStart w:id="876" w:name="_Toc320"/>
      <w:bookmarkEnd w:id="875"/>
      <w:r>
        <w:rPr>
          <w:rtl w:val="true"/>
        </w:rPr>
        <w:t>حرمة اللهو فی الجملة</w:t>
      </w:r>
      <w:bookmarkEnd w:id="876"/>
    </w:p>
    <w:p>
      <w:pPr>
        <w:pStyle w:val="Heading4"/>
        <w:numPr>
          <w:ilvl w:val="3"/>
          <w:numId w:val="1"/>
        </w:numPr>
        <w:rPr/>
      </w:pPr>
      <w:bookmarkStart w:id="877" w:name="__RefHeading___Toc910574_774463916"/>
      <w:bookmarkStart w:id="878" w:name="_Toc321"/>
      <w:bookmarkEnd w:id="877"/>
      <w:r>
        <w:rPr>
          <w:rtl w:val="true"/>
        </w:rPr>
        <w:t>اشارة</w:t>
      </w:r>
      <w:bookmarkEnd w:id="87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 حرام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المسلمین قاطبة فی حرمة اللهو فی الجملة،بل هی من ضروریات الإسلام،و إنّما الکلام فی حرمته علی وجه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جملة من الأصحاب،بل صریح بعضهم و ظاهر بعض العامّة أنّ اللهو حرام مطلقا،فعن المحقّق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اللاهی بسفره کالمتنزّه بصیده بطرا لا یترخّص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أنّ اللهو حرام،فالسفر له معصیة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الحلبی الرمی عن قوس الجلاهق،و الإطلاق لیس بجیّد بل ینبغی التقیید بطلب اللهو و البطر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کلمات غیر واحد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سفر المعصیة طلب الصید للهو و البطر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الریاض قد استدلّ علی حرمة المسابقة فی غیر الموارد المنصوصة بما دلّ علی حرمة مطلق اللهو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الغرض من المسابقة المغالبة و التلهّی فیکون</w:t>
      </w:r>
    </w:p>
    <w:p>
      <w:pPr>
        <w:pStyle w:val="BookText"/>
        <w:rPr/>
      </w:pPr>
      <w:r>
        <w:rPr>
          <w:rFonts w:ascii="IRNazanin" w:hAnsi="IRNazanin" w:eastAsia="IRNazanin"/>
          <w:color w:val="111111"/>
          <w:sz w:val="28"/>
          <w:sz w:val="28"/>
          <w:szCs w:val="28"/>
          <w:rtl w:val="true"/>
          <w:lang w:bidi="fa-IR"/>
        </w:rPr>
        <w:t xml:space="preserve">حراما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استظهر المصنّف من الأخبار الکثیرة حرمة اللهو علی وجه الإطلاق،ثمّ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الإشکال فی معنی اللهو،فإن ارید به مطلق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الصحاح و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القول بحرمته شاذّ مخالف للمشهور و السیرة،فإنّ اللعب هی الحرکة لا لغرض عقلائی،و لا خلاف ظاهرا فی عدم حرمته علی الإطلاق،نعم لو خصّ اللهو بما یکون من بطر و فسّر بشدّة الفرح کان الأقوی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الأخبار لا دلالة لها علی حرمة اللهو علی وجه الإطلاق،فإنّها علی أربع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الروایات الدالّة علی وجوب الإتمام علی المسافر إذا کان سفره للصید اللهوی </w:t>
      </w:r>
      <w:r>
        <w:rPr>
          <w:rStyle w:val="FootnoteAnchor"/>
          <w:rtl w:val="true"/>
        </w:rPr>
        <w:footnoteReference w:id="1283"/>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الطائفة تدلّ بالالتزام علی حرمة اللهو أیضا إذ لا نعرف وجها لإتمام الصلاة هنا إلاّ کون السفر معصیة للصید اللهوی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ضعیف،إذ غایة ما یستفاد من هذه الأخبار أنّ السفر للصید اللهوی لا یوجب القصر،فلا دلالة فیها علی کون السفر معصیة،إذ لا ملازمة بین وجوب الإتمام فی السفر و بین کونه معصیة،بل هو أعمّ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ذهب المحقّق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اللهو من الکبائر،کما فی حدیث شرائع الدین عن</w:t>
      </w:r>
    </w:p>
    <w:p>
      <w:pPr>
        <w:pStyle w:val="BookText"/>
        <w:rPr/>
      </w:pPr>
      <w:r>
        <w:rPr>
          <w:rFonts w:ascii="IRNazanin" w:hAnsi="IRNazanin" w:eastAsia="IRNazanin"/>
          <w:color w:val="111111"/>
          <w:sz w:val="28"/>
          <w:sz w:val="28"/>
          <w:szCs w:val="28"/>
          <w:rtl w:val="true"/>
          <w:lang w:bidi="fa-IR"/>
        </w:rPr>
        <w:t xml:space="preserve">الأعمش </w:t>
      </w:r>
      <w:r>
        <w:rPr>
          <w:rStyle w:val="FootnoteAnchor"/>
          <w:rtl w:val="true"/>
        </w:rPr>
        <w:footnoteReference w:id="1285"/>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عدّ فی الکبائر الاشتغال بالملاهی التی تصدّ عن ذکر اللّه،کالغناء و ضرب الأوتار،فإنّ الملاهی جمع الملهی مصدرا أو الملهی وصفا لا الملهاة آلة،لأنّه لا یناسب التمثیل بالغناء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فیها علی حرمة اللهو المطلق،بل الظاهر منها أنّ الحرام هو اللهو الذی یصدّ عن ذکر اللّه،کالغناء و ضرب الأوتار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اللغة أنّ الملاهی اسم الآلات،فالأمر یدور بین رفع الید عن ظهوره و حملها علی الفعل،و بین رفع الید عن ظهور الغناء و حمله علی الغناء فی آلة اللهو،و لا وجه لترجیح أحدهما علی الآخر،فتکون الروایة مجملة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یرجّح رفع الید عن ظهور الغناء،کما یدلّ علیه عطف ضرب الأوتار علی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روایة الأعمش لم یذکر فیها إلاّ عدّ الملاهی التی تصدّ عن ذکر اللّه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زیادة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کلمة الملاهی فهی من سهو قلم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کانت النسخة کما ذکره لما کان له حمل الملاهی علی نفس الفعل،فإنّ الاشتغال بالملاهی من أظهر مصادیق الغناء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المستفیضة بل المتواترة الدالّة علی حرمة استعمال الملاهی و المعازف،و فی روایة العیون عدّ الاشتغال بها من الکبائر </w:t>
      </w:r>
      <w:r>
        <w:rPr>
          <w:rStyle w:val="FootnoteAnchor"/>
          <w:rtl w:val="true"/>
        </w:rPr>
        <w:footnoteReference w:id="1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عنبسة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اللهو و الغناء ینبت النفاق کما ینبت الماء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الإشارة إلی جملة منها،و إلی مصادرها فی مبحث حرمة الغناء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إنّما تدلّ علی حرمة قسم خاصّ من اللهو،أعنی الاشتغال بالملاهی و المعازف و استعمالها،و لا نزاع فی ذلک،بل حرمة هذا القسم من ضروریات الدین،بحیث یعدّ منکرها خارجا عن زمرة المسلمین،و إنّما الکلام فی حرمة اللهو علی وجه الإطلاق،و واضح أنّ هذه الأخبار 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الظاهرة ظهورا بدویّا فی حرمة اللهو مطلقا،کقوله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ألهی عن ذکر اللّه فهو من المیسر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روایات المسابقة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لهو المؤمن باطل إلاّ فی ثلاث</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و فی روایة أبی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السماع فی حیّز الباطل و اللهو،و سنذکرها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عبد الأعلی </w:t>
      </w:r>
      <w:r>
        <w:rPr>
          <w:rStyle w:val="FootnoteAnchor"/>
          <w:rtl w:val="true"/>
        </w:rPr>
        <w:footnoteReference w:id="1290"/>
      </w:r>
      <w:r>
        <w:rPr>
          <w:rFonts w:ascii="IRNazanin" w:hAnsi="IRNazanin" w:eastAsia="IRNazanin"/>
          <w:color w:val="111111"/>
          <w:sz w:val="28"/>
          <w:sz w:val="28"/>
          <w:szCs w:val="28"/>
          <w:rtl w:val="true"/>
          <w:lang w:bidi="fa-IR"/>
        </w:rPr>
        <w:t>فی ردّ من زعم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فی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جئناکم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کذبوا،إنّ اللّه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أَرَدْنا أَنْ نَتَّخِذَ لَهْواً لاَتَّخَذْناهُ مِنْ لَدُنّا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جملة من روایات الغناء أیضا ما یدلّ علی أنّ اللهو من الباطل،فإذا ضممنا ذلک إلی ما یظهر من الأدلّة من حرمة الباطل،کجملة من الروایات الدالّة علی حرمة الغناء </w:t>
      </w:r>
      <w:r>
        <w:rPr>
          <w:rStyle w:val="FootnoteAnchor"/>
          <w:rtl w:val="true"/>
        </w:rPr>
        <w:footnoteReference w:id="1291"/>
      </w:r>
      <w:r>
        <w:rPr>
          <w:rFonts w:ascii="IRNazanin" w:hAnsi="IRNazanin" w:eastAsia="IRNazanin"/>
          <w:color w:val="111111"/>
          <w:sz w:val="28"/>
          <w:sz w:val="28"/>
          <w:szCs w:val="28"/>
          <w:rtl w:val="true"/>
          <w:lang w:bidi="fa-IR"/>
        </w:rPr>
        <w:t>کانت النتیجة حرمة اللهو مطلقا</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الضرورة دلّت علی جواز اللهو فی الجملة،و کونه من الامور المباحة،کاللعب بالسبحة أو اللحیة أو الحبل أو الأحجار و نحوها،فلا یمکن العمل</w:t>
      </w:r>
      <w:bookmarkStart w:id="879" w:name="pg5064_65750"/>
    </w:p>
    <w:p>
      <w:pPr>
        <w:pStyle w:val="BookText"/>
        <w:rPr/>
      </w:pPr>
      <w:bookmarkEnd w:id="879"/>
      <w:r>
        <w:rPr>
          <w:rFonts w:ascii="IRNazanin" w:hAnsi="IRNazanin" w:eastAsia="IRNazanin"/>
          <w:color w:val="111111"/>
          <w:sz w:val="28"/>
          <w:sz w:val="28"/>
          <w:szCs w:val="28"/>
          <w:rtl w:val="true"/>
          <w:lang w:bidi="fa-IR"/>
        </w:rPr>
        <w:t xml:space="preserve">بإطلاق هذه الروایات علی تقدیر صحّتها،و قد أشرنا إلیه فی مبحث حرمة القمار </w:t>
      </w:r>
      <w:r>
        <w:rPr>
          <w:rStyle w:val="FootnoteAnchor"/>
          <w:rtl w:val="true"/>
        </w:rPr>
        <w:footnoteReference w:id="1292"/>
      </w:r>
      <w:r>
        <w:rPr>
          <w:rFonts w:ascii="IRNazanin" w:hAnsi="IRNazanin" w:eastAsia="IRNazanin"/>
          <w:color w:val="111111"/>
          <w:sz w:val="28"/>
          <w:sz w:val="28"/>
          <w:szCs w:val="28"/>
          <w:rtl w:val="true"/>
          <w:lang w:bidi="fa-IR"/>
        </w:rPr>
        <w:t>و علیه فلا بدّ من حملها علی قسم خاصّ من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الغناء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الظاهر،أو حملها علی وصول الاشتغال بالامور اللاهیة إلی مرتبة یصدّ فاعله عن ذکر اللّه،فإنّه حینئذ یکون من المحرّمات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حرمة اللهو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ظهر أیضا أنّا لا نعرف وجها صحیحا لما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تقویة حرمة الفرح الشدید</w:t>
      </w:r>
      <w:r>
        <w:rPr>
          <w:rFonts w:eastAsia="IRNazanin" w:cs="IRNazanin"/>
          <w:color w:val="111111"/>
          <w:sz w:val="28"/>
          <w:szCs w:val="28"/>
          <w:rtl w:val="true"/>
          <w:lang w:bidi="fa-IR"/>
        </w:rPr>
        <w:t>.</w:t>
      </w:r>
    </w:p>
    <w:p>
      <w:pPr>
        <w:pStyle w:val="Heading4"/>
        <w:numPr>
          <w:ilvl w:val="3"/>
          <w:numId w:val="1"/>
        </w:numPr>
        <w:rPr/>
      </w:pPr>
      <w:bookmarkStart w:id="880" w:name="__RefHeading___Toc910576_774463916"/>
      <w:bookmarkStart w:id="881" w:name="_Toc322"/>
      <w:bookmarkEnd w:id="880"/>
      <w:r>
        <w:rPr>
          <w:rtl w:val="true"/>
        </w:rPr>
        <w:t>اللعب و اللغو</w:t>
      </w:r>
      <w:bookmarkEnd w:id="88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هنا 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فرّق جمع من أهل الفروق بین اللهو و اللعب،و لا یهمّنا التعرّض لذلک،و إنّما المهم هو التعرّض لحکمهما،و قد عرفت أنّه لا دلیل علی حرمة مطلق اللهو،و أمّا اللعب فإن کان متّحدا فی المفهوم مع اللهو فحکمه هو ذلک،و إن کانا مختلفین مفهوما فلا بدّ من ملاحظة الأدلّة الشرعیة،فإن کان فیها ما یدلّ علی حرمة اللعب اخذ به،و إلاّ فیرجع إلی الاصول العملیة</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اللغو فذکر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ارید به ما یرادف اللهو کما یظهر من بعض الأخبار </w:t>
      </w:r>
      <w:r>
        <w:rPr>
          <w:rStyle w:val="FootnoteAnchor"/>
          <w:rtl w:val="true"/>
        </w:rPr>
        <w:footnoteReference w:id="1293"/>
      </w:r>
      <w:r>
        <w:rPr>
          <w:rFonts w:ascii="IRNazanin" w:hAnsi="IRNazanin" w:eastAsia="IRNazanin"/>
          <w:color w:val="111111"/>
          <w:sz w:val="28"/>
          <w:sz w:val="28"/>
          <w:szCs w:val="28"/>
          <w:rtl w:val="true"/>
          <w:lang w:bidi="fa-IR"/>
        </w:rPr>
        <w:t>کان فی حکمه،و إن ارید به مطلق الحرکات اللاغیة فالأقوی فیها</w:t>
      </w:r>
    </w:p>
    <w:p>
      <w:pPr>
        <w:pStyle w:val="BookText"/>
        <w:rPr/>
      </w:pP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دلیل علی حرمة مطلق اللغو،سواء قلنا بکونه مرادفا للهو و الباطل کما هو الظاهر من أهل اللغة </w:t>
      </w:r>
      <w:r>
        <w:rPr>
          <w:rStyle w:val="FootnoteAnchor"/>
          <w:rtl w:val="true"/>
        </w:rPr>
        <w:footnoteReference w:id="1294"/>
      </w:r>
      <w:r>
        <w:rPr>
          <w:rFonts w:ascii="IRNazanin" w:hAnsi="IRNazanin" w:eastAsia="IRNazanin"/>
          <w:color w:val="111111"/>
          <w:sz w:val="28"/>
          <w:sz w:val="28"/>
          <w:szCs w:val="28"/>
          <w:rtl w:val="true"/>
          <w:lang w:bidi="fa-IR"/>
        </w:rPr>
        <w:t>أم لا،لما عرفت من عدم الدلیل علی حرمة اللهو علی وجه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من ظهور الروایات فی مرادفة اللغو مع اللهو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المذکورة ناظرة إلی اتّحاد قسم خاص من اللغو مع قسم خاص من اللهو،و هو القسم المحرّم،فلا دلالة فیها علی اتّحاد مفهومهما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بحرمة اللغو علی وجه الإطلاق،لروایة الکابلی </w:t>
      </w:r>
      <w:r>
        <w:rPr>
          <w:rStyle w:val="FootnoteAnchor"/>
          <w:rtl w:val="true"/>
        </w:rPr>
        <w:footnoteReference w:id="1295"/>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فیها اللغو المضحک من جملة الذنوب التی تهتک العصم</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السند،و مجهولة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التحریم فیها هو اللغو الذی یکون موجبا لهتک عصم الناس و أعراضهم،من الاستهزاء</w:t>
      </w:r>
    </w:p>
    <w:p>
      <w:pPr>
        <w:pStyle w:val="BookText"/>
        <w:rPr/>
      </w:pPr>
      <w:r>
        <w:rPr>
          <w:rFonts w:ascii="IRNazanin" w:hAnsi="IRNazanin" w:eastAsia="IRNazanin"/>
          <w:color w:val="111111"/>
          <w:sz w:val="28"/>
          <w:sz w:val="28"/>
          <w:szCs w:val="28"/>
          <w:rtl w:val="true"/>
          <w:lang w:bidi="fa-IR"/>
        </w:rPr>
        <w:t>و السخریة و التعییر و الهجاء و نحوها من العناوین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دلیل علی حرمة إضحاک الناس و إدخال السرور فی قلوبهم بالامور المباحة و الجهات السائغة بل هو من المستحبّات الشرعیة و الأخلاق المرضیة،فضلا عن کونه موجبا لهتک العصم،و إثارة للعداوة و 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ابن أبی الحدید فی مقدّمة شرح النهج فی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سجاحة الأخلاق و بشر الوجه و طلاقة المحیّا و التبسّم فهو المضروب به المثل فیه،حتّی عابه بذلک أعداؤه </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الأصل فی هذا التعییب عمر بن الخطاب و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ذکرناه أنّه لا یمکن الاستدلال علی حرمة اللغو مطلقا بوصیة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ذرّ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روایة الکابلی عدّت شرب الخمر و اللعب بالقمار من جملة الذنوب التی تهتک العصم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فلأنّه یجرّ إلی التعرّض لأعراض الناس،بل نفوسهم،فإنّ شارب الخمر فی حال سکره کالمجنون الذی لا یبالی فی أفعاله و حرکاته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اللعب بالقمار فلأنّه یورث العداوة بین الناس،حیث تؤخذ به أموالهم بغیر عوض و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اشیر إلی کلا الأمرین فی الآیة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bookmarkStart w:id="882" w:name="pg5064_65753"/>
    </w:p>
    <w:p>
      <w:pPr>
        <w:pStyle w:val="Heading3"/>
        <w:numPr>
          <w:ilvl w:val="2"/>
          <w:numId w:val="1"/>
        </w:numPr>
        <w:rPr/>
      </w:pPr>
      <w:bookmarkStart w:id="883" w:name="__RefHeading___Toc910578_774463916"/>
      <w:bookmarkStart w:id="884" w:name="_Toc323"/>
      <w:bookmarkEnd w:id="882"/>
      <w:bookmarkEnd w:id="883"/>
      <w:r>
        <w:rPr>
          <w:rtl w:val="true"/>
        </w:rPr>
        <w:t>مدح من لا یستحقّ المدح</w:t>
      </w:r>
      <w:bookmarkEnd w:id="884"/>
    </w:p>
    <w:p>
      <w:pPr>
        <w:pStyle w:val="Heading4"/>
        <w:numPr>
          <w:ilvl w:val="3"/>
          <w:numId w:val="1"/>
        </w:numPr>
        <w:rPr/>
      </w:pPr>
      <w:bookmarkStart w:id="885" w:name="__RefHeading___Toc910580_774463916"/>
      <w:bookmarkStart w:id="886" w:name="_Toc324"/>
      <w:bookmarkEnd w:id="885"/>
      <w:r>
        <w:rPr>
          <w:rtl w:val="true"/>
        </w:rPr>
        <w:t>اشارة</w:t>
      </w:r>
      <w:bookmarkEnd w:id="88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من لا یستحقّ المدح أو یستحقّ الذمّ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حکی المصنّف أنّ العلاّمة </w:t>
      </w:r>
      <w:r>
        <w:rPr>
          <w:rStyle w:val="FootnoteAnchor"/>
          <w:rtl w:val="true"/>
        </w:rPr>
        <w:footnoteReference w:id="1300"/>
      </w:r>
      <w:r>
        <w:rPr>
          <w:rFonts w:ascii="Amiri" w:hAnsi="Amiri" w:eastAsia="Amiri" w:cs="Amiri"/>
          <w:color w:val="111111"/>
          <w:sz w:val="28"/>
          <w:sz w:val="28"/>
          <w:szCs w:val="28"/>
          <w:rtl w:val="true"/>
          <w:lang w:bidi="ar-SA"/>
        </w:rPr>
        <w:t>عدّ مدح من لا یستحقّ المدح أو یستحقّ الذمّ فی عداد المکاسب المحرّمة،ثمّ وجّه کلامه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العقل بقبح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عظم صاحب دنیا و أحبّه لطمع دنیاه سخط اللّه علیه،و کان فی درجة مع قارون فی التابوت الأسفل من النار</w:t>
      </w:r>
      <w:r>
        <w:rPr>
          <w:rFonts w:eastAsia="IRNazanin" w:cs="IRNazanin"/>
          <w:color w:val="111111"/>
          <w:sz w:val="28"/>
          <w:szCs w:val="28"/>
          <w:rtl w:val="true"/>
          <w:lang w:bidi="fa-IR"/>
        </w:rPr>
        <w:t xml:space="preserve">» </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حدیث المناهی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مدح سلطانا جائرا أو تحفّف أو تضعضع له طمعا فیه کان قرینه فی النار</w:t>
      </w:r>
      <w:r>
        <w:rPr>
          <w:rFonts w:eastAsia="IRNazanin" w:cs="IRNazanin"/>
          <w:color w:val="111111"/>
          <w:sz w:val="28"/>
          <w:szCs w:val="28"/>
          <w:rtl w:val="true"/>
          <w:lang w:bidi="fa-IR"/>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الظاهر أنّ الوجوه المذکورة لا تدلّ علی مقصود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العقل فإنّه لا یحکم بقبح مدح من لا یستحقّ المدح بعنوانه الأوّلی ما لم ینطبق علیه عنوان آخر ممّا یستقلّ العقل بقبحه،کتقویة الظالم،و إهانة المظلوم و نحوهما</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الآیة فهی تدلّ علی حرمة الرکون إلی الظالم و المیل إلیه،فلا ربط لها</w:t>
      </w:r>
    </w:p>
    <w:p>
      <w:pPr>
        <w:pStyle w:val="BookText"/>
        <w:rPr/>
      </w:pPr>
      <w:r>
        <w:rPr>
          <w:rFonts w:ascii="IRNazanin" w:hAnsi="IRNazanin" w:eastAsia="IRNazanin"/>
          <w:color w:val="111111"/>
          <w:sz w:val="28"/>
          <w:sz w:val="28"/>
          <w:szCs w:val="28"/>
          <w:rtl w:val="true"/>
          <w:lang w:bidi="fa-IR"/>
        </w:rPr>
        <w:t>بالمقام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الاستدلال بها علی حرمة معونة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النبوی الذی رواه الصدوق فإنّه یدلّ علی حرمة تعظیم صاحب المال و إجلاله طمعا فی ماله،فهو بعید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المناهی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دالّ علی حرمة مدح السلطان الجائر،و حرمة تعظیمه طمعا فی ماله،أو تحصیلا لرضاه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الوجوه التی ذکرها المصنّف لا تدلّ علی حرمة مدح من لا یستحقّ المدح فی نفسه،فإنّ النسبة بینه و بین العناوین المحرّمة المذکورة هی العموم من وجه،و علیه فلا وجه لجعل العنوان المذکور من المکاسب المحرّمة کما صنعه العلاّمة و تبعه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مدح من لا یستحقّ المدح قد یکون بالجملة الخبریة،و قد یکون بالجملة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فهو کذب محرّم،إلاّ إذا قامت قرینة علی إرادة 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الثانی فلا محذور فیه ما لم ینطبق علیه شیء من العناوین المحرّمة المذکورة،أو کان المدح لمن وجبت البراءة منه،کالمبدع فی الدین،و قد تقدّم ذلک فی مبحث الغیبة و مبحث حرمة سبّ المؤمن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حرمة مدح من لا یستحقّ المدح علی وجه الإطلاق أو فیما انطبق علیه عنوان محرّم إنّما هی فیما إذا لم یلتجئ إلی المدح لدفع خوف أو ضرر بدنی أو مالی أو عرضی،و إلاّ فلا شبهة فی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عند اللّه یوم القیامة الذین یکرمون اتّقاء شرّهم</w:t>
      </w:r>
      <w:r>
        <w:rPr>
          <w:rFonts w:eastAsia="IRNazanin" w:cs="IRNazanin"/>
          <w:color w:val="111111"/>
          <w:sz w:val="28"/>
          <w:szCs w:val="28"/>
          <w:rtl w:val="true"/>
          <w:lang w:bidi="fa-IR"/>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bookmarkStart w:id="887" w:name="pg5064_65755"/>
    </w:p>
    <w:p>
      <w:pPr>
        <w:pStyle w:val="BookText"/>
        <w:rPr/>
      </w:pPr>
      <w:bookmarkEnd w:id="887"/>
      <w:r>
        <w:rPr>
          <w:rFonts w:ascii="IRNazanin" w:hAnsi="IRNazanin" w:eastAsia="IRNazanin"/>
          <w:color w:val="111111"/>
          <w:sz w:val="28"/>
          <w:sz w:val="28"/>
          <w:szCs w:val="28"/>
          <w:rtl w:val="true"/>
          <w:lang w:bidi="fa-IR"/>
        </w:rPr>
        <w:t>و کذلک تدلّ علیه أخبار التقیّة،فإنّها تدلّ علی جوازها فی کل ضرورة و خوف</w:t>
      </w:r>
      <w:r>
        <w:rPr>
          <w:rFonts w:eastAsia="IRNazanin" w:cs="IRNazanin"/>
          <w:color w:val="111111"/>
          <w:sz w:val="28"/>
          <w:szCs w:val="28"/>
          <w:rtl w:val="true"/>
          <w:lang w:bidi="fa-IR"/>
        </w:rPr>
        <w:t>.</w:t>
      </w:r>
    </w:p>
    <w:p>
      <w:pPr>
        <w:pStyle w:val="Heading4"/>
        <w:numPr>
          <w:ilvl w:val="3"/>
          <w:numId w:val="1"/>
        </w:numPr>
        <w:rPr/>
      </w:pPr>
      <w:bookmarkStart w:id="888" w:name="__RefHeading___Toc910582_774463916"/>
      <w:bookmarkStart w:id="889" w:name="_Toc325"/>
      <w:bookmarkEnd w:id="888"/>
      <w:r>
        <w:rPr>
          <w:rtl w:val="true"/>
        </w:rPr>
        <w:t>حرمة معونة الظالمین</w:t>
      </w:r>
      <w:bookmarkEnd w:id="88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معونة الظالمین فی ظلمهم حرام بالأدلّة الأربعة و هو من الکبائر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معونة الظالمین؟و ما هو حکم أعوان الظلمة؟و ما هو حکم إعانتهم فی غیر جهة الظلم من الامور السائغة،کالبنایة و النجارة و الخیاطة و نحوها؟</w:t>
      </w:r>
    </w:p>
    <w:p>
      <w:pPr>
        <w:pStyle w:val="BookText"/>
        <w:rPr/>
      </w:pPr>
      <w:r>
        <w:rPr>
          <w:rFonts w:ascii="IRNazanin" w:hAnsi="IRNazanin" w:eastAsia="IRNazanin"/>
          <w:color w:val="111111"/>
          <w:sz w:val="28"/>
          <w:sz w:val="28"/>
          <w:szCs w:val="28"/>
          <w:rtl w:val="true"/>
          <w:lang w:bidi="fa-IR"/>
        </w:rPr>
        <w:t xml:space="preserve">أمّا معونة الظالمین فی ظلمهم فالظاهر أنّها غیر جائزة بلا خلاف بین المسلمین قاطبة،بل بین عقلاء العالم،بل التزم جمع کثیر من الخاصّة و العامّة </w:t>
      </w:r>
      <w:r>
        <w:rPr>
          <w:rStyle w:val="FootnoteAnchor"/>
          <w:rtl w:val="true"/>
        </w:rPr>
        <w:footnoteReference w:id="1307"/>
      </w:r>
      <w:r>
        <w:rPr>
          <w:rFonts w:ascii="IRNazanin" w:hAnsi="IRNazanin" w:eastAsia="IRNazanin"/>
          <w:color w:val="111111"/>
          <w:sz w:val="28"/>
          <w:sz w:val="28"/>
          <w:szCs w:val="28"/>
          <w:rtl w:val="true"/>
          <w:lang w:bidi="fa-IR"/>
        </w:rPr>
        <w:t>بحرمة الإعانة علی مطلق الحرام،و حرمة مقدّماته</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 حرمتها العقل،و الإجماع المستند إلی الوجوه المذکورة فی المسألة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w:t>
      </w:r>
      <w:r>
        <w:rPr>
          <w:rStyle w:val="FootnoteAnchor"/>
          <w:rtl w:val="true"/>
        </w:rPr>
        <w:footnoteReference w:id="1308"/>
      </w:r>
      <w:r>
        <w:rPr>
          <w:rFonts w:ascii="IRNazanin" w:hAnsi="IRNazanin" w:eastAsia="IRNazanin"/>
          <w:color w:val="111111"/>
          <w:sz w:val="28"/>
          <w:sz w:val="28"/>
          <w:szCs w:val="28"/>
          <w:rtl w:val="true"/>
          <w:lang w:bidi="fa-IR"/>
        </w:rPr>
        <w:t>فإنّ الرکون المحرّم هو المیل إلیهم،فیدلّ علی حرمة إعانتهم بطریق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المراد من الرکون المحرّم هو الدخول معهم فی ظلمهم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الاستدلال علی حرمتها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عَلَی الْإِثْمِ وَ الْعُدْوانِ </w:t>
      </w:r>
      <w:r>
        <w:rPr>
          <w:rStyle w:val="FootnoteAnchor"/>
          <w:rtl w:val="true"/>
        </w:rPr>
        <w:footnoteReference w:id="1309"/>
      </w:r>
      <w:r>
        <w:rPr>
          <w:rFonts w:ascii="IRNazanin" w:hAnsi="IRNazanin" w:eastAsia="IRNazanin"/>
          <w:color w:val="111111"/>
          <w:sz w:val="28"/>
          <w:sz w:val="28"/>
          <w:szCs w:val="28"/>
          <w:rtl w:val="true"/>
          <w:lang w:bidi="fa-IR"/>
        </w:rPr>
        <w:t xml:space="preserve">کما فی المستند </w:t>
      </w:r>
      <w:r>
        <w:rPr>
          <w:rStyle w:val="FootnoteAnchor"/>
          <w:rtl w:val="true"/>
        </w:rPr>
        <w:footnoteReference w:id="1310"/>
      </w:r>
      <w:r>
        <w:rPr>
          <w:rFonts w:ascii="IRNazanin" w:hAnsi="IRNazanin" w:eastAsia="IRNazanin"/>
          <w:color w:val="111111"/>
          <w:sz w:val="28"/>
          <w:sz w:val="28"/>
          <w:szCs w:val="28"/>
          <w:rtl w:val="true"/>
          <w:lang w:bidi="fa-IR"/>
        </w:rPr>
        <w:t xml:space="preserve">و غیره فقد تقدّم جوابه فی البحث عن حکم الإعانة علی الإثم </w:t>
      </w:r>
      <w:r>
        <w:rPr>
          <w:rStyle w:val="FootnoteAnchor"/>
          <w:rtl w:val="true"/>
        </w:rPr>
        <w:footnoteReference w:id="1311"/>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التعاون غیر الإعانة،فإنّ الأول من باب الإفعال،و الثانی من باب التفاعل،فحرمة أحدهما لا تسری إلی الآخر</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تدلّ علی حرمة معونة الظالمین أیضا الروایات المستفیضة،بل المتواترة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bookmarkStart w:id="890" w:name="pg5064_65757"/>
    </w:p>
    <w:p>
      <w:pPr>
        <w:pStyle w:val="BookText"/>
        <w:rPr/>
      </w:pPr>
      <w:bookmarkEnd w:id="890"/>
      <w:r>
        <w:rPr>
          <w:rFonts w:ascii="IRNazanin" w:hAnsi="IRNazanin" w:eastAsia="IRNazanin"/>
          <w:color w:val="111111"/>
          <w:sz w:val="28"/>
          <w:sz w:val="28"/>
          <w:szCs w:val="28"/>
          <w:rtl w:val="true"/>
          <w:lang w:bidi="fa-IR"/>
        </w:rPr>
        <w:t>و أمّا دخول الإنسان فی أعوان الظلمة فلا شبهة أیضا فی حرمته،و یدلّ علیها جمیع ما دلّ علی حرمة معونة الظالمین فی ظلمهم،و غیر ذلک من الأخبار الناهیة عن الدخول فی حزبهم و تسوید الاسم فی دیوانهم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مصادرها فی الهامش</w:t>
      </w:r>
      <w:r>
        <w:rPr>
          <w:rFonts w:eastAsia="IRNazanin" w:cs="IRNazanin"/>
          <w:color w:val="111111"/>
          <w:sz w:val="28"/>
          <w:szCs w:val="28"/>
          <w:rtl w:val="true"/>
          <w:lang w:bidi="fa-IR"/>
        </w:rPr>
        <w:t>.</w:t>
      </w:r>
    </w:p>
    <w:p>
      <w:pPr>
        <w:pStyle w:val="Heading4"/>
        <w:numPr>
          <w:ilvl w:val="3"/>
          <w:numId w:val="1"/>
        </w:numPr>
        <w:rPr/>
      </w:pPr>
      <w:bookmarkStart w:id="891" w:name="__RefHeading___Toc910584_774463916"/>
      <w:bookmarkStart w:id="892" w:name="_Toc326"/>
      <w:bookmarkEnd w:id="891"/>
      <w:r>
        <w:rPr>
          <w:rtl w:val="true"/>
        </w:rPr>
        <w:t>حرمة إعانة الظالمین فی غیر جهة ظلمهم</w:t>
      </w:r>
      <w:bookmarkEnd w:id="892"/>
    </w:p>
    <w:p>
      <w:pPr>
        <w:pStyle w:val="BookText"/>
        <w:rPr/>
      </w:pPr>
      <w:r>
        <w:rPr>
          <w:rFonts w:ascii="IRNazanin" w:hAnsi="IRNazanin" w:eastAsia="IRNazanin"/>
          <w:color w:val="111111"/>
          <w:sz w:val="28"/>
          <w:sz w:val="28"/>
          <w:szCs w:val="28"/>
          <w:rtl w:val="true"/>
          <w:lang w:bidi="fa-IR"/>
        </w:rPr>
        <w:t>و أمّا إعانة الظالمین فی غیر جهة ظلمهم بالامور السائغة،کالبنایة و الخبازة و نحوهما فلا بأس بها،سواء أکان ذلک مع الاجرة أم بدونها،بشرط أن لا یعدّ بذلک من أعوان الظلمة عرفا،و إلاّ کانت محرّمة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حرمتها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محمد بن عذافر عن أبیه </w:t>
      </w:r>
      <w:r>
        <w:rPr>
          <w:rStyle w:val="FootnoteAnchor"/>
          <w:rtl w:val="true"/>
        </w:rPr>
        <w:footnoteReference w:id="1313"/>
      </w:r>
      <w:r>
        <w:rPr>
          <w:rFonts w:ascii="IRNazanin" w:hAnsi="IRNazanin" w:eastAsia="IRNazanin"/>
          <w:color w:val="111111"/>
          <w:sz w:val="28"/>
          <w:sz w:val="28"/>
          <w:szCs w:val="28"/>
          <w:rtl w:val="true"/>
          <w:lang w:bidi="fa-IR"/>
        </w:rPr>
        <w:t>الظاهرة فی حرمة المعاملة مع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عذافر نبّئت أنّک تعامل أبا أیّوب و الربیع،فما حالک إذا نودی بک فی أعوان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أنّ عذافر کان یدأب علی المعاملة مع الظلمة،بحیث ألحقه بأعوانهم،و علیه فمورد الروایة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ابن أبی یعفور </w:t>
      </w:r>
      <w:r>
        <w:rPr>
          <w:rStyle w:val="FootnoteAnchor"/>
          <w:rtl w:val="true"/>
        </w:rPr>
        <w:footnoteReference w:id="1314"/>
      </w:r>
      <w:r>
        <w:rPr>
          <w:rFonts w:ascii="IRNazanin" w:hAnsi="IRNazanin" w:eastAsia="IRNazanin"/>
          <w:color w:val="111111"/>
          <w:sz w:val="28"/>
          <w:sz w:val="28"/>
          <w:szCs w:val="28"/>
          <w:rtl w:val="true"/>
          <w:lang w:bidi="fa-IR"/>
        </w:rPr>
        <w:t>الظاهرة فی ردع السائل عن إعانة الظالمین فی الجهات السائغة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أصاب الرجل منّا الضیق أو الشدّة فیدعی إلی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إلخ،أنّ الرجل منهم تصیبه الشدّة فیلتجئ إلی الظالمین،و یتدرّج به الأمر حتّی یکون من أعوان الظلمة،بحیث یکون ارتزاقه من قبلهم،و لذلک طبّق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أعوان الظلمة یوم القیامة فی سرادق من نار حتّی یحکم اللّه بین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الروایة أیضا خارجة عن مورد الکلام،علی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ذلک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أنّی عقدت لهم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لو لم یکن ظاهرا فی الکراهة فلا ظهور له فی الحرمة،فتکون الروایة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العیّاشی الدالّة علی أنّ السعی فی حوائج الظالمین عدیل الکفر و النظر إلیهم علی العمد من الکبائر التی یستحقّ بها النار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إضافة الحوائج إلی الظالمین و لو بمناسبة الحکم و الموضوع کون السعی فی حوائجهم المتعلّقة بالظلم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الجواب عن روایة السکونی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 أین أعوان الظلمة،و من لاق لهم دواة أو ربط کیسا أو مدّ لهم مدّة قلم فاحشروهم معهم</w:t>
      </w:r>
      <w:r>
        <w:rPr>
          <w:rFonts w:eastAsia="IRNazanin" w:cs="IRNazanin"/>
          <w:color w:val="111111"/>
          <w:sz w:val="28"/>
          <w:szCs w:val="28"/>
          <w:rtl w:val="true"/>
          <w:lang w:bidi="fa-IR"/>
        </w:rPr>
        <w:t xml:space="preserve">» </w:t>
      </w:r>
      <w:r>
        <w:rPr>
          <w:rStyle w:val="FootnoteAnchor"/>
          <w:rtl w:val="true"/>
        </w:rPr>
        <w:footnoteReference w:id="1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ظهر الجواب عن روایة أبی</w:t>
      </w:r>
    </w:p>
    <w:p>
      <w:pPr>
        <w:pStyle w:val="BookText"/>
        <w:rPr/>
      </w:pPr>
      <w:r>
        <w:rPr>
          <w:rFonts w:ascii="IRNazanin" w:hAnsi="IRNazanin" w:eastAsia="IRNazanin"/>
          <w:color w:val="111111"/>
          <w:sz w:val="28"/>
          <w:sz w:val="28"/>
          <w:szCs w:val="28"/>
          <w:rtl w:val="true"/>
          <w:lang w:bidi="fa-IR"/>
        </w:rPr>
        <w:t>حمزة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صحبة العاصین و معونة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هذه الروایة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الشیخ عن ابن أبی عمیر عن یونس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تعنهم علی بناء مسجد</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إعانتهم علی بناء المسجد لهم نحو من تعظیم شوکتهم،فیکون کمسجد ضرار الذی ذکره اللّه فی الکتاب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تبعد الروایة عمّا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صفوان الظاهرة فی ردعه عن إکراء الجمال من هارون الرشید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أدلّ علی الجواز،فإنّ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ردعه عن محبّة بقائهم،و یدلّ علی هذا من الروایة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بقاءهم حتّی یخرج کراؤک؟قلت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بقاءهم فهو منهم،و من کان منهم کان وروده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جمیع ذلک،و تسلیم دلالة الروایات المذکورة علی الحرمة فالسیرة القطعیة قائمة علی جواز إعانة الظالمین بالامور المباحة فی غیر جهة ظلمهم فتکون هذه السیرة قرینة لحمل الروایات علی غیر هذه الصورة</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المحرّم من العمل للظلمة قسمان،الأول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إعانتهم علی الظلم</w:t>
      </w:r>
      <w:r>
        <w:rPr>
          <w:rFonts w:eastAsia="IRNazanin" w:cs="IRNazanin"/>
          <w:color w:val="111111"/>
          <w:sz w:val="28"/>
          <w:szCs w:val="28"/>
          <w:rtl w:val="true"/>
          <w:lang w:bidi="fa-IR"/>
        </w:rPr>
        <w:t>.</w:t>
      </w:r>
      <w:bookmarkStart w:id="893" w:name="pg5064_65760"/>
    </w:p>
    <w:p>
      <w:pPr>
        <w:pStyle w:val="BookText"/>
        <w:rPr/>
      </w:pPr>
      <w:bookmarkEnd w:id="893"/>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صیرورة الإنسان من أعوانهم،بحیث یعدّ فی العرف من المنسوبین إلیهم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کاتب الظالم،و هذا معماره،و ذاک خازنه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حرمة کلا القسمین بالأدلّة المتقدّمة،و أمّا غیر ذلک فلا دلیل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الظالم المبحوث عن حکم إعانته لیس هو مطلق العاصی الظالم لنفسه،بل المراد به هو الظالم للغیر،کما هو ظاهر جملة من الروایات التی تقدّم بعضها،بل هو صریح جملة اخری منها،و علیه فمورد الحرمة یختصّ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قد تقدّم فی البحث عن حکم الإعانة علی الإثم </w:t>
      </w:r>
      <w:r>
        <w:rPr>
          <w:rStyle w:val="FootnoteAnchor"/>
          <w:rtl w:val="true"/>
        </w:rPr>
        <w:footnoteReference w:id="1318"/>
      </w:r>
      <w:r>
        <w:rPr>
          <w:rFonts w:ascii="IRNazanin" w:hAnsi="IRNazanin" w:eastAsia="IRNazanin"/>
          <w:color w:val="111111"/>
          <w:sz w:val="28"/>
          <w:sz w:val="28"/>
          <w:szCs w:val="28"/>
          <w:rtl w:val="true"/>
          <w:lang w:bidi="fa-IR"/>
        </w:rPr>
        <w:t>أنّه لا دلیل علی حرمتها علی وجه الإطلاق ما لم یکن فی البین تسبیب،و قلنا فی المبحث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الإعانة علی الظلم حرام للأدلّة الخاصّة،فلا ربط لها بمطلق الإعانة علی الإثم</w:t>
      </w:r>
      <w:r>
        <w:rPr>
          <w:rFonts w:eastAsia="IRNazanin" w:cs="IRNazanin"/>
          <w:color w:val="111111"/>
          <w:sz w:val="28"/>
          <w:szCs w:val="28"/>
          <w:rtl w:val="true"/>
          <w:lang w:bidi="fa-IR"/>
        </w:rPr>
        <w:t>.</w:t>
      </w:r>
    </w:p>
    <w:p>
      <w:pPr>
        <w:pStyle w:val="Heading3"/>
        <w:numPr>
          <w:ilvl w:val="2"/>
          <w:numId w:val="1"/>
        </w:numPr>
        <w:rPr/>
      </w:pPr>
      <w:bookmarkStart w:id="894" w:name="__RefHeading___Toc910586_774463916"/>
      <w:bookmarkStart w:id="895" w:name="_Toc327"/>
      <w:bookmarkEnd w:id="894"/>
      <w:r>
        <w:rPr>
          <w:rtl w:val="true"/>
        </w:rPr>
        <w:t>حرمة النجش</w:t>
      </w:r>
      <w:bookmarkEnd w:id="89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المفتوحة و الجیم الساکنة أو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لا خلاف بین الشیعة و السنّة </w:t>
      </w:r>
      <w:r>
        <w:rPr>
          <w:rStyle w:val="FootnoteAnchor"/>
          <w:rtl w:val="true"/>
        </w:rPr>
        <w:footnoteReference w:id="1320"/>
      </w:r>
      <w:r>
        <w:rPr>
          <w:rFonts w:ascii="IRNazanin" w:hAnsi="IRNazanin" w:eastAsia="IRNazanin"/>
          <w:color w:val="111111"/>
          <w:sz w:val="28"/>
          <w:sz w:val="28"/>
          <w:szCs w:val="28"/>
          <w:rtl w:val="true"/>
          <w:lang w:bidi="fa-IR"/>
        </w:rPr>
        <w:t>فی حرمة النجش فی الجملة</w:t>
      </w:r>
    </w:p>
    <w:p>
      <w:pPr>
        <w:pStyle w:val="BookText"/>
        <w:rPr/>
      </w:pPr>
      <w:r>
        <w:rPr>
          <w:rFonts w:ascii="IRNazanin" w:hAnsi="IRNazanin" w:eastAsia="IRNazanin"/>
          <w:color w:val="111111"/>
          <w:sz w:val="28"/>
          <w:sz w:val="28"/>
          <w:szCs w:val="28"/>
          <w:rtl w:val="true"/>
          <w:lang w:bidi="fa-IR"/>
        </w:rPr>
        <w:t xml:space="preserve">و قد فسّروه بوجهین کما یظهر من أهل اللغة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یزید الرجل فی البیع ثمن السلعة و هو لا یرید شراءها،و لکن لیسمعه غیره،فیزید بزیادته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المروی عن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تمدح سلعة غیرک و تروّجها لیبیعها،أو تذمّها لئلاّ تنفق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الوجهین هو تحقّق النجش بهما،سواء أکان ذلک عن مواطاة مع البائع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غرض الناجش غشّ المشتری و تغریره فی المعاملة فإنّ مقتضی القاعدة حینئذ هو حرمة الغش مع تحقّق المعاملة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فی البحث عن حرمة الغشّ </w:t>
      </w:r>
      <w:r>
        <w:rPr>
          <w:rStyle w:val="FootnoteAnchor"/>
          <w:rtl w:val="true"/>
        </w:rPr>
        <w:footnoteReference w:id="1322"/>
      </w:r>
      <w:r>
        <w:rPr>
          <w:rFonts w:ascii="IRNazanin" w:hAnsi="IRNazanin" w:eastAsia="IRNazanin"/>
          <w:color w:val="111111"/>
          <w:sz w:val="28"/>
          <w:sz w:val="28"/>
          <w:szCs w:val="28"/>
          <w:rtl w:val="true"/>
          <w:lang w:bidi="fa-IR"/>
        </w:rPr>
        <w:t>أنّ غشّ المؤمن فی المعاملة حرام،لاستفاضة الروایات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تقع المعاملة فی الخارج أو وقعت فیه بغیر غشّ و تغریر فلا دلیل علی حرمته،إلاّ من حیث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بحرمة النجش بهذا المعنی،لکونه إضرارا للمشتری،و هو حرام</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إنّما أقدم علی الضرر بإرادته و اختیاره،و إن کان</w:t>
      </w:r>
    </w:p>
    <w:p>
      <w:pPr>
        <w:pStyle w:val="BookText"/>
        <w:rPr/>
      </w:pPr>
      <w:r>
        <w:rPr>
          <w:rFonts w:ascii="IRNazanin" w:hAnsi="IRNazanin" w:eastAsia="IRNazanin"/>
          <w:color w:val="111111"/>
          <w:sz w:val="28"/>
          <w:sz w:val="28"/>
          <w:szCs w:val="28"/>
          <w:rtl w:val="true"/>
          <w:lang w:bidi="fa-IR"/>
        </w:rPr>
        <w:t>الدافع له علی الإقدام هو الناجش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أخصّ من المدّعی،فإنّ الناجش إنّما یوقع المشتری فی الضرر إذا کان الشراء بأزید من القیمة السوقیة،و أمّا إذا وقعت المعاملة علی السلعة بأقل من القیمة السوقیة أو بما یساویها فإنّ النجش لا یوجب إضرارا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یمنع من صدق مفهوم النجش علی ذلک کما یظهر من غیر واحد من أهل اللغة کالمصباح و تاج العروس و غیرهما،و قد تقدّمت کلماتهم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حرمة النجش فی هذه الصورة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الناجش و المنجوش له</w:t>
      </w:r>
      <w:r>
        <w:rPr>
          <w:rFonts w:eastAsia="IRNazanin" w:cs="IRNazanin"/>
          <w:color w:val="111111"/>
          <w:sz w:val="28"/>
          <w:szCs w:val="28"/>
          <w:rtl w:val="true"/>
          <w:lang w:bidi="fa-IR"/>
        </w:rPr>
        <w:t xml:space="preserve">» </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تناجشوا</w:t>
      </w:r>
      <w:r>
        <w:rPr>
          <w:rFonts w:eastAsia="IRNazanin" w:cs="IRNazanin"/>
          <w:color w:val="111111"/>
          <w:sz w:val="28"/>
          <w:szCs w:val="28"/>
          <w:rtl w:val="true"/>
          <w:lang w:bidi="fa-IR"/>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هذین النبویین ضعیفا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انجبارهما بالإجماع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غیر صحیحة،فإنّه إن کان حجّة وجب الأخذ به فی نفسه،و إلاّ فإن ضمّ غیر الحجّة إلی مثله لا یفید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مختصّان بصورة مواطاة الناجش مع البائع علی النجش،کما هو الظاهر من لعن المنجوش له فی النبوی الأول،و النهی عن التناجش فی النبوی الثانی و کلامنا أعمّ من ذلک</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مدح السلعة لترغیب الناس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المدح بما لیس فیها من الأوصاف کان حراما من جهة الکذب،و إن کان مدحه للسلعة بما</w:t>
      </w:r>
      <w:bookmarkStart w:id="896" w:name="pg5064_65763"/>
    </w:p>
    <w:p>
      <w:pPr>
        <w:pStyle w:val="BookText"/>
        <w:rPr/>
      </w:pPr>
      <w:bookmarkEnd w:id="896"/>
      <w:r>
        <w:rPr>
          <w:rFonts w:ascii="IRNazanin" w:hAnsi="IRNazanin" w:eastAsia="IRNazanin"/>
          <w:color w:val="111111"/>
          <w:sz w:val="28"/>
          <w:sz w:val="28"/>
          <w:szCs w:val="28"/>
          <w:rtl w:val="true"/>
          <w:lang w:bidi="fa-IR"/>
        </w:rPr>
        <w:t xml:space="preserve">فیها من الأوصاف و لکن بالغ فی مدحها مع قیام القرینة علی إرادة المبالغة فلا بأس به،فقد ذکرنا فی مبحث حرمة الکذب </w:t>
      </w:r>
      <w:r>
        <w:rPr>
          <w:rStyle w:val="FootnoteAnchor"/>
          <w:rtl w:val="true"/>
        </w:rPr>
        <w:footnoteReference w:id="1325"/>
      </w:r>
      <w:r>
        <w:rPr>
          <w:rFonts w:ascii="IRNazanin" w:hAnsi="IRNazanin" w:eastAsia="IRNazanin"/>
          <w:color w:val="111111"/>
          <w:sz w:val="28"/>
          <w:sz w:val="28"/>
          <w:szCs w:val="28"/>
          <w:rtl w:val="true"/>
          <w:lang w:bidi="fa-IR"/>
        </w:rPr>
        <w:t>أنّ المبالغة جائزة فی مقام المحاورة و المحادثة ما لم تجر إلی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الروایتان المتقدّمتان فمضافا إلی ضعف السند فیهما کما عرفت،أنّهما راجعتان إلی الصورة الاولی،إذ لا وجه لحرمة مدح السلعة إلاّ إذا انطبق علیه عنوان محرّم من الکذب أو الغش أو غیرهما من العناوین المحرّمة،فیکون محرّما من تلک الجهة،لا من جهة کونه مدحا للسلعة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حرمة النجش فی نفسه،إلاّ إذا انطبق علیه عنوان آخر محرّم،فإنّه یکون حراما من هذه الجهة</w:t>
      </w:r>
      <w:r>
        <w:rPr>
          <w:rFonts w:eastAsia="IRNazanin" w:cs="IRNazanin"/>
          <w:color w:val="111111"/>
          <w:sz w:val="28"/>
          <w:szCs w:val="28"/>
          <w:rtl w:val="true"/>
          <w:lang w:bidi="fa-IR"/>
        </w:rPr>
        <w:t>.</w:t>
      </w:r>
    </w:p>
    <w:p>
      <w:pPr>
        <w:pStyle w:val="Heading3"/>
        <w:numPr>
          <w:ilvl w:val="2"/>
          <w:numId w:val="1"/>
        </w:numPr>
        <w:rPr/>
      </w:pPr>
      <w:bookmarkStart w:id="897" w:name="__RefHeading___Toc910588_774463916"/>
      <w:bookmarkStart w:id="898" w:name="_Toc328"/>
      <w:bookmarkEnd w:id="897"/>
      <w:r>
        <w:rPr>
          <w:rtl w:val="true"/>
        </w:rPr>
        <w:t>حرمة النمیمة</w:t>
      </w:r>
      <w:bookmarkEnd w:id="898"/>
    </w:p>
    <w:p>
      <w:pPr>
        <w:pStyle w:val="BookText"/>
        <w:rPr/>
      </w:pP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النمیمة محرّمة بالأدلّة الأربعة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بین المسلمین فی حرمتها،بل هی من ضروریات الإسلام و هی من الکبائر المهلکة،و قد تواترت الروایات من طرق الشیعة </w:t>
      </w:r>
      <w:r>
        <w:rPr>
          <w:rStyle w:val="FootnoteAnchor"/>
          <w:rtl w:val="true"/>
        </w:rPr>
        <w:footnoteReference w:id="1328"/>
      </w:r>
      <w:r>
        <w:rPr>
          <w:rFonts w:ascii="IRNazanin" w:hAnsi="IRNazanin" w:eastAsia="IRNazanin"/>
          <w:color w:val="111111"/>
          <w:sz w:val="28"/>
          <w:sz w:val="28"/>
          <w:szCs w:val="28"/>
          <w:rtl w:val="true"/>
          <w:lang w:bidi="fa-IR"/>
        </w:rPr>
        <w:t>و من طرق</w:t>
      </w:r>
    </w:p>
    <w:p>
      <w:pPr>
        <w:pStyle w:val="BookText"/>
        <w:rPr/>
      </w:pPr>
      <w:r>
        <w:rPr>
          <w:rFonts w:ascii="Amiri" w:hAnsi="Amiri" w:eastAsia="Amiri" w:cs="Amiri"/>
          <w:color w:val="111111"/>
          <w:sz w:val="28"/>
          <w:sz w:val="28"/>
          <w:szCs w:val="28"/>
          <w:rtl w:val="true"/>
          <w:lang w:bidi="ar-SA"/>
        </w:rPr>
        <w:t xml:space="preserve">العامّة </w:t>
      </w:r>
      <w:r>
        <w:rPr>
          <w:rStyle w:val="FootnoteAnchor"/>
          <w:rtl w:val="true"/>
        </w:rPr>
        <w:footnoteReference w:id="1329"/>
      </w:r>
      <w:r>
        <w:rPr>
          <w:rFonts w:ascii="IRNazanin" w:hAnsi="IRNazanin" w:eastAsia="IRNazanin"/>
          <w:color w:val="111111"/>
          <w:sz w:val="28"/>
          <w:sz w:val="28"/>
          <w:szCs w:val="28"/>
          <w:rtl w:val="true"/>
          <w:lang w:bidi="fa-IR"/>
        </w:rPr>
        <w:t>علی حرمتها،و علی کونها من الکبائر،بل یدلّ علی حرمتها جمیع ما دلّ علی حرمة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استقلّ العقل بحرمتها،لکونها قبیحة فی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فهو بقسمیه و إن کان منعقدا علی حرمتها،و لکنّ الظاهر أنّ مدرک المجمعین هو الوجوه المذکورة فی المسألة،و لیس إجماعا تعبّدیا،و قد تقدّم نظیره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یستدلّ علی حرمتها بجملة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یَقْطَعُونَ ما أَمَرَ اللّهُ بِهِ أَنْ یُوصَلَ وَ یُفْسِدُونَ فِی الْأَرْضِ أُولئِکَ لَهُمُ اللَّعْنَةُ وَ لَهُمْ سُوءُ الدّارِ </w:t>
      </w:r>
      <w:r>
        <w:rPr>
          <w:rStyle w:val="FootnoteAnchor"/>
          <w:rtl w:val="true"/>
        </w:rPr>
        <w:footnoteReference w:id="1330"/>
      </w:r>
      <w:r>
        <w:rPr>
          <w:rFonts w:ascii="IRNazanin" w:hAnsi="IRNazanin" w:eastAsia="IRNazanin"/>
          <w:color w:val="111111"/>
          <w:sz w:val="28"/>
          <w:sz w:val="28"/>
          <w:szCs w:val="28"/>
          <w:rtl w:val="true"/>
          <w:lang w:bidi="fa-IR"/>
        </w:rPr>
        <w:t>بدعوی أنّ النّمام قاطع لما أمر اللّه بصلته،و یفسد فی الأرض فسادا کبیرا،فتلحق له اللعنة و سوء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الآیة و لو بمناسبة الحکم و الموضوع هو توجّه الذمّ إلی الذین امروا بالصلة و التوادد فأعرضوا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قیل </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 أنّهم امروا بصلة النبی و المؤمنین فقطعوهم،و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امروا بصلة الرحم و القرابة فقطعوها،و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امروا بالإیمان بجمیع الأنبیاء و الکتب ففرّقوا و قطعوا ذلک،و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امروا أن یصلوا القول بالعمل ففرّقوا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 أنّهم امروا بوصل کل من أمر اللّه بصلته من أولیائه و القطع و البراءة من أعدائه،و هو الأقوی،لأنّه أعم،و یدخل فیه جمیع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فالنّمام لم یؤمر بالقاء الصلة و التوادد بین الناس لکی یحرم علیه قطع ذلک</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غریبة عنه</w:t>
      </w:r>
      <w:r>
        <w:rPr>
          <w:rFonts w:eastAsia="IRNazanin" w:cs="IRNazanin"/>
          <w:color w:val="111111"/>
          <w:sz w:val="28"/>
          <w:szCs w:val="28"/>
          <w:rtl w:val="true"/>
          <w:lang w:bidi="fa-IR"/>
        </w:rPr>
        <w:t>.</w:t>
      </w:r>
      <w:bookmarkStart w:id="899" w:name="pg5064_65765"/>
    </w:p>
    <w:p>
      <w:pPr>
        <w:pStyle w:val="BookText"/>
        <w:rPr/>
      </w:pPr>
      <w:bookmarkEnd w:id="899"/>
      <w:r>
        <w:rPr>
          <w:rFonts w:ascii="IRNazanin" w:hAnsi="IRNazanin" w:eastAsia="IRNazanin"/>
          <w:color w:val="111111"/>
          <w:sz w:val="28"/>
          <w:sz w:val="28"/>
          <w:szCs w:val="28"/>
          <w:rtl w:val="true"/>
          <w:lang w:bidi="fa-IR"/>
        </w:rPr>
        <w:t>و أمّا الاستدلال علی الحرمة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یُفْسِدُونَ فِی الْأَرْضِ إلخ،فإنّه و إن کان صحیحا فی الجملة،کما إذا کانت النمیمة بین العشائر و السلاطین،فإنّها کثیرا ما تترتّب علیها مفسدة مهمّة،و لکن الاستدلال بها أخصّ من المدّعی،إذ لا تکون النمیمة فسادا فی الأرض فی جمیع الموارد،و إن أوجبت العداوة و البغضاء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ظهر الجواب عن 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أَشَدُّ مِنَ الْقَتْلِ </w:t>
      </w:r>
      <w:r>
        <w:rPr>
          <w:rStyle w:val="FootnoteAnchor"/>
          <w:rtl w:val="true"/>
        </w:rPr>
        <w:footnoteReference w:id="1332"/>
      </w:r>
      <w:r>
        <w:rPr>
          <w:rFonts w:ascii="IRNazanin" w:hAnsi="IRNazanin" w:eastAsia="IRNazanin"/>
          <w:color w:val="111111"/>
          <w:sz w:val="28"/>
          <w:sz w:val="28"/>
          <w:szCs w:val="28"/>
          <w:rtl w:val="true"/>
          <w:lang w:bidi="fa-IR"/>
        </w:rPr>
        <w:t>فإنّ النمیمة قد تجرّ إلی قتل النفوس المحترمة و هتک الأعراض و نهب الأموال،و لکنّها لیست کذلک فی جمیع الأحوال،بل المراد من الفتنة هو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سمّی الشرک فتنة لأنّه یؤدّی إلی الهلاک،کما أنّ الفتنة تؤدّی إلی الهلاک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النسبة بین النمیمة و الغیبة هی العموم من وجه،و یشتدّ العقاب فی مورد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تزاحم حرمة النمیمة عنوان آخر مهم فی نظر الشارع،فتجری فیها قواعد التزاحم المعروفة،فقد تصبح جائزة إذا کان المزاحم أهم منها،و قد تکون واجبة إذا کانت أهمیته شدیدة،و یتّضح ذلک بملاحظة ما تقدّم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910590_774463916"/>
      <w:bookmarkStart w:id="901" w:name="_Toc329"/>
      <w:bookmarkEnd w:id="900"/>
      <w:r>
        <w:rPr>
          <w:rtl w:val="true"/>
        </w:rPr>
        <w:t>النیاحة</w:t>
      </w:r>
      <w:bookmarkEnd w:id="901"/>
    </w:p>
    <w:p>
      <w:pPr>
        <w:pStyle w:val="Heading4"/>
        <w:numPr>
          <w:ilvl w:val="3"/>
          <w:numId w:val="1"/>
        </w:numPr>
        <w:rPr/>
      </w:pPr>
      <w:bookmarkStart w:id="902" w:name="__RefHeading___Toc910592_774463916"/>
      <w:bookmarkStart w:id="903" w:name="_Toc330"/>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النوح بالباطل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کلمات الأصحاب فی هذه المسألة علی ثلاثة أقوال،الأول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بحرمة النوح مطلقا،و قد ذهب إلیه جمع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بالکراهة مطلقا،و هو المحکی عن مفتاح الکرامة </w:t>
      </w:r>
      <w:r>
        <w:rPr>
          <w:rStyle w:val="FootnoteAnchor"/>
          <w:rtl w:val="true"/>
        </w:rPr>
        <w:footnoteReference w:id="1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بالتفصیل بین النوح بالباطل فیحرم،و النوح بالحقّ فیجوز،و قد اختاره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اختلف أصحاب القول بالتفصیل فذهب بعضهم إلی جواز النوح بالحقّ من غیر کراهة،و ذهب بعضهم إلی جواز ذلک علی کراهة،و ذهب بعضهم إلی أنّ النوح بالحقّ إذا اشترطت فیه الاجرة کان مکروها،و إلاّ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الواردة فی مسألة النیاحة علی طوائف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المنع من النیاحة مطلقا </w:t>
      </w:r>
      <w:r>
        <w:rPr>
          <w:rStyle w:val="FootnoteAnchor"/>
          <w:rtl w:val="true"/>
        </w:rPr>
        <w:footnoteReference w:id="1337"/>
      </w:r>
      <w:r>
        <w:rPr>
          <w:rFonts w:ascii="IRNazanin" w:hAnsi="IRNazanin" w:eastAsia="IRNazanin"/>
          <w:color w:val="111111"/>
          <w:sz w:val="28"/>
          <w:sz w:val="28"/>
          <w:szCs w:val="28"/>
          <w:rtl w:val="true"/>
          <w:lang w:bidi="fa-IR"/>
        </w:rPr>
        <w:t>،سواء کانت بالباطل أم بالحقّ</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جوازها و جواز أخذ الاجرة علیها کذلک مطلقا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جواز کسب النائحة إذا قالت صدقا،و عدم جوازه إذا قالت کذبا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یدلّ بظاهره علی الکراهة و هی روایتان </w:t>
      </w:r>
      <w:r>
        <w:rPr>
          <w:rStyle w:val="FootnoteAnchor"/>
          <w:rtl w:val="true"/>
        </w:rPr>
        <w:footnoteReference w:id="1340"/>
      </w:r>
      <w:r>
        <w:rPr>
          <w:rFonts w:ascii="IRNazanin" w:hAnsi="IRNazanin" w:eastAsia="IRNazanin"/>
          <w:color w:val="111111"/>
          <w:sz w:val="28"/>
          <w:sz w:val="28"/>
          <w:szCs w:val="28"/>
          <w:rtl w:val="true"/>
          <w:lang w:bidi="fa-IR"/>
        </w:rPr>
        <w:t>تضمّنت إحداهما أنّ السائل سأل عن النیاحة،و الاخری عن کسب النائحة،فکرههما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أنّهما غیر ظاهرتین فی الکراهة المصطلحة،فکثیرا ما یراد بالکراهة فی الأخبار التحریم،و حینئذ فتکون هاتان الروایتان من الطائفة الاولی الدالّة علی 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الجمع بینها حمل الأخبار المانعة علی النوح بالباطل،و حمل الأخبار المجوّزة و ما هو ظاهر فی الکراهة علی النوح بالصدق،و علیه فالنتیجة هی جواز النیاحة بالصدق علی کراهة محتملة</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بکسب النائحة إذا قالت</w:t>
      </w:r>
      <w:bookmarkStart w:id="904" w:name="pg5064_65768"/>
    </w:p>
    <w:p>
      <w:pPr>
        <w:pStyle w:val="BookText"/>
        <w:rPr/>
      </w:pPr>
      <w:bookmarkEnd w:id="904"/>
      <w:r>
        <w:rPr>
          <w:rFonts w:ascii="IRNazanin" w:hAnsi="IRNazanin" w:eastAsia="IRNazanin"/>
          <w:color w:val="111111"/>
          <w:sz w:val="28"/>
          <w:sz w:val="28"/>
          <w:szCs w:val="28"/>
          <w:rtl w:val="true"/>
          <w:lang w:bidi="fa-IR"/>
        </w:rPr>
        <w:t>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معناه یدلّ بالالتزام علی جواز نفس النوح بالحقّ،فیقیّد به إطلاق الروایات المانعة،و بعد تقییدها تنقلب نسبتها إلی الروایات الدالّة بإطلاقها علی الجواز،فتکون مخصّصة لها،فیکون النوح بالباطل حراما،و النوح بالحقّ جائزا علی الکراهة المحتملة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یرجع إلی حکم النیاحة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بأنّها حینئذ معارضة بما دلّ علی حرمة الکذب،و حرمة الغناء و حرمة إسماع المرأة صوتها للأجانب،و حرمة النوح فی آلات اللهو،و المعارضة بینها بنحو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دعوی جزافیة،فإنّ هذه الروایات تدلّ علی جواز النوح بعنوانه الأوّلی،مع قطع النظر عن انطباق العناوین المحرّمة علیه،فلا تکون معارضة لها بوجه</w:t>
      </w:r>
      <w:r>
        <w:rPr>
          <w:rFonts w:eastAsia="IRNazanin" w:cs="IRNazanin"/>
          <w:color w:val="111111"/>
          <w:sz w:val="28"/>
          <w:szCs w:val="28"/>
          <w:rtl w:val="true"/>
          <w:lang w:bidi="fa-IR"/>
        </w:rPr>
        <w:t>.</w:t>
      </w:r>
    </w:p>
    <w:p>
      <w:pPr>
        <w:pStyle w:val="Heading4"/>
        <w:numPr>
          <w:ilvl w:val="3"/>
          <w:numId w:val="1"/>
        </w:numPr>
        <w:rPr/>
      </w:pPr>
      <w:bookmarkStart w:id="905" w:name="__RefHeading___Toc910594_774463916"/>
      <w:bookmarkStart w:id="906" w:name="_Toc331"/>
      <w:bookmarkEnd w:id="905"/>
      <w:r>
        <w:rPr>
          <w:rtl w:val="true"/>
        </w:rPr>
        <w:t>کسب النائحة</w:t>
      </w:r>
      <w:bookmarkEnd w:id="906"/>
    </w:p>
    <w:p>
      <w:pPr>
        <w:pStyle w:val="BookText"/>
        <w:rPr/>
      </w:pPr>
      <w:r>
        <w:rPr>
          <w:rFonts w:ascii="IRNazanin" w:hAnsi="IRNazanin" w:eastAsia="IRNazanin"/>
          <w:color w:val="111111"/>
          <w:sz w:val="28"/>
          <w:sz w:val="28"/>
          <w:szCs w:val="28"/>
          <w:rtl w:val="true"/>
          <w:lang w:bidi="fa-IR"/>
        </w:rPr>
        <w:t>و أمّا کسب النائحة فما دلّ علی جوازه مطلقا مقیّد بمفهوم ما دلّ علی جوازه إذا کان النیاح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الروایة الظاهرة فی تقیید ما دلّ علی جواز کسب النائحة مطلقا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یکفی فی التقیید ما تقدّم مرارا من أنّ حرمة العمل بنفسه تکفی فی حرمة الکسب،مع قطع النظر عن الأدلّة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بتقیید المطلقات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حنّان بن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تشارط،و تقبل ما اعطیت</w:t>
      </w:r>
      <w:r>
        <w:rPr>
          <w:rFonts w:eastAsia="IRNazanin" w:cs="IRNazanin"/>
          <w:color w:val="111111"/>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و علیه فالنتیجة أنّ کسب النائحة جائز إذا قالت حقّا،و لم تشارط</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تقدّم فی البحث عن کسب الماشطة </w:t>
      </w:r>
      <w:r>
        <w:rPr>
          <w:rStyle w:val="FootnoteAnchor"/>
          <w:rtl w:val="true"/>
        </w:rPr>
        <w:footnoteReference w:id="1342"/>
      </w:r>
      <w:r>
        <w:rPr>
          <w:rFonts w:ascii="IRNazanin" w:hAnsi="IRNazanin" w:eastAsia="IRNazanin"/>
          <w:color w:val="111111"/>
          <w:sz w:val="28"/>
          <w:sz w:val="28"/>
          <w:szCs w:val="28"/>
          <w:rtl w:val="true"/>
          <w:lang w:bidi="fa-IR"/>
        </w:rPr>
        <w:t>أنّ النهی عن الاشتراط</w:t>
      </w:r>
      <w:bookmarkStart w:id="907" w:name="pg5064_65769"/>
    </w:p>
    <w:p>
      <w:pPr>
        <w:pStyle w:val="BookText"/>
        <w:rPr/>
      </w:pPr>
      <w:bookmarkEnd w:id="907"/>
      <w:r>
        <w:rPr>
          <w:rFonts w:ascii="IRNazanin" w:hAnsi="IRNazanin" w:eastAsia="IRNazanin"/>
          <w:color w:val="111111"/>
          <w:sz w:val="28"/>
          <w:sz w:val="28"/>
          <w:szCs w:val="28"/>
          <w:rtl w:val="true"/>
          <w:lang w:bidi="fa-IR"/>
        </w:rPr>
        <w:t>فی أمثال هذه الصنائع،و الأمر بقبول ما یعطی صاحبها إنّما هو إرشاد إلی أنّ الاشتراط فیها لا یناسب شؤون نوع الناس،و أنّ المبذول لهؤلاء لا یقلّ عن اجرة المثل،و هذا لا ینافی جواز ردّ المبذول إذا کان أقلّ من اجرة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دلالة فیها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الإغضاء عن أسانید الروایات و صونها عن الطرح،و إلاّ فإنّ جمیعها ضعیف السند،غیر ما هو ظاهر فی جواز النیاح علی وجه الإطلاق،و ما هو ظاهر فی الکراهة،و ما هو ظاهر فی جواز کسب النائحة إذا لم تشارط،کروایة حنّان المتقدّمة،إذن فتبقی هذه الروایات سلیمة عن المعارض</w:t>
      </w:r>
      <w:r>
        <w:rPr>
          <w:rFonts w:eastAsia="IRNazanin" w:cs="IRNazanin"/>
          <w:color w:val="111111"/>
          <w:sz w:val="28"/>
          <w:szCs w:val="28"/>
          <w:rtl w:val="true"/>
          <w:lang w:bidi="fa-IR"/>
        </w:rPr>
        <w:t>.</w:t>
      </w:r>
    </w:p>
    <w:p>
      <w:pPr>
        <w:pStyle w:val="Heading3"/>
        <w:numPr>
          <w:ilvl w:val="2"/>
          <w:numId w:val="1"/>
        </w:numPr>
        <w:rPr/>
      </w:pPr>
      <w:bookmarkStart w:id="908" w:name="__RefHeading___Toc910596_774463916"/>
      <w:bookmarkStart w:id="909" w:name="_Toc332"/>
      <w:bookmarkEnd w:id="908"/>
      <w:r>
        <w:rPr>
          <w:rtl w:val="true"/>
        </w:rPr>
        <w:t>حرمة الولایة من قبل الجائر</w:t>
      </w:r>
      <w:bookmarkEnd w:id="909"/>
    </w:p>
    <w:p>
      <w:pPr>
        <w:pStyle w:val="Heading4"/>
        <w:numPr>
          <w:ilvl w:val="3"/>
          <w:numId w:val="1"/>
        </w:numPr>
        <w:rPr/>
      </w:pPr>
      <w:bookmarkStart w:id="910" w:name="__RefHeading___Toc910598_774463916"/>
      <w:bookmarkStart w:id="911" w:name="_Toc333"/>
      <w:bookmarkEnd w:id="910"/>
      <w:r>
        <w:rPr>
          <w:rtl w:val="true"/>
        </w:rPr>
        <w:t>اشارة</w:t>
      </w:r>
      <w:bookmarkEnd w:id="91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الولایة من قبل الجائر،و هی صیرورته والیا علی قوم منصوبا من قبله محرّمة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لا خلاف بین الأصحاب فی حرمة الولایة من قبل الجائر فی الجملة،و تدلّ علیها الأخبار المستفیضة،بل المتواترة </w:t>
      </w:r>
      <w:r>
        <w:rPr>
          <w:rStyle w:val="FootnoteAnchor"/>
          <w:rtl w:val="true"/>
        </w:rPr>
        <w:footnoteReference w:id="1344"/>
      </w:r>
      <w:r>
        <w:rPr>
          <w:rFonts w:ascii="IRNazanin" w:hAnsi="IRNazanin" w:eastAsia="IRNazanin"/>
          <w:color w:val="111111"/>
          <w:sz w:val="28"/>
          <w:sz w:val="28"/>
          <w:szCs w:val="28"/>
          <w:rtl w:val="true"/>
          <w:lang w:bidi="fa-IR"/>
        </w:rPr>
        <w:t xml:space="preserve">و قد تقدّم بعضها </w:t>
      </w:r>
      <w:r>
        <w:rPr>
          <w:rStyle w:val="FootnoteAnchor"/>
          <w:rtl w:val="true"/>
        </w:rPr>
        <w:footnoteReference w:id="1345"/>
      </w:r>
      <w:r>
        <w:rPr>
          <w:rFonts w:ascii="IRNazanin" w:hAnsi="IRNazanin" w:eastAsia="IRNazanin"/>
          <w:color w:val="111111"/>
          <w:sz w:val="28"/>
          <w:sz w:val="28"/>
          <w:szCs w:val="28"/>
          <w:rtl w:val="true"/>
          <w:lang w:bidi="fa-IR"/>
        </w:rPr>
        <w:t>فی البحث عن حرمة معونة الظالمین،کقوله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سوّد اسمه فی دیوان ولد 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یوم القیامة خنزیرا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الحرمة أیضا ما فی روایة تحف العقول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ولایة الوالی الجائر دروس </w:t>
      </w:r>
      <w:r>
        <w:rPr>
          <w:rStyle w:val="FootnoteAnchor"/>
          <w:rtl w:val="true"/>
        </w:rPr>
        <w:footnoteReference w:id="1346"/>
      </w:r>
      <w:r>
        <w:rPr>
          <w:rFonts w:ascii="IRNazanin" w:hAnsi="IRNazanin" w:eastAsia="IRNazanin"/>
          <w:color w:val="111111"/>
          <w:sz w:val="28"/>
          <w:sz w:val="28"/>
          <w:szCs w:val="28"/>
          <w:rtl w:val="true"/>
          <w:lang w:bidi="fa-IR"/>
        </w:rPr>
        <w:t>الحقّ کلّه،و إحیاء الباطل کلّه،و إظهار الظلم و الجور و الفساد،و إبطال الکتب،و قتل الأنبیاء،و هدم المساجد،و تبدیل سنّة اللّه و شرائعه،فلذلک حرم العمل معهم و معونتهم و الکسب معهم،إلاّ بجهة الضرورة نظیر الضرورة إلی الدم و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و إن کانت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الکلام علیها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تلک التعلیلات المذکورة فیها تعلیلات صحیحة فلا بأس بالتمسّک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جملة من الروایات کون الولایة من قبل الجائر بنفسها محرّمة و هی أخذ المنصب منه،و تسوید الاسم فی دیوانه،و إن لم ینضم إلیها القیام بمعصیة عملیة اخری من الظلم،و قتل النفوس المحترمة،و إصابة أموال الناس و أعراضهم و غیرها من شؤون الولایة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وال من ولاة الجور ارتکب شیئا من تلک العناوین المحرّمة یعاقب بعقابین،أحدهما من جهة الولایة المحرّمة و ثانیهما من جهة ما ارتکبه من المعاصی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فالنسبة بین عنوان الولایة من قبل الجائر و بین تحقّق هذه الأعمال المحرّمة هی العموم من وجه،فقد یکون أحد والیا من قبل الجائر و لکنّه لا یعمل شیئا من الأعمال المحرّمة،و إن کانت الولایة من الجائر لا تنفک عن المعصیة غالبا</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یرتکب غیر الوالی شیئا من هذه المظالم الراجعة إلی شؤون الولاة تزلّفا إلیهم و طلبا للمنزلة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یجتمعان،بأن یتصدّی الوالی نفسه لأخذ الأموال و قتل النفوس و ارتکاب المظالم</w:t>
      </w:r>
      <w:r>
        <w:rPr>
          <w:rFonts w:eastAsia="IRNazanin" w:cs="IRNazanin"/>
          <w:color w:val="111111"/>
          <w:sz w:val="28"/>
          <w:szCs w:val="28"/>
          <w:rtl w:val="true"/>
          <w:lang w:bidi="fa-IR"/>
        </w:rPr>
        <w:t>.</w:t>
      </w:r>
      <w:bookmarkStart w:id="912" w:name="pg5064_65771"/>
    </w:p>
    <w:p>
      <w:pPr>
        <w:pStyle w:val="Heading4"/>
        <w:numPr>
          <w:ilvl w:val="3"/>
          <w:numId w:val="1"/>
        </w:numPr>
        <w:rPr/>
      </w:pPr>
      <w:bookmarkStart w:id="913" w:name="__RefHeading___Toc910600_774463916"/>
      <w:bookmarkStart w:id="914" w:name="_Toc334"/>
      <w:bookmarkEnd w:id="912"/>
      <w:bookmarkEnd w:id="913"/>
      <w:r>
        <w:rPr>
          <w:rtl w:val="true"/>
        </w:rPr>
        <w:t>ما استثنی من حرمة الولایة</w:t>
      </w:r>
      <w:bookmarkEnd w:id="914"/>
    </w:p>
    <w:p>
      <w:pPr>
        <w:pStyle w:val="Heading5"/>
        <w:numPr>
          <w:ilvl w:val="4"/>
          <w:numId w:val="1"/>
        </w:numPr>
        <w:rPr/>
      </w:pPr>
      <w:bookmarkStart w:id="915" w:name="__RefHeading___Toc910602_774463916"/>
      <w:bookmarkStart w:id="916" w:name="_Toc335"/>
      <w:bookmarkEnd w:id="915"/>
      <w:r>
        <w:rPr>
          <w:rtl w:val="true"/>
        </w:rPr>
        <w:t>أخذها للقیام بمصالح العباد</w:t>
      </w:r>
      <w:bookmarkEnd w:id="916"/>
    </w:p>
    <w:p>
      <w:pPr>
        <w:pStyle w:val="Heading6"/>
        <w:numPr>
          <w:ilvl w:val="5"/>
          <w:numId w:val="1"/>
        </w:numPr>
        <w:rPr/>
      </w:pPr>
      <w:bookmarkStart w:id="917" w:name="__RefHeading___Toc910604_774463916"/>
      <w:bookmarkStart w:id="918" w:name="_Toc336"/>
      <w:bookmarkEnd w:id="917"/>
      <w:r>
        <w:rPr>
          <w:rtl w:val="true"/>
        </w:rPr>
        <w:t>اشارة</w:t>
      </w:r>
      <w:bookmarkEnd w:id="91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یسوّغ الولایة المذکورة أمران،أحدهما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بمصالح العباد بلا خلاف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استثنی من الولایة المحرّمة أمران،الأول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یتولاّها للقیام بمصالح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یتولاّها مکرها علی قبولها و العمل بأعمالها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المصنّف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الولایة إن کانت محرّمة لذاتها کان ارتکابها لأجل المصالح و دفع المفاسد التی هی أهم من مفسدة انسلاک الشخص فی أعوان الظلمة بحسب الظاهر و إن کانت لاستلزامها الظلم علی الغیر فالمفروض عدم تحقّقه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من المصالح حفظ النفوس و الأعراض و نحوهما فالمدّعی أعم من ذلک،و إن کان المراد منها أنّ القیام بامور المسلمین،و الإقدام علی قضاء حوائجهم،و بذل الجهد فی کشف کرباتهم من الامور المستحبّة،و الجهات المرغوب بها فی نظر الشارع المقدّس،فلا شبهة أنّ مجرّد ذلک لا یقاوم الجهة المحرّمة،فإنّ المفروض أنّ الولایة من قبل الجائر حرام فی نفسها،و کیف ترتفع حرمتها لعروض بعض العناوین المستحبّة علیها</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اعترف آنفا بأنّ الولایة عن الجائر لا تنفک عن المعصیة و علیه فلا یجوز الإقدام علی المعصیة لرعایة الامور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اعترف أیضا فی البحث عن جواز الغناء فی قراءة القرآن </w:t>
      </w:r>
      <w:r>
        <w:rPr>
          <w:rStyle w:val="FootnoteAnchor"/>
          <w:rtl w:val="true"/>
        </w:rPr>
        <w:footnoteReference w:id="1347"/>
      </w:r>
      <w:r>
        <w:rPr>
          <w:rFonts w:ascii="IRNazanin" w:hAnsi="IRNazanin" w:eastAsia="IRNazanin"/>
          <w:color w:val="111111"/>
          <w:sz w:val="28"/>
          <w:sz w:val="28"/>
          <w:szCs w:val="28"/>
          <w:rtl w:val="true"/>
          <w:lang w:bidi="fa-IR"/>
        </w:rPr>
        <w:t>بأنّ أدلّة الأحکام الإلزامیة لا تزاحم بأدلّة الأحکام الترخیصیة،و قد أوضحنا المراد فی المبحث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إن کان موجودا فی المقام،و لکنّه لیس بتعبّدی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المتظافرة الظاهرة فی جواز الولایة من الجائر للوصول إلی قضاء حوائج المؤمنین </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و إن کان ضعیف السند و لکن فی المعتبر منها غنی و کفایة،و بهذه الأخبار نقیّد المطلقات الظاهرة فی حرمة الولایة من قبل الجائر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الولایة عن الجائر محرّمة لذاتها کالظلم و نحوه،فلا تقبل التخصیص بوجه،و لا ترفع الید عنها إلاّ فی موارد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غایة ما یستفاد من الأدلّة هی کون الولایة بنفسها محرّمة،و أمّا الحرمة الذاتیة فلم یدلّ علیها دلیل من العقل أو النقل،و إن ذهب إلیه العلاّمة الطباطبائی فی محکی الجواهر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یستدلّ علی جواز الولایة عن الجائر فی الجملة بقوله تعالی حاکیا عن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اِجْعَلْنِی عَلی خَزائِنِ الْأَرْضِ إِنِّی حَفِیظٌ عَلِیمٌ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یظهر لنا وجه الاستدلال بهذه الآیة علی المطلوب</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مستحقّا للسلطنة،و إنّما طلب منه حقّه</w:t>
      </w:r>
      <w:bookmarkStart w:id="919" w:name="pg5064_65773"/>
    </w:p>
    <w:p>
      <w:pPr>
        <w:pStyle w:val="BookText"/>
        <w:rPr/>
      </w:pPr>
      <w:bookmarkEnd w:id="919"/>
      <w:r>
        <w:rPr>
          <w:rFonts w:ascii="IRNazanin" w:hAnsi="IRNazanin" w:eastAsia="IRNazanin"/>
          <w:color w:val="111111"/>
          <w:sz w:val="28"/>
          <w:sz w:val="28"/>
          <w:szCs w:val="28"/>
          <w:rtl w:val="true"/>
          <w:lang w:bidi="fa-IR"/>
        </w:rPr>
        <w:t>فلا یکون والیا من قبل الجائر</w:t>
      </w:r>
      <w:r>
        <w:rPr>
          <w:rFonts w:eastAsia="IRNazanin" w:cs="IRNazanin"/>
          <w:color w:val="111111"/>
          <w:sz w:val="28"/>
          <w:szCs w:val="28"/>
          <w:rtl w:val="true"/>
          <w:lang w:bidi="fa-IR"/>
        </w:rPr>
        <w:t>.</w:t>
      </w:r>
    </w:p>
    <w:p>
      <w:pPr>
        <w:pStyle w:val="Heading6"/>
        <w:numPr>
          <w:ilvl w:val="5"/>
          <w:numId w:val="1"/>
        </w:numPr>
        <w:rPr/>
      </w:pPr>
      <w:bookmarkStart w:id="920" w:name="__RefHeading___Toc910606_774463916"/>
      <w:bookmarkStart w:id="921" w:name="_Toc337"/>
      <w:bookmarkEnd w:id="920"/>
      <w:r>
        <w:rPr>
          <w:rtl w:val="true"/>
        </w:rPr>
        <w:t>أقسام الولایة من قبل الجائر</w:t>
      </w:r>
      <w:bookmarkEnd w:id="921"/>
    </w:p>
    <w:p>
      <w:pPr>
        <w:pStyle w:val="BookText"/>
        <w:rPr/>
      </w:pPr>
      <w:r>
        <w:rPr>
          <w:rFonts w:ascii="IRNazanin" w:hAnsi="IRNazanin" w:eastAsia="IRNazanin"/>
          <w:color w:val="111111"/>
          <w:sz w:val="28"/>
          <w:sz w:val="28"/>
          <w:szCs w:val="28"/>
          <w:rtl w:val="true"/>
          <w:lang w:bidi="fa-IR"/>
        </w:rPr>
        <w:t>إذا جازت الولایة عن الجائر فهل تتّصف بالکراهة و الرجحان أم هی مباحة؟فنقول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أنّه لا إشکال فی جواز الولایة عن الجائر إذا کان الغرض منه الوصول إلی قضاء حوائج المؤمنین،فشأنها حینئذ شأن الکذب للإصلاح علی ما تقدّم الکلام علیه </w:t>
      </w:r>
      <w:r>
        <w:rPr>
          <w:rStyle w:val="FootnoteAnchor"/>
          <w:rtl w:val="true"/>
        </w:rPr>
        <w:footnoteReference w:id="1351"/>
      </w:r>
      <w:r>
        <w:rPr>
          <w:rFonts w:ascii="IRNazanin" w:hAnsi="IRNazanin" w:eastAsia="IRNazanin"/>
          <w:color w:val="111111"/>
          <w:sz w:val="28"/>
          <w:sz w:val="28"/>
          <w:szCs w:val="28"/>
          <w:rtl w:val="true"/>
          <w:lang w:bidi="fa-IR"/>
        </w:rPr>
        <w:t>،و إنّما الکلام فی اتّصافها بالرجحان تارة،و بالمرجوحیة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ظهر لنا من الأخبار أنّ الولایة الجائزة قد تکون مباحة،و قد تکون مکروهة،و قد تکون مستحبّة،و قد تکون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المباح فهو ما یظهر من بعض الروایات </w:t>
      </w:r>
      <w:r>
        <w:rPr>
          <w:rStyle w:val="FootnoteAnchor"/>
          <w:rtl w:val="true"/>
        </w:rPr>
        <w:footnoteReference w:id="1352"/>
      </w:r>
      <w:r>
        <w:rPr>
          <w:rFonts w:ascii="IRNazanin" w:hAnsi="IRNazanin" w:eastAsia="IRNazanin"/>
          <w:color w:val="111111"/>
          <w:sz w:val="28"/>
          <w:sz w:val="28"/>
          <w:szCs w:val="28"/>
          <w:rtl w:val="true"/>
          <w:lang w:bidi="fa-IR"/>
        </w:rPr>
        <w:t>المسوّغة للولایة عن الجائر فی بعض الأحوال،کما ذکره المصنّف</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المکروه فیستفاد من روایة أبی نصر </w:t>
      </w:r>
      <w:r>
        <w:rPr>
          <w:rStyle w:val="FootnoteAnchor"/>
          <w:rtl w:val="true"/>
        </w:rPr>
        <w:footnoteReference w:id="1353"/>
      </w:r>
      <w:r>
        <w:rPr>
          <w:rFonts w:ascii="IRNazanin" w:hAnsi="IRNazanin" w:eastAsia="IRNazanin"/>
          <w:color w:val="111111"/>
          <w:sz w:val="28"/>
          <w:sz w:val="28"/>
          <w:szCs w:val="28"/>
          <w:rtl w:val="true"/>
          <w:lang w:bidi="fa-IR"/>
        </w:rPr>
        <w:t>الدالّة علی أنّ الوالی عن الجائر</w:t>
      </w:r>
    </w:p>
    <w:p>
      <w:pPr>
        <w:pStyle w:val="BookText"/>
        <w:rPr/>
      </w:pPr>
      <w:r>
        <w:rPr>
          <w:rFonts w:ascii="IRNazanin" w:hAnsi="IRNazanin" w:eastAsia="IRNazanin"/>
          <w:color w:val="111111"/>
          <w:sz w:val="28"/>
          <w:sz w:val="28"/>
          <w:szCs w:val="28"/>
          <w:rtl w:val="true"/>
          <w:lang w:bidi="fa-IR"/>
        </w:rPr>
        <w:t>الذی یدفع اللّه به عن المؤمنین أقلّ حظّا منهم یوم القیامة،فإنّ الظاهر منها أنّ الولایة الجائزة عن الجائر مکروهة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المستحبّ فتدلّ علیه جملة من الروایات،إذ الظاهر من روایة محمّد بن إسماعیل </w:t>
      </w:r>
      <w:r>
        <w:rPr>
          <w:rStyle w:val="FootnoteAnchor"/>
          <w:rtl w:val="true"/>
        </w:rPr>
        <w:footnoteReference w:id="1354"/>
      </w:r>
      <w:r>
        <w:rPr>
          <w:rFonts w:ascii="IRNazanin" w:hAnsi="IRNazanin" w:eastAsia="IRNazanin"/>
          <w:color w:val="111111"/>
          <w:sz w:val="28"/>
          <w:sz w:val="28"/>
          <w:szCs w:val="28"/>
          <w:rtl w:val="true"/>
          <w:lang w:bidi="fa-IR"/>
        </w:rPr>
        <w:t>و غیرها أنّ الولایة الجائزة عن الجائر مستحبّة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التنافی بینها و بین ما تقدّم من دلیل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جمعهما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روایة أبی نصر علی من تولّی لهم لنظام معاشه قاصدا للإحسان فی خلال ذلک إلی المؤمنین و دفع الضرر عنهم،و حمل ما هو ظاهر فی الاستحباب علی من لم یقصد بدخوله إلاّ الإحسان إلی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لم یذکر وجهه</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أبی نصر ظاهرة فی مرجوحیة الولایة الجائزة مطلقا</w:t>
      </w:r>
    </w:p>
    <w:p>
      <w:pPr>
        <w:pStyle w:val="BookText"/>
        <w:rPr/>
      </w:pPr>
      <w:r>
        <w:rPr>
          <w:rFonts w:ascii="IRNazanin" w:hAnsi="IRNazanin" w:eastAsia="IRNazanin"/>
          <w:color w:val="111111"/>
          <w:sz w:val="28"/>
          <w:sz w:val="28"/>
          <w:szCs w:val="28"/>
          <w:rtl w:val="true"/>
          <w:lang w:bidi="fa-IR"/>
        </w:rPr>
        <w:t>سواء کانت لنظام المعاش مع قصد الإحسان إلی المؤمنین،أم کانت لخصوص إصلاح شؤونهم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محمد بن إسماعیل ظاهرة فی محبوبیة الولایة عن الجائر إذا کانت لأجل إدخال السرور علی المؤمنین من الشیعة،و یدلّ علی ذلک من الروایة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فهنیئا لهم،ما علی أحدکم أن لو شاء لنال هذا 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بماذا،جعلنی اللّه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معهم فتسرّنا بإدخال السرور علی المؤمنین من شیعتنا،فکن معهم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فتقیّد هذه الروایة روایة أبی نصر،و حینئذ فتختصّ الکراهة بما إذا قصد بالولایة عن الجائر حفظ معاشه،و کان قصد الإحسان إلی الشیعة ضمنا فی خلال ذلک،إذن فتنقلب النسبة،و تصبح روایة أبی نصر مقیّدة لما هو ظاهر فی رجحان الولایة الجائزة،سواء کانت لحفظ المعاش أم لدفع الضرر عن المؤمنین من الشیعة،کروایتی المفضّل و هشام بن سالم </w:t>
      </w:r>
      <w:r>
        <w:rPr>
          <w:rStyle w:val="FootnoteAnchor"/>
          <w:rtl w:val="true"/>
        </w:rPr>
        <w:footnoteReference w:id="1355"/>
      </w:r>
      <w:r>
        <w:rPr>
          <w:rFonts w:ascii="IRNazanin" w:hAnsi="IRNazanin" w:eastAsia="IRNazanin"/>
          <w:color w:val="111111"/>
          <w:sz w:val="28"/>
          <w:sz w:val="28"/>
          <w:szCs w:val="28"/>
          <w:rtl w:val="true"/>
          <w:lang w:bidi="fa-IR"/>
        </w:rPr>
        <w:t>و تکون النتیجة أنّ الولایة من قبل الجائر إن کانت لحفظ المعاش مع قصد الإحسان إلی المؤمنین فهی مکروهة،و إن کانت للإحسان إلیهم فقط فهی مستحبّة،هذا</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روایة أبی نصر لضعف سندها قاصرة عن إثبات الکراهة،إلاّ علی القول بشمول قاعدة التسامح لأدلّة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روایتا المفضّل و هشام فإنّهما و إن کانتا ضعیفتی السند،إلاّ أنّهما لا تقصران عن إثبات الاستحباب علی وجه الإطلاق</w:t>
      </w:r>
    </w:p>
    <w:p>
      <w:pPr>
        <w:pStyle w:val="BookText"/>
        <w:rPr/>
      </w:pPr>
      <w:r>
        <w:rPr>
          <w:rFonts w:ascii="IRNazanin" w:hAnsi="IRNazanin" w:eastAsia="IRNazanin"/>
          <w:color w:val="111111"/>
          <w:sz w:val="28"/>
          <w:sz w:val="28"/>
          <w:szCs w:val="28"/>
          <w:rtl w:val="true"/>
          <w:lang w:bidi="fa-IR"/>
        </w:rPr>
        <w:t>بناء علی قاعدة التسامح فی أدلّة السنن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ظهر من مطاوی ما ذکرناه ما فی کلام المحقّق الإیروانی </w:t>
      </w:r>
      <w:r>
        <w:rPr>
          <w:rStyle w:val="FootnoteAnchor"/>
          <w:rtl w:val="true"/>
        </w:rPr>
        <w:footnoteReference w:id="1356"/>
      </w:r>
      <w:r>
        <w:rPr>
          <w:rFonts w:ascii="IRNazanin" w:hAnsi="IRNazanin" w:eastAsia="IRNazanin"/>
          <w:color w:val="111111"/>
          <w:sz w:val="28"/>
          <w:sz w:val="28"/>
          <w:szCs w:val="28"/>
          <w:rtl w:val="true"/>
          <w:lang w:bidi="fa-IR"/>
        </w:rPr>
        <w:t>حیث حمل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فی أبواب السلاطین و الجائرین من یدفع اللّه بهم عن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الولاة من وجوه البلد و أعیانه الذین یختلفون إلیه لأجل قضاء حوائج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من ذلک دعواه أنّ العمّال فی الغالب لا یستطیعون التخطّی عمّا نصبوا لأجله و فوّض إلیهم من شؤون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تمکّنهم من الشفاعات،و اقتدارهم علی المسامحة فی المجازاة،و اطلاعهم علی طریق الإغماض عن الخطیئات،و لا سیما من کان من ذوی المناصب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الواجب من الولایة فهو علی ما ذکره المصنّف ما یتوقّف علیه الأمر بالمعروف و النهی عن المنکر الواجبان،فإنّ ما لا یتمّ الواجب إلاّ به واجب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استظهر من کلمات جماعة عدم الوجوب فی هذه الصورة أیضا،بل فی الجواهر </w:t>
      </w:r>
      <w:r>
        <w:rPr>
          <w:rStyle w:val="FootnoteAnchor"/>
          <w:rtl w:val="true"/>
        </w:rPr>
        <w:footnoteReference w:id="1357"/>
      </w:r>
      <w:r>
        <w:rPr>
          <w:rFonts w:ascii="IRNazanin" w:hAnsi="IRNazanin" w:eastAsia="IRNazanin"/>
          <w:color w:val="111111"/>
          <w:sz w:val="28"/>
          <w:sz w:val="28"/>
          <w:szCs w:val="28"/>
          <w:rtl w:val="true"/>
          <w:lang w:bidi="fa-IR"/>
        </w:rPr>
        <w:t xml:space="preserve">إنّه لم یحک عن أحد التعبیر بالوجوب إلاّ عن الحلّی فی سرائره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یهمّنا فی المقام هو بیان مدرک الحکم بالوجوب،و الکلام یقع فیه تارة من حیث القواعد،و اخری من حیث الروایات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الجواهر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و لو بمعونة کلام الأصحاب بناء علی حرمة الولایة فی نفسها إنّه تعارض ما دلّ علی الأمر بالمعروف و ما دلّ علی حرمة الولایة من الجائر و لو من وجه،فیجمع بینهما بالتخییر المقتضی للجواز</w:t>
      </w:r>
    </w:p>
    <w:p>
      <w:pPr>
        <w:pStyle w:val="BookText"/>
        <w:rPr/>
      </w:pPr>
      <w:r>
        <w:rPr>
          <w:rFonts w:ascii="IRNazanin" w:hAnsi="IRNazanin" w:eastAsia="IRNazanin"/>
          <w:color w:val="111111"/>
          <w:sz w:val="28"/>
          <w:sz w:val="28"/>
          <w:szCs w:val="28"/>
          <w:rtl w:val="true"/>
          <w:lang w:bidi="fa-IR"/>
        </w:rPr>
        <w:t>رفعا لقید المنع من الترک ممّا دلّ علی الوجوب،و المنع من الفعل ممّا دلّ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التعارض بین الدلیلین هو ورود النفی و الإثبات علی مورد واحد،بحیث یقتضی کل منهما نفی الآخر عن موضوعه،و مثاله أن یرد دلیلان علی موضوع واحد،فیحکم أحدهما بوجوبه و آخر بحرمته،و حیث إنّه لا یعقل اجتماع الحکمین المتضادّین فی محل واحد،فیقع بینهما التعارض،و یرجع إلی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المقطوع به أنّ الملاک المذکور لیس بموجود فی المقام،و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الوجوب هو الأمر بالمعروف أو النهی عن المنکر،و موضوع الحرمة هو الولایة من قبل الجائر،و کل من الموضوعین لا مساس له بالآخر بحسب طبعه الأوّلی،فلا شیء من أفراد أحد الموضوعین فرد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المقام من قبیل توقّف الواجب علی مقدّمة محرّمة،و علیه فیقع التزاحم بین الحرمة المتعلّقة بالمقدّمة و بین الوجوب المتعلّق بذی المقدّمة،نظیر الدخول إلی الأرض المغصوبة لإنقاذ الغریق،أو انجاء الحریق،و یرجع إلی قواعد باب التزاحم المقرّرة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فقد تکون ناحیة الوجوب أهم فیؤخذ بها،و قد تکون ناحیة الحرمة أهم فیؤخذ بها،و قد تکون إحدی الناحیتین بخصوصها محتمل الأهمیة فیتعیّن الأخذ بها کذلک،و قد یتساویان فی الملاک فیتخیّر المکلّف فی اختیار أی منهما شاء،هذا ما تقتضیه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کشف أهمیة الملاک و العلم بوصوله إلی حدّ الإلزام فی غایة الصعوبة</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دلّت الآیات المتظافرة و الروایات المتواترة من الفریقین علی وجوب الأمر بالمعروف و النهی عن المنکر،و کذلک دلّت الروایات المستفیضة بل المتواترة علی أنّه لا بأس بالولایة من قبل الجائر إذا کانت لإصلاح امور المؤمنین من الشیعة،و قد تقدّم بعضها،و بها قیّدنا ما دلّ علی حرمة الولایة عن الجائر مطلقا،و من الواضح أنّ الامور الجائزة إذا وقعت مقدّمة للواجب</w:t>
      </w:r>
    </w:p>
    <w:p>
      <w:pPr>
        <w:pStyle w:val="BookText"/>
        <w:rPr/>
      </w:pPr>
      <w:r>
        <w:rPr>
          <w:rFonts w:ascii="IRNazanin" w:hAnsi="IRNazanin" w:eastAsia="IRNazanin"/>
          <w:color w:val="111111"/>
          <w:sz w:val="28"/>
          <w:sz w:val="28"/>
          <w:szCs w:val="28"/>
          <w:rtl w:val="true"/>
          <w:lang w:bidi="fa-IR"/>
        </w:rPr>
        <w:t>کانت واجبة شرعا کما هو معروف بین الاصولیین،أو عقلا کما هو المختار،و علیه فلا مانع من اتّصاف الولایة الجائزة بالوجوب المقدّمی إذا توقّف علیها الواجب کالأمر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إذا جازت الولایة عن الجائر لإصلاح امور المؤمنین جازت أیضا للأمر بالمعروف و النهی عن المنکر،إمّا بالفحوی،أو لأنّ ذلک من جملة إصلاح امورهم،و قد أشار المحقّق الإیروانی إلی هذا </w:t>
      </w:r>
      <w:r>
        <w:rPr>
          <w:rStyle w:val="FootnoteAnchor"/>
          <w:rtl w:val="true"/>
        </w:rPr>
        <w:footnoteReference w:id="1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أنّ المقام من صغریات باب التزاحم دون التعارض،کما یظهر من صاحب الجواهر بعد کلامه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بعض الروایات أنّ الدخول فی الولایة غیر جائز ابتداء،إلاّ أنّ الإحسان إلی المؤمنین یکون کفّارة له،و ممّا یدلّ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مرسلة الصدوق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عمل السلطان قضاء حوائج الإخوان</w:t>
      </w:r>
      <w:r>
        <w:rPr>
          <w:rFonts w:eastAsia="IRNazanin" w:cs="IRNazanin"/>
          <w:color w:val="111111"/>
          <w:sz w:val="28"/>
          <w:szCs w:val="28"/>
          <w:rtl w:val="true"/>
          <w:lang w:bidi="fa-IR"/>
        </w:rPr>
        <w:t xml:space="preserve">» </w:t>
      </w:r>
      <w:r>
        <w:rPr>
          <w:rStyle w:val="FootnoteAnchor"/>
          <w:rtl w:val="true"/>
        </w:rPr>
        <w:footnoteReference w:id="1360"/>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زیاد بن أبی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ولیت شیئا من أعمالهم فأحسن إلی إخوانک،فواحدة بواحدة</w:t>
      </w:r>
      <w:r>
        <w:rPr>
          <w:rFonts w:eastAsia="IRNazanin" w:cs="IRNazanin"/>
          <w:color w:val="111111"/>
          <w:sz w:val="28"/>
          <w:szCs w:val="28"/>
          <w:rtl w:val="true"/>
          <w:lang w:bidi="fa-IR"/>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الرأی علی إطلاقه ممنوع،فإنّ الظاهر من هاتین الروایتین و من غیرهما من الأخبار هو اختصاص ذلک بما إذا کان الدخول فی الولایة حراما ابتداء ثمّ أصبح جائزا بعد ذلک،ثمّ تبدّل قصده إلی إصلاح امور المؤمنین و الإحسان إلی إخوانه فی الدین،کیف و قد عرفت إطباق الروایات علی استحباب الولایة عن</w:t>
      </w:r>
      <w:bookmarkStart w:id="922" w:name="pg5064_65779"/>
    </w:p>
    <w:p>
      <w:pPr>
        <w:pStyle w:val="BookText"/>
        <w:rPr/>
      </w:pPr>
      <w:bookmarkEnd w:id="922"/>
      <w:r>
        <w:rPr>
          <w:rFonts w:ascii="IRNazanin" w:hAnsi="IRNazanin" w:eastAsia="IRNazanin"/>
          <w:color w:val="111111"/>
          <w:sz w:val="28"/>
          <w:sz w:val="28"/>
          <w:szCs w:val="28"/>
          <w:rtl w:val="true"/>
          <w:lang w:bidi="fa-IR"/>
        </w:rPr>
        <w:t>الجائر لقضاء حوائج المؤمنین و إصلاح شؤونهم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الروایتین ضعیفتا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کلمات الأصحاب هنا فی غایة الاختلاف،حیث ذهب بعضهم إلی الوجوب،و بعضهم إلی الاستحباب،و بعضهم إلی مطلق الجواز،و قد جمع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شتات آرائهم بأنّ من عبّر بالجواز مع التمکّن من الأمر بالمعروف إنّما أراد به الجواز بالمعنی الأعمّ،فلا ینافی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عبّر بالاستحباب إنّما أراد به الاستحباب التعیینی،و هو لا ینافی الوجوب الکفائی،نظیر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تولّی القضاء لمن یثق بنفسه،مع أنّه واجب 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مرادهم ما إذا لم یکن هنا معروف متروک أو منکر مفعول لتجب الولایة مقدّمة للأمر بالمعروف أو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وجوب الولایة عن الجائر إذا توقّف علیها الأمر بالمعروف أو النهی عن المنکر الواجبان</w:t>
      </w:r>
      <w:r>
        <w:rPr>
          <w:rFonts w:eastAsia="IRNazanin" w:cs="IRNazanin"/>
          <w:color w:val="111111"/>
          <w:sz w:val="28"/>
          <w:szCs w:val="28"/>
          <w:rtl w:val="true"/>
          <w:lang w:bidi="fa-IR"/>
        </w:rPr>
        <w:t>.</w:t>
      </w:r>
    </w:p>
    <w:p>
      <w:pPr>
        <w:pStyle w:val="Heading5"/>
        <w:numPr>
          <w:ilvl w:val="4"/>
          <w:numId w:val="1"/>
        </w:numPr>
        <w:rPr/>
      </w:pPr>
      <w:bookmarkStart w:id="923" w:name="__RefHeading___Toc910608_774463916"/>
      <w:bookmarkStart w:id="924" w:name="_Toc338"/>
      <w:bookmarkEnd w:id="923"/>
      <w:r>
        <w:rPr>
          <w:rtl w:val="true"/>
        </w:rPr>
        <w:t>قبول الولایة من قبل الجائر مکرها</w:t>
      </w:r>
      <w:bookmarkEnd w:id="924"/>
    </w:p>
    <w:p>
      <w:p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قبول الولایة من قبل الجائر مکرها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خلاف فیه و لا شبهة فی أنّ هذه المسألة من المسائل المهمّة التی یبتلی بها أکثر الناس،و یتفرّع عنها فروع کثیرة،و هی من صغریات جواز مخالفة التکلیف بالإکراه أو الاضطرار بحیث یشقّ علی المکره أو المضطرّ أن یتحمّل الضرر المتوعّد به،سواء کان مالیا أم عرضیا أم نفسیا أم اعتباریا،و سواء تعلّق بنفسه أم بعشیرته الأقربین</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الکبری ممّا لا خلاف فیها بین الفریقین نصّا و فتوی،و یدلّ علی صدقها فی الجملة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Style w:val="FootnoteAnchor"/>
          <w:rtl w:val="true"/>
        </w:rPr>
        <w:footnoteReference w:id="136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w:t>
      </w:r>
      <w:bookmarkStart w:id="925" w:name="pg5064_65780"/>
    </w:p>
    <w:p>
      <w:pPr>
        <w:pStyle w:val="BookText"/>
        <w:rPr/>
      </w:pPr>
      <w:bookmarkEnd w:id="925"/>
      <w:r>
        <w:rPr>
          <w:rFonts w:ascii="Amiri" w:hAnsi="Amiri" w:eastAsia="Amiri" w:cs="Amiri"/>
          <w:color w:val="111111"/>
          <w:sz w:val="28"/>
          <w:sz w:val="28"/>
          <w:szCs w:val="28"/>
          <w:rtl w:val="true"/>
          <w:lang w:bidi="ar-SA"/>
        </w:rPr>
        <w:t xml:space="preserve">وَ قَلْبُهُ مُطْمَئِنٌّ بِالْإِیمانِ </w:t>
      </w:r>
      <w:r>
        <w:rPr>
          <w:rStyle w:val="FootnoteAnchor"/>
          <w:rtl w:val="true"/>
        </w:rPr>
        <w:footnoteReference w:id="1363"/>
      </w:r>
      <w:r>
        <w:rPr>
          <w:rFonts w:ascii="IRNazanin" w:hAnsi="IRNazanin" w:eastAsia="IRNazanin"/>
          <w:color w:val="111111"/>
          <w:sz w:val="28"/>
          <w:sz w:val="28"/>
          <w:szCs w:val="28"/>
          <w:rtl w:val="true"/>
          <w:lang w:bidi="fa-IR"/>
        </w:rPr>
        <w:t xml:space="preserve">و قد تقدّم الکلام علیهما فی البحث عن جواز الکذب لدفع الضرورة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الصغری فتدلّ علیها جملة من الروایات الخاصّة الواردة فی قبول الولایة عن الجائر مکرها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6" w:name="__RefHeading___Toc910610_774463916"/>
      <w:bookmarkStart w:id="927" w:name="_Toc339"/>
      <w:bookmarkEnd w:id="926"/>
      <w:r>
        <w:rPr>
          <w:rtl w:val="true"/>
        </w:rPr>
        <w:t>تنبیهات</w:t>
      </w:r>
      <w:bookmarkEnd w:id="927"/>
    </w:p>
    <w:p>
      <w:pPr>
        <w:pStyle w:val="Heading5"/>
        <w:numPr>
          <w:ilvl w:val="4"/>
          <w:numId w:val="1"/>
        </w:numPr>
        <w:rPr/>
      </w:pPr>
      <w:bookmarkStart w:id="928" w:name="__RefHeading___Toc910612_774463916"/>
      <w:bookmarkStart w:id="929" w:name="_Toc340"/>
      <w:bookmarkEnd w:id="928"/>
      <w:r>
        <w:rPr>
          <w:rtl w:val="true"/>
        </w:rPr>
        <w:t>حکم الإضرار بالناس مع الإکراه</w:t>
      </w:r>
      <w:bookmarkEnd w:id="92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لا شبهة فی أنّ الإکراه یسوّغ الدخول فی الولایة من قبل الجائر،و کذلک لا شبهة فی جواز العمل للمکره بما یأمره الجائر من المحرّمات ما عدا هراقة الدم،فإنّ التقیّة إنّما شرعت لتحقن بها الدماء،فإذا بلغت الدم فلا تقیّة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أنّه هل یجوز الإضرار بالناس إذا اکره علی الإضرار بهم،کنهب أموالهم،و هتک أعراضهم،و إیقاع النقص فی شؤونهم و عظائم امورهم،سواء کان الضرر الذی توعد به المکره أقلّ من الضرر الذی یوجّهه إلی الغیر أم أکثر،أو لا بدّ من الإقدام علی أقل الضررین و ترجیحه علی الآخر</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یقال بالأول،استنادا إلی أدلّة الإکراه،و لأنّ الضرورات تبیح المحظورات،و قد یقال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المستفاد من أدلّة الإکراه أنّ تشریع ذلک إنّما هو لدفع الضرر،و واضح أنّه لا یجوز لأحد أن یدفع الضرر عن نفسه بالإضرار بغیره حتّی فیما إذا کان ضرر الغیر أقل،فضلا عمّا إذا کان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رفع الإکراه و الاضطرار مسوق للامتنان علی الامّة،و من المعلوم أنّ دفع الضرر عن نفسه بالإضرار بغیره علی خلاف الامتنان فلا یکون مشمولا للحدیث،ثم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الوجه الأول،و استدلّ علیه بوجوه سنذکرها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یقع فی ثلاث نواح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یتوجّه الضرر ابتداء إلی أحد من غیر أن یکون لفعل الآخر مدخل فیه،کتوجّه السیل إلی داره أو بستانه،و کتوجّه الظلمة أو السرّاق إلی نهب أمواله أو هتک أعراضه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هذا القسم من الضرر لا یجوز دفعه بالإضرار بغیره تمسّکا بأدلّة نفی الإکراه و الضرر و الحرج،بداهة أنّها مسوقة للامتنان علی جنس الامّة،و بدیهی أنّ دفع الضرر المتوجّه إلی أحد بالإضرار بغیره خلاف الامتنان علی الامّة،فلا یکون مشمولا للأدلّة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جاز لأحد أن یدفع الضرر عن نفسه و لو بالإضرار بالغیر لجاز للآخر ذلک أیضا،لشمول الأدلّة لهما معا،فیقع التعارض فی مضمونها،و حینئذ فالتمسّک بها لدفع الضرر عن أحد الطرفین بالإضرار بالآخر ترجیح بلا مرجّح و علیه فلا بدّ من رفع الید عن إطلاقها فی مورد الاجتماع،و یرجع فیه إلی أدلّة حرمة التصرّف فی أموال الناس و أعراضهم و شؤونهم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الضرر المتوجّه إلی الشخص ممّا یجب دفعه علی کل أحد،کقتل النفس المحترمة و ما یشبهه،و أمکن دفعه بالإضرار بالغیر،کان المقام حینئذ من صغریات باب التزاحم،فیرجع إلی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یتوجّه الضرر ابتداء إلی الغیر،علی عکس الصورة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حکم ذلک من الناحیة الاولی کما هو واضح</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یتوجّه الضرر إلی الغیر ابتداء،و إلی المکره علی تقدیر</w:t>
      </w:r>
    </w:p>
    <w:p>
      <w:pPr>
        <w:pStyle w:val="BookText"/>
        <w:rPr/>
      </w:pPr>
      <w:r>
        <w:rPr>
          <w:rFonts w:ascii="IRNazanin" w:hAnsi="IRNazanin" w:eastAsia="IRNazanin"/>
          <w:color w:val="111111"/>
          <w:sz w:val="28"/>
          <w:sz w:val="28"/>
          <w:szCs w:val="28"/>
          <w:rtl w:val="true"/>
          <w:lang w:bidi="fa-IR"/>
        </w:rPr>
        <w:t>مخالفته لما أمر به الجائر،و کان الضرر الذی توعّده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مباحا فی نفسه،کما إذا أکرهه الظالم علی نهب مال غیره و جلبه إلیه،و إلاّ فیحمل أموال نفسه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الصورة لا بدّ للمکره من تحمّل الضرر بترک النهب،و من الواضح أنّ دفع المکره أمواله للجائر مباح فی نفسه حتّی فی غیر حال الإکراه،و نهب أموال الناس و جلبه إلی الجائر حرام فی نفسه،و لا یجوز رفع الید عن المباح بالإقدام علی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وجوب تحمّل الضرر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نفی الإکراه یعمّ جمیع المحرّمات حتّی الإضرار بالغیر ما لم یجر إلی إراقة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تحمّل الضرر حرج عظیم،و هو مرفوع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الوجهین یتّضح ممّا قدّمناه فی الجهة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أنّ التقیّة إنما جعلت لتحقن بها الدماء،فإذا بلغت الدم فلا تقیّة </w:t>
      </w:r>
      <w:r>
        <w:rPr>
          <w:rStyle w:val="FootnoteAnchor"/>
          <w:rtl w:val="true"/>
        </w:rPr>
        <w:footnoteReference w:id="1366"/>
      </w:r>
      <w:r>
        <w:rPr>
          <w:rFonts w:ascii="IRNazanin" w:hAnsi="IRNazanin" w:eastAsia="IRNazanin"/>
          <w:color w:val="111111"/>
          <w:sz w:val="28"/>
          <w:sz w:val="28"/>
          <w:szCs w:val="28"/>
          <w:rtl w:val="true"/>
          <w:lang w:bidi="fa-IR"/>
        </w:rPr>
        <w:t>،فإنّ ظاهرها جواز التقیّة فی غیر الدماء بلغت ما بلغت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هذه الأخبار أنّ التقیّة إنّما شرعت لحفظ بعض الجهات</w:t>
      </w:r>
    </w:p>
    <w:p>
      <w:pPr>
        <w:pStyle w:val="BookText"/>
        <w:rPr/>
      </w:pPr>
      <w:r>
        <w:rPr>
          <w:rFonts w:ascii="IRNazanin" w:hAnsi="IRNazanin" w:eastAsia="IRNazanin"/>
          <w:color w:val="111111"/>
          <w:sz w:val="28"/>
          <w:sz w:val="28"/>
          <w:szCs w:val="28"/>
          <w:rtl w:val="true"/>
          <w:lang w:bidi="fa-IR"/>
        </w:rPr>
        <w:t>المهمّة،کالنفوس و ما أشبهها،فإذا أدّت إلی إتلاف ما شرعت لأجله فلا تقیة،لأنّ ما یلزم من وجوده عدمه فهو محال،و لیس مفاد الروایات المذکورة هو جواز التقیة فی غیر تلف النفس لکی یترتّب علیه جواز إضرار الغیر لدفع الضرر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تشریع التقیة قد یکون حفظ النفس،و قد یکون حفظ العرض،و قد یکون حفظ المال و نحوه،و حینئذ فلا یشرع بها هتک الأعراض و نهب الأموال لانتهاء آمادها بالوصول إلی هذه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الروایات المذکورة أنّ الغرض من التقیة هو حفظ الدماء،و إن توقّف ذلک علی ارتکاب بعض المعاصی،ما لم یصل إلی مرتبة قتل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جازت التقیّة بنهب مال الغیر و جلبه إلی الظالم لدفع الضرر عن نفسه لجاز للآخر ذلک أیضا،لشمول أدلّة التقیّة لهما معا،فیقع التعارض فی مضمونها و حینئذ فلا یجوز الاستناد إلیها فی دفع الضرر عن أحد الطرفین بإیقاع النقص بالطرف الآخر،لأنّه ترجیح بلا مرجّح،و علیه فنرفع الید عن إطلاقها فی مورد الاجتماع،و یرجع فیه إلی عموم حرمة التصرّف فی مال الغیر و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من الفرق بین الإکراه و الاضطرار،حیث التزم بحرمة دفع الضرر عن نفسه بالإضرار بغیره فی مورد الاضطرار،دون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الضرر فی موارد الاضطرار قد توجّه ابتداء إلی الشخص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توجّه السیل إلی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له دفعه بالإضرار بغیره،لأنّ دفع الضرر عن النفس بالإضرار بالغیر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التمسّک بعموم رفع ما اضطرّوا إلیه،فإنّ حدیث الرفع قد ورد فی مورد الامتنان،و لا شبهة أنّ صرف الضرر عن نفسه إلی غیره مناف له،فیختصّ الحدیث بغیر الإضرار بالغیر من المحرّمات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موارد الإکراه فإنّ الضرر قد توجّه إلی الغیر ابتداء بحسب إلزام الظالم و إکراهه،و من المعلوم أنّ مباشرة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لإیقاع الضرر بالغیر لیست مباشرة استقلالیة لیترتّب علیها الضمان کما یترتّب علی بقیة الأفعال التولیدیة</w:t>
      </w:r>
    </w:p>
    <w:p>
      <w:pPr>
        <w:pStyle w:val="BookText"/>
        <w:rPr/>
      </w:pPr>
      <w:r>
        <w:rPr>
          <w:rFonts w:ascii="IRNazanin" w:hAnsi="IRNazanin" w:eastAsia="IRNazanin"/>
          <w:color w:val="111111"/>
          <w:sz w:val="28"/>
          <w:sz w:val="28"/>
          <w:szCs w:val="28"/>
          <w:rtl w:val="true"/>
          <w:lang w:bidi="fa-IR"/>
        </w:rPr>
        <w:t>بل هی مباشرة تبعیة،و فاعلها بمنزلة الآلة،فلا ینسب إلیه الضرر،نعم لو تحمّل الضرر و لم یضرّ بالغیر فقد صرف الضرر عن الغیر إلی نفسه عرفا،و لکنّ الشارع لم یوجب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أفاده المصنّف غیر تام صغری و کبری،أمّا عدم صحّة الصغری فلأنّ الضرر فی کلا الموردین إنّما توجّه إلی الشخص نفسه ابتداء،فإنّ الإکراه لا یسلب الاختیار عن المکره لیکون بمنزلة الآلة المحضة،بل الفعل یصدر منه بإرادته و اختیاره،و یکون فعله کالجزء الأخیر من العلّة التامّة لنهب مال الغیر مثلا،حتّی أنّه لو لم یأخذه و لم یجلبه إلی الظالم لکان المال مصونا،و إن توجّه الضرر حینئذ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فمباشرته للإضرار بالغیر لدفع الضرر المتوعّد به عن نفسه مباشرة اختیاریة فتترتّب علیها الأحکام الوضعیة و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الإکراه إلی تخییر المکره بین نهب مال الغیر و بین تحمّل الضرر فی نفسه علی فرض المخالفة،و حیث کان الأوّل حراما وضعا و تکلیفا فتعیّن علیه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الضرر متوجّها إلی الغیر ابتداء،و لم یکن له مساس بالواسطة أصلا،فلا یجب علیه دفعه عن الغیر بإضرار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الجواب عمّا ذکره المصنّف أخیرا من أنّ الفارق بین المقامین هو أدلّة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صحّة الکبری فلأنّه لا وجه للمنع عن وجوب دفع الضرر عن الغیر بإیقاعه بنفسه،بل قد یجب ذلک فیما إذا أوعده الظالم بأمر مباح فی نفسه و کان ما أکرهه علیه من إضرار الغیر حراما،فإنّه حینئذ یجب دفع الضرر عن غیره بالإضرار بنفسه کما عرفته آنفا،لأنّه بعد سقوط أدلّة نفی الضرر و الإکراه و الحرج فأدلّة حرمة التصرّف فی مال الغیر بدون إذنه محکمة</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المصنّف أیضا من أنّ أدلّة نفی الحرج کافیة فی الفرق بین المقامین،فإنّ الضرر إذا توجّه إلی المکلّف ابتداء،و لم یرخّص الشارع فی دفعه عن نفسه بتوجیهه إلی غیره فإنّ هذا الحکم لا یکون حرجیّا،أمّا إذا توجّه الضرر إلی</w:t>
      </w:r>
      <w:bookmarkStart w:id="930" w:name="pg5064_65785"/>
    </w:p>
    <w:p>
      <w:pPr>
        <w:pStyle w:val="BookText"/>
        <w:rPr/>
      </w:pPr>
      <w:bookmarkEnd w:id="930"/>
      <w:r>
        <w:rPr>
          <w:rFonts w:ascii="IRNazanin" w:hAnsi="IRNazanin" w:eastAsia="IRNazanin"/>
          <w:color w:val="111111"/>
          <w:sz w:val="28"/>
          <w:sz w:val="28"/>
          <w:szCs w:val="28"/>
          <w:rtl w:val="true"/>
          <w:lang w:bidi="fa-IR"/>
        </w:rPr>
        <w:t>الغیر ابتداء فإنّ إلزام الشارع بتحمّل الضرر لدفعه عن الغیر حرجی قطعا،فیرتفع بأدلّة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ظهر جوابه ممّا ذکرناه من المناقشة فی الصغری،و وجه الظهور هو عدم الفارق بین توجّه الضرر إلی الغیر ابتداء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یتوجّه الضرر ابتداء إلی الغیر،و إلی المکره علی تقدیر مخالفته حکم الظالم،کما إذا أکرهه علی أن یلجئ شخصا آخر إلی فعل محرّم کالزنا و إلاّ أجبره علی ارتکابه بنفسه،و حینئذ فلا موضع لأدلّة نفی الإکراه و الاضطرار و الحرج و الضرر،بداهة أنّ الإضرار بأحد الطرفین ممّا لا بدّ منه جزما،فدفعه عن أحدهما بالإضرار بالآخر 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فتقع المزاحمة،و یرجع إلی قواعد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یتوجّه الضرر إلی أحد شخصین ابتداء،و إلی المکره علی فرض مخالفته الظالم،و لکن فیما إذا کان الضرر المتوعّد به أعظم ممّا یترتّب علی غیره،کما إذا أکرهه علی أن یأخذ له ألف دینار إمّا من زید و إمّا من عمرو،و إلاّ أجبره علی إراقة دم محترم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الصورة یجب علی المکره أن یدفع الضرر عن نفسه بالإضرار بأحد الشخصین،فإنّ حفظ النفس المحترمة واجب علی کل أحد،و یدور الأمر بین الإضرار بأحد الشخصین،و یرجع فی ذلک إلی قواعد باب التزاحم</w:t>
      </w:r>
      <w:r>
        <w:rPr>
          <w:rFonts w:eastAsia="IRNazanin" w:cs="IRNazanin"/>
          <w:color w:val="111111"/>
          <w:sz w:val="28"/>
          <w:szCs w:val="28"/>
          <w:rtl w:val="true"/>
          <w:lang w:bidi="fa-IR"/>
        </w:rPr>
        <w:t>.</w:t>
      </w:r>
    </w:p>
    <w:p>
      <w:pPr>
        <w:pStyle w:val="Heading5"/>
        <w:numPr>
          <w:ilvl w:val="4"/>
          <w:numId w:val="1"/>
        </w:numPr>
        <w:rPr/>
      </w:pPr>
      <w:bookmarkStart w:id="931" w:name="__RefHeading___Toc910614_774463916"/>
      <w:bookmarkStart w:id="932" w:name="_Toc341"/>
      <w:bookmarkEnd w:id="931"/>
      <w:r>
        <w:rPr>
          <w:rtl w:val="true"/>
        </w:rPr>
        <w:t>جواز قبول الولایة من الجائر لدفع الضرر عن الغیر</w:t>
      </w:r>
      <w:bookmarkEnd w:id="93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الإکراه یتحقّق بالتوعّد بالضرر</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الکراهة فی اللغة </w:t>
      </w:r>
      <w:r>
        <w:rPr>
          <w:rStyle w:val="FootnoteAnchor"/>
          <w:rtl w:val="true"/>
        </w:rPr>
        <w:footnoteReference w:id="1367"/>
      </w:r>
      <w:r>
        <w:rPr>
          <w:rFonts w:ascii="IRNazanin" w:hAnsi="IRNazanin" w:eastAsia="IRNazanin"/>
          <w:color w:val="111111"/>
          <w:sz w:val="28"/>
          <w:sz w:val="28"/>
          <w:szCs w:val="28"/>
          <w:rtl w:val="true"/>
          <w:lang w:bidi="fa-IR"/>
        </w:rPr>
        <w:t>هی ضدّ الحبّ،و الإکراه هو حمل الرجل علی ما</w:t>
      </w:r>
    </w:p>
    <w:p>
      <w:pPr>
        <w:pStyle w:val="BookText"/>
        <w:rPr/>
      </w:pPr>
      <w:r>
        <w:rPr>
          <w:rFonts w:ascii="IRNazanin" w:hAnsi="IRNazanin" w:eastAsia="IRNazanin"/>
          <w:color w:val="111111"/>
          <w:sz w:val="28"/>
          <w:sz w:val="28"/>
          <w:szCs w:val="28"/>
          <w:rtl w:val="true"/>
          <w:lang w:bidi="fa-IR"/>
        </w:rPr>
        <w:t>یکرهه،و هذا المعنی یتحقّق بحمل الشخص علی کل ما یکرهه بحیث یترتّب علی ترکه ضرر علیه،أو علی عشیرته،أو علی الأجانب من المؤمنین،و إذا انتفی التوعّد بما یکرهه انتفی الإکراه،و علیه فلا نعرف وجها صحیحا لما ذکره المصنّف من تخصیص الإکراه ببعض ما ذکرناه،قال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الإکراه یتحقّق بالتوعّد بالضرر علی ترک المکره علیه ضررا متعلّقا بنفسه،أو ماله،أو عرضه،أو بأهله ممّن یکون ضرره راجعا إلی تضرّره و تألّمه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یترتّب علی ترک المکره علیه إلاّ الضرر علی بعض المؤمنین ممّن یعدّ أجنبیا من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لا یعدّ ذلک إکراها عرفا،إذ لا خوف له یحمله علی فعل ما امر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یختلف موضوع الکراهة باختلاف الأشخاص و الحالات،فإنّ بعض الأشخاص یکره مخالفة أی حکم من الأحکام الإلهیة فی جمیع الحالات،و بعضهم یکره ذلک فی الجهر دون الخفاء،و بعضهم یکره مخالفة التکالیف المحرّمة دون الواجبات،و بعضهم بالعکس،و بعضهم لا یکره شیئا من مخالفة التکالیف حتّی قتل النفوس فضلا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الفارق بین الأمرین أنّ الضرر المتوعّد به متوجّه إلی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الأول،و إلی غیره من الأجانب فی الثانی،الذی أنکر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مفهوم الإکراه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هنا فی جهات ثلاث،کلّها مشترکة فی عدم ترتّب الضرر علی المکره لو ترک ما اکره علیه،ولایة کانت أم غیرها</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یخشی من توجّه الضرر إلی بعض المؤمنین،و یتوقّف دفعه علی قبول الولایة من الجائرین،و الدخول فی أعمالهم،و الحشر فی زمرتهم للتقیّة فقط،من دون أن یکون هناک إکراه علی قبول الولایة،و لا ضرر یتوجّه إلیه لو لم یقبلها،و من دون أن یتوقّف دفع الضرر عن المؤمنین علی ارتکاب أمر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شبهة فی جواز الولایة عن الجائر حینئذ تقیة،فإنّ التقیّة شرعت لحفظ المؤمنین عن المهالک و المضرّات،بل تعدّ التقیّة فی مواردها من جملة العبادات التی یترتّب علیها الثواب،و لا ریب أنّ تلک الغایة حاصلة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یدلّ علی جواز الولایة هنا لأجل التقیّة الروایات الکثیرة </w:t>
      </w:r>
      <w:r>
        <w:rPr>
          <w:rStyle w:val="FootnoteAnchor"/>
          <w:rtl w:val="true"/>
        </w:rPr>
        <w:footnoteReference w:id="1368"/>
      </w:r>
      <w:r>
        <w:rPr>
          <w:rFonts w:ascii="IRNazanin" w:hAnsi="IRNazanin" w:eastAsia="IRNazanin"/>
          <w:color w:val="111111"/>
          <w:sz w:val="28"/>
          <w:sz w:val="28"/>
          <w:szCs w:val="28"/>
          <w:rtl w:val="true"/>
          <w:lang w:bidi="fa-IR"/>
        </w:rPr>
        <w:t xml:space="preserve">الآمرة بالتقیّة صونا لنفوس المؤمنین و أعراضهم و أموالهم عن التلف،بل ورد فی عدّة من الروایات </w:t>
      </w:r>
      <w:r>
        <w:rPr>
          <w:rStyle w:val="FootnoteAnchor"/>
          <w:rtl w:val="true"/>
        </w:rPr>
        <w:footnoteReference w:id="1369"/>
      </w:r>
      <w:r>
        <w:rPr>
          <w:rFonts w:ascii="IRNazanin" w:hAnsi="IRNazanin" w:eastAsia="IRNazanin"/>
          <w:color w:val="111111"/>
          <w:sz w:val="28"/>
          <w:sz w:val="28"/>
          <w:szCs w:val="28"/>
          <w:rtl w:val="true"/>
          <w:lang w:bidi="fa-IR"/>
        </w:rPr>
        <w:t>جواز التقیّة بالتبرّی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 إذا کان القلب مطمئنا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 أیضا تجویز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جملة من الأحادیث </w:t>
      </w:r>
      <w:r>
        <w:rPr>
          <w:rStyle w:val="FootnoteAnchor"/>
          <w:rtl w:val="true"/>
        </w:rPr>
        <w:footnoteReference w:id="1370"/>
      </w:r>
      <w:r>
        <w:rPr>
          <w:rFonts w:ascii="IRNazanin" w:hAnsi="IRNazanin" w:eastAsia="IRNazanin"/>
          <w:color w:val="111111"/>
          <w:sz w:val="28"/>
          <w:sz w:val="28"/>
          <w:szCs w:val="28"/>
          <w:rtl w:val="true"/>
          <w:lang w:bidi="fa-IR"/>
        </w:rPr>
        <w:t>لعلی ابن یقطین و غیره أن یتقبلوا الولایة عن الجائر تقیّة لإصلاح امور المؤمنین و دفع الضرر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 کلّه أنّ ظاهر غیر واحدة من الروایات مشروعیة التقیّة لمطلق التوادد و التحبّب و إن لم یترتّب علیها دفع الضرر عن نفسه أو عن غیره فیدلّ بطریق الأولویة علی جواز الولایة عن الجائر تقیّة لدفع الضرر عن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یخفی أنّه لا یباح بهذا النحو من التقیّة الإضرار بالغیر</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فیه هو ما تقدّم آنفا من کون الأدلّة الواردة فی نفی الإکراه و شبهه واردة فی مقام الامتنان علی الامّة بعمومها،فلا یصحّ التمسّک بها لدفع الضرر عن أحد بتوجیه الضرر إلی غیره،لأنّ ذلک علی خلاف الامتنان فی حقّ ذلک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الوجه فیه هو ما ذکره المصنّف من عدم تحقّق الإکراه إذا لم یتوجّه</w:t>
      </w:r>
    </w:p>
    <w:p>
      <w:pPr>
        <w:pStyle w:val="BookText"/>
        <w:rPr/>
      </w:pPr>
      <w:r>
        <w:rPr>
          <w:rFonts w:ascii="IRNazanin" w:hAnsi="IRNazanin" w:eastAsia="IRNazanin"/>
          <w:color w:val="111111"/>
          <w:sz w:val="28"/>
          <w:sz w:val="28"/>
          <w:szCs w:val="28"/>
          <w:rtl w:val="true"/>
          <w:lang w:bidi="fa-IR"/>
        </w:rPr>
        <w:t>الضرر علی المکره،فقد عرفت أنّ مفهوم الإکراه أوسع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قبول الولایة من الجائر عاصما عن توجّه الضرر إلی المؤمنین،و سببا لنجاح المکروبین منهم،من دون أن یلحق المکره ضرر لو لم یقبلها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ما لو أکره الجائر علی قبول الولایة من قبله،و أوعده علی ترکها بإضرار المؤمنین و هتکهم و التنکیل بهم و ما أشبه ذلک،و لا شبهة هنا أیضا فی جواز الولایة عن الجائر لدفع الضرر عن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 الروایات المتقدّمة الدالّة علی جواز الولایة عن الجائر لإصلاح امور المؤمنین،بل دلالتها علی الجواز هنا أولی من 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بتوجّه الضرر علی المؤمنین مع ردّ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یکره الظالم أحدا علی ارتکاب شیء من المحرّمات الإلهیة سواء کانت هی الولایة أم غیرها،من غیر أن یترتّب علیه فی ترکها ضرر أصلا و لکن الظالم أوعده علی ترک ذلک العمل بإجبار غیره علی معصیة من حرمات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ذلک فی الحقیقة إلی دوران الأمر بین إقدام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معصیة لا یتضرّر بترکها،و بین إقدام شخص آخر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ما إذا أکره الجائر علی شرب الخمر،و إلاّ أکره غیره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ریب فی حرمة ارتکاب المعصیة فی هذه الصورة،فإنّه لا مجوّز للإقدام علیها من الأدلّة العقلیة و النقلیة،إلاّ أن یترتّب علی ارتکاب المعصیة حفظ ما هو أهمّ منها،کصیانة النفس عن التلف و ما أشبه ذلک،و حینئذ یکون المقام من صغریات باب التزاحم،فتجری فیه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فهنا عنوانان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 و دفع الضرر المخوف إلخ</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المقدّس قد جعل الإکراه موضوعا لرفع</w:t>
      </w:r>
      <w:bookmarkStart w:id="933" w:name="pg5064_65789"/>
    </w:p>
    <w:p>
      <w:pPr>
        <w:pStyle w:val="BookText"/>
        <w:rPr/>
      </w:pPr>
      <w:bookmarkEnd w:id="933"/>
      <w:r>
        <w:rPr>
          <w:rFonts w:ascii="IRNazanin" w:hAnsi="IRNazanin" w:eastAsia="IRNazanin"/>
          <w:color w:val="111111"/>
          <w:sz w:val="28"/>
          <w:sz w:val="28"/>
          <w:szCs w:val="28"/>
          <w:rtl w:val="true"/>
          <w:lang w:bidi="fa-IR"/>
        </w:rPr>
        <w:t>کل محرّم عدا إتلاف النفوس المحترمة کما تقدّم،بخلاف دفع الضرر المخوف علی نفسه أو علی غیره من المؤمنین،فإنّه من صغریات باب التزاحم،و لکنّک قد عرفت أنّ دلیل الإکراه لا یسوغ دفع الضرر عن النفس بالإضرار بغیره،و علیه فکلا العنوانین من صغریات باب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فتجوز الولایة عن الجائر فی کلا المقامین لدفع الضرر عن نفسه و عن سائر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إحراز ملاکات الأحکام و کشف أهمیة بعضها من بعض فیحتاج إلی الإطّلاع علی أبواب الفقه،و الإحاطة بفروعه و أدلّته،و قد تعرّض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لعدّة من فروع المزاحمة فی الموارد المناسبة،و لا یناسب المقام ذکره</w:t>
      </w:r>
      <w:r>
        <w:rPr>
          <w:rFonts w:eastAsia="IRNazanin" w:cs="IRNazanin"/>
          <w:color w:val="111111"/>
          <w:sz w:val="28"/>
          <w:szCs w:val="28"/>
          <w:rtl w:val="true"/>
          <w:lang w:bidi="fa-IR"/>
        </w:rPr>
        <w:t>.</w:t>
      </w:r>
    </w:p>
    <w:p>
      <w:pPr>
        <w:pStyle w:val="Heading5"/>
        <w:numPr>
          <w:ilvl w:val="4"/>
          <w:numId w:val="1"/>
        </w:numPr>
        <w:rPr/>
      </w:pPr>
      <w:bookmarkStart w:id="934" w:name="__RefHeading___Toc910616_774463916"/>
      <w:bookmarkStart w:id="935" w:name="_Toc342"/>
      <w:bookmarkEnd w:id="934"/>
      <w:r>
        <w:rPr>
          <w:rtl w:val="true"/>
        </w:rPr>
        <w:t>حکم اعتبار العجز عن التفصّی فی الإکراه</w:t>
      </w:r>
      <w:bookmarkEnd w:id="93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ذکر بعض مشایخنا المعاصرین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المعاصرین استظهر من کلمات الأصحاب فی اعتبار العجز عن التخلّص أنّ لهم فی ذلک أقوالا ثلاثة،ثالثها التفصیل بین الإکراه علی الولایة فلا یعتبر فیه العجز عن التخلّص،و بین غیرها من المحرّمات فیعتبر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منشأ الخلاف ما ذکره فی المسالک </w:t>
      </w:r>
      <w:r>
        <w:rPr>
          <w:rStyle w:val="FootnoteAnchor"/>
          <w:rtl w:val="true"/>
        </w:rPr>
        <w:footnoteReference w:id="1371"/>
      </w:r>
      <w:r>
        <w:rPr>
          <w:rFonts w:ascii="IRNazanin" w:hAnsi="IRNazanin" w:eastAsia="IRNazanin"/>
          <w:color w:val="111111"/>
          <w:sz w:val="28"/>
          <w:sz w:val="28"/>
          <w:szCs w:val="28"/>
          <w:rtl w:val="true"/>
          <w:lang w:bidi="fa-IR"/>
        </w:rPr>
        <w:t>فی شرح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أکرهه الجائر علی الولایة جاز له الدخول،و العمل بما یأمره مع عدم القدرة علی التفصّی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ذکره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یکون غرض المحقّق هو تعدّد الشرط و المشروط،بأن تکون الولایة عن الجائر بنفسها مشروطة بالإکراه فقط و یکون العمل بما یأمره الجائر بانفراده مشروطا بعدم قدرة المأمور علی التفصّی</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لاشتراط الولایة مطلقا بالإکراه،فإنّ جواز قبولها لا</w:t>
      </w:r>
    </w:p>
    <w:p>
      <w:pPr>
        <w:pStyle w:val="BookText"/>
        <w:rPr/>
      </w:pPr>
      <w:r>
        <w:rPr>
          <w:rFonts w:ascii="IRNazanin" w:hAnsi="IRNazanin" w:eastAsia="IRNazanin"/>
          <w:color w:val="111111"/>
          <w:sz w:val="28"/>
          <w:sz w:val="28"/>
          <w:szCs w:val="28"/>
          <w:rtl w:val="true"/>
          <w:lang w:bidi="fa-IR"/>
        </w:rPr>
        <w:t>یتوقّف علی الإکراه إذا انفردت عن العمل بما یأمره الجائر،و لذا قد تکون مباحة و قد تکون مستحبّة،و قد تکون مکروهة،و قد تکون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العمل بما یأمر به الجائر فقد صرّح الأصحاب فی کتبهم أنّه مشروط بالإکراه خاصّة،و لا یشترط فیه الإلجاء إلیه بحیث لا یقدر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المشروط فی کلام المحقّق أمرا وحدانیا مرکبا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الولایة،و العمل بما یأمره الجائر،و یکون مشروطا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الإکراه،و عدم القدرة علی التفصّی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أنّه یکفی الإکراه بانفراده فی امتثال أمر الجائر مع خوف الضرر حتّی فی فرض التمکّن من التخلّص،فلا وجه للشرط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تجلّی من ذلک أنّ مرجع ما ذکره فی المسالک إلی ثلاثة محتملات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الولایة عن الجائر غیر مشروطة بالإکراه،و إنّما المشروط به هو العمل بما یأمره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المجموع المرکّب من الأمرین مشروط بالإکراه فقط،دون العجز عن التخلّص بحیث لا یقدر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الولایة و بین العمل بما یأمره الجائر،فیقیّد الأول بالإکراه،و الثانی بالإلجاء إلیه و العجز عن التخلّص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المتوهّم جعل کل محتمل قولا برأسه</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هذا المتوهّم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الاحتمال لا یستلزم وجود القائل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نعرف وجها صحیحا للقول بالتفصیل،فإنّ الظاهر من کلمات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الإکراه أنّه لا خلاف بینهم فی اعتبار العجز عن التفصّی فی ترتّب أحکام الإکراه،أمّا إذا أمکن التفصّی فلا تترتّب تلک الأحکام إلاّ إذا کان التفصّی حرجیّا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یفرّقوا فی ذلک بین الولایة المحرّمة،و بین العمل بما یأمره الجائر من الأعمال المحرّمة المترتّبة علی الولایة،و بین بقیّة المحرّمات،فإنّ أدلّة</w:t>
      </w:r>
      <w:bookmarkStart w:id="936" w:name="pg5064_65791"/>
    </w:p>
    <w:p>
      <w:pPr>
        <w:pStyle w:val="BookText"/>
        <w:rPr/>
      </w:pPr>
      <w:bookmarkEnd w:id="936"/>
      <w:r>
        <w:rPr>
          <w:rFonts w:ascii="IRNazanin" w:hAnsi="IRNazanin" w:eastAsia="IRNazanin"/>
          <w:color w:val="111111"/>
          <w:sz w:val="28"/>
          <w:sz w:val="28"/>
          <w:szCs w:val="28"/>
          <w:rtl w:val="true"/>
          <w:lang w:bidi="fa-IR"/>
        </w:rPr>
        <w:t>المحرّمات محکمة،و لا نحتمل أن یجوّز أحد شرب الخمر بمجرد الإکراه حتّی مع القدرة علی التخلّص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خلاف بین الفقهاء أیضا فی أنّه لا یعتبر فی باب الإکراه العجز عن التفصّی إذا کان فی التفصّی ضرر کثیر علی المکره،کما أنّهم لم یشترطوا فی ترتّب الأحکام أن یلجأ إلی المکره علیه بحیث لا یقدر علی خلافه کما صرّح به فی المسالک فإنّ مرجع ذلک إلی العجز العقلی،و لم یعتبره أحد فی الإکراه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تترتّب علی المعصیة التی اکره علیها مصلحة هی أهم منها،و لا یعتبر فی هذه الصورة العجز عن التفصّی،و مثاله ما إذا أکره الجائر أحدا علی معصیة و کان المجبور متمکّنا من التخلّص منها بخروجه عن المکان الذی یعصی اللّه فیه،إلاّ أنّ ارتکابه لتلک المعصیة مع الظالم یتیح له الدخول فی أمر یترتّب علیه حفظ الإسلام،أو النفس المحترمة،أو ما أشبه ذلک</w:t>
      </w:r>
      <w:r>
        <w:rPr>
          <w:rFonts w:eastAsia="IRNazanin" w:cs="IRNazanin"/>
          <w:color w:val="111111"/>
          <w:sz w:val="28"/>
          <w:szCs w:val="28"/>
          <w:rtl w:val="true"/>
          <w:lang w:bidi="fa-IR"/>
        </w:rPr>
        <w:t>.</w:t>
      </w:r>
    </w:p>
    <w:p>
      <w:pPr>
        <w:pStyle w:val="Heading5"/>
        <w:numPr>
          <w:ilvl w:val="4"/>
          <w:numId w:val="1"/>
        </w:numPr>
        <w:rPr/>
      </w:pPr>
      <w:bookmarkStart w:id="937" w:name="__RefHeading___Toc910618_774463916"/>
      <w:bookmarkStart w:id="938" w:name="_Toc343"/>
      <w:bookmarkEnd w:id="937"/>
      <w:r>
        <w:rPr>
          <w:rtl w:val="true"/>
        </w:rPr>
        <w:t>جواز الولایة عن الجائر مع الضرر المالی رخصة لا عزیمة</w:t>
      </w:r>
      <w:bookmarkEnd w:id="93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قبول الولایة مع الضرر المالی الذی لا یضرّ بالحال رخصة لا 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أجبر الجائر أحدا علی الولایة من قبله،أو علی عمل محرّم،و کان المجبور متمکّنا من التخلّص و لو بتحمّل الضرر المالی و إن بلغ ما بلغ،جاز له ذلک فإنّ أدلّة نفی الإکراه إنّما هی مسوقة لرفع الإلزام فقط عن مورد الإکراه،و لیست ناظرة إلی بیان حکم المورد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بدّ من تعیین حکمه من الرجوع إلی القواعد الاخر،فقد یکون المکره علیه من قبیل قتل النفس و ما یشبهه فیحرم الإقدام علیه،و قد یکون من</w:t>
      </w:r>
      <w:bookmarkStart w:id="939" w:name="pg5064_65792"/>
    </w:p>
    <w:p>
      <w:pPr>
        <w:pStyle w:val="BookText"/>
        <w:rPr/>
      </w:pPr>
      <w:bookmarkEnd w:id="939"/>
      <w:r>
        <w:rPr>
          <w:rFonts w:ascii="IRNazanin" w:hAnsi="IRNazanin" w:eastAsia="IRNazanin"/>
          <w:color w:val="111111"/>
          <w:sz w:val="28"/>
          <w:sz w:val="28"/>
          <w:szCs w:val="28"/>
          <w:rtl w:val="true"/>
          <w:lang w:bidi="fa-IR"/>
        </w:rPr>
        <w:t xml:space="preserve">قبیل الضرر المالی علی نفسه فیجوز تحمّله،لأنّ الناس مسلّطون علی أموالهم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یعلم أنّ تقیید الضرر المالی بعدم إضراره بالحال کما فی المتن لا یخلو عن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الإکراه لا تشمل المقام،و علیه فإن کان المورد کقتل النفوس و نحوه ممّا اهتمّ الشارع بحفظه فیحرم الإقدام علیه،بل یجب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قبیل الضرر المالی فیجوز التحمّل به لدلیل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بذل المال للجائر دفعا للولایة المحرّمة إعانة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 صغری و کبری،أمّا الاولی فلأنّ ذلک من قبیل مسیر الحاج و الزوّار و تجارة التجّار مع إعطاء المکوس و الگمارک و الضرائب،و لا یصدق علی شیء منها عنوان الإعانة علی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الثانیة فقد تقدّم فی البحث عن بیع العنب ممّن یجعله خمرا </w:t>
      </w:r>
      <w:r>
        <w:rPr>
          <w:rStyle w:val="FootnoteAnchor"/>
          <w:rtl w:val="true"/>
        </w:rPr>
        <w:footnoteReference w:id="1373"/>
      </w:r>
      <w:r>
        <w:rPr>
          <w:rFonts w:ascii="IRNazanin" w:hAnsi="IRNazanin" w:eastAsia="IRNazanin"/>
          <w:color w:val="111111"/>
          <w:sz w:val="28"/>
          <w:sz w:val="28"/>
          <w:szCs w:val="28"/>
          <w:rtl w:val="true"/>
          <w:lang w:bidi="fa-IR"/>
        </w:rPr>
        <w:t>أنّه لا دلیل علی حرمة الإعانة علی الإثم</w:t>
      </w:r>
      <w:r>
        <w:rPr>
          <w:rFonts w:eastAsia="IRNazanin" w:cs="IRNazanin"/>
          <w:color w:val="111111"/>
          <w:sz w:val="28"/>
          <w:szCs w:val="28"/>
          <w:rtl w:val="true"/>
          <w:lang w:bidi="fa-IR"/>
        </w:rPr>
        <w:t>.</w:t>
      </w:r>
    </w:p>
    <w:p>
      <w:pPr>
        <w:pStyle w:val="Heading5"/>
        <w:numPr>
          <w:ilvl w:val="4"/>
          <w:numId w:val="1"/>
        </w:numPr>
        <w:rPr/>
      </w:pPr>
      <w:bookmarkStart w:id="940" w:name="__RefHeading___Toc910620_774463916"/>
      <w:bookmarkStart w:id="941" w:name="_Toc344"/>
      <w:bookmarkEnd w:id="940"/>
      <w:r>
        <w:rPr>
          <w:rtl w:val="true"/>
        </w:rPr>
        <w:t>حرمة قتل المؤمن بالإکراه أو بالتقیّة</w:t>
      </w:r>
      <w:bookmarkEnd w:id="941"/>
    </w:p>
    <w:p>
      <w:pPr>
        <w:pStyle w:val="Heading6"/>
        <w:numPr>
          <w:ilvl w:val="5"/>
          <w:numId w:val="1"/>
        </w:numPr>
        <w:rPr/>
      </w:pPr>
      <w:bookmarkStart w:id="942" w:name="__RefHeading___Toc910622_774463916"/>
      <w:bookmarkStart w:id="943" w:name="_Toc345"/>
      <w:bookmarkEnd w:id="942"/>
      <w:r>
        <w:rPr>
          <w:rtl w:val="true"/>
        </w:rPr>
        <w:t>اشارة</w:t>
      </w:r>
      <w:bookmarkEnd w:id="94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یباح بالإکراه قتل المؤمن و لو توعّد علی ترکه بالقتل إجماعا</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یشرع بالتقیّة أو بالإکراه قتل النفوس المحترمة أو لا؟أمّا التقیّة فهی فی اللغة </w:t>
      </w:r>
      <w:r>
        <w:rPr>
          <w:rStyle w:val="FootnoteAnchor"/>
          <w:rtl w:val="true"/>
        </w:rPr>
        <w:footnoteReference w:id="1374"/>
      </w:r>
      <w:r>
        <w:rPr>
          <w:rFonts w:ascii="IRNazanin" w:hAnsi="IRNazanin" w:eastAsia="IRNazanin"/>
          <w:color w:val="111111"/>
          <w:sz w:val="28"/>
          <w:sz w:val="28"/>
          <w:szCs w:val="28"/>
          <w:rtl w:val="true"/>
          <w:lang w:bidi="fa-IR"/>
        </w:rPr>
        <w:t>اسم لاتقی یتّقی،بمعنی الخوف و التحذیر و التجنّب،و المراد بها هنا التحفّظ عن ضرر الظالم بموافقته فی فعل أو قول مخالف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أنّه لا خلاف فی جوازها لحفظ الجهات المهمّة الشرعیة،بل قد عرفت فی مبحث الکذب عند البحث عن أقوال الأئمّة الصادرة تقیة </w:t>
      </w:r>
      <w:r>
        <w:rPr>
          <w:rStyle w:val="FootnoteAnchor"/>
          <w:rtl w:val="true"/>
        </w:rPr>
        <w:footnoteReference w:id="1375"/>
      </w:r>
      <w:r>
        <w:rPr>
          <w:rFonts w:ascii="IRNazanin" w:hAnsi="IRNazanin" w:eastAsia="IRNazanin"/>
          <w:color w:val="111111"/>
          <w:sz w:val="28"/>
          <w:sz w:val="28"/>
          <w:szCs w:val="28"/>
          <w:rtl w:val="true"/>
          <w:lang w:bidi="fa-IR"/>
        </w:rPr>
        <w:t>إجماع الفریقین و ضرورة العقلاء و تظافر الآیات و الروایات علی جواز الکذب لإنجاء النفس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ورد فی بعض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الدم،فإذا بلغت التقیّة الدم فلا تقیة</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فإنّ الظاهر من ذلک أنّه إذا توقّف حفظ النفس علی ارتکاب أی محرّم فإنّه یصبح مباحا مقدّمة لصیانة النفس المحترمة عن التلف،إلاّ أنّ التقیة إذا اقتضت إراقة دم محترم لحفظ دم آخر فإنّها لا تشرع حینئذ،لما عرفت آنفا أنّ کلا من الشخصین مشمول للحدیث،فترجیح أحدهما علی الآخر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عرفت سابقا أنّ الغرض الأقصی من جعل التقیّة فی الشریعة المقدّسة إنّما هو حفظ أموال المؤمنین و أعراضهم و نفوسهم و ما أشبه ذلک من شؤونهم،فإذا توقّف حفظ شیء منها علی إتلاف عدیله من شخص آخر ارتفعت التقیة حینئذ لارتفاع الغایة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ما إذا اقتضت التقیة إتلاف مال شخص لحفظ مال شخص آخر،فإنّه لا یجوز إتلافه تقیة</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شمول أخبار التقیة لهما علی حدّ سواء،إذن فترجیح أحدهما علی الآخر ترجیح بلا مرجّح کما عرفت،فیرجع فی ذلک إلی الأدلّة الدالّة علی حرمة التصرّف فی مال الغیر بدون إذنه،و هکذا الحال فی جمیع موارد التقیة،غایة</w:t>
      </w:r>
    </w:p>
    <w:p>
      <w:pPr>
        <w:pStyle w:val="BookText"/>
        <w:rPr/>
      </w:pPr>
      <w:r>
        <w:rPr>
          <w:rFonts w:ascii="IRNazanin" w:hAnsi="IRNazanin" w:eastAsia="IRNazanin"/>
          <w:color w:val="111111"/>
          <w:sz w:val="28"/>
          <w:sz w:val="28"/>
          <w:szCs w:val="28"/>
          <w:rtl w:val="true"/>
          <w:lang w:bidi="fa-IR"/>
        </w:rPr>
        <w:t>الأمر أنّ ما دلّ علی أنّ التقیة إنّما شرعت لیحقن به الدم ناظر إلی بیان المرتبة العلیا من التقیة،و لیس فیه ظهور فی اختصاص الحکم بهذه المرتبة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ما فی کلام المحقّق الإیروانی،حیث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یقرب عندی أنّ المراد من هذه الأحادیث أمر وجدانی یدرکه العقل،و هو أنّ التقیة لمّا شرعت لغایة حفظ النفس فإذا لم تکن هذه الغایة موجودة،بل کان الشخص مقتولا لا محالة اتّقی أو لم یتقّ فلا تقیة،لانتفاء ما هو الغرض من تشریع التقیة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الإغضاء عمّا ذکرناه فإنّ ما أفاده إنّما یلائم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الدم،فإذا بلغ الدم فلیس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یمکن أن یتوهّم منها أنّ الغایة من التقیّة هی حفظ الدم،و إذا کان لا بدّ للظالم من إراقة الدم فلا موضوع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یباینه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الدم،فإذا بلغت التقیّة الدم فلا تقیّة</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فإنّ هذه الروایة ظاهرة بل صریحة فی أنّ التقیّة إذا توقّفت علی إراقة الدم فلا تقیة،فتکون هذه الروایة قرینة لبیان المراد من الروایة الاولی أیضا</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بین أفراد المؤمنین من حیث الصغر و الکبر،و لا من حیث الرجولة و الانوثة،و لا من حیث العلم و الجهل،و لا من حیث الحرّیة و العبودیة لإطلاق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الدم،فإذا بلغت التقیّة الدم فلا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معناه فی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یسوّغ قتل النفس المحترمة بلا خلاف بین الفریقین،و الوجه فیه هو ما تقدّم من أنّ الأدلّة الدالّة علی نفی الإکراه و الضرر و الحرج واردة فی مقام الامتنان،و من الواضح أنّ الإضرار بالغیر مناف للامتنان،فلا یکون مشمولا لها،فتبقی الأدلّة الدالّة علی حرمة قتل النفس المحترمة سلیمة عن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أجبر الظالم أحدا علی قتل أحد شخصین محقونی الدم،أو اضطرّ إلیه نفسه،کما إذا وقع من شاهق،و کان لا بدّ له من الوقوع علی رأس أحدهما،فلا بدّ حینئذ من الرجوع إلی قواعد التزاحم،و یتّضح ذلک بلحاظ ما حقّقناه فی دوران الأمر بین إنقاذ أحد الغریقین </w:t>
      </w:r>
      <w:r>
        <w:rPr>
          <w:rStyle w:val="FootnoteAnchor"/>
          <w:rtl w:val="true"/>
        </w:rPr>
        <w:footnoteReference w:id="1379"/>
      </w:r>
      <w:r>
        <w:rPr>
          <w:rFonts w:ascii="IRNazanin" w:hAnsi="IRNazanin" w:eastAsia="IRNazanin"/>
          <w:color w:val="111111"/>
          <w:sz w:val="28"/>
          <w:sz w:val="28"/>
          <w:szCs w:val="28"/>
          <w:rtl w:val="true"/>
          <w:lang w:bidi="fa-IR"/>
        </w:rPr>
        <w:t>،فإنّه لم یستشکل أحد فی وجوب المبادرة لإنقاذ الأهم منهما و ترک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الإکراه علی إیقاع الضرر المالی علی أحد الشخصین،و 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نطق القرآن الکریم فی آیة محکمة </w:t>
      </w:r>
      <w:r>
        <w:rPr>
          <w:rStyle w:val="FootnoteAnchor"/>
          <w:rtl w:val="true"/>
        </w:rPr>
        <w:footnoteReference w:id="1380"/>
      </w:r>
      <w:r>
        <w:rPr>
          <w:rFonts w:ascii="IRNazanin" w:hAnsi="IRNazanin" w:eastAsia="IRNazanin"/>
          <w:color w:val="111111"/>
          <w:sz w:val="28"/>
          <w:sz w:val="28"/>
          <w:szCs w:val="28"/>
          <w:rtl w:val="true"/>
          <w:lang w:bidi="fa-IR"/>
        </w:rPr>
        <w:t xml:space="preserve">بالتکافؤ بین الدماء المحترمة و معه فأی معنی لملاحظة الأهم و المهم فی ذلک،و قد ورد ذلک فی الأخبار المستفیضة المذکورة فی أبواب القصاص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مورد التکافؤ الذی دلّت علیه الآیة و الروایات إنّما هو القصاص فقط،فلا مساس له بما نحن فیه</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اتّضح حکم ما لو أکره الجائر أحدا إمّا علی قتل نفسه و إمّا علی قتل</w:t>
      </w:r>
      <w:bookmarkStart w:id="944" w:name="pg5064_65796"/>
    </w:p>
    <w:p>
      <w:pPr>
        <w:pStyle w:val="BookText"/>
        <w:rPr/>
      </w:pPr>
      <w:bookmarkEnd w:id="944"/>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انجلی الصبح،و انکشف الظلام،و ظهر الفارق بین التقیّة و الإکراه موضوعا و حکما،و اللّه العالم بالحقائق و الأسرار</w:t>
      </w:r>
      <w:r>
        <w:rPr>
          <w:rFonts w:eastAsia="IRNazanin" w:cs="IRNazanin"/>
          <w:color w:val="111111"/>
          <w:sz w:val="28"/>
          <w:szCs w:val="28"/>
          <w:rtl w:val="true"/>
          <w:lang w:bidi="fa-IR"/>
        </w:rPr>
        <w:t>.</w:t>
      </w:r>
    </w:p>
    <w:p>
      <w:pPr>
        <w:pStyle w:val="Heading6"/>
        <w:numPr>
          <w:ilvl w:val="5"/>
          <w:numId w:val="1"/>
        </w:numPr>
        <w:rPr/>
      </w:pPr>
      <w:bookmarkStart w:id="945" w:name="__RefHeading___Toc910624_774463916"/>
      <w:bookmarkStart w:id="946" w:name="_Toc346"/>
      <w:bookmarkEnd w:id="945"/>
      <w:r>
        <w:rPr>
          <w:rtl w:val="true"/>
        </w:rPr>
        <w:t>إنّ المستحقّ للقتل قصاصا محقون الدم</w:t>
      </w:r>
      <w:bookmarkEnd w:id="946"/>
    </w:p>
    <w:p>
      <w:pPr>
        <w:pStyle w:val="BookText"/>
        <w:rPr/>
      </w:pPr>
      <w:r>
        <w:rPr>
          <w:rFonts w:ascii="IRNazanin" w:hAnsi="IRNazanin" w:eastAsia="IRNazanin"/>
          <w:color w:val="111111"/>
          <w:sz w:val="28"/>
          <w:sz w:val="28"/>
          <w:szCs w:val="28"/>
          <w:rtl w:val="true"/>
          <w:lang w:bidi="fa-IR"/>
        </w:rPr>
        <w:t>بالنسبة إلی غیر ولی الدم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المستحقّ للقتل قصاصا فهو محقون الدم بالنسبة إلی غیر ولی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القتل قد یکون مهدور الدم لکل أحد،لکونه مسلوب الاحترام،کالنواصب الذین یظهرون العداوة و البغضاء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مهدور الدم بالنسبة إلی جمیع الناس،و لکن بإجازة حاکم الشرع کمن ثبت علیه الحدّ الشرعی الموجب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مهدور الدم لفریق معیّن کمن قتل مؤمنا عن عمد و اختیار</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خروجه عن حدّ النفوس المحترمة قطعا،لأنّ الشارع المقدّس سلب احترام دمه عند کل من اطّلع علی خبثه و رذالته،فیکون مهدور الدم لجمیع الناس،و لا یکون مشمولا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التقیّة الدم فلا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فلو اقتضت التقیة أو الإکراه قتل ناصبی فلا محذور فی الإقدام علیه لثبوت جوازه قبل التقیّة و الإکراه،فمعهما یکون أولی بالجواز،إلاّ أن تترتّب الفتنة علی قتله،فإنّه لا یجوز حینئذ الإقدام علی قتله،لوجوب سدّ أبواب الفتن</w:t>
      </w:r>
      <w:r>
        <w:rPr>
          <w:rFonts w:eastAsia="IRNazanin" w:cs="IRNazanin"/>
          <w:color w:val="111111"/>
          <w:sz w:val="28"/>
          <w:szCs w:val="28"/>
          <w:rtl w:val="true"/>
          <w:lang w:bidi="fa-IR"/>
        </w:rPr>
        <w:t>.</w:t>
      </w:r>
      <w:bookmarkStart w:id="947" w:name="pg5064_65797"/>
    </w:p>
    <w:p>
      <w:pPr>
        <w:pStyle w:val="BookText"/>
        <w:rPr/>
      </w:pPr>
      <w:bookmarkEnd w:id="947"/>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 حکم بقیّة النفوس المحترمة،فلا یجوز قتله بدون إذن الحاکم الشرعی حتّی مع التقیّة و الإکراه،لکونه محقون الدم بالنسبة إلی غیر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یعلم حکم الثالث أیضا،فإنّ الکتاب العزیز </w:t>
      </w:r>
      <w:r>
        <w:rPr>
          <w:rStyle w:val="FootnoteAnchor"/>
          <w:rtl w:val="true"/>
        </w:rPr>
        <w:footnoteReference w:id="1383"/>
      </w:r>
      <w:r>
        <w:rPr>
          <w:rFonts w:ascii="IRNazanin" w:hAnsi="IRNazanin" w:eastAsia="IRNazanin"/>
          <w:color w:val="111111"/>
          <w:sz w:val="28"/>
          <w:sz w:val="28"/>
          <w:szCs w:val="28"/>
          <w:rtl w:val="true"/>
          <w:lang w:bidi="fa-IR"/>
        </w:rPr>
        <w:t>إنّما أثبت السلطنة علی دم القاتل لولی المقتول،فلا یسوغ لغیره الإقدام علیه فی حال من الحالات،إلاّ مع الإذن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انجلی ممّا ذکرناه ما فی کلام المحقّق الإیروانی </w:t>
      </w:r>
      <w:r>
        <w:rPr>
          <w:rStyle w:val="FootnoteAnchor"/>
          <w:rtl w:val="true"/>
        </w:rPr>
        <w:footnoteReference w:id="1384"/>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استظهر من الروایات أنّ المراد من محقون الدم ما یکون محقونا بقول مطلق،و یرجع فی غیره إلی عموم رفع ما استکرهوا علیه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8" w:name="__RefHeading___Toc910626_774463916"/>
      <w:bookmarkStart w:id="949" w:name="_Toc347"/>
      <w:bookmarkEnd w:id="948"/>
      <w:r>
        <w:rPr>
          <w:rtl w:val="true"/>
        </w:rPr>
        <w:t>حکم التقیّة و الإکراه فی قتل المخالفین</w:t>
      </w:r>
      <w:bookmarkEnd w:id="94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ظهر سکوت الروایتین عن حکم دماء أهل الخلاف</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أشرنا آنفا </w:t>
      </w:r>
      <w:r>
        <w:rPr>
          <w:rStyle w:val="FootnoteAnchor"/>
          <w:rtl w:val="true"/>
        </w:rPr>
        <w:footnoteReference w:id="1386"/>
      </w:r>
      <w:r>
        <w:rPr>
          <w:rFonts w:ascii="IRNazanin" w:hAnsi="IRNazanin" w:eastAsia="IRNazanin"/>
          <w:color w:val="111111"/>
          <w:sz w:val="28"/>
          <w:sz w:val="28"/>
          <w:szCs w:val="28"/>
          <w:rtl w:val="true"/>
          <w:lang w:bidi="fa-IR"/>
        </w:rPr>
        <w:t>إلی أنّ الغرض الأقصی من التقیة هو حفظ دماء الشیعة،و أنّ حدّها بلوغ التقیة إلی الدم،و حینئذ فما دلّ علی عدم جریان التقیة فی الدماء المحترمة ساکت عن حکم التقیة فیما إذا أدّت إلی قتل غیر الشیعة من أی فرق المسلمین،و علیه فحکم قتل المخالفین بالتقیة أو بالإکراه حکم سائر المحرّمات التی ترتفع حرمتها بهما</w:t>
      </w:r>
      <w:r>
        <w:rPr>
          <w:rFonts w:eastAsia="IRNazanin" w:cs="IRNazanin"/>
          <w:color w:val="111111"/>
          <w:sz w:val="28"/>
          <w:szCs w:val="28"/>
          <w:rtl w:val="true"/>
          <w:lang w:bidi="fa-IR"/>
        </w:rPr>
        <w:t>.</w:t>
      </w:r>
      <w:bookmarkStart w:id="950" w:name="pg5064_65798"/>
    </w:p>
    <w:p>
      <w:pPr>
        <w:pStyle w:val="BookText"/>
        <w:rPr/>
      </w:pPr>
      <w:bookmarkEnd w:id="950"/>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 أنّ الدم یشمل الجرح و قطع الأعضاء،أو یختصّ بالقتل؟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هو الدم الذی کان علّة لبقاء الحیاة،إلاّ أنّه مع ذلک لا یمکن الحکم بجواز جرح الغیر أو قطع أعضائه للتقیة،فإنّ دلیل جواز التقیة کدلیل رفع المستکره علیه إنّما ورد فی مقام الامتنان،فلا یشمل ما إذا کان شموله منافیا له،و علیه فیجری فی موردها ما ذکرناه فی مورد الإکراه،فراجع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ینبغی للوالی العمل به فی نفسه و فی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 فی الروایات الکثیرة </w:t>
      </w:r>
      <w:r>
        <w:rPr>
          <w:rStyle w:val="FootnoteAnchor"/>
          <w:rtl w:val="true"/>
        </w:rPr>
        <w:footnoteReference w:id="1388"/>
      </w:r>
      <w:r>
        <w:rPr>
          <w:rFonts w:ascii="IRNazanin" w:hAnsi="IRNazanin" w:eastAsia="IRNazanin"/>
          <w:color w:val="111111"/>
          <w:sz w:val="28"/>
          <w:sz w:val="28"/>
          <w:szCs w:val="28"/>
          <w:rtl w:val="true"/>
          <w:lang w:bidi="fa-IR"/>
        </w:rPr>
        <w:t>حکم الوالی فی نفسه،و حکمه مع رعیته،فلا بدّ و أن یلاحظها المتقمّص لمنصب الولایة لکی لا یکون فی عداد الظالمین،بل یتصدّی لأعمال الولایة بالقسط و العدل</w:t>
      </w:r>
      <w:r>
        <w:rPr>
          <w:rFonts w:eastAsia="IRNazanin" w:cs="IRNazanin"/>
          <w:color w:val="111111"/>
          <w:sz w:val="28"/>
          <w:szCs w:val="28"/>
          <w:rtl w:val="true"/>
          <w:lang w:bidi="fa-IR"/>
        </w:rPr>
        <w:t>.</w:t>
      </w:r>
    </w:p>
    <w:p>
      <w:pPr>
        <w:pStyle w:val="Heading3"/>
        <w:numPr>
          <w:ilvl w:val="2"/>
          <w:numId w:val="1"/>
        </w:numPr>
        <w:rPr/>
      </w:pPr>
      <w:bookmarkStart w:id="951" w:name="__RefHeading___Toc910628_774463916"/>
      <w:bookmarkStart w:id="952" w:name="_Toc348"/>
      <w:bookmarkEnd w:id="951"/>
      <w:r>
        <w:rPr>
          <w:rtl w:val="true"/>
        </w:rPr>
        <w:t>حرمة هجاء المؤمن</w:t>
      </w:r>
      <w:bookmarkEnd w:id="95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هجاء المؤمن حرام بالأدلّة الأربعة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الهجو فی اللغة </w:t>
      </w:r>
      <w:r>
        <w:rPr>
          <w:rStyle w:val="FootnoteAnchor"/>
          <w:rtl w:val="true"/>
        </w:rPr>
        <w:footnoteReference w:id="1390"/>
      </w:r>
      <w:r>
        <w:rPr>
          <w:rFonts w:ascii="IRNazanin" w:hAnsi="IRNazanin" w:eastAsia="IRNazanin"/>
          <w:color w:val="111111"/>
          <w:sz w:val="28"/>
          <w:sz w:val="28"/>
          <w:szCs w:val="28"/>
          <w:rtl w:val="true"/>
          <w:lang w:bidi="fa-IR"/>
        </w:rPr>
        <w:t>عدّ معائب الشخص،و الوقیعة فیه،و شتمه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بین المسلمین فی حرمة هجاء المؤمن،و إن اختلفت الشیعة مع غیرهم فیما</w:t>
      </w:r>
    </w:p>
    <w:p>
      <w:pPr>
        <w:pStyle w:val="BookText"/>
        <w:rPr/>
      </w:pPr>
      <w:r>
        <w:rPr>
          <w:rFonts w:ascii="IRNazanin" w:hAnsi="IRNazanin" w:eastAsia="IRNazanin"/>
          <w:color w:val="111111"/>
          <w:sz w:val="28"/>
          <w:sz w:val="28"/>
          <w:szCs w:val="28"/>
          <w:rtl w:val="true"/>
          <w:lang w:bidi="fa-IR"/>
        </w:rPr>
        <w:t xml:space="preserve">یراد بکلمة المؤمن،بل فی کلام بعض العامّة </w:t>
      </w:r>
      <w:r>
        <w:rPr>
          <w:rStyle w:val="FootnoteAnchor"/>
          <w:rtl w:val="true"/>
        </w:rPr>
        <w:footnoteReference w:id="1391"/>
      </w:r>
      <w:r>
        <w:rPr>
          <w:rFonts w:ascii="IRNazanin" w:hAnsi="IRNazanin" w:eastAsia="IRNazanin"/>
          <w:color w:val="111111"/>
          <w:sz w:val="28"/>
          <w:sz w:val="28"/>
          <w:szCs w:val="28"/>
          <w:rtl w:val="true"/>
          <w:lang w:bidi="fa-IR"/>
        </w:rPr>
        <w:t>تعمیم الحرمة إلی هجاء أهل الذمّة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 علی حرمته بالأدلّة الأربعة،بدعوی أنّه ینطبق علیه عنوان الهمز و اللمز و أکل اللحم و التعییر و إذاعة السر،و کل ذلک کبیرة موبقة و جریمة مهلکة بالکتاب و السنّة و العقل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الهجو قد یکون بالجملة الإنشائیة،و قد یکون بالجملة الخبریة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فلا شبهة فی حرمته،لکونه من اللمز و الهمز،و الإهانة و الهتک و قد دلّت الروایات المتواترة علی حرمة هتک المؤمن و إهانته </w:t>
      </w:r>
      <w:r>
        <w:rPr>
          <w:rStyle w:val="FootnoteAnchor"/>
          <w:rtl w:val="true"/>
        </w:rPr>
        <w:footnoteReference w:id="1392"/>
      </w:r>
      <w:r>
        <w:rPr>
          <w:rFonts w:ascii="IRNazanin" w:hAnsi="IRNazanin" w:eastAsia="IRNazanin"/>
          <w:color w:val="111111"/>
          <w:sz w:val="28"/>
          <w:sz w:val="28"/>
          <w:szCs w:val="28"/>
          <w:rtl w:val="true"/>
          <w:lang w:bidi="fa-IR"/>
        </w:rPr>
        <w:t xml:space="preserve">،و نطق القرآن الکریم بحرمة الهمز و اللمز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 فإن کان الخبر مطابقا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کهجو المؤمن بما فیه من المعائب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حراما من جهة الغیبة و الهتک و الإهانة و التعییر و الهمز،و إن کان الخبر مخالفا للواقع کان حراما أیضا من نواح شتّی،لکونه کذبا و بهتا،و إهانة و ظلما،و همزا و لمزا</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فارق فی أفراد المؤمن بین العادل و الفاسق غیر المعلن،و قد تقدّم الکلام عنه فی مبحث الغیبة </w:t>
      </w:r>
      <w:r>
        <w:rPr>
          <w:rStyle w:val="FootnoteAnchor"/>
          <w:rtl w:val="true"/>
        </w:rPr>
        <w:footnoteReference w:id="1394"/>
      </w:r>
      <w:r>
        <w:rPr>
          <w:rFonts w:ascii="IRNazanin" w:hAnsi="IRNazanin" w:eastAsia="IRNazanin"/>
          <w:color w:val="111111"/>
          <w:sz w:val="28"/>
          <w:sz w:val="28"/>
          <w:szCs w:val="28"/>
          <w:rtl w:val="true"/>
          <w:lang w:bidi="fa-IR"/>
        </w:rPr>
        <w:t>،بل یمکن أن یقال بحرمة هجو الفاسق المعلن بفسقه،فقد</w:t>
      </w:r>
    </w:p>
    <w:p>
      <w:pPr>
        <w:pStyle w:val="BookText"/>
        <w:rPr/>
      </w:pPr>
      <w:r>
        <w:rPr>
          <w:rFonts w:ascii="IRNazanin" w:hAnsi="IRNazanin" w:eastAsia="IRNazanin"/>
          <w:color w:val="111111"/>
          <w:sz w:val="28"/>
          <w:sz w:val="28"/>
          <w:szCs w:val="28"/>
          <w:rtl w:val="true"/>
          <w:lang w:bidi="fa-IR"/>
        </w:rPr>
        <w:t xml:space="preserve">تقدّم فی البحث عن مستثنیات الغیبة </w:t>
      </w:r>
      <w:r>
        <w:rPr>
          <w:rStyle w:val="FootnoteAnchor"/>
          <w:rtl w:val="true"/>
        </w:rPr>
        <w:footnoteReference w:id="1395"/>
      </w:r>
      <w:r>
        <w:rPr>
          <w:rFonts w:ascii="IRNazanin" w:hAnsi="IRNazanin" w:eastAsia="IRNazanin"/>
          <w:color w:val="111111"/>
          <w:sz w:val="28"/>
          <w:sz w:val="28"/>
          <w:szCs w:val="28"/>
          <w:rtl w:val="true"/>
          <w:lang w:bidi="fa-IR"/>
        </w:rPr>
        <w:t>أنّ عمدة الدلیل علی جواز غیبة المتجاهر فی الفسق خروج ذلک عن دائرة الغیبة موضوعا،فإنّها أن تقول فی أخیک ما ستره اللّه علیه،و ما ارتکبه الفاسق المتجاهر من المعائب و المعاصی لیس ممّا ستره اللّه علیه و لکن لا قصور فی شمول ما دلّ علی حرمة الهجو لانتقاص المتجاهر و ذکره بما فیه من العیوب عدا ما دلّ علی حرمته من حیث کونه 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هجو الفاسق المتجاهر بالفسق إذا ترتّبت علی هجوه مصلحة أهم من مصلحة احترامه،أو کان ممّن لا یبالی بما قیل فیه،و بذلک یحمل ما ذکره المصنّف من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محّصوا ذنوبکم بذکر الفاسقین</w:t>
      </w:r>
      <w:r>
        <w:rPr>
          <w:rFonts w:eastAsia="IRNazanin" w:cs="IRNazanin"/>
          <w:color w:val="111111"/>
          <w:sz w:val="28"/>
          <w:szCs w:val="28"/>
          <w:rtl w:val="true"/>
          <w:lang w:bidi="fa-IR"/>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هجو المخالفین أو المبدعین فی الدین فلا شبهة فی جوازه،لأنّه قد تقدّم فی مبحث الغیبة </w:t>
      </w:r>
      <w:r>
        <w:rPr>
          <w:rStyle w:val="FootnoteAnchor"/>
          <w:rtl w:val="true"/>
        </w:rPr>
        <w:footnoteReference w:id="1397"/>
      </w:r>
      <w:r>
        <w:rPr>
          <w:rFonts w:ascii="IRNazanin" w:hAnsi="IRNazanin" w:eastAsia="IRNazanin"/>
          <w:color w:val="111111"/>
          <w:sz w:val="28"/>
          <w:sz w:val="28"/>
          <w:szCs w:val="28"/>
          <w:rtl w:val="true"/>
          <w:lang w:bidi="fa-IR"/>
        </w:rPr>
        <w:t>أنّ المراد بالمؤمن هو القائل بإمامة الأئمّة الاثنی عشر،و کونهم مفترضی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ما دلّ علی حرمة الهجو مختصّ بالمؤمن من الشیعة،فیخرج غیرهم عن حدود حرمة الهجو موضوعا،و قد تقدّم فی المبحث المذکور ما یرضیک فی المقام،و یقنعک بتخصیص حرمة الهجو بما ذکرناه</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یجوز هجو المبدع فی الدین أو المخالفین بما لیس فیهم من المعائب،أو لا بدّ من الاقتصار فیه علی ذکر العیوب الموجودة فیهم؟هجوهم بذکر المعائب غیر الموجودة فیهم من الأقاویل الکاذبة،و هی محرّمة بالکتاب و السنّة،و قد تقدّم ذلک</w:t>
      </w:r>
      <w:bookmarkStart w:id="953" w:name="pg5064_65801"/>
    </w:p>
    <w:p>
      <w:pPr>
        <w:pStyle w:val="BookText"/>
        <w:rPr/>
      </w:pPr>
      <w:bookmarkEnd w:id="953"/>
      <w:r>
        <w:rPr>
          <w:rFonts w:ascii="IRNazanin" w:hAnsi="IRNazanin" w:eastAsia="IRNazanin"/>
          <w:color w:val="111111"/>
          <w:sz w:val="28"/>
          <w:sz w:val="28"/>
          <w:szCs w:val="28"/>
          <w:rtl w:val="true"/>
          <w:lang w:bidi="fa-IR"/>
        </w:rPr>
        <w:t xml:space="preserve">فی مبحث حرمة الکذب </w:t>
      </w:r>
      <w:r>
        <w:rPr>
          <w:rStyle w:val="FootnoteAnchor"/>
          <w:rtl w:val="true"/>
        </w:rPr>
        <w:footnoteReference w:id="1398"/>
      </w:r>
      <w:r>
        <w:rPr>
          <w:rFonts w:ascii="IRNazanin" w:hAnsi="IRNazanin" w:eastAsia="IRNazanin"/>
          <w:color w:val="111111"/>
          <w:sz w:val="28"/>
          <w:sz w:val="28"/>
          <w:szCs w:val="28"/>
          <w:rtl w:val="true"/>
          <w:lang w:bidi="fa-IR"/>
        </w:rPr>
        <w:t>،إلاّ أنّه قد تقتضی المصلحة الملزمة جواز بهتهم و الإزراء علیهم،و ذکرهم بما لیس فیهم،افتضاحا لهم،و المصلحة فی ذلک هی استبانة شؤونهم لضعفاء المؤمنین حتّی لا یغترّوا بآرائهم الخبیثة و أغراضهم المرجفة و بذلک یحمل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باهتوهم کی لا یطمعوا فی الإسلام</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و کل ذلک فیما إذا لم تترتّب علی هجوهم مفسدة و فتنة،و إلاّ فیحرم هجوهم حتّی بالمعائب الموجودة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مطاوی ما ذکرناه أنّ هجو المخالفین قد یکون مباحا،و قد یکون مستحبّا،و قد یکون واجبا،و قد یکون مکروها،و قد یکون حراما،و بهذا الأخیر یحمل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حمزة عن قذف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عنهم أجمل</w:t>
      </w:r>
      <w:r>
        <w:rPr>
          <w:rFonts w:eastAsia="IRNazanin" w:cs="IRNazanin"/>
          <w:color w:val="111111"/>
          <w:sz w:val="28"/>
          <w:szCs w:val="28"/>
          <w:rtl w:val="true"/>
          <w:lang w:bidi="fa-IR"/>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910630_774463916"/>
      <w:bookmarkStart w:id="955" w:name="_Toc349"/>
      <w:bookmarkEnd w:id="954"/>
      <w:r>
        <w:rPr>
          <w:rtl w:val="true"/>
        </w:rPr>
        <w:t>حرمة الهجر</w:t>
      </w:r>
      <w:bookmarkEnd w:id="95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 بالضم هو الفحش،و القبیح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بین المسلمین</w:t>
      </w:r>
    </w:p>
    <w:p>
      <w:pPr>
        <w:pStyle w:val="BookText"/>
        <w:rPr/>
      </w:pPr>
      <w:r>
        <w:rPr>
          <w:rFonts w:ascii="IRNazanin" w:hAnsi="IRNazanin" w:eastAsia="IRNazanin"/>
          <w:color w:val="111111"/>
          <w:sz w:val="28"/>
          <w:sz w:val="28"/>
          <w:szCs w:val="28"/>
          <w:rtl w:val="true"/>
          <w:lang w:bidi="fa-IR"/>
        </w:rPr>
        <w:t xml:space="preserve">بل بین العقلاء فی مبغوضیته و حرمته،و قد ورد فی الروایات المتواترة </w:t>
      </w:r>
      <w:r>
        <w:rPr>
          <w:rStyle w:val="FootnoteAnchor"/>
          <w:rtl w:val="true"/>
        </w:rPr>
        <w:footnoteReference w:id="1401"/>
      </w:r>
      <w:r>
        <w:rPr>
          <w:rFonts w:ascii="IRNazanin" w:hAnsi="IRNazanin" w:eastAsia="IRNazanin"/>
          <w:color w:val="111111"/>
          <w:sz w:val="28"/>
          <w:sz w:val="28"/>
          <w:szCs w:val="28"/>
          <w:rtl w:val="true"/>
          <w:lang w:bidi="fa-IR"/>
        </w:rPr>
        <w:t>أنّ البذاء و الفحش علی المؤمن حرام،و فی روایة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الجنّة علی کلّ فحّاش بذیء،قلیل الحیاء،لا یبالی ما قال و لا 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خاف الناس لسانه فهو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البذاء من الجفاء،و الجفاء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موثّقة 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شرک الشیطان الذی لا شکّ فیه أن یکون فحّاشا،لا یبالی ما قال و لا ما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فحش علی أخیه المسلم نزع اللّه منه برکة رزقه،و وکله إلی نفسه و أفسد علیه معیشته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اصول الکافی بسند صحیح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بنی إسرائیل رجل فدعا اللّه أن یرزقه غلاما ثلاث سنین،فلمّا رأی أنّ اللّه لا یجیبه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أبعید أنا منک فلا تسمعنی،أم قریب أنت منّی فلا تجیبنی؟قال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آت فی منامه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تدعو اللّه منذ ثلاث سنین بلسان بذیء و قلب 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 المتجاوز عن حدّه فی الاستکبار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تقی،و نیّة غیر صادقة،فاقلع عن بذائک،و لیتّق اللّه قلبک،و لتحسن نیّتک،قال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الرجل ذلک،ثمّ دعا اللّه فولد له غلام</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أفضل الجهاد من أصبح لا یهمّ بظلم أحد،یا علی من خاف الناس لسانه فهو من أهل النار یا علی شرّ الناس من أکرمه الناس اتّقاء شرّه و أذی فحشه،یا علی شرّ الناس من باع آخرته بدنیاه،و شرّ منه من باع آخرته بدنیا غیره</w:t>
      </w:r>
      <w:r>
        <w:rPr>
          <w:rFonts w:eastAsia="IRNazanin" w:cs="IRNazanin"/>
          <w:color w:val="111111"/>
          <w:sz w:val="28"/>
          <w:szCs w:val="28"/>
          <w:rtl w:val="true"/>
          <w:lang w:bidi="fa-IR"/>
        </w:rPr>
        <w:t>».</w:t>
      </w:r>
      <w:bookmarkStart w:id="956" w:name="pg5064_65803"/>
    </w:p>
    <w:p>
      <w:pPr>
        <w:pStyle w:val="Heading2"/>
        <w:numPr>
          <w:ilvl w:val="1"/>
          <w:numId w:val="1"/>
        </w:numPr>
        <w:rPr/>
      </w:pPr>
      <w:bookmarkStart w:id="957" w:name="__RefHeading___Toc910632_774463916"/>
      <w:bookmarkStart w:id="958" w:name="_Toc350"/>
      <w:bookmarkEnd w:id="956"/>
      <w:bookmarkEnd w:id="957"/>
      <w:r>
        <w:rPr>
          <w:rtl w:val="true"/>
        </w:rPr>
        <w:t>النوع الخامس</w:t>
      </w:r>
      <w:r>
        <w:rPr>
          <w:rtl w:val="true"/>
        </w:rPr>
        <w:t>:</w:t>
      </w:r>
      <w:r>
        <w:rPr>
          <w:rtl w:val="true"/>
        </w:rPr>
        <w:t>ما یجب علی الإنسان فعله</w:t>
      </w:r>
      <w:bookmarkEnd w:id="958"/>
    </w:p>
    <w:p>
      <w:pPr>
        <w:pStyle w:val="Heading3"/>
        <w:numPr>
          <w:ilvl w:val="2"/>
          <w:numId w:val="1"/>
        </w:numPr>
        <w:rPr/>
      </w:pPr>
      <w:bookmarkStart w:id="959" w:name="__RefHeading___Toc910634_774463916"/>
      <w:bookmarkStart w:id="960" w:name="_Toc351"/>
      <w:bookmarkEnd w:id="959"/>
      <w:r>
        <w:rPr>
          <w:rtl w:val="true"/>
        </w:rPr>
        <w:t>أخذ الاجرة علی الواجبات</w:t>
      </w:r>
      <w:bookmarkEnd w:id="960"/>
    </w:p>
    <w:p>
      <w:pPr>
        <w:pStyle w:val="Heading4"/>
        <w:numPr>
          <w:ilvl w:val="3"/>
          <w:numId w:val="1"/>
        </w:numPr>
        <w:rPr/>
      </w:pPr>
      <w:bookmarkStart w:id="961" w:name="__RefHeading___Toc910636_774463916"/>
      <w:bookmarkStart w:id="962" w:name="_Toc352"/>
      <w:bookmarkEnd w:id="961"/>
      <w:r>
        <w:rPr>
          <w:rtl w:val="true"/>
        </w:rPr>
        <w:t>اشارة</w:t>
      </w:r>
      <w:bookmarkEnd w:id="96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ممّا یحرم التکسّب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یجب علی الإنسان فعله،عینا أو کفایة،تعبّدا أو توصّلا علی المشهور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کلمات الأصحاب فی هذه المسألة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حکاه المصنّف عن المصابیح </w:t>
      </w:r>
      <w:r>
        <w:rPr>
          <w:rStyle w:val="FootnoteAnchor"/>
          <w:rtl w:val="true"/>
        </w:rPr>
        <w:footnoteReference w:id="1403"/>
      </w:r>
      <w:r>
        <w:rPr>
          <w:rFonts w:ascii="IRNazanin" w:hAnsi="IRNazanin" w:eastAsia="IRNazanin"/>
          <w:color w:val="111111"/>
          <w:sz w:val="28"/>
          <w:sz w:val="28"/>
          <w:szCs w:val="28"/>
          <w:rtl w:val="true"/>
          <w:lang w:bidi="fa-IR"/>
        </w:rPr>
        <w:t>عن فخر المحقّقین من التفصیل بین التعبّدی فلا یجوز،و بین التوصّلی 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نقله المصنّف عن فخر المحقّقین فی الإیضاح </w:t>
      </w:r>
      <w:r>
        <w:rPr>
          <w:rStyle w:val="FootnoteAnchor"/>
          <w:rtl w:val="true"/>
        </w:rPr>
        <w:footnoteReference w:id="1404"/>
      </w:r>
      <w:r>
        <w:rPr>
          <w:rFonts w:ascii="IRNazanin" w:hAnsi="IRNazanin" w:eastAsia="IRNazanin"/>
          <w:color w:val="111111"/>
          <w:sz w:val="28"/>
          <w:sz w:val="28"/>
          <w:szCs w:val="28"/>
          <w:rtl w:val="true"/>
          <w:lang w:bidi="fa-IR"/>
        </w:rPr>
        <w:t>من التفصیل بین الکفائی التوصّلی فیجوز،و بین غیره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فی متاجر الریاض </w:t>
      </w:r>
      <w:r>
        <w:rPr>
          <w:rStyle w:val="FootnoteAnchor"/>
          <w:rtl w:val="true"/>
        </w:rPr>
        <w:footnoteReference w:id="1405"/>
      </w:r>
      <w:r>
        <w:rPr>
          <w:rFonts w:ascii="IRNazanin" w:hAnsi="IRNazanin" w:eastAsia="IRNazanin"/>
          <w:color w:val="111111"/>
          <w:sz w:val="28"/>
          <w:sz w:val="28"/>
          <w:szCs w:val="28"/>
          <w:rtl w:val="true"/>
          <w:lang w:bidi="fa-IR"/>
        </w:rPr>
        <w:t>من التفصیل بین الواجبات التی تجب علی الأجیر عینا أو کفایة وجوبا ذاتیا فلا یجوز،و بین الواجبات الکفائیة التوصّلیة فیجوز،کالصناعات الواجبة کفایة لانتظام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السیّد المرتضی من القول بالجواز فی الکفائی کتهجیز المیّت،و هذه النسبة موهونة بما ذکره المصنّف من أنّ السید مخالف فی وجوب تجهیز المیّت علی غیر الولی،لا فی حرمة أخذ الاجرة علی تقدیر الوجوب علیه،فهو مخالف فی الموضوع،لا فی الحکم</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کان الغرض الأهم منه الآخرة فلا یجوز،و بین ما</w:t>
      </w:r>
    </w:p>
    <w:p>
      <w:pPr>
        <w:pStyle w:val="BookText"/>
        <w:rPr/>
      </w:pPr>
      <w:r>
        <w:rPr>
          <w:rFonts w:ascii="IRNazanin" w:hAnsi="IRNazanin" w:eastAsia="IRNazanin"/>
          <w:color w:val="111111"/>
          <w:sz w:val="28"/>
          <w:sz w:val="28"/>
          <w:szCs w:val="28"/>
          <w:rtl w:val="true"/>
          <w:lang w:bidi="fa-IR"/>
        </w:rPr>
        <w:t xml:space="preserve">کان الغرض الأهم منه الدنیا فیجوز،و قد ذهب إلیه مفتاح الکرامة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حکاه فی البلغة </w:t>
      </w:r>
      <w:r>
        <w:rPr>
          <w:rStyle w:val="FootnoteAnchor"/>
          <w:rtl w:val="true"/>
        </w:rPr>
        <w:footnoteReference w:id="1407"/>
      </w:r>
      <w:r>
        <w:rPr>
          <w:rFonts w:ascii="IRNazanin" w:hAnsi="IRNazanin" w:eastAsia="IRNazanin"/>
          <w:color w:val="111111"/>
          <w:sz w:val="28"/>
          <w:sz w:val="28"/>
          <w:szCs w:val="28"/>
          <w:rtl w:val="true"/>
          <w:lang w:bidi="fa-IR"/>
        </w:rPr>
        <w:t>عن جدّه فی المصابیح من التفصیل بین التعبّدی منه و التوصّلی،فمنع فی الأول مطلقا،و فصّل فی الثانی بین الکفائی منه و العینی فجوّز فی الأول مطلقا،و فصّل فی الثانی بین ما کان وجوبه للضرورة أو لحفظ النظام و غیره،فجوّز فی الأول،و منع فی الثانی مطلقا،سواء کان الواجب ذاتیا أم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المصنّف من التفصیل بین العینی التعیینی و الکفائی التعبّدی فلا یجوز،و بین الکفائی التوصّلی و التخییری فیجوز،و یظهر منه التردّد فی التخییری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المختار عندنا من جواز أخذ الاجرة علی الواجب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الخلاف أیضا فی هذه المسألة بین فقهاء العامّة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غیر واحد من أرباب الأقوال المذکورة قد ادّعی الإجماع علی</w:t>
      </w:r>
      <w:bookmarkStart w:id="963" w:name="pg5064_65805"/>
    </w:p>
    <w:p>
      <w:pPr>
        <w:pStyle w:val="BookText"/>
        <w:rPr/>
      </w:pPr>
      <w:bookmarkEnd w:id="963"/>
      <w:r>
        <w:rPr>
          <w:rFonts w:ascii="IRNazanin" w:hAnsi="IRNazanin" w:eastAsia="IRNazanin"/>
          <w:color w:val="111111"/>
          <w:sz w:val="28"/>
          <w:sz w:val="28"/>
          <w:szCs w:val="28"/>
          <w:rtl w:val="true"/>
          <w:lang w:bidi="fa-IR"/>
        </w:rPr>
        <w:t>رأیه،و لکنّه لیس من الإجماع التعبّدی،فإنّ من المحتمل القریب أنّ المجمعین قد استندوا فی فتیاهم بالحرمة إلی غیر الإجماع من الوجوه المقرّرة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یصعب علی الفقیه دعوی الإجماع علی نحو الموجبة الکلّیة،مع ما اطّلعت علیه من الاختلافات و التفاصیل،نعم قد نقل الإجماع تلویحا أو تصریحا فی بعض الموارد الجزئیة،کالقضاء و الشهادة و تعلیم صیغة النکاح أو إلقائها علی المتعاقدین</w:t>
      </w:r>
      <w:r>
        <w:rPr>
          <w:rFonts w:eastAsia="IRNazanin" w:cs="IRNazanin"/>
          <w:color w:val="111111"/>
          <w:sz w:val="28"/>
          <w:szCs w:val="28"/>
          <w:rtl w:val="true"/>
          <w:lang w:bidi="fa-IR"/>
        </w:rPr>
        <w:t>.</w:t>
      </w:r>
    </w:p>
    <w:p>
      <w:pPr>
        <w:pStyle w:val="Heading4"/>
        <w:numPr>
          <w:ilvl w:val="3"/>
          <w:numId w:val="1"/>
        </w:numPr>
        <w:rPr/>
      </w:pPr>
      <w:bookmarkStart w:id="964" w:name="__RefHeading___Toc910638_774463916"/>
      <w:bookmarkStart w:id="965" w:name="_Toc353"/>
      <w:bookmarkEnd w:id="964"/>
      <w:r>
        <w:rPr>
          <w:rtl w:val="true"/>
        </w:rPr>
        <w:t>مقدّمة نافعة فی بیان موضوع أخذ الاجرة علی الواجب</w:t>
      </w:r>
      <w:bookmarkEnd w:id="965"/>
    </w:p>
    <w:p>
      <w:pPr>
        <w:pStyle w:val="BookText"/>
        <w:rPr/>
      </w:pPr>
      <w:r>
        <w:rPr>
          <w:rFonts w:ascii="IRNazanin" w:hAnsi="IRNazanin" w:eastAsia="IRNazanin"/>
          <w:color w:val="111111"/>
          <w:sz w:val="28"/>
          <w:sz w:val="28"/>
          <w:szCs w:val="28"/>
          <w:rtl w:val="true"/>
          <w:lang w:bidi="fa-IR"/>
        </w:rPr>
        <w:t>قبل التعرّض لحکم المسألة،و بیان الحقیقة فیها نقدّم أمرا لبیان موضوعها و إجماله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البحث فی المقام إنّما هو جهة العبادة و جهة الوجوب فقط و مانعیتهما عن صحّة الإجارة و عدمها،بعد الفراغ عن سائر الجهات و الحیثیات التی اعتبرها الشارع المقدّس فی عقد الإجارة،کأن لا یکون العمل المستأجر علیه ممّا اعتبرت المجّانیة فیه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یختصّ بالواجب،بل یجری فی المستحبّات أیضا،کاستئجار المؤذّن للأذان،و استئجار المعلّم للتدریس،و استئجار الفقیه للإفتاء،و استئجار القارئ لقراءة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یجری فی المکروهات أیضا،کاستئجار فحل الضراب للطروقة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الأمثلة مبنیة علی تعلّق غرض الشارع بمجانیة الامور المذکورة و حرمة أخذ الاجرة علیها أو کراهته</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بعضهم ذکر أنّ من شرائط الإجارة أن تکون منفعة العین المستأجرة عائدة إلی المستأجر،و رتّب علیه بطلان إجارة المکلّف لامتثال فرائضه من الصلاة و الصوم و الحجّ و غیرها،و بطلان الإجارة للإتیان بالمستحبّات لنفسه،کالنوافل الیومیة و اللیلیة،و غیر ذلک من الموارد التی یکون النفع فیها راجعا إلی الأجیر أو إلی شخص آخر غیر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الإجارة هی تبدیل منفعة معلومة بعوض معلوم فلا بدّ من وصول المنفعة إلی المستأجر،لأنّه الدافع للعوض المعلوم،و إلاّ انتفت حقیقة الإجارة،إذ یعتبر فی التبدیل أن یقوم کل من العوض و المعوّض مکان الآخر بحیث یدخل کل منهما فی المکان الذی خرج منه الآخر،و سیأتی اعتبار ذلک أیضا فی حقیقة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البلغة أنّ الإجارة بدون هذا الشرط سفهیة،و أکل للمال بالباطل،و لذا لا تصحّ الإجارة علی الأفعال العبثیة،و إبداء الحرکات اللاغیة،کالذهاب إلی الأمکنة الموحشة،و رفع الأحجار الثقیلة </w:t>
      </w:r>
      <w:r>
        <w:rPr>
          <w:rStyle w:val="FootnoteAnchor"/>
          <w:rtl w:val="true"/>
        </w:rPr>
        <w:footnoteReference w:id="1409"/>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الإجارة لا تقتضی إلاّ دخول العمل فی ملک المستأجر قضاء لقانون المبادلة،و أمّا کون المنفعة راجعة إلیه فلا 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سفهیة المعاملة فیرد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قد عرفت مرارا،و ستعرف فی مبحث البیع إن شاء اللّه </w:t>
      </w:r>
      <w:r>
        <w:rPr>
          <w:rStyle w:val="FootnoteAnchor"/>
          <w:rtl w:val="true"/>
        </w:rPr>
        <w:footnoteReference w:id="1410"/>
      </w:r>
      <w:r>
        <w:rPr>
          <w:rFonts w:ascii="IRNazanin" w:hAnsi="IRNazanin" w:eastAsia="IRNazanin"/>
          <w:color w:val="111111"/>
          <w:sz w:val="28"/>
          <w:sz w:val="28"/>
          <w:szCs w:val="28"/>
          <w:rtl w:val="true"/>
          <w:lang w:bidi="fa-IR"/>
        </w:rPr>
        <w:t>أنّه لا دلیل علی بطلان المعاملة السفهیة،و إنّما الدلیل علی بطلان معاملة السفیه،و الدلیل هو کونه محجور التصرّف فی أمواله</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فی البحث عن بیع الأبوال </w:t>
      </w:r>
      <w:r>
        <w:rPr>
          <w:rStyle w:val="FootnoteAnchor"/>
          <w:rtl w:val="true"/>
        </w:rPr>
        <w:footnoteReference w:id="1411"/>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سنعود إلیه فی مبحث البیع </w:t>
      </w:r>
      <w:r>
        <w:rPr>
          <w:rStyle w:val="FootnoteAnchor"/>
          <w:rtl w:val="true"/>
        </w:rPr>
        <w:footnoteReference w:id="1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آیة التجارة </w:t>
      </w:r>
      <w:r>
        <w:rPr>
          <w:rStyle w:val="FootnoteAnchor"/>
          <w:rtl w:val="true"/>
        </w:rPr>
        <w:footnoteReference w:id="1413"/>
      </w:r>
      <w:r>
        <w:rPr>
          <w:rFonts w:ascii="IRNazanin" w:hAnsi="IRNazanin" w:eastAsia="IRNazanin"/>
          <w:color w:val="111111"/>
          <w:sz w:val="28"/>
          <w:sz w:val="28"/>
          <w:szCs w:val="28"/>
          <w:rtl w:val="true"/>
          <w:lang w:bidi="fa-IR"/>
        </w:rPr>
        <w:t>غریبة عن شرائط العوضین،بل هی راجعة إلی حصر أسباب المعاملة فی الصحیح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الدلیل أخصّ من المدّعی،فإنّ</w:t>
      </w:r>
      <w:bookmarkStart w:id="966" w:name="pg5064_65807"/>
    </w:p>
    <w:p>
      <w:pPr>
        <w:pStyle w:val="BookText"/>
        <w:rPr/>
      </w:pPr>
      <w:bookmarkEnd w:id="966"/>
      <w:r>
        <w:rPr>
          <w:rFonts w:ascii="IRNazanin" w:hAnsi="IRNazanin" w:eastAsia="IRNazanin"/>
          <w:color w:val="111111"/>
          <w:sz w:val="28"/>
          <w:sz w:val="28"/>
          <w:szCs w:val="28"/>
          <w:rtl w:val="true"/>
          <w:lang w:bidi="fa-IR"/>
        </w:rPr>
        <w:t>المستأجر قد ینتفع بعود النفع إلی غیره،کما إذا استأجر شخصا علی امتثال فرائض نفسه لکی یتعلّم المستأجر منه أحکام فرائضه،أو کان المستأجر من الآمرین بالمعروف و الناهین عن المنکر،و أراد باستئجار المکلّفین علی امتثال فرائضهم إظهار عظمة الإسلام و إخضاع المتمرّدین و العاصین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هنا یتمحّض لبیان أنّ صفة الوجوب أو صفة العبادیة مانعة عن انعقاد الإجارة أم لا،بعد الانتهاء عن سائر النواحی التی اعتبرت فی عقد الإجارة</w:t>
      </w:r>
      <w:r>
        <w:rPr>
          <w:rFonts w:eastAsia="IRNazanin" w:cs="IRNazanin"/>
          <w:color w:val="111111"/>
          <w:sz w:val="28"/>
          <w:szCs w:val="28"/>
          <w:rtl w:val="true"/>
          <w:lang w:bidi="fa-IR"/>
        </w:rPr>
        <w:t>.</w:t>
      </w:r>
    </w:p>
    <w:p>
      <w:pPr>
        <w:pStyle w:val="Heading4"/>
        <w:numPr>
          <w:ilvl w:val="3"/>
          <w:numId w:val="1"/>
        </w:numPr>
        <w:rPr/>
      </w:pPr>
      <w:bookmarkStart w:id="967" w:name="__RefHeading___Toc910640_774463916"/>
      <w:bookmarkStart w:id="968" w:name="_Toc354"/>
      <w:bookmarkEnd w:id="967"/>
      <w:r>
        <w:rPr>
          <w:rtl w:val="true"/>
        </w:rPr>
        <w:t>إنّ صفة العبادیة لا تنافی الإجارة</w:t>
      </w:r>
      <w:bookmarkEnd w:id="968"/>
    </w:p>
    <w:p>
      <w:pPr>
        <w:pStyle w:val="BookText"/>
        <w:rPr/>
      </w:pPr>
      <w:r>
        <w:rPr>
          <w:rFonts w:ascii="IRNazanin" w:hAnsi="IRNazanin" w:eastAsia="IRNazanin"/>
          <w:color w:val="111111"/>
          <w:sz w:val="28"/>
          <w:sz w:val="28"/>
          <w:szCs w:val="28"/>
          <w:rtl w:val="true"/>
          <w:lang w:bidi="fa-IR"/>
        </w:rPr>
        <w:t>مقتضی القاعدة جواز أخذ الاجرة علی مطلق العبادات،سواء أکان الأخذ بعنوان الإجارة أم بعنوان الجعالة،إذا تمّ سائر الشروط المعتبرة فیهما،و لا شبهة أنّ صفة العبادیة لا تنافی الإجارة و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فعمومات صحّة المعاملات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هذا الرأی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العبادات لا بدّ و أن تؤتی بقصد القربة،و أخذ الاجرة علیها ینافی القربة و الإخلاص،و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عقد الإجارة یوجب انقلاب داعی الإخلاص فی العمل المستأجر علیه إلی داعی أخذ الاجرة،و من الواضح أنّ قید الإخلاص مأخوذ فی العمل المستأجر علیه،فیلزم من صحّة الإجارة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 لا یرجع عند التحقیق إلی محصّل،و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یدّعی تارة أنّ العمل الخارجی إنّما یؤتی به بداعی تملّک الاجرة و هو ینافی قصد الإخلاص،و اخری یدّعی أنّه یؤتی به بداعی تسلّم الاجرة خارجا،و ثالثة یدّعی أنّه یؤتی به بداعی استحقاق مطالبتها</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واضحة البطلان،ضرورة أنّ تملّک الاجرة إنّما</w:t>
      </w:r>
    </w:p>
    <w:p>
      <w:pPr>
        <w:pStyle w:val="BookText"/>
        <w:rPr/>
      </w:pPr>
      <w:r>
        <w:rPr>
          <w:rFonts w:ascii="IRNazanin" w:hAnsi="IRNazanin" w:eastAsia="IRNazanin"/>
          <w:color w:val="111111"/>
          <w:sz w:val="28"/>
          <w:sz w:val="28"/>
          <w:szCs w:val="28"/>
          <w:rtl w:val="true"/>
          <w:lang w:bidi="fa-IR"/>
        </w:rPr>
        <w:t>یکون بنفس الإیجار،لا بالعمل الخارجی،فالعمل أجنبی عنه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أیضا کذلک،ضرورة أنّه یتمکّن الأجیر من التسلّم بغیر العمل فی بعض الموارد،و بالعمل الخالی من قصد القربة فی جمیعها،فلا یکون الداعی إلی العمل بما هو عبادی غیر قصد القربة،و لو من جهة خوفه من العذاب لأجل عدم تسلیمه العمل إلی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إن کانت صحیحة فی بعض الموارد،و هو ما إذا امتنع المستأجر من التسلیم قبل العمل،إلاّ أنّ الإتیان به لأجل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لأجل أن یستحقّ المطالبة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 عن قصد القربة فی العمل،و ذلک من جهة تمکّن المکلّف من الإتیان به بغیر قصد القربة و إلزامه المستأجر تسلیم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فإتیانه بالعمل لأجل الاستحقاق شرعا لا ینفک عن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کان الأجیر متمکّنا من المطالبة و تسلّم الاجرة بغیر العمل الصحیح،فلا یکون داعیه إلی الإتیان بالعمل الصحیح غیر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إلی ذلک نظر من أجاب عن الإشکال المزبور بأنّ دعوة أخذ الاجرة فی طول دعوة الأمر لغو من باب الداعی إلی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دواعی امتثال العبادات کونها جهات قربیة بحیث تنتهی سلسلة العلل و الدواعی فیها بجمیع حلقاتها إلی اللّه تعالی،و متی کان فیها داع غیر قربی خرج العمل عن العبادیة و عن تمحّضه للّه،و إن لم یکن الداعی غیر القربی فی عرض الداعی الإلهی</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قد حقّقنا فی مبحث النیّة من کتاب الصلاة </w:t>
      </w:r>
      <w:r>
        <w:rPr>
          <w:rStyle w:val="FootnoteAnchor"/>
          <w:rtl w:val="true"/>
        </w:rPr>
        <w:footnoteReference w:id="1414"/>
      </w:r>
      <w:r>
        <w:rPr>
          <w:rFonts w:ascii="Amiri" w:hAnsi="Amiri" w:eastAsia="Amiri" w:cs="Amiri"/>
          <w:color w:val="111111"/>
          <w:sz w:val="28"/>
          <w:sz w:val="28"/>
          <w:szCs w:val="28"/>
          <w:rtl w:val="true"/>
          <w:lang w:bidi="ar-SA"/>
        </w:rPr>
        <w:t>أنّه یشذّ فی العباد من</w:t>
      </w:r>
    </w:p>
    <w:p>
      <w:pPr>
        <w:pStyle w:val="BookText"/>
        <w:rPr/>
      </w:pPr>
      <w:r>
        <w:rPr>
          <w:rFonts w:ascii="IRNazanin" w:hAnsi="IRNazanin" w:eastAsia="IRNazanin"/>
          <w:color w:val="111111"/>
          <w:sz w:val="28"/>
          <w:sz w:val="28"/>
          <w:szCs w:val="28"/>
          <w:rtl w:val="true"/>
          <w:lang w:bidi="fa-IR"/>
        </w:rPr>
        <w:t xml:space="preserve">یأتی بالعبادة بجمیع مقدماتها و مقارناتها و مؤخّراتها و دواعیها خالصة لوجه اللّه الکریم،و طلبا لرضاه،و کونه أهلا للعبادة و الإطاعة،بل یقصد غالب الناس فی عباداتهم الجهات الراجعة إلیهم من المنافع الدنیویة و الاخرویة،و لا تنافی هذه الدواعی الراجعة إلیهم عبادیة العبادة،إلاّ إذا دلّ دلیل علی إبطال بعضها للعبادة کما فی الریاء،فقد ورد فی الأخبار المتظافرة أنّ الریاء لا یدخل عملا إلاّ و أفسده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توضیح الجواب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الغایة القصوی من العبادة قد تکون هی اللّه فقط،من دون أن یشوبها غرض آخر من الأغراض الدنیویة أو الجهات الاخرویة،و ضروری أنّ هذا النمط من الامتثال منحصر فی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الأنبیاء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نارک،و لا طمعا فی جنّتک،و لکن وجدتک أهلا للعبادة فعبدتک</w:t>
      </w:r>
      <w:r>
        <w:rPr>
          <w:rFonts w:eastAsia="IRNazanin" w:cs="IRNazanin"/>
          <w:color w:val="111111"/>
          <w:sz w:val="28"/>
          <w:szCs w:val="28"/>
          <w:rtl w:val="true"/>
          <w:lang w:bidi="fa-IR"/>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تکون الغایة من العبادة هی اللّه،و لکن بداعی التملّق و الخضوع لحفظ الجهات الدنیویة،بأن یجعلها العبد وسیلة لازدیاد النعمة و العزّة،و سببا لارتفاع الشأن و المنزلة،و ترسا لدفع النقمة و الهلکة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اشیر إلی هذا فی الکتاب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وَ لَئِنْ کَفَرْتُمْ إِنَّ عَذابِی لَشَدِیدٌ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 الغایة من العبادة هی اللّه بداعی الخشیة من غضبه،و الخوف من ناره التی اعدّت للعاصین،و بداعی التعرّض لرحمته الواسعة،و الوصول إلی الحور</w:t>
      </w:r>
    </w:p>
    <w:p>
      <w:pPr>
        <w:pStyle w:val="BookText"/>
        <w:rPr/>
      </w:pPr>
      <w:r>
        <w:rPr>
          <w:rFonts w:ascii="IRNazanin" w:hAnsi="IRNazanin" w:eastAsia="IRNazanin"/>
          <w:color w:val="111111"/>
          <w:sz w:val="28"/>
          <w:sz w:val="28"/>
          <w:szCs w:val="28"/>
          <w:rtl w:val="true"/>
          <w:lang w:bidi="fa-IR"/>
        </w:rPr>
        <w:t>و القصور،و الجنّة التی عرضها کعرض السماوات و الأرض،و هذه المرتبة أرقی من 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إلی هذا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ادْعُوهُ خَوْفاً وَ طَمَعاً </w:t>
      </w:r>
      <w:r>
        <w:rPr>
          <w:rStyle w:val="FootnoteAnchor"/>
          <w:rtl w:val="true"/>
        </w:rPr>
        <w:footnoteReference w:id="1418"/>
      </w:r>
      <w:r>
        <w:rPr>
          <w:rFonts w:ascii="Amiri" w:hAnsi="Amiri" w:eastAsia="Amiri" w:cs="Amiri"/>
          <w:color w:val="111111"/>
          <w:sz w:val="28"/>
          <w:sz w:val="28"/>
          <w:szCs w:val="28"/>
          <w:rtl w:val="true"/>
          <w:lang w:bidi="ar-SA"/>
        </w:rPr>
        <w:t>و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یَدْعُونَنا رَغَباً وَ رَهَباً </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کثیر من الأدعیة کدعاء أبی حمزة الثمالی و غیره تعلیل الإیمان باللّه و العبادة له بالخوف و الخشیة و الطمع،و هذا واضح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الغایة من العبادة هی التقرّب إلی اللّه،و تحصیل رضاه،من غیر أن یقترن بها غرض آخر من الأغراض الدنیویة أو الاخرویة،و هذه المرتبة أرقی من المرتبة الثانیة و الثالثة،و هی مختصّة بالعارفین باللّه و السالکین إلیه،و لا ینالها إلاّ القلیل من الموحّدین،کسلمان و المقداد و أبی ذرّ و فریق من الأکابر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ممّا ذکرنا أنّ الغرض من العبادة فی هذه الدرجات الثلاث الأخیرة هو انتفاع العبد،حتّی فی الدرجة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المرتبة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مآل تحصیل رضی اللّه و التقرّب إلیه هو صیرورة العبد محبوبا لدی اللّه،لکی یجیب دعوته و یدفع شدّته و یقضی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هذه المناهج المذکورة فی السیر إلی اللّه و التوجّه إلی رحمته و غفرانه و الفوز بنعمه و رضوانه لا تخلو عبادة إلاّ و قد قصد العبد فیها أن یصل إلیه نفع من المنافع حسب اختلافها باختلاف الأغراض،و قد 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الدرجة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عبادة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عن هذا القصد،و لکنّها مختصّة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انجلی أنّ رجوع شیء من دواعی العبادة لغیر اللّه لا ینافی الإخلاص فیها و التقرّب إلی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ما ذکرناه ما رواه الکلینی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عبدوا اللّه عزّ و جلّ خوفا فتلک عبادة العبید،و قوم عبدوا اللّه تبارک و تعالی طلب الثواب فتلک عبادة الاجراء،و قوم عبدوا اللّه حبّا له فتلک عبادة الأحرار،و هی أفضل العبادة</w:t>
      </w:r>
      <w:r>
        <w:rPr>
          <w:rFonts w:eastAsia="IRNazanin" w:cs="IRNazanin"/>
          <w:color w:val="111111"/>
          <w:sz w:val="28"/>
          <w:szCs w:val="28"/>
          <w:rtl w:val="true"/>
          <w:lang w:bidi="fa-IR"/>
        </w:rPr>
        <w:t xml:space="preserve">» </w:t>
      </w:r>
      <w:r>
        <w:rPr>
          <w:rStyle w:val="FootnoteAnchor"/>
          <w:rtl w:val="true"/>
        </w:rPr>
        <w:footnoteReference w:id="1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اتّضح بطلان ما ذهب إلیه بعضهم من فساد العبادة المأتی بها لأجل الثواب و دفع العقاب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صحّة الإجارة هو عموم أوفوا بالعقود،و یستحیل شموله للمقام،لأنّ الوفاء بالشیء عبارة عن إتمامه و إنهائه،فالوفاء بعقد الإجارة هو الإتیان بالعمل المستأجر علیه أداء لحقّ المستأجر،و واضح أنّ هذا لا یجتمع مع الإتیان به أداء لحقّ اللّه و امتثالا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بدّ من قصد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الوفاء بالعقد،أو الامتثال لأمر المولی،و حیث لا یعقل اجتماعهما فی محلّ واحد فلا بدّ من رفع الید من الأمر بالوفاء،فتصبح الإجارة بلا دلیل علی الصحّة</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الوفاء بالعقد و إن کان عبارة عن إتمامه و إنهائه،إلاّ أنّ هذا المعنی لا یتوقّف علی عنوان خاصّ،بل یکفی فیه إیجاد متعلّق العقد فقط فی الخارج بأی نحو اتّفق،و علیه فلا مانع فی کون العمل الواحد الذی تعلّقت به الإجارة</w:t>
      </w:r>
    </w:p>
    <w:p>
      <w:pPr>
        <w:pStyle w:val="BookText"/>
        <w:rPr/>
      </w:pPr>
      <w:r>
        <w:rPr>
          <w:rFonts w:ascii="IRNazanin" w:hAnsi="IRNazanin" w:eastAsia="IRNazanin"/>
          <w:color w:val="111111"/>
          <w:sz w:val="28"/>
          <w:sz w:val="28"/>
          <w:szCs w:val="28"/>
          <w:rtl w:val="true"/>
          <w:lang w:bidi="fa-IR"/>
        </w:rPr>
        <w:t>مصداقا لعنوانی العبادة و العمل المستأجر علیه معا،نعم لو کان الظاهر من دلیل وجوب الوفاء بالعقد هو إیجاد العمل المستأجر علیه فی الخارج بداعی اختصاصه بالمستأجر من جمیع الجهات،لاستحال اجتماع قصد الوفاء بالعقد مع قصد التقرّب إلی اللّه،و لکنّه دعوی جزافیة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صحّة الإجارة لا ینحصر بآیة الوفاء بالعقد لکی یلزم من عدم شمولها للمقام بقاؤه خالیا عن دلیل الصحّة،بل فی آیة التجارة عن تراض غنی و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الإجاری المتعلّق بالفعل المستأجر علیه توصّلی،و الأمر العبادی المتعلّق به عبادی،و علیه فیلزم أن یکون فعل واحد مأمورا به بأمرین متخالفین،و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الأمر الإجاری المتعلّق بالعبادة أیضا أمر عبادی،فإنّ وجوب تسلیم العمل المستأجر علیه إلی مالکه حکم کلّی انحلالی،من غیر أن یکون له شأن من التعبّدیة أو التوصّلیة،بل یتّصف بهما بلحاظ وصف متعلّقه،و علیه فإن کان متعلّق الأمر الإجاری توصّلیا فهو توصّلی،و إن کان تعبّدیا فهو تعبّدی،و علی هذا فإذا تعلّقت الإجارة بعبادة کان الأمر الناشئ منها عبادیا أیضا،فأصبح مؤکّدا للأمر العبادی المتعلّق بها فی نفسها مع قطع النظر عن الإیجار،کما ذهب إلیه کاشف الغطاء </w:t>
      </w:r>
      <w:r>
        <w:rPr>
          <w:rStyle w:val="FootnoteAnchor"/>
          <w:rtl w:val="true"/>
        </w:rPr>
        <w:footnoteReference w:id="1422"/>
      </w:r>
      <w:r>
        <w:rPr>
          <w:rFonts w:ascii="IRNazanin" w:hAnsi="IRNazanin" w:eastAsia="IRNazanin"/>
          <w:color w:val="111111"/>
          <w:sz w:val="28"/>
          <w:sz w:val="28"/>
          <w:szCs w:val="28"/>
          <w:rtl w:val="true"/>
          <w:lang w:bidi="fa-IR"/>
        </w:rPr>
        <w:t xml:space="preserve">و تلمیذه صاحب الجواهر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قد ذکرنا فی البحث عن التعبّدی و التوصّلی من علم</w:t>
      </w:r>
      <w:bookmarkStart w:id="969" w:name="pg5064_65813"/>
    </w:p>
    <w:p>
      <w:pPr>
        <w:pStyle w:val="BookText"/>
        <w:rPr/>
      </w:pPr>
      <w:bookmarkEnd w:id="969"/>
      <w:r>
        <w:rPr>
          <w:rFonts w:ascii="IRNazanin" w:hAnsi="IRNazanin" w:eastAsia="IRNazanin"/>
          <w:color w:val="111111"/>
          <w:sz w:val="28"/>
          <w:sz w:val="28"/>
          <w:szCs w:val="28"/>
          <w:rtl w:val="true"/>
          <w:lang w:bidi="fa-IR"/>
        </w:rPr>
        <w:t xml:space="preserve">الاصول </w:t>
      </w:r>
      <w:r>
        <w:rPr>
          <w:rStyle w:val="FootnoteAnchor"/>
          <w:rtl w:val="true"/>
        </w:rPr>
        <w:footnoteReference w:id="1424"/>
      </w:r>
      <w:r>
        <w:rPr>
          <w:rFonts w:ascii="IRNazanin" w:hAnsi="IRNazanin" w:eastAsia="IRNazanin"/>
          <w:color w:val="111111"/>
          <w:sz w:val="28"/>
          <w:sz w:val="28"/>
          <w:szCs w:val="28"/>
          <w:rtl w:val="true"/>
          <w:lang w:bidi="fa-IR"/>
        </w:rPr>
        <w:t xml:space="preserve">أنّ قصد القربة مأخوذ فی متعلّق الأمر الأول علی ما قوّیناه،و فی متعلّق الأمر الثانی علی ما اختاره شیخنا الاستاذ </w:t>
      </w:r>
      <w:r>
        <w:rPr>
          <w:rStyle w:val="FootnoteAnchor"/>
          <w:rtl w:val="true"/>
        </w:rPr>
        <w:footnoteReference w:id="1425"/>
      </w:r>
      <w:r>
        <w:rPr>
          <w:rFonts w:ascii="IRNazanin" w:hAnsi="IRNazanin" w:eastAsia="IRNazanin"/>
          <w:color w:val="111111"/>
          <w:sz w:val="28"/>
          <w:sz w:val="28"/>
          <w:szCs w:val="28"/>
          <w:rtl w:val="true"/>
          <w:lang w:bidi="fa-IR"/>
        </w:rPr>
        <w:t>،و علی کل حال فالأمر قد تعلّق بامتثال العمل بقصد القربة،و من الواضح أنّ الأمر الإجاری قد تعلّق بهذا أیضا،إذ المفروض کون العمل المذکور موردا للإجارة،فمتعلّق الأمرین شیء واحد،فلا محالة یندکّ أحدهما فی الآخر،و یکون الوجوب مؤکّدا کما 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اتّضح ممّا ذکرناه أنّه لا وجه لما ذکره بعض مشایخنا المحقّقین </w:t>
      </w:r>
      <w:r>
        <w:rPr>
          <w:rStyle w:val="FootnoteAnchor"/>
          <w:rtl w:val="true"/>
        </w:rPr>
        <w:footnoteReference w:id="1426"/>
      </w:r>
      <w:r>
        <w:rPr>
          <w:rFonts w:ascii="IRNazanin" w:hAnsi="IRNazanin" w:eastAsia="IRNazanin"/>
          <w:color w:val="111111"/>
          <w:sz w:val="28"/>
          <w:sz w:val="28"/>
          <w:szCs w:val="28"/>
          <w:rtl w:val="true"/>
          <w:lang w:bidi="fa-IR"/>
        </w:rPr>
        <w:t>من استحالة التأکّد حتّی فی النذر و نحوه،و حاصل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الصلاتی متعلّق بذات العمل،و الأمر الإجاری أو النذری أو نحوهما متعلّق بالعمل الواجب المقیّد بقصد القربة و الامتثال،و من الواضح أنّه لا یعقل التأکّد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معناه خروج الطلب فی موضوعه عن مرتبة الضعف إلی مرتبة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الالتزام به یستلزم تعلّق الأمر بالوفاء بما هو غیر وفاء،بداهة أنّه لا یعقل أن یکون الأمر الإجاری بمنزلة صلّ،بل هو بمنزلة صلّ عن قصد القربة،فیکون توصّلیا دائما</w:t>
      </w:r>
      <w:r>
        <w:rPr>
          <w:rFonts w:eastAsia="IRNazanin" w:cs="IRNazanin"/>
          <w:color w:val="111111"/>
          <w:sz w:val="28"/>
          <w:szCs w:val="28"/>
          <w:rtl w:val="true"/>
          <w:lang w:bidi="fa-IR"/>
        </w:rPr>
        <w:t>.</w:t>
      </w:r>
    </w:p>
    <w:p>
      <w:pPr>
        <w:pStyle w:val="Heading4"/>
        <w:numPr>
          <w:ilvl w:val="3"/>
          <w:numId w:val="1"/>
        </w:numPr>
        <w:rPr/>
      </w:pPr>
      <w:bookmarkStart w:id="970" w:name="__RefHeading___Toc910642_774463916"/>
      <w:bookmarkStart w:id="971" w:name="_Toc355"/>
      <w:bookmarkEnd w:id="970"/>
      <w:r>
        <w:rPr>
          <w:rtl w:val="true"/>
        </w:rPr>
        <w:t>أدلّة صحّة الإجارة علی العبادة</w:t>
      </w:r>
      <w:bookmarkEnd w:id="971"/>
    </w:p>
    <w:p>
      <w:pPr>
        <w:pStyle w:val="BookText"/>
        <w:rPr/>
      </w:pPr>
      <w:r>
        <w:rPr>
          <w:rFonts w:ascii="IRNazanin" w:hAnsi="IRNazanin" w:eastAsia="IRNazanin"/>
          <w:color w:val="111111"/>
          <w:sz w:val="28"/>
          <w:sz w:val="28"/>
          <w:szCs w:val="28"/>
          <w:rtl w:val="true"/>
          <w:lang w:bidi="fa-IR"/>
        </w:rPr>
        <w:t>و یدلّ علی ما اخترناه من صحّة تعلّق الإجارة بالعبادة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یملک الاجرة بعقد الإجارة،من غیر أن یتوقّف ذلک علی إیجاد العمل المستأجر علیه فی الخارج،و إنّما اشتغلت ذمّة الأجیر بإیجاد متعلّق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الغرض فی الإتیان بالعمل المستأجر علیه هو تملّک الاجرة فقط،لکان إیجاد العمل لأجل ذلک تحصیلا للحاصل</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فالداعی إلی الإتیان بما اشتغلت به ذمّة الأجیر من العبادة لیس إلاّ</w:t>
      </w:r>
    </w:p>
    <w:p>
      <w:pPr>
        <w:pStyle w:val="BookText"/>
        <w:rPr/>
      </w:pPr>
      <w:r>
        <w:rPr>
          <w:rFonts w:ascii="IRNazanin" w:hAnsi="IRNazanin" w:eastAsia="IRNazanin"/>
          <w:color w:val="111111"/>
          <w:sz w:val="28"/>
          <w:sz w:val="28"/>
          <w:szCs w:val="28"/>
          <w:rtl w:val="true"/>
          <w:lang w:bidi="fa-IR"/>
        </w:rPr>
        <w:t>أمر المولی و الخوف الإلهی،دون تملّک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بین مراقبة المستأجر الأجیر للإتیان بالعمل و عدم مراقبته إیّاه،فإنّ شأن العبادات لیس شأن الأفعال الخارجیة المحضة،کالخبازة و البنایة و النجارة و نحوها،لکی یکون حضور المستأجر دخیلا فی تحقّق العمل و اتقانه،بل العبادات مشروطة بالنیّة،و هی أمر قلبی لا یطلع علیها فی افق النفس إلاّ علاّم الغیوب،أو من ارتضاه لغیبه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صحّة تعلّق النذر أو العهد أو الیمین بالنوافل و صیرورتها لازمة بذلک،کما لا شبهة فی صحّة اشتراطها فی العقود اللازمة و کونها واجبة بذلک،و لم یستشکل أحد فی کون هذه الأوامر الطارئة علیها منافیة للإخلاص المعتبر فیها،و واضح أنّه لا فارق بین ذلک و بین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الأخبار المستفیضة بل المتواترة الترغیب إلی العبادات بذکر فوائدها و مثوباتها،و الترهیب عن ترکها بذکر مستتبعاتها من الهلکة و العقوبة و یتجلّی لک من هذه الأخبار أنّه لا بأس بامتثال العبادات لجلب المنافع المترتّبة علی فعلها،و دفع المضرّات المترتّبة علی ترکها،و لا فرق فی هذه الجهة بین المقام 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وردت فی الشریعة المقدّسة من عبادات من الأدعیة و النوافل لشتّی الأغراض الدنیویة،کسعة الرزق،و قضاء الحوائج،و أداء الدین و ارتزاق الولد،و دفع الشرور،و علاج المصاب،و غیرها من الجهات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یتوهّم أحد منافاتها للإخلاص،مع أنّها من المنافع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فارق بینها و بین المقام</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أشکل علیه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فرق بین الغرض الدنیوی المطلوب من الخالق الذی یتقرّب إلیه بالعمل،و بین الغرض الحاصل من غیره،و هو استحقاق الاجرة،فإنّ طلب الحاجة من اللّه سبحانه و لو کانت دنیویة محبوب عند اللّه،فلا یقدح فی العبادة،بل ربما یؤکّدها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سجّل هذا الإشکال غیر واحد من</w:t>
      </w:r>
    </w:p>
    <w:p>
      <w:pPr>
        <w:pStyle w:val="BookText"/>
        <w:rPr/>
      </w:pPr>
      <w:r>
        <w:rPr>
          <w:rFonts w:ascii="IRNazanin" w:hAnsi="IRNazanin" w:eastAsia="IRNazanin"/>
          <w:color w:val="111111"/>
          <w:sz w:val="28"/>
          <w:sz w:val="28"/>
          <w:szCs w:val="28"/>
          <w:rtl w:val="true"/>
          <w:lang w:bidi="fa-IR"/>
        </w:rPr>
        <w:t xml:space="preserve">الأعاظم کصاحب البلغة </w:t>
      </w:r>
      <w:r>
        <w:rPr>
          <w:rStyle w:val="FootnoteAnchor"/>
          <w:rtl w:val="true"/>
        </w:rPr>
        <w:footnoteReference w:id="142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غرض المکلّف من الإتیان بالصلاة مثلا قد یکون سعة الرزق و غیرها،بحیث لا یتوسّط التقرّب فی البین أصلا،و لا شبهة فی بطلان هذا النحو من العبادة،من غیر فرق بین ما نحن فیه و بین العبادات ذات النتائج الدنیویة،کصلاة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غایة المکلّف غایة من العبادة و التقرّب من اللّه،بحیث یکون طالبا لها بعبادته و تقرّبه من المولی،و هذا لا ینافی العبادیة،و ما نحن فیه من هذا القبیل،و علیه فلا فارق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قصد التقرّب إنّما یتمشّی فی خصوص الإجارة لأنّک قد عرفت أنّ الاجرة فیها تملک بمجرد العقد،و أنّ امتثال العبادات المستأجر علیها یستند إلی أمر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لا یجری فی الجعالة،إذ العامل فیها لا یستحقّ الجعل،و لا یملکه إلاّ باتمام العمل،فیستند امتثال العبادة إلی داعی تحصیل الجعل،و هو مناف للإخلاص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یظهر ممّا تقدّم،فإنّ تحصیل الجعل و إن کان داعیا إلی الامتثال و لکن الداعی إلی الإتیان بالعبادة علی وجهها الصحیح هو أمر الشارع،و الخوف الإلهی،إذ لو لا ذلک فإنّ العامل یمکنه أن یأتی بالعمل خالیا عن بعض الشرائط التی لا یطلع علیها غیر علاّم الغیوب،و یخیّل إلی الجاعل أنّه امتثله علی وجه صحیح</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 وجها صحیحا لبطلان العبادات التی تنتهی بالأخرة إلی استحقاق الاجرة،و لا نری فیها جهة مخالفة للإخلاص و التقرّب</w:t>
      </w:r>
      <w:r>
        <w:rPr>
          <w:rFonts w:eastAsia="IRNazanin" w:cs="IRNazanin"/>
          <w:color w:val="111111"/>
          <w:sz w:val="28"/>
          <w:szCs w:val="28"/>
          <w:rtl w:val="true"/>
          <w:lang w:bidi="fa-IR"/>
        </w:rPr>
        <w:t>.</w:t>
      </w:r>
      <w:bookmarkStart w:id="972" w:name="pg5064_65816"/>
    </w:p>
    <w:p>
      <w:pPr>
        <w:pStyle w:val="Heading4"/>
        <w:numPr>
          <w:ilvl w:val="3"/>
          <w:numId w:val="1"/>
        </w:numPr>
        <w:rPr/>
      </w:pPr>
      <w:bookmarkStart w:id="973" w:name="__RefHeading___Toc910644_774463916"/>
      <w:bookmarkStart w:id="974" w:name="_Toc356"/>
      <w:bookmarkEnd w:id="972"/>
      <w:bookmarkEnd w:id="973"/>
      <w:r>
        <w:rPr>
          <w:rtl w:val="true"/>
        </w:rPr>
        <w:t>إنّ صفة الوجوب لا تنافی الإجارة</w:t>
      </w:r>
      <w:bookmarkEnd w:id="974"/>
    </w:p>
    <w:p>
      <w:pPr>
        <w:pStyle w:val="BookText"/>
        <w:rPr/>
      </w:pPr>
      <w:r>
        <w:rPr>
          <w:rFonts w:ascii="IRNazanin" w:hAnsi="IRNazanin" w:eastAsia="IRNazanin"/>
          <w:color w:val="111111"/>
          <w:sz w:val="28"/>
          <w:sz w:val="28"/>
          <w:szCs w:val="28"/>
          <w:rtl w:val="true"/>
          <w:lang w:bidi="fa-IR"/>
        </w:rPr>
        <w:t>ینقسم الواجب إلی تخییری،و کفائی،و عینی،فإن وقع أحد القسمین الأوّلین موضوعا للإجارة أو الجعالة،و کان مصبّ الإجارة أو الجعالة هو مصبّ الوجوب،کان المقام من صغریات أخذ الاجرة علی الواجب،و سیتّضح لک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مصبّ الإجارة أو الجعالة هو خصوص الفرد،بحیث یعیّن فرد من أفراد التخییری أو شخص من أشخاص المکلّفین للامتثال،فإنّه لا شبهة فی جواز أخذ الاجرة و الجعل علیه،بل هو خارج عن موضوع أخذ الاجرة علی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تعلّق به الوجوب فی الواجبین التخییری و الکفائی إنّما هو الجامع،أعنی عنوان أحد الأفراد فی الأول،و عنوان أحد المکلّفین فی الثانی و من الواضح أنّ إیقاع الإجارة أو الجعالة علی الإتیان بفرد خاصّ أو علی مباشرة شخص معیّن،و أخذ الاجرة أو الجعل علی تلک الخصوصیة لیس من قبیل أخذ الاجرة علی الواجب،فإنّ ما اخذت علیه الاجرة لیس بواجب،و ما هو واجب لم تؤخذ علیه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یظهر الحال فیما إذا انحصر الواجب الکفائی فی شخص أو الواجب التخییری فی نوع،فإنّهما و إن تعیّنا فی ذلک النوع أو علی ذلک الشخص حینئذ و لکن الواجب علی المکلّف هو طبیعی الدفن مثلا فی الکفائی،و طبیعی العتق مثلا فی التخییری،بحیث له أن یدفن المیّت فی أی مکان یرید،و له أن یعتق أی فرد من أفراد الرقاب،فإذا وقعت الإجارة أو الجعالة علی تعیین فرد خاصّ منهما صحّ ذلک،و لم یکن أخذ الاجرة علیه من قبیل أخذ الاجرة علی الواجب</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فارق فیما ذکرناه بین کونهما تعبّدیین و کونهما توصّلیین،و قد اتّضح من ذلک کلّه أنّه لا جدوی لتطویل الکلام فی تحقیق الواجبین التخییری و الکفائی</w:t>
      </w:r>
    </w:p>
    <w:p>
      <w:pPr>
        <w:pStyle w:val="BookText"/>
        <w:rPr/>
      </w:pPr>
      <w:r>
        <w:rPr>
          <w:rFonts w:ascii="IRNazanin" w:hAnsi="IRNazanin" w:eastAsia="IRNazanin"/>
          <w:color w:val="111111"/>
          <w:sz w:val="28"/>
          <w:sz w:val="28"/>
          <w:szCs w:val="28"/>
          <w:rtl w:val="true"/>
          <w:lang w:bidi="fa-IR"/>
        </w:rPr>
        <w:t xml:space="preserve">کما فعله بعض مشایخنا المحقّقین </w:t>
      </w:r>
      <w:r>
        <w:rPr>
          <w:rStyle w:val="FootnoteAnchor"/>
          <w:rtl w:val="true"/>
        </w:rPr>
        <w:footnoteReference w:id="142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الخصوصیات الفردیة و إن لم تکن واجبة بالأصالة علی الفرض إلاّ أنّها واجبة بوجوب تبعی مقدّمی،فیکون أخذ الاجرة علیها من قبیل أخذ الاجرة علی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قد حقّقنا فی علم الاصول </w:t>
      </w:r>
      <w:r>
        <w:rPr>
          <w:rStyle w:val="FootnoteAnchor"/>
          <w:rtl w:val="true"/>
        </w:rPr>
        <w:footnoteReference w:id="1429"/>
      </w:r>
      <w:r>
        <w:rPr>
          <w:rFonts w:ascii="IRNazanin" w:hAnsi="IRNazanin" w:eastAsia="IRNazanin"/>
          <w:color w:val="111111"/>
          <w:sz w:val="28"/>
          <w:sz w:val="28"/>
          <w:szCs w:val="28"/>
          <w:rtl w:val="true"/>
          <w:lang w:bidi="fa-IR"/>
        </w:rPr>
        <w:t>أنّ وجوب المقدّمة إنّما هو وجوب عقلی،فلا یقاس بالوجوب الشرعی،و یضاف إلی ذلک أنّ مقدّمیة الفرد للکلّی لیست من المقدّمیة المصطلحة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الواجب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مصبّ الإجارة أو الجعالة فیه الخصوصیة الفردیة صحّ ذلک بلا شبهة،و قد تقدّم نظیره فی الواجبین التخییری و الکفائی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مصبّهما مصبّ الوجوب فقد علمت اختلاف فقهائنا و فقهاء العامّة فی حکم أخذ الاجرة علی الواجب،فمقتضی القاعدة هو الجواز مطلقا،للعمومات الدالّة علی صحّة العقود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أشکل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 الحرّ فی حدّ ذاته لیس بمال،و إنّما یقابل بالمال لاحترام عمل المسلم،و مع الوجوب یسقط عن الاحترام</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لکنّک قد عرفت فی أوّل الکتاب </w:t>
      </w:r>
      <w:r>
        <w:rPr>
          <w:rStyle w:val="FootnoteAnchor"/>
          <w:rtl w:val="true"/>
        </w:rPr>
        <w:footnoteReference w:id="1430"/>
      </w:r>
      <w:r>
        <w:rPr>
          <w:rFonts w:ascii="IRNazanin" w:hAnsi="IRNazanin" w:eastAsia="IRNazanin"/>
          <w:color w:val="111111"/>
          <w:sz w:val="28"/>
          <w:sz w:val="28"/>
          <w:szCs w:val="28"/>
          <w:rtl w:val="true"/>
          <w:lang w:bidi="fa-IR"/>
        </w:rPr>
        <w:t>أنّ أعمال کل شخص مملوکة له ملکیة ذاتیة تکوینیة،و له واجدیة له فوق مرتبة الواجدیة الاعتباریة،و دون مرتبة الواجدیة الحقیقیة لمکوّن الموجودات،و علیه فدعوی أنّ عمل الحرّ لیس بملک</w:t>
      </w:r>
    </w:p>
    <w:p>
      <w:pPr>
        <w:pStyle w:val="BookText"/>
        <w:rPr/>
      </w:pPr>
      <w:r>
        <w:rPr>
          <w:rFonts w:ascii="IRNazanin" w:hAnsi="IRNazanin" w:eastAsia="IRNazanin"/>
          <w:color w:val="111111"/>
          <w:sz w:val="28"/>
          <w:sz w:val="28"/>
          <w:szCs w:val="28"/>
          <w:rtl w:val="true"/>
          <w:lang w:bidi="fa-IR"/>
        </w:rPr>
        <w:t>دعوی جزافیة،و لا شبهة أنّ هذه الأعمال المضافة إلی الحرّ موضع لرغبات العقلاء و منافساتهم،فتکون أموالا فی نفسها،و تجوز مقابلتها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ذلک فإنّها تکون أموالا بمجرّد وقوع المعاملة علیها و شأنها حینئذ شأن الکلّی،إذ الکلّی قبل إضافته إلی شخص خاصّ لا یتّصف بالمملوکیة و المالیة کلتیهما،و إذا اضیف إلیه و لو حین قوله بعتک منّا من الحنطة مثلا اتّصف الکلّی بالمالیة و الملکیة،و من هنا یجوز بیع الکلّی فی الذمّة،و یحکم بضمان عمل الحرّ إذا فوّته أحد بعد أن ملکه الغیر بالإجارة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أنّ عمل الحرّ و إن کان مالا،و لکن الإنسان إذا تکلّف بذلک العمل من قبل الشارع فقد زال احترامه،لأنّ عامله مقهور علی إیجاده فیکون أخذ الاجرة علیه أکلا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النهی عن أکل المال بالباطل غریبة عن شرائط العوضین و قد تقدّم بیان ذلک مرارا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المقهوریة علی الفعل من قبل الشارع و کونه واجبا بأمره لا تنافی المقهوریة علیه من قبل الإجارة أیضا،فیکون لازم الامتثال من ناحیتین،و هذا نظیر شرط امتثال الواجب فی ضمن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الثمرة فیما إذا خالف الأجیر أمر ربّه و لم یمتثل الواجب،و لم یمکن إجباره علی الامتثال من ناحیة الأمر بالمعروف فإنّه یجوز للمستأجر أن یجبره علی الامتثال و لو بمراجعة المحاکم المختصّة</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شیخنا الاستاذ </w:t>
      </w:r>
      <w:r>
        <w:rPr>
          <w:rStyle w:val="FootnoteAnchor"/>
          <w:rtl w:val="true"/>
        </w:rPr>
        <w:footnoteReference w:id="1431"/>
      </w:r>
      <w:r>
        <w:rPr>
          <w:rFonts w:ascii="IRNazanin" w:hAnsi="IRNazanin" w:eastAsia="IRNazanin"/>
          <w:color w:val="111111"/>
          <w:sz w:val="28"/>
          <w:sz w:val="28"/>
          <w:szCs w:val="28"/>
          <w:rtl w:val="true"/>
          <w:lang w:bidi="fa-IR"/>
        </w:rPr>
        <w:t>من أنّ الإجارة و الجعالة قد اعتبر فیهما أن لا یکون العامل أو الأجیر مسلوب الاختیار بإیجاب أو تحریم شرعی،بل لا بدّ من أن یکون الفعل أو الترک تحت سلطنته و اختیاره،و إلاّ فلا یکون مالا فی نظر</w:t>
      </w:r>
    </w:p>
    <w:p>
      <w:pPr>
        <w:pStyle w:val="BookText"/>
        <w:rPr/>
      </w:pP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لکنّک قد عرفت فی البحث عن معنی حرمة البیع </w:t>
      </w:r>
      <w:r>
        <w:rPr>
          <w:rStyle w:val="FootnoteAnchor"/>
          <w:rtl w:val="true"/>
        </w:rPr>
        <w:footnoteReference w:id="1432"/>
      </w:r>
      <w:r>
        <w:rPr>
          <w:rFonts w:ascii="IRNazanin" w:hAnsi="IRNazanin" w:eastAsia="IRNazanin"/>
          <w:color w:val="111111"/>
          <w:sz w:val="28"/>
          <w:sz w:val="28"/>
          <w:szCs w:val="28"/>
          <w:rtl w:val="true"/>
          <w:lang w:bidi="fa-IR"/>
        </w:rPr>
        <w:t>أنّه لا تجوز المعاملة علی الأفعال المحرّمة،کالکذب و الغیبة و الزنا و غیرها،فإنّ الأدلّة الدالّة علی حرمتها لا تجتمع مع العمومات الدالّة علی صحّة المعاملات و لزومها،فإنّ مقتضی هذه العمومات نفوذ المعاملة الواقعة علی الأفعال المحرّمة و لزومها،و أدلّة المحرّمات تقتضی المنع عن إیجادها فی الخارج،فهما متناقضان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عن ذلک فهما لا یجتمعان فی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المحذور لا یجری فی الواجبات،فإنّه لا تنافی بینها و بین العمومات المذکورة،کما لا منافاة بینها و بین الأوامر العبادیة،و قد أوضحنا ذلک آنفا،و علیه فالتکالیف التحریمیة و إن کانت تسلب القدرة الشرعیة عن المکلّف،و لکن التکالیف الوجوبیة لا تنافیها،بل تساعدها و تضاعفها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أنّه لا فارق فی عدم القدرة علی التسلیم بین تعلّق الإجارة بالمحرّمات و الواجبات،فإنّ المکلّف فی کلیهما یکون عاجزا شرعا عن إیجاد متعلّق التکلیف،إذ القدرة لا بدّ و أن تکون متساویة النسبة إلی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أو الترک</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اعتبار القدرة علی التسلیم إن کان مدرکه الإجماع فإنّ المتیقّن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وصول العمل المستأجر علیه إلی المستأجر،فلا یدلّ علی اشتراط کونه تحت اختیار الأجیر فعلا و 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مدرکه اقتضاء العقد بداهة وجوب الوفاء بتسلیم العمل،فقد عرفت أنّ الوجوب لا ینافیه،بل یتأکّد کلّ منهما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مدرکه النبوی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Style w:val="FootnoteAnchor"/>
          <w:rtl w:val="true"/>
        </w:rPr>
        <w:footnoteReference w:id="1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الاستدلال به غیر تام من حیث السند و الدلالة،و سیأتی بیان ذلک فی البحث عن بیع الغرر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غرر فی المقام،لأنّ العمل ممکن الوصول إلی المستأجر،و لا دلیل علی اعتبار القدرة علی التسلیم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نسب إلی شیخ المشایخ کاشف الغطاء فی شرحه علی القواعد </w:t>
      </w:r>
      <w:r>
        <w:rPr>
          <w:rStyle w:val="FootnoteAnchor"/>
          <w:rtl w:val="true"/>
        </w:rPr>
        <w:footnoteReference w:id="1435"/>
      </w:r>
      <w:r>
        <w:rPr>
          <w:rFonts w:ascii="IRNazanin" w:hAnsi="IRNazanin" w:eastAsia="IRNazanin"/>
          <w:color w:val="111111"/>
          <w:sz w:val="28"/>
          <w:sz w:val="28"/>
          <w:szCs w:val="28"/>
          <w:rtl w:val="true"/>
          <w:lang w:bidi="fa-IR"/>
        </w:rPr>
        <w:t>من أنّ التنافی بین صفة الوجوب و أخذ العوض علی الواجب ذاتی،لأنّ العمل الواجب مملوک للّه،کالعمل المملوک للغیر،فلا یصحّ أن یکون موردا للإجارة،لأنّ تملیک المملوک ثانیا غیر معقول،و لذا لا یجوز أخذ الاجرة علی عمل خاصّ قد وقعت علیه الإجارة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استحالة توارد الملکین علی مملوک واحد فإنّما هی فی الملکیتین العرضیتین،بأن یکون شیء واحد مملوکا لاثنین فی زمان واحد علی نحو الاستقلال،و لا تجری هذه الاستحالة فی الملکیتین الطولیتین،بأن تکون سلطنة أحد الشخصین فی طول سلطنة الآخر،فإنّ هذا لا محذور فیه،بل هو واقع فی الشریعة المقدّسة،کسلطنة الأولیاء و الأوصیاء و الوکلاء علی التصرّف فی مال المولّی علیهم و الصغار و الموکّلین،فإنّ ملکیة هؤلاء فی طول ملکیة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مالکیة العبید لأموالهم بناء علی جواز تملّک العبد،فإنّ مالکیتهم فی طول مالکیة موالیهم</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المقام،فإنّ مالکیة المستأجر للعمل المستأجر علیه فی طول مالکیته تعالی لها،بل مالکیة الملاک لأموالهم فی طول مالکیته تعالی لها،فإنّه تعالی</w:t>
      </w:r>
    </w:p>
    <w:p>
      <w:pPr>
        <w:pStyle w:val="BookText"/>
        <w:rPr/>
      </w:pPr>
      <w:r>
        <w:rPr>
          <w:rFonts w:ascii="IRNazanin" w:hAnsi="IRNazanin" w:eastAsia="IRNazanin"/>
          <w:color w:val="111111"/>
          <w:sz w:val="28"/>
          <w:sz w:val="28"/>
          <w:szCs w:val="28"/>
          <w:rtl w:val="true"/>
          <w:lang w:bidi="fa-IR"/>
        </w:rPr>
        <w:t>مالک لجمیع الموجودات ملکیة تکوینیة إیجادیة،و هی المعبّر عنها فی اصطلاح الفلاسفة بالإضافة الإشراقیة،و قد سلّط الإنسان علی سائر الموجودات،و جعله مالکا لها،إمّا مالکیة ذاتیة کملک الشخص لأعماله و ذمّته،و إمّا مالکیة اعتباریة کمالکیته لأمواله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إلی ما ذکرناه یرجع ما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استحقاق الشارع للفعل و تملّکه المنتزع من طلبه من قبیل استحقاق الآدمی و تملّکه الذی ینافی تملّک الغیر و استحقاقه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نسب إلی الشیخ الکبیر </w:t>
      </w:r>
      <w:r>
        <w:rPr>
          <w:rStyle w:val="FootnoteAnchor"/>
          <w:rtl w:val="true"/>
        </w:rPr>
        <w:footnoteReference w:id="1436"/>
      </w:r>
      <w:r>
        <w:rPr>
          <w:rFonts w:ascii="IRNazanin" w:hAnsi="IRNazanin" w:eastAsia="IRNazanin"/>
          <w:color w:val="111111"/>
          <w:sz w:val="28"/>
          <w:sz w:val="28"/>
          <w:szCs w:val="28"/>
          <w:rtl w:val="true"/>
          <w:lang w:bidi="fa-IR"/>
        </w:rPr>
        <w:t>أیضا،و هو أنّ من لوازم الإجارة أن یملک المستأجر العمل المستأجر علیه،بحیث یکون له الإبراء و الإقالة و التأجیل لدلیل السلطنة،و کل ذلک مناف لوجوب العمل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من مطاوی ما ذکرناه أنّ للواجب المستأجر علیه ناحیتین،إحداهما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وجوبه من قبل اللّه بأمر مولوی تکلیفی،و ثانیتهما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حیثیة تعلّق الأمر الإجاری به،و من المقطوع به أنّ عدم صحّة الإقالة و الإبراء و التأجیل فی الواجب إنّما هو من ناحیته الاولی،و لا ینافی ذلک أن تجری فیه تلک الامور من ناحیته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شیخنا الاستاذ </w:t>
      </w:r>
      <w:r>
        <w:rPr>
          <w:rStyle w:val="FootnoteAnchor"/>
          <w:rtl w:val="true"/>
        </w:rPr>
        <w:footnoteReference w:id="1437"/>
      </w:r>
      <w:r>
        <w:rPr>
          <w:rFonts w:ascii="IRNazanin" w:hAnsi="IRNazanin" w:eastAsia="IRNazanin"/>
          <w:color w:val="111111"/>
          <w:sz w:val="28"/>
          <w:sz w:val="28"/>
          <w:szCs w:val="28"/>
          <w:rtl w:val="true"/>
          <w:lang w:bidi="fa-IR"/>
        </w:rPr>
        <w:t>ثانیا من أنّ الإجارة أو الجعالة الواقعة علی الواجب العینی من المعاملات السفهیة،فتکون باطلة من هذه الجهة،فإنّ من شرائط الإجارة أو الجعالة أن یکون العمل ممکن الحصول للمستأجر،و فی الواجب العینی لیس کذلک</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قد عرفت مرارا أنّه لا دلیل علی بطلان المعاملة السفهیة،فتکون</w:t>
      </w:r>
    </w:p>
    <w:p>
      <w:pPr>
        <w:pStyle w:val="BookText"/>
        <w:rPr/>
      </w:pPr>
      <w:r>
        <w:rPr>
          <w:rFonts w:ascii="IRNazanin" w:hAnsi="IRNazanin" w:eastAsia="IRNazanin"/>
          <w:color w:val="111111"/>
          <w:sz w:val="28"/>
          <w:sz w:val="28"/>
          <w:szCs w:val="28"/>
          <w:rtl w:val="true"/>
          <w:lang w:bidi="fa-IR"/>
        </w:rPr>
        <w:t>العمومات محکمة،علی أنّه لا شبهة فی إمکان الانتفاع بالواجب المستأجر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فتخرج المعاملة عن السفهیة،و قد تقدّم بیان ذلک فی المقدّمة التی مهّدناها للبحث عن أخذ الاجرة علی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احتمله بعض مشایخنا المحقّقین </w:t>
      </w:r>
      <w:r>
        <w:rPr>
          <w:rStyle w:val="FootnoteAnchor"/>
          <w:rtl w:val="true"/>
        </w:rPr>
        <w:footnoteReference w:id="1438"/>
      </w:r>
      <w:r>
        <w:rPr>
          <w:rFonts w:ascii="IRNazanin" w:hAnsi="IRNazanin" w:eastAsia="IRNazanin"/>
          <w:color w:val="111111"/>
          <w:sz w:val="28"/>
          <w:sz w:val="28"/>
          <w:szCs w:val="28"/>
          <w:rtl w:val="true"/>
          <w:lang w:bidi="fa-IR"/>
        </w:rPr>
        <w:t>و نسبه إلی استاذه فی مبحث القضاء،و هو أنّ بذل العوض بازاء ما تعیّن فعله علی الأجیر لغو محض،فلا یکون مشمولا للعمومات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نسبه إلی بعض الأعلام </w:t>
      </w:r>
      <w:r>
        <w:rPr>
          <w:rStyle w:val="FootnoteAnchor"/>
          <w:rtl w:val="true"/>
        </w:rPr>
        <w:footnoteReference w:id="1439"/>
      </w:r>
      <w:r>
        <w:rPr>
          <w:rFonts w:ascii="IRNazanin" w:hAnsi="IRNazanin" w:eastAsia="IRNazanin"/>
          <w:color w:val="111111"/>
          <w:sz w:val="28"/>
          <w:sz w:val="28"/>
          <w:szCs w:val="28"/>
          <w:rtl w:val="true"/>
          <w:lang w:bidi="fa-IR"/>
        </w:rPr>
        <w:t>من أنّ الإیجاب ینبعث عن مصلحة تعود إلی المکلّف،و أخذ الاجرة علی ما یعود نفعه إلیه أکل للمال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جواب هذین الوجهین من الأجوبة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تجلّی ممّا حقّقناه أنّ الإشکالات المذکورة لا ترجع إلی معنی محصّل ترکن إلیه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 هؤلاء الأعلام،فإنّهم ناقشوا فی جواز أخذ الاجرة علی الواجب،و أضافوا إلیه شبهة بعد شبهة و نقدا بعد نقد حتّی تکوّنت منها أمواج متراکمة،یندهش منها الناقد البصیر فی نظرته الاولی فَأَمَّا الزَّبَدُ فَیَذْهَبُ جُفاءً وَ أَمّا ما یَنْفَعُ النّاسَ فَیَمْکُثُ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من جمیع ما ذکرناه سقوط جمیع الأقوال المتقدّمة غیر ما بنینا علیه من القول بالجواز علی وجه الإطلاق،و اللّه العالم</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صلح ذلک الفعل المقابل بالاجرة لامتثال الإیجاب المذکور أو إسقاطه به أو عنده سقط الوجوب مع استحقاق الاجرة،و إن لم یصلح استحقّ الاجرة،و بقی الواجب فی ذمّته لو بقی وقته،و إلاّ عوقب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ما فی هذه العبارة من القلق و الاضطراب،و حاصل مرامه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الإتیان بالواجب المستأجر علیه قد یترتّب علیه امتثال أمر المولی و استحقاق الاجرة کلاهما،کما إذا استأجر أحدا لتطهیر المسجد فطهّره بقصد امتثال أمر المولی،فإنّه حینئذ یستحقّ الاجرة،و یعدّ ممتثلا،و کذلک الحال فی الواجبات التعبّدیة علی مسلکنا،إذ قد عرفت أنّ أخذ الاجرة علیها لا ینافی جهة عبادیتها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الإتیان بالواجب المستأجر علیه موجبا لاستحقاق الاجرة و سقوط الوجوب بغیر امتثال،کتطهیر المسجد و إنقاذ الغریق و الجهاد و غیرها من الواجبات التوصّلیة،فإنّ الأجیر حینما یأتی بها بغیر داعی الأمر یستحقّ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عمله هذا امتثالا للواجب علی الفرض،نعم یسقط عنه الواجب،لفرض کونه توصّلیا،کما أنّه یسقط عن بقیّة المکلّفین إذا کان الواجب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الإتیان بذلک العمل موجبا لاستحقاق الاجرة و سقوط الوجوب لا من جهة الإتیان بالواجب،بل لارتفاع موضوع الوجوب،کما إذا أوجب الشارع عملا بعنوان المجّانیة فأتی به العبد مع الاجرة،و هذا کدفن المیّت بناء علی أنّه واجب علی المکلّفین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أتی به لا مجّانا لم یتحقّق الواجب،فلا یکون مصداقا للواجب فی الخارج،لأنّ المفروض أنّه مقیّد بالمجّانیة،و قد أتی به مع الاجرة،إلاّ أنّ الوجوب یسقط عند ذلک،لارتفاع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جمیع هذه الصور یتحقّق سقوط الوجوب،و استحقاق الاجرة</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صورة رابعة لا یسقط الوجوب بالإتیان بالعمل المستأجر علیه فیها و إن کان الآتی بالعمل مستحقّا لأخذ الاجرة علی عمله لکونه محترما،و هذا کالعبادات الواجبة علی المکلّفین عینا،فإنّه إذا أتی بها المکلّف بازاء الاجرة و قلنا بمنافاتها لقصد القربة و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المصنّف و جمع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یمتثل الواجب و إن کان یستحقّ الاجرة لاحترام عمله،و علیه فإن بقی وقت الواجب وجبت علیه</w:t>
      </w:r>
      <w:bookmarkStart w:id="975" w:name="pg5064_65824"/>
    </w:p>
    <w:p>
      <w:pPr>
        <w:pStyle w:val="BookText"/>
        <w:rPr/>
      </w:pPr>
      <w:bookmarkEnd w:id="975"/>
      <w:r>
        <w:rPr>
          <w:rFonts w:ascii="IRNazanin" w:hAnsi="IRNazanin" w:eastAsia="IRNazanin"/>
          <w:color w:val="111111"/>
          <w:sz w:val="28"/>
          <w:sz w:val="28"/>
          <w:szCs w:val="28"/>
          <w:rtl w:val="true"/>
          <w:lang w:bidi="fa-IR"/>
        </w:rPr>
        <w:t>الإعادة،و إلاّ عوقب علی ترکه إذا لم یدلّ دلیل علی تدارکه بالقضاء</w:t>
      </w:r>
      <w:r>
        <w:rPr>
          <w:rFonts w:eastAsia="IRNazanin" w:cs="IRNazanin"/>
          <w:color w:val="111111"/>
          <w:sz w:val="28"/>
          <w:szCs w:val="28"/>
          <w:rtl w:val="true"/>
          <w:lang w:bidi="fa-IR"/>
        </w:rPr>
        <w:t>.</w:t>
      </w:r>
    </w:p>
    <w:p>
      <w:pPr>
        <w:pStyle w:val="Heading4"/>
        <w:numPr>
          <w:ilvl w:val="3"/>
          <w:numId w:val="1"/>
        </w:numPr>
        <w:rPr/>
      </w:pPr>
      <w:bookmarkStart w:id="976" w:name="__RefHeading___Toc910646_774463916"/>
      <w:bookmarkStart w:id="977" w:name="_Toc357"/>
      <w:bookmarkEnd w:id="976"/>
      <w:r>
        <w:rPr>
          <w:rtl w:val="true"/>
        </w:rPr>
        <w:t>حقیقة النیابة فی العبادات</w:t>
      </w:r>
      <w:bookmarkEnd w:id="977"/>
    </w:p>
    <w:p>
      <w:pPr>
        <w:pStyle w:val="BookText"/>
        <w:rPr/>
      </w:pPr>
      <w:r>
        <w:rPr>
          <w:rFonts w:ascii="IRNazanin" w:hAnsi="IRNazanin" w:eastAsia="IRNazanin"/>
          <w:color w:val="111111"/>
          <w:sz w:val="28"/>
          <w:sz w:val="28"/>
          <w:szCs w:val="28"/>
          <w:rtl w:val="true"/>
          <w:lang w:bidi="fa-IR"/>
        </w:rPr>
        <w:t xml:space="preserve">قد ذکرنا فی مبحث التعبّدی و التوصّلی من علم الاصول </w:t>
      </w:r>
      <w:r>
        <w:rPr>
          <w:rStyle w:val="FootnoteAnchor"/>
          <w:rtl w:val="true"/>
        </w:rPr>
        <w:footnoteReference w:id="1440"/>
      </w:r>
      <w:r>
        <w:rPr>
          <w:rFonts w:ascii="IRNazanin" w:hAnsi="IRNazanin" w:eastAsia="IRNazanin"/>
          <w:color w:val="111111"/>
          <w:sz w:val="28"/>
          <w:sz w:val="28"/>
          <w:szCs w:val="28"/>
          <w:rtl w:val="true"/>
          <w:lang w:bidi="fa-IR"/>
        </w:rPr>
        <w:t>أنّ الاصول اللفظیة و العملیة تقتضی عدم سقوط التکالیف العبادیة عن کل مکلّف باتیان غیره بها،فلا بدّ لکل مکلّف أن یمتثل تکالیفه العبادیة بالمباشرة،و علیه فنیابة الشخص عن غیره فی امتثال عباداته مع التقرّب و الإخلاص تحتاج إلی الدلیل،و إن ثبت إمکانها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وقوع النیابة فی العبادات الواجبة و المستحبّة بضرورة الفقه نصّا و فتوی،و لا بأس بالتعرّض للبحث عن تصویر إمکانها فی ذلک،دفعا لما توهّمه بعض الأجلّة من استحالة التقرّب من النائب و حصول القرب للمنوب عنه،نظرا إلی أنّ التقرّب المعنوی کالتقرّب الحسّی المکانی لا یقبل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غیر واحد من الأعلام وجوها فی تصویر النیابة عن الغیر فی امتثال وظائفه بقصد التقرّب و الإخلاص</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المصنّف </w:t>
      </w:r>
      <w:r>
        <w:rPr>
          <w:rStyle w:val="FootnoteAnchor"/>
          <w:rtl w:val="true"/>
        </w:rPr>
        <w:footnoteReference w:id="1441"/>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الأجیر یجعل نفسه بدلا عن المیّت فی الإتیان بتکالیفه متقرّبا بها إلی اللّه تعالی،فالمنوب عنه یتقرّب إلیه تعالی بفعل 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تقرّبه،و لا شبهة أنّ هذا التنزیل فی نفسه مستحبّ،و إنّما یصیر واجبا بالإجارة وجوبا توصّلیا،من غیر أن یعتبر فیه قصد القربة فی ذاته،بل اعتباره فیه من جهة اعتباره فی وظیفة المنوب عنه،لأنّ الأجیر لا یخرج عن عهدة التکلیف إلاّ</w:t>
      </w:r>
    </w:p>
    <w:p>
      <w:pPr>
        <w:pStyle w:val="BookText"/>
        <w:rPr/>
      </w:pPr>
      <w:r>
        <w:rPr>
          <w:rFonts w:ascii="IRNazanin" w:hAnsi="IRNazanin" w:eastAsia="IRNazanin"/>
          <w:color w:val="111111"/>
          <w:sz w:val="28"/>
          <w:sz w:val="28"/>
          <w:szCs w:val="28"/>
          <w:rtl w:val="true"/>
          <w:lang w:bidi="fa-IR"/>
        </w:rPr>
        <w:t>بالإتیان بالعمل المستأجر علیه بقصد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فالأجیر یجعل نفسه نائبا عن الغیر فی امتثال وظائفه متقرّبا بها إلی اللّه،و إنّما یأخذ الاجرة للنیابة فقط،دون الإتیان بالعبادات،فإنّ للنائب حینما یأتی بالعمل فعلین،أحدهما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من أفعال الجوانح،و هو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من أفعال الجوارح،و هو العمل المنوب فیه کالصلاة مثلا،و إذا تعدّد الفعل ذاتا و وجودا فإنّه لا بأس بتعدّد الغایة المترتّبة علیهما،و لا تنافی بین أخذ الاجرة علی النیابة و بین الإتیان بالعبادات متقرّبا بها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الاجرة إمّا لتنزیل نفسه منزلة المیّت و نیابته عنه فی الإتیان بوظائفه،و إمّا للإتیان بالعمل فی الخارج،فعلی الأول یلزم استحقاق الاجرة بمجرد النیابة القلبی،سواء أتی بالعمل فی الخارج أم لا،و هو بدیهی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فیعود المحذور،و هو أخذ الاجرة علی الأمر العبادی،فإنّ الموجود فی الخارج لیس إلاّ نفس العبادة</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فی رسالة القضاء من أنّ النیّة مشتملة علی قیود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الفعل خالصا 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أداء و قضاء،عن نفسه أو عن الغیر،باجرة أو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من هذه القیود غیر مناف لقصد الإخلاص و الاجرة فیما نحن فیه إنّما وقعت أولا و بالذات بازاء القید الثانی،أعنی النیابة عن زید،بمعنی أنّه مستأجر علی النیابة عن زید بالإتیان بهذه الفریضة المتقرّب بها و قید القربة فی محلّه علی حاله،لا تعلّق للإجارة به إلاّ من حیث کونه قیدا للفعل المستأجر علیه،نعم لو اشترط فی النیابة عن الغیر التقرّب زیادة علی التقرّب المشروط فی صحّة العبادة اتّجه منافاة الاجرة لذلک،إلاّ أنّه لیس بشرط إجماعا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الاجرة فی مقابل العمل المقیّد بقصد القربة یستلزم وقوع الاجرة بازاء نفس العمل أیضا،و علیه فیعود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 مشایخنا المحقّقین </w:t>
      </w:r>
      <w:r>
        <w:rPr>
          <w:rStyle w:val="FootnoteAnchor"/>
          <w:rtl w:val="true"/>
        </w:rPr>
        <w:footnoteReference w:id="1443"/>
      </w:r>
      <w:r>
        <w:rPr>
          <w:rFonts w:ascii="IRNazanin" w:hAnsi="IRNazanin" w:eastAsia="IRNazanin"/>
          <w:color w:val="111111"/>
          <w:sz w:val="28"/>
          <w:sz w:val="28"/>
          <w:szCs w:val="28"/>
          <w:rtl w:val="true"/>
          <w:lang w:bidi="fa-IR"/>
        </w:rPr>
        <w:t>من أنّ الفعل القلبی و الفعل الخارجی و إن کانا متغایرین ماهیة و وجودا،و لکل منهما غایة خاصّة،إلاّ أنّه لا شک فی أنه لو لا الفعل القلبی بما له من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استحقاق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الفعل الخارجی بما له من الغایة،و هی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فالإخلاص الطولی غیر محفوظ بمجرّد تعدّد الفعل مع ترتّب الفعل الخارجی بغایته علی الفعل القلبی بغایته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شیخنا الاستاذ </w:t>
      </w:r>
      <w:r>
        <w:rPr>
          <w:rStyle w:val="FootnoteAnchor"/>
          <w:rtl w:val="true"/>
        </w:rPr>
        <w:footnoteReference w:id="1444"/>
      </w:r>
      <w:r>
        <w:rPr>
          <w:rFonts w:ascii="IRNazanin" w:hAnsi="IRNazanin" w:eastAsia="IRNazanin"/>
          <w:color w:val="111111"/>
          <w:sz w:val="28"/>
          <w:sz w:val="28"/>
          <w:szCs w:val="28"/>
          <w:rtl w:val="true"/>
          <w:lang w:bidi="fa-IR"/>
        </w:rPr>
        <w:t>توجیها لکلام المصنّف فی المکاسب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عدم اعتبار المباشرة فی فعل المنوب عنه،بل جاز للغیر الإتیان بالفعل عنه نیابة،و یجوز التبرّع عنه فی ذلک،من دون أن یعتبر قصد القربة فی الأمر التبرّعی،بل اعتباره فی فعل النائب لأجل اعتباره فی المنوب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ریب فی أنّ هذا الأمر التبرّعی یصبح واجبا إذا وقعت علیه الإجارة،و حینئذ لا یخرج النائب عن عهدته بامتثاله بقصد القربة و الإخلاص و واضح أنّه لا تنافی بین اعتبار التقرّب فیه و بین جواز أخذ الاجرة للنیابة،فإنّ الاجرة إنّما هی بازاء قصد النائب النیابة فی عمله عن المنوب عنه،لا علی نفس العمل،بحیث إذا قصد النائب الإتیان بذات العمل المستأجر علیه للاجرة،أو قصد الإتیان به بداعی أمره سبحانه بازاء الاجرة کان عمله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جواب المصنّف</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المتوجّهة إلی شخص غریبة عن شخص آخر،و علیه فلا</w:t>
      </w:r>
    </w:p>
    <w:p>
      <w:pPr>
        <w:pStyle w:val="BookText"/>
        <w:rPr/>
      </w:pPr>
      <w:r>
        <w:rPr>
          <w:rFonts w:ascii="IRNazanin" w:hAnsi="IRNazanin" w:eastAsia="IRNazanin"/>
          <w:color w:val="111111"/>
          <w:sz w:val="28"/>
          <w:sz w:val="28"/>
          <w:szCs w:val="28"/>
          <w:rtl w:val="true"/>
          <w:lang w:bidi="fa-IR"/>
        </w:rPr>
        <w:t>معنی لسقوطها عن المنوب عنه بامتثال النائب،کما أنه لا معنی لاعتبار قصد التقرّب فی الأمر المتوجّه إلی النائب بلحاظ اعتباره فی الأمر المتوجّه إلی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التوجیه المذکور أشبه شیء بدعوی سقوط الأمر بالصوم بامتثال الأمر المتعلّق بالصلاة،و أشبه شیء أیضا بدعوی اعتبار قصد التقرّب فی الأمر بغسل الثوب بلحاظ الأمر العبادی المتعلّق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صحّة ذلک،و لکنّه إنّما یجری فی النیابة عن الأحیاء،فإنّ الأوامر المتوجّهة إلی الأموات فی حیاتهم قد انقطعت بالموت،فلا یبقی هنا أمر لکی یقصده النائب فی امتثال العمل المنوب فیه و یأتی به بقصد التقرّب و الإخلاص و هذا لا ینافی اشتغال ذمّة المیّت بالعبادات الفائتة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أغمضنا عن ذلک أیضا،و لکنّه إنّما یتمّ مع توجّه الأمر إلی المنوب عنه،مع أنّا نری بالعیان و نشاهد بالوجدان صحّة النیابة عنه حتّی فیما لم یتوجّه إلیه أمر أصلا،کنیابة أشخاص غیر محصورین عن المیّت أو عن غیره فی جهات مستحبّة،کالطواف و نحوه،بداهة انتفاء الأمر حینئذ عن المنوب عنه،فإنّ توجّهه إلیه مشروط بالقدرة،و واضح أنّ المنوب عنه لا یقدر علی الإتیان بامور غیر محصورة،و کذلک تجوز النیابة فی الحجّ عمّن لا یقدر علیه،مع أنه لا أمر حینئذ للمنوب عنه أصلا</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الاستحبابی </w:t>
      </w:r>
      <w:r>
        <w:rPr>
          <w:rStyle w:val="FootnoteAnchor"/>
          <w:rtl w:val="true"/>
        </w:rPr>
        <w:footnoteReference w:id="1445"/>
      </w:r>
      <w:r>
        <w:rPr>
          <w:rFonts w:ascii="IRNazanin" w:hAnsi="IRNazanin" w:eastAsia="IRNazanin"/>
          <w:color w:val="111111"/>
          <w:sz w:val="28"/>
          <w:sz w:val="28"/>
          <w:szCs w:val="28"/>
          <w:rtl w:val="true"/>
          <w:lang w:bidi="fa-IR"/>
        </w:rPr>
        <w:t>متوجّه إلی جمیع الناس للنیابة فی العبادة عن المیّت،بل الحی فی بعض الموارد،و لا شبهة أنّ هذا الأمر الاستحبابی المتوجّه إلی کل أحد أمر عبادی،فیعتبر فیه قصد التقرّب و الإخلاص،و قد یکون واجبا إذا تعلّقت به الإجارة،و قد تقدّم بیان ذلک آنفا،و علیه فالنائب عن الغیر فی امتثال</w:t>
      </w:r>
      <w:bookmarkStart w:id="978" w:name="pg5064_65828"/>
    </w:p>
    <w:p>
      <w:pPr>
        <w:pStyle w:val="BookText"/>
        <w:rPr/>
      </w:pPr>
      <w:bookmarkEnd w:id="978"/>
      <w:r>
        <w:rPr>
          <w:rFonts w:ascii="IRNazanin" w:hAnsi="IRNazanin" w:eastAsia="IRNazanin"/>
          <w:color w:val="111111"/>
          <w:sz w:val="28"/>
          <w:sz w:val="28"/>
          <w:szCs w:val="28"/>
          <w:rtl w:val="true"/>
          <w:lang w:bidi="fa-IR"/>
        </w:rPr>
        <w:t>عباداته إنّما یتقرّب إلی اللّه تعالی بالأمر المتوجّه إلی نفسه،من دون أن یکون له مساس بالأمر العبادی المتوجّه إلی المنوب عنه،بل لا یعقل أن یقصد النائب تقرّب المنوب عنه و یمتثل أمره،أو یتقرّب إلی اللّه بأمر المنوب عنه و یمتثله،و علی ما ذکرناه فمورد الإجارة هو الواجبات أو العبادات المنوب فیها،و قد تقدّم أنّ صفة الوجوب أو صفة العبادة لا تنافی الإجارة</w:t>
      </w:r>
      <w:r>
        <w:rPr>
          <w:rFonts w:eastAsia="IRNazanin" w:cs="IRNazanin"/>
          <w:color w:val="111111"/>
          <w:sz w:val="28"/>
          <w:szCs w:val="28"/>
          <w:rtl w:val="true"/>
          <w:lang w:bidi="fa-IR"/>
        </w:rPr>
        <w:t>.</w:t>
      </w:r>
    </w:p>
    <w:p>
      <w:pPr>
        <w:pStyle w:val="Heading4"/>
        <w:numPr>
          <w:ilvl w:val="3"/>
          <w:numId w:val="1"/>
        </w:numPr>
        <w:rPr/>
      </w:pPr>
      <w:bookmarkStart w:id="979" w:name="__RefHeading___Toc910648_774463916"/>
      <w:bookmarkStart w:id="980" w:name="_Toc358"/>
      <w:bookmarkEnd w:id="979"/>
      <w:r>
        <w:rPr>
          <w:rtl w:val="true"/>
        </w:rPr>
        <w:t>جواز أخذ الاجرة علی المستحبّات</w:t>
      </w:r>
      <w:bookmarkEnd w:id="98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المستأجر علیه قد یکون حراما،و قد یکون واجبا،و قد یکون مکروها،و قد یکون مباحا،و قد یکون مستحبّا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الحرام و الواجب فقد تقدّم الکلام عنهما،و أمّا المکروه و المباح فلم یستشکل أحد فی صحّة الإجارة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المستحبّ فالمعروف بین الشیعة و السنّة </w:t>
      </w:r>
      <w:r>
        <w:rPr>
          <w:rStyle w:val="FootnoteAnchor"/>
          <w:rtl w:val="true"/>
        </w:rPr>
        <w:footnoteReference w:id="1446"/>
      </w:r>
      <w:r>
        <w:rPr>
          <w:rFonts w:ascii="IRNazanin" w:hAnsi="IRNazanin" w:eastAsia="IRNazanin"/>
          <w:color w:val="111111"/>
          <w:sz w:val="28"/>
          <w:sz w:val="28"/>
          <w:szCs w:val="28"/>
          <w:rtl w:val="true"/>
          <w:lang w:bidi="fa-IR"/>
        </w:rPr>
        <w:t>هو جواز أخذ الاجرة علیه بل هو مقتضی القاعدة الأوّلیة،إذ لا نری مانعا عن شمول العمومات الدالّة علی صحّة المعاملات لذلک،فقد عرفت آنفا أنّ صفة العبادیة و کذا صفة الوجوب لا تنافی الإجارة أو الجعالة،و کذلک صفة الاستحباب،فإنّها لا تنافیهما بطریق الأولویة</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وجه لتطویل الکلام فی تصویر النیابة فی المستحبّات،کما لا</w:t>
      </w:r>
      <w:bookmarkStart w:id="981" w:name="pg5064_65829"/>
    </w:p>
    <w:p>
      <w:pPr>
        <w:pStyle w:val="BookText"/>
        <w:rPr/>
      </w:pPr>
      <w:bookmarkEnd w:id="981"/>
      <w:r>
        <w:rPr>
          <w:rFonts w:ascii="IRNazanin" w:hAnsi="IRNazanin" w:eastAsia="IRNazanin"/>
          <w:color w:val="111111"/>
          <w:sz w:val="28"/>
          <w:sz w:val="28"/>
          <w:szCs w:val="28"/>
          <w:rtl w:val="true"/>
          <w:lang w:bidi="fa-IR"/>
        </w:rPr>
        <w:t>وجه للفرق فیها بین ما یتوقّف ترتّب الثواب علی قصد التقرّب و الإخلاص کالإتیان بالنوافل و الزیارات،و بین ما لا یتوقّف ترتّب الثواب علی ذلک کبناء المساجد و القناطر و نحوهما</w:t>
      </w:r>
      <w:r>
        <w:rPr>
          <w:rFonts w:eastAsia="IRNazanin" w:cs="IRNazanin"/>
          <w:color w:val="111111"/>
          <w:sz w:val="28"/>
          <w:szCs w:val="28"/>
          <w:rtl w:val="true"/>
          <w:lang w:bidi="fa-IR"/>
        </w:rPr>
        <w:t>.</w:t>
      </w:r>
    </w:p>
    <w:p>
      <w:pPr>
        <w:pStyle w:val="Heading4"/>
        <w:numPr>
          <w:ilvl w:val="3"/>
          <w:numId w:val="1"/>
        </w:numPr>
        <w:rPr/>
      </w:pPr>
      <w:bookmarkStart w:id="982" w:name="__RefHeading___Toc910650_774463916"/>
      <w:bookmarkStart w:id="983" w:name="_Toc359"/>
      <w:bookmarkEnd w:id="982"/>
      <w:r>
        <w:rPr>
          <w:rtl w:val="true"/>
        </w:rPr>
        <w:t>من کان أجیرا لغیره فی الطواف</w:t>
      </w:r>
      <w:bookmarkEnd w:id="983"/>
    </w:p>
    <w:p>
      <w:pPr>
        <w:pStyle w:val="BookText"/>
        <w:rPr/>
      </w:pPr>
      <w:r>
        <w:rPr>
          <w:rFonts w:ascii="IRNazanin" w:hAnsi="IRNazanin" w:eastAsia="IRNazanin"/>
          <w:color w:val="111111"/>
          <w:sz w:val="28"/>
          <w:sz w:val="28"/>
          <w:szCs w:val="28"/>
          <w:rtl w:val="true"/>
          <w:lang w:bidi="fa-IR"/>
        </w:rPr>
        <w:t>لم یجز له أن یقصده لنفسه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استؤجر لإطافة صبی أو مغمی علیه فلا یجوز الاحتساب فی طواف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الأصحاب هنا وجوها،بل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الاحتساب مطلقا،و قد استظهره المصنّف من الشرائع </w:t>
      </w:r>
      <w:r>
        <w:rPr>
          <w:rStyle w:val="FootnoteAnchor"/>
          <w:rtl w:val="true"/>
        </w:rPr>
        <w:footnoteReference w:id="1447"/>
      </w:r>
      <w:r>
        <w:rPr>
          <w:rFonts w:ascii="IRNazanin" w:hAnsi="IRNazanin" w:eastAsia="IRNazanin"/>
          <w:color w:val="111111"/>
          <w:sz w:val="28"/>
          <w:sz w:val="28"/>
          <w:szCs w:val="28"/>
          <w:rtl w:val="true"/>
          <w:lang w:bidi="fa-IR"/>
        </w:rPr>
        <w:t xml:space="preserve">و القواعد </w:t>
      </w:r>
      <w:r>
        <w:rPr>
          <w:rStyle w:val="FootnoteAnchor"/>
          <w:rtl w:val="true"/>
        </w:rPr>
        <w:footnoteReference w:id="1448"/>
      </w:r>
      <w:r>
        <w:rPr>
          <w:rFonts w:ascii="IRNazanin" w:hAnsi="IRNazanin" w:eastAsia="IRNazanin"/>
          <w:color w:val="111111"/>
          <w:sz w:val="28"/>
          <w:sz w:val="28"/>
          <w:szCs w:val="28"/>
          <w:rtl w:val="true"/>
          <w:lang w:bidi="fa-IR"/>
        </w:rPr>
        <w:t>علی إشکال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الاحتساب مطلقا حتّی فی صورة التبرّع،و قد حکاه بعض الأعاظم عن بعض الشافعیة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الاحتساب عن نفسه فیما إذا استؤجر للإطافة بغیره،أو لحمله فی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نسبه المصنّف إلی جماعة منهم الإسکافی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العلاّمة فی المختلف </w:t>
      </w:r>
      <w:r>
        <w:rPr>
          <w:rStyle w:val="FootnoteAnchor"/>
          <w:rtl w:val="true"/>
        </w:rPr>
        <w:footnoteReference w:id="1451"/>
      </w:r>
      <w:r>
        <w:rPr>
          <w:rFonts w:ascii="IRNazanin" w:hAnsi="IRNazanin" w:eastAsia="IRNazanin"/>
          <w:color w:val="111111"/>
          <w:sz w:val="28"/>
          <w:sz w:val="28"/>
          <w:szCs w:val="28"/>
          <w:rtl w:val="true"/>
          <w:lang w:bidi="fa-IR"/>
        </w:rPr>
        <w:t>من الفرق بین الاستئجار للطواف به</w:t>
      </w:r>
    </w:p>
    <w:p>
      <w:pPr>
        <w:pStyle w:val="BookText"/>
        <w:rPr/>
      </w:pPr>
      <w:r>
        <w:rPr>
          <w:rFonts w:ascii="IRNazanin" w:hAnsi="IRNazanin" w:eastAsia="IRNazanin"/>
          <w:color w:val="111111"/>
          <w:sz w:val="28"/>
          <w:sz w:val="28"/>
          <w:szCs w:val="28"/>
          <w:rtl w:val="true"/>
          <w:lang w:bidi="fa-IR"/>
        </w:rPr>
        <w:t>و بین الاستئجار لحمله فی الطواف،فإنّه منع عن احتساب ذلک لنفسه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فی المسالک </w:t>
      </w:r>
      <w:r>
        <w:rPr>
          <w:rStyle w:val="FootnoteAnchor"/>
          <w:rtl w:val="true"/>
        </w:rPr>
        <w:footnoteReference w:id="1452"/>
      </w:r>
      <w:r>
        <w:rPr>
          <w:rFonts w:ascii="IRNazanin" w:hAnsi="IRNazanin" w:eastAsia="IRNazanin"/>
          <w:color w:val="111111"/>
          <w:sz w:val="28"/>
          <w:sz w:val="28"/>
          <w:szCs w:val="28"/>
          <w:rtl w:val="true"/>
          <w:lang w:bidi="fa-IR"/>
        </w:rPr>
        <w:t>من أنّه إذا کان الحامل متبرّعا أو حاملا بجعالة أو کان مستأجرا للحمل فی طوافه أمکن أن یحتسب کل منهما طوافه عن نفسه و أمّا لو کان مستأجرا للحمل مطلقا لم یحتسب،لأنّ الحرکة المخصوصة قد صارت مستحقّة علیه لغیره،فلا یجوز صرفها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المؤجر قد یکون أجیرا عن الغیر فی الطواف و نائبا عنه فی إیجاد العمل المعیّن فی الخارج،و قد یکون أجیرا للإطافة به،و قد یکون أجیرا لحمله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 فإنّه لا یجوز للأجیر أن یقصد الطواف لنفسه حینما یأتی بالعمل المستأجر علیه،لأنّ الإجارة تقتضی اختصاص العمل المستأجر علیه بالمستأجر،و لذا لو فوّته أحد یضمنه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بالطواف المتوجّه إلی الأجیر یقتضی الإتیان به عن نفسه،و عدم إجزائه عن غیره کما هو مقتضی القاعدة فی جمیع الأوامر المسوقة لبیان 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المستأجر إنّما یستحق الحرکات المخصوصة علی الأجیر لکونها مملوکة له،فلا یجوز للأجیر أن یحتسبها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إلی هذا أشار فی المسالک فی عبارته المتقدّمة</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أجیرا لحمل غیره فی الطواف أو للإطافة به،فهل یجوز له أن یقصد الطواف لنفسه حینما یحمل المستأجر للطواف،أم لا؟قد یقال بالثانی،لأنّ الحرکات المخصوصة الصادرة من الأجیر مملوکة للمستأجر،فلا تقع عن الأجیر</w:t>
      </w:r>
    </w:p>
    <w:p>
      <w:pPr>
        <w:pStyle w:val="BookText"/>
        <w:rPr/>
      </w:pPr>
      <w:r>
        <w:rPr>
          <w:rFonts w:ascii="IRNazanin" w:hAnsi="IRNazanin" w:eastAsia="IRNazanin"/>
          <w:color w:val="111111"/>
          <w:sz w:val="28"/>
          <w:sz w:val="28"/>
          <w:szCs w:val="28"/>
          <w:rtl w:val="true"/>
          <w:lang w:bidi="fa-IR"/>
        </w:rPr>
        <w:t>نظیر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هو الجواز،تبعا لجمّ غفیر من الأصحاب،و قد تقدّم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ما یستحقّه المستأجر علی الأجیر إنّما هو الحمل فقط،و من الواضح أنّه حاصل علی کل حال،لأنّ شأن الأجیر فی هذه الصورة شأن الدابة التی یرکبها العاجز عن المشی للطواف،و علیه فلا تنافی بین کون شخص أجیرا لحمل غیره فی الطواف،و بین أن یقصد الطواف لنفسه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یدلّنا علی ذلک أمران،الأول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یتّصف الحامل فی هذه الصورة بما اعتبر فی الطائف من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کالمشی علی القهقری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 بطواف المحمول إذا کان واجدا لشرائط الطواف،و من المقطوع به أنّه لو کان مصبّ الإجارة هو الطواف عن الغیر بعنوان النیابة لما حصل العمل المستأجر علیه فی الخارج</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ورد فی جملة من الأخبار </w:t>
      </w:r>
      <w:r>
        <w:rPr>
          <w:rStyle w:val="FootnoteAnchor"/>
          <w:rtl w:val="true"/>
        </w:rPr>
        <w:footnoteReference w:id="1453"/>
      </w:r>
      <w:r>
        <w:rPr>
          <w:rFonts w:ascii="IRNazanin" w:hAnsi="IRNazanin" w:eastAsia="IRNazanin"/>
          <w:color w:val="111111"/>
          <w:sz w:val="28"/>
          <w:sz w:val="28"/>
          <w:szCs w:val="28"/>
          <w:rtl w:val="true"/>
          <w:lang w:bidi="fa-IR"/>
        </w:rPr>
        <w:t>جواز حمل الغیر فی الطواف مع العجز عنه،و هی بإطلاقها تدلّ علی ما ذکرناه،علی أنّه لو کان مورد هذه الأخبار غیر الإجارة فإنّها تدلّ أیضا علی صحّة ذلک،لأنّها ظاهرة فی أنّ حمل غیره فی الطواف</w:t>
      </w:r>
      <w:bookmarkStart w:id="984" w:name="pg5064_65832"/>
    </w:p>
    <w:p>
      <w:pPr>
        <w:pStyle w:val="BookText"/>
        <w:rPr/>
      </w:pPr>
      <w:bookmarkEnd w:id="984"/>
      <w:r>
        <w:rPr>
          <w:rFonts w:ascii="IRNazanin" w:hAnsi="IRNazanin" w:eastAsia="IRNazanin"/>
          <w:color w:val="111111"/>
          <w:sz w:val="28"/>
          <w:sz w:val="28"/>
          <w:szCs w:val="28"/>
          <w:rtl w:val="true"/>
          <w:lang w:bidi="fa-IR"/>
        </w:rPr>
        <w:t>لا ینافی قصد الحامل الطواف لنفسه،لکون کل منهما بعیدا عن الآخر</w:t>
      </w:r>
      <w:r>
        <w:rPr>
          <w:rFonts w:eastAsia="IRNazanin" w:cs="IRNazanin"/>
          <w:color w:val="111111"/>
          <w:sz w:val="28"/>
          <w:szCs w:val="28"/>
          <w:rtl w:val="true"/>
          <w:lang w:bidi="fa-IR"/>
        </w:rPr>
        <w:t>.</w:t>
      </w:r>
    </w:p>
    <w:p>
      <w:pPr>
        <w:pStyle w:val="Heading4"/>
        <w:numPr>
          <w:ilvl w:val="3"/>
          <w:numId w:val="1"/>
        </w:numPr>
        <w:rPr/>
      </w:pPr>
      <w:bookmarkStart w:id="985" w:name="__RefHeading___Toc910652_774463916"/>
      <w:bookmarkStart w:id="986" w:name="_Toc360"/>
      <w:bookmarkEnd w:id="985"/>
      <w:r>
        <w:rPr>
          <w:rtl w:val="true"/>
        </w:rPr>
        <w:t>حرمة أخذ الاجرة علی الأذان</w:t>
      </w:r>
      <w:bookmarkEnd w:id="98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أخذ الاجرة علی أذان المکلّف لصلاة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بین الأصحاب حرمة أخذ الاجرة علی الأذان،بل فی المستند </w:t>
      </w:r>
      <w:r>
        <w:rPr>
          <w:rStyle w:val="FootnoteAnchor"/>
          <w:rtl w:val="true"/>
        </w:rPr>
        <w:footnoteReference w:id="1454"/>
      </w:r>
      <w:r>
        <w:rPr>
          <w:rFonts w:ascii="IRNazanin" w:hAnsi="IRNazanin" w:eastAsia="IRNazanin"/>
          <w:color w:val="111111"/>
          <w:sz w:val="28"/>
          <w:sz w:val="28"/>
          <w:szCs w:val="28"/>
          <w:rtl w:val="true"/>
          <w:lang w:bidi="fa-IR"/>
        </w:rPr>
        <w:t xml:space="preserve">حکی الإجماع علیها،و علی هذا النهج بعض فقهاء العامّة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 هو جواز أخذ الاجرة علی الواجبات و علی المستحبّات،تعبّدیة کانت أم توصّلیة،لکونها من الأعمال المحترمة التی تقابل بالمال فتکون المعاملة علیها مشمولة للعمومات،و أنّ صفة الوجوب أو صفة العبادیة أو اقتران العمل العبادی بالدواعی غیر القربیة لا تنافی التقرّب و الإخلاص،إلاّ مع الدلیل الخارجی،کامتثال العبادات بداعی الریاء،و قد عرفت ذلک کلّه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یتجلّی لک جواز أخذ الاجرة علی الأذان و علی الإمامة إذا کانا ممّا یرجع نفع من ذلک إلی الغیر،بحیث یصحّ لأجله الاستئجار،کالإعلام بدخول الوقت،أو الاجتزاء به فی الصلاة،و الاقتداء بالإمام</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سمعت فی مقدّمة البحث عن أخذ الاجرة علی الواجب أنّ مورد الکلام فیما إذا کان العمل المستأجر علیه حاویا لشرائط الاستئجار مع قطع النظر عن کونه واجبا أو مستحبّا،و عن کونه تعبّدیا أو توصّلیا،و علیه فلو منع الشارع عن أخذ الاجرة علی عمل خاصّ،و تعلّق غرضه بکونه مجانیا،فإنّه خارج عن حریم البحث،و لا یختصّ ذلک بالعبادات،و لا بالواجبات و المستحبّات،و من</w:t>
      </w:r>
    </w:p>
    <w:p>
      <w:pPr>
        <w:pStyle w:val="BookText"/>
        <w:rPr/>
      </w:pPr>
      <w:r>
        <w:rPr>
          <w:rFonts w:ascii="IRNazanin" w:hAnsi="IRNazanin" w:eastAsia="IRNazanin"/>
          <w:color w:val="111111"/>
          <w:sz w:val="28"/>
          <w:sz w:val="28"/>
          <w:szCs w:val="28"/>
          <w:rtl w:val="true"/>
          <w:lang w:bidi="fa-IR"/>
        </w:rPr>
        <w:t>الواضح جدّا أنّه ثبت فی الشریعة المقدّسة عن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أخذ الاجرة علی الأذان و علی الإمامة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الأشبه کما فی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سهو من قلمه الشریف،فإنّه ذکر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الاجرة علی الأذان و الإقامة علی أشهر القولین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bookmarkStart w:id="987" w:name="pg5064_65834"/>
    </w:p>
    <w:p>
      <w:pPr>
        <w:pStyle w:val="Heading4"/>
        <w:numPr>
          <w:ilvl w:val="3"/>
          <w:numId w:val="1"/>
        </w:numPr>
        <w:rPr/>
      </w:pPr>
      <w:bookmarkStart w:id="988" w:name="__RefHeading___Toc910654_774463916"/>
      <w:bookmarkStart w:id="989" w:name="_Toc361"/>
      <w:bookmarkEnd w:id="987"/>
      <w:bookmarkEnd w:id="988"/>
      <w:r>
        <w:rPr>
          <w:rtl w:val="true"/>
        </w:rPr>
        <w:t>أخذ الاجرة علی الشهادة</w:t>
      </w:r>
      <w:bookmarkEnd w:id="98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من الواجبات التی یحرم أخذ الاجرة علیه عند المشهور تحمل الشهادة بناء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المشهور من فقهائنا و فقهاء العامّة إلی وجوب الشهادة تحمّلا و أداء،کما یظهر لمن یراجع کلماتهم فی مواردها،و هذا هو الظاهر من الکتاب الکریم </w:t>
      </w:r>
      <w:r>
        <w:rPr>
          <w:rStyle w:val="FootnoteAnchor"/>
          <w:rtl w:val="true"/>
        </w:rPr>
        <w:footnoteReference w:id="1458"/>
      </w:r>
      <w:r>
        <w:rPr>
          <w:rFonts w:ascii="IRNazanin" w:hAnsi="IRNazanin" w:eastAsia="IRNazanin"/>
          <w:color w:val="111111"/>
          <w:sz w:val="28"/>
          <w:sz w:val="28"/>
          <w:szCs w:val="28"/>
          <w:rtl w:val="true"/>
          <w:lang w:bidi="fa-IR"/>
        </w:rPr>
        <w:t xml:space="preserve">و من الروایات المذکورة فی أبواب الشهادات،و علیه فأخذ الاجرة علی الشهادة من صغریات أخذ الاجرة علی الواجب،و قد عرفت سابقا </w:t>
      </w:r>
      <w:r>
        <w:rPr>
          <w:rStyle w:val="FootnoteAnchor"/>
          <w:rtl w:val="true"/>
        </w:rPr>
        <w:footnoteReference w:id="1459"/>
      </w:r>
      <w:r>
        <w:rPr>
          <w:rFonts w:ascii="IRNazanin" w:hAnsi="IRNazanin" w:eastAsia="IRNazanin"/>
          <w:color w:val="111111"/>
          <w:sz w:val="28"/>
          <w:sz w:val="28"/>
          <w:szCs w:val="28"/>
          <w:rtl w:val="true"/>
          <w:lang w:bidi="fa-IR"/>
        </w:rPr>
        <w:t>ذهاب المشهور إلی حرمة أخذها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قد علمت فیما تقدّم </w:t>
      </w:r>
      <w:r>
        <w:rPr>
          <w:rStyle w:val="FootnoteAnchor"/>
          <w:rtl w:val="true"/>
        </w:rPr>
        <w:footnoteReference w:id="1460"/>
      </w:r>
      <w:r>
        <w:rPr>
          <w:rFonts w:ascii="IRNazanin" w:hAnsi="IRNazanin" w:eastAsia="IRNazanin"/>
          <w:color w:val="111111"/>
          <w:sz w:val="28"/>
          <w:sz w:val="28"/>
          <w:szCs w:val="28"/>
          <w:rtl w:val="true"/>
          <w:lang w:bidi="fa-IR"/>
        </w:rPr>
        <w:t>أنّ مقتضی القاعدة هو جواز أخذ الاجرة علی الواجبات مطلقا ما لم یثبت منع من الخارج،و من المعلوم أنّا لم نجد فی أدلّة وجوب الشهادة ما یمنع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من بعض الروایات الواردة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یَأْبَ الشُّهَداءُ إِذا ما دُعُوا أنّ المنفی فی الآیة هو أن یقول المدعو إلی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أشهد علی الواقعة </w:t>
      </w:r>
      <w:r>
        <w:rPr>
          <w:rStyle w:val="FootnoteAnchor"/>
          <w:rtl w:val="true"/>
        </w:rPr>
        <w:footnoteReference w:id="1461"/>
      </w:r>
      <w:r>
        <w:rPr>
          <w:rFonts w:ascii="IRNazanin" w:hAnsi="IRNazanin" w:eastAsia="IRNazanin"/>
          <w:color w:val="111111"/>
          <w:sz w:val="28"/>
          <w:sz w:val="28"/>
          <w:szCs w:val="28"/>
          <w:rtl w:val="true"/>
          <w:lang w:bidi="fa-IR"/>
        </w:rPr>
        <w:t>،و واضح أنّ هذا لا ینافی جواز أخذ الاجرة علی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امتنع المشهود له عن إعطاء الاجرة وجب علی الشاهد أن یشهد بالواقعة مجّانا</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کان تحمّل الشهادة أو أداؤها واجبا عینیا،و أمّا إذا کان کل منهما</w:t>
      </w:r>
    </w:p>
    <w:p>
      <w:pPr>
        <w:pStyle w:val="BookText"/>
        <w:rPr/>
      </w:pPr>
      <w:r>
        <w:rPr>
          <w:rFonts w:ascii="IRNazanin" w:hAnsi="IRNazanin" w:eastAsia="IRNazanin"/>
          <w:color w:val="111111"/>
          <w:sz w:val="28"/>
          <w:sz w:val="28"/>
          <w:szCs w:val="28"/>
          <w:rtl w:val="true"/>
          <w:lang w:bidi="fa-IR"/>
        </w:rPr>
        <w:t xml:space="preserve">واجبا کفائیا فقد تقدّم </w:t>
      </w:r>
      <w:r>
        <w:rPr>
          <w:rStyle w:val="FootnoteAnchor"/>
          <w:rtl w:val="true"/>
        </w:rPr>
        <w:footnoteReference w:id="1462"/>
      </w:r>
      <w:r>
        <w:rPr>
          <w:rFonts w:ascii="IRNazanin" w:hAnsi="IRNazanin" w:eastAsia="IRNazanin"/>
          <w:color w:val="111111"/>
          <w:sz w:val="28"/>
          <w:sz w:val="28"/>
          <w:szCs w:val="28"/>
          <w:rtl w:val="true"/>
          <w:lang w:bidi="fa-IR"/>
        </w:rPr>
        <w:t>أنّ أخذ الاجرة علی الواجب الکفائی مع عدم الانحصار خارج عن محل الکلام،فإنّه واجب علی جمیع المکلّفین،لا علی شخص واحد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یستفاد من أدلّة وجوب الشهادة إلاّ کونها واجبة علی نهج بقیة الأحکام التکلیفیة الکفائیة أو العینیة،من غیر أن یستفاد منها کون التحمّل أو الأداء حقّا للمشهود له</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یقال بحرمة أخذ الاجرة علی مطلق التعلیم أو علی تعلیم القرآن و لکنّه فاسد،فقد ثبت جواز ذلک فی جملة من الأخبار </w:t>
      </w:r>
      <w:r>
        <w:rPr>
          <w:rStyle w:val="FootnoteAnchor"/>
          <w:rtl w:val="true"/>
        </w:rPr>
        <w:footnoteReference w:id="1463"/>
      </w:r>
      <w:r>
        <w:rPr>
          <w:rFonts w:ascii="IRNazanin" w:hAnsi="IRNazanin" w:eastAsia="IRNazanin"/>
          <w:color w:val="111111"/>
          <w:sz w:val="28"/>
          <w:sz w:val="28"/>
          <w:szCs w:val="28"/>
          <w:rtl w:val="true"/>
          <w:lang w:bidi="fa-IR"/>
        </w:rPr>
        <w:t>و فی بعضها وقع الإزراء علی القائلین بالحرمة،و رمیهم إلی الکذب و عداوة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نضایق من القول بالکراهة،لورود النهی عن ذلک فی بعض الأخبار المحمول علی الکراهة</w:t>
      </w:r>
      <w:bookmarkStart w:id="990" w:name="pg5064_65836"/>
    </w:p>
    <w:p>
      <w:pPr>
        <w:pStyle w:val="BookText"/>
        <w:rPr/>
      </w:pPr>
      <w:bookmarkEnd w:id="990"/>
      <w:r>
        <w:rPr>
          <w:rFonts w:ascii="IRNazanin" w:hAnsi="IRNazanin" w:eastAsia="IRNazanin"/>
          <w:color w:val="111111"/>
          <w:sz w:val="28"/>
          <w:sz w:val="28"/>
          <w:szCs w:val="28"/>
          <w:rtl w:val="true"/>
          <w:lang w:bidi="fa-IR"/>
        </w:rPr>
        <w:t xml:space="preserve">و علی هذا المنهج المشهور من العامّة </w:t>
      </w:r>
      <w:r>
        <w:rPr>
          <w:rStyle w:val="FootnoteAnchor"/>
          <w:rtl w:val="true"/>
        </w:rPr>
        <w:footnoteReference w:id="1464"/>
      </w:r>
      <w:r>
        <w:rPr>
          <w:rFonts w:ascii="IRNazanin" w:hAnsi="IRNazanin" w:eastAsia="IRNazanin"/>
          <w:color w:val="111111"/>
          <w:sz w:val="28"/>
          <w:sz w:val="28"/>
          <w:szCs w:val="28"/>
          <w:rtl w:val="true"/>
          <w:lang w:bidi="fa-IR"/>
        </w:rPr>
        <w:t>علی أنّ الروایات الواردة فی حرمة کسب المعلّم و جوازه ضعیفة السند،فیرجع إلی عمومات ما دلّ علی جواز الکسب</w:t>
      </w:r>
      <w:r>
        <w:rPr>
          <w:rFonts w:eastAsia="IRNazanin" w:cs="IRNazanin"/>
          <w:color w:val="111111"/>
          <w:sz w:val="28"/>
          <w:szCs w:val="28"/>
          <w:rtl w:val="true"/>
          <w:lang w:bidi="fa-IR"/>
        </w:rPr>
        <w:t>.</w:t>
      </w:r>
    </w:p>
    <w:p>
      <w:pPr>
        <w:pStyle w:val="Heading4"/>
        <w:numPr>
          <w:ilvl w:val="3"/>
          <w:numId w:val="1"/>
        </w:numPr>
        <w:rPr/>
      </w:pPr>
      <w:bookmarkStart w:id="991" w:name="__RefHeading___Toc910656_774463916"/>
      <w:bookmarkStart w:id="992" w:name="_Toc362"/>
      <w:bookmarkEnd w:id="991"/>
      <w:r>
        <w:rPr>
          <w:rtl w:val="true"/>
        </w:rPr>
        <w:t>أخذ الاجرة علی القضاء</w:t>
      </w:r>
      <w:bookmarkEnd w:id="992"/>
    </w:p>
    <w:p>
      <w:pPr>
        <w:pStyle w:val="BookText"/>
        <w:rPr/>
      </w:pPr>
      <w:r>
        <w:rPr>
          <w:rFonts w:ascii="IRNazanin" w:hAnsi="IRNazanin" w:eastAsia="IRNazanin"/>
          <w:color w:val="111111"/>
          <w:sz w:val="28"/>
          <w:sz w:val="28"/>
          <w:szCs w:val="28"/>
          <w:rtl w:val="true"/>
          <w:lang w:bidi="fa-IR"/>
        </w:rPr>
        <w:t xml:space="preserve">ثمّ إنّه لا یجوز أخذ الاجرة علی القضاء للروایات الخاصّة </w:t>
      </w:r>
      <w:r>
        <w:rPr>
          <w:rStyle w:val="FootnoteAnchor"/>
          <w:rtl w:val="true"/>
        </w:rPr>
        <w:footnoteReference w:id="1465"/>
      </w:r>
      <w:r>
        <w:rPr>
          <w:rFonts w:ascii="IRNazanin" w:hAnsi="IRNazanin" w:eastAsia="IRNazanin"/>
          <w:color w:val="111111"/>
          <w:sz w:val="28"/>
          <w:sz w:val="28"/>
          <w:szCs w:val="28"/>
          <w:rtl w:val="true"/>
          <w:lang w:bidi="fa-IR"/>
        </w:rPr>
        <w:t xml:space="preserve">و أنّ الظاهر من آیة النفر </w:t>
      </w:r>
      <w:r>
        <w:rPr>
          <w:rStyle w:val="FootnoteAnchor"/>
          <w:rtl w:val="true"/>
        </w:rPr>
        <w:footnoteReference w:id="1466"/>
      </w:r>
      <w:r>
        <w:rPr>
          <w:rFonts w:ascii="Amiri" w:hAnsi="Amiri" w:eastAsia="Amiri" w:cs="Amiri"/>
          <w:color w:val="111111"/>
          <w:sz w:val="28"/>
          <w:sz w:val="28"/>
          <w:szCs w:val="28"/>
          <w:rtl w:val="true"/>
          <w:lang w:bidi="ar-SA"/>
        </w:rPr>
        <w:t>الآمرة بالتفقّه فی الدین،و إنذار القوم عند الرجوع إلیهم أنّ الإفتاء أمر مجّانی فی الشریعة المقدّسة،فیحرم أخذ الاجرة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3" w:name="__RefHeading___Toc910658_774463916"/>
      <w:bookmarkStart w:id="994" w:name="_Toc363"/>
      <w:bookmarkEnd w:id="993"/>
      <w:r>
        <w:rPr>
          <w:rtl w:val="true"/>
        </w:rPr>
        <w:t>الارتزاق من بیت المال</w:t>
      </w:r>
      <w:bookmarkEnd w:id="99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الکلام فی شیء إلخ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معظم الأصحاب قد صرّحوا بجواز الارتزاق من بیت المال لکل من یحرم علیه أخذ الاجرة علی الإتیان بالواجبات،کالقضاء</w:t>
      </w:r>
    </w:p>
    <w:p>
      <w:pPr>
        <w:pStyle w:val="BookText"/>
        <w:rPr/>
      </w:pPr>
      <w:r>
        <w:rPr>
          <w:rFonts w:ascii="IRNazanin" w:hAnsi="IRNazanin" w:eastAsia="IRNazanin"/>
          <w:color w:val="111111"/>
          <w:sz w:val="28"/>
          <w:sz w:val="28"/>
          <w:szCs w:val="28"/>
          <w:rtl w:val="true"/>
          <w:lang w:bidi="fa-IR"/>
        </w:rPr>
        <w:t>و الإفتاء و تجهیز المیّت،أو الإتیان بالمستحبّات کالأذان و نحوه،و الوجه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بیت المال معدّ لمصالح المسلمین،و هذه الموارد من جملتها،لعود النفع إلیهم،فإنّ أی شخص إذا أتی بأی شیء یرجع إلی الجهات الراجعة إلی مصالح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کالامور المذکورة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لولی الأمر أن یدرّ علیه من بیت المال ما یرفع به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فی ذلک بین أن یکون المقدار المقرّر لهم أقل من اجرة المثل أو مساویا لها أو أکثر منها،و لا بین أن یکون تعیین ذلک قبل قیام هؤلاء بالوظائف المقرّرة علیهم أو بعده،بل یجوز لولی المسلمین أن یقول لأحد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فی البلد أو أذّن و أنا أکفیک مؤونتک من بیت المال،و لا یکون ذلک إجارة و لا 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فی جواز الارتزاق من بیت المال أن یکون المتصدّی للمناصب المذکورة و الوظائف المقرّرة من ناحیة الشرع محتاجا إلیه،بحیث لا یقدر علی قوت نفسه و عیاله و لو بالتکسّب،و إلاّ فلا یجوز له الارتزاق من بیت المال،فإنّه تضییع لحقوق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بحرمة أخذ الاجرة علی الواجبات أو المستحبّات فإنّ الأدلّة الدالّة علی الحرمة مختصّة بعنوان الاجرة و الجعل فقط،فلا تشمل بقیّة العناوین المنطبقة علی المتصدّین لتلک الوظائف،کالارتزاق من بیت المال،فإنّه معدّ لمصالح المسلمین،فیجوز صرفه فی أی جهة ترجع إلیهم و تمسّ بهم،بل یجوز لهؤلاء المتصدّین للجهات المزبورة أن یمتنعوا عن القیام بها بدون الارتزاق من بیت المال إذا کان العمل من الامور المستحبّة،و علیه فلا وجه لاعتبار الفقر و الاحتیاج فی المرتزقة کما ذهب إلیه جمع کثیر من أعاظم الأصحاب</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القضاء و أمثاله من الواجبات العینیة کان شأن ذلک شأن الواجبات العینیة الثابتة علی ذمم أشخاص المکلّفین،کالصلاة و الصوم و الحجّ</w:t>
      </w:r>
      <w:bookmarkStart w:id="995" w:name="pg5064_65838"/>
    </w:p>
    <w:p>
      <w:pPr>
        <w:pStyle w:val="BookText"/>
        <w:rPr/>
      </w:pPr>
      <w:bookmarkEnd w:id="995"/>
      <w:r>
        <w:rPr>
          <w:rFonts w:ascii="IRNazanin" w:hAnsi="IRNazanin" w:eastAsia="IRNazanin"/>
          <w:color w:val="111111"/>
          <w:sz w:val="28"/>
          <w:sz w:val="28"/>
          <w:szCs w:val="28"/>
          <w:rtl w:val="true"/>
          <w:lang w:bidi="fa-IR"/>
        </w:rPr>
        <w:t>و نحوها،و من الواضح جدّا أنّه لا یجوز الارتزاق من بیت المال بازائها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القضاوة و نحوها و إن کانت من الواجبات العینیة فیما إذا انحصر القاضی بشخص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ممّا یقوم به نظام الدین،فتکون من الجهات الراجعة إلی مصالح المسلمین،و قد عرفت أنّ مصرف بیت المال إنّما هو تلک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یقاس القضاء و أمثاله بالواجبات العینیة ابتداء،خصوصا إذا أراد القاضی أن ینتقل من بلده إلی بلد آخر،بل الأمر کذلک فی جمیع الواجبات العینیة إذا توقّف علی الإتیان بها ترویج الدین و مصلحة المسلمین</w:t>
      </w:r>
      <w:r>
        <w:rPr>
          <w:rFonts w:eastAsia="IRNazanin" w:cs="IRNazanin"/>
          <w:color w:val="111111"/>
          <w:sz w:val="28"/>
          <w:szCs w:val="28"/>
          <w:rtl w:val="true"/>
          <w:lang w:bidi="fa-IR"/>
        </w:rPr>
        <w:t>.</w:t>
      </w:r>
    </w:p>
    <w:p>
      <w:pPr>
        <w:pStyle w:val="Heading2"/>
        <w:numPr>
          <w:ilvl w:val="1"/>
          <w:numId w:val="1"/>
        </w:numPr>
        <w:rPr/>
      </w:pPr>
      <w:bookmarkStart w:id="996" w:name="__RefHeading___Toc910660_774463916"/>
      <w:bookmarkStart w:id="997" w:name="_Toc364"/>
      <w:bookmarkEnd w:id="996"/>
      <w:r>
        <w:rPr>
          <w:rtl w:val="true"/>
        </w:rPr>
        <w:t>خاتمة</w:t>
      </w:r>
      <w:r>
        <w:rPr>
          <w:rtl w:val="true"/>
        </w:rPr>
        <w:t>:</w:t>
      </w:r>
      <w:r>
        <w:rPr>
          <w:rtl w:val="true"/>
        </w:rPr>
        <w:t>تشتمل علی مسائل</w:t>
      </w:r>
      <w:bookmarkEnd w:id="997"/>
    </w:p>
    <w:p>
      <w:pPr>
        <w:pStyle w:val="Heading3"/>
        <w:numPr>
          <w:ilvl w:val="2"/>
          <w:numId w:val="1"/>
        </w:numPr>
        <w:rPr/>
      </w:pPr>
      <w:bookmarkStart w:id="998" w:name="__RefHeading___Toc910662_774463916"/>
      <w:bookmarkStart w:id="999" w:name="_Toc365"/>
      <w:bookmarkEnd w:id="998"/>
      <w:r>
        <w:rPr>
          <w:rtl w:val="true"/>
        </w:rPr>
        <w:t>بیع المصحف</w:t>
      </w:r>
      <w:bookmarkEnd w:id="999"/>
    </w:p>
    <w:p>
      <w:pPr>
        <w:pStyle w:val="Heading4"/>
        <w:numPr>
          <w:ilvl w:val="3"/>
          <w:numId w:val="1"/>
        </w:numPr>
        <w:rPr/>
      </w:pPr>
      <w:bookmarkStart w:id="1000" w:name="__RefHeading___Toc910664_774463916"/>
      <w:bookmarkStart w:id="1001" w:name="_Toc366"/>
      <w:bookmarkEnd w:id="1000"/>
      <w:r>
        <w:rPr>
          <w:rtl w:val="true"/>
        </w:rPr>
        <w:t>اشارة</w:t>
      </w:r>
      <w:bookmarkEnd w:id="100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تشتمل علی مسائل،الاولی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المشهور من أکابر أصحابنا إلی حرمة بیع المصحف،و ذهب جمع آخر کصاحب الجواهر </w:t>
      </w:r>
      <w:r>
        <w:rPr>
          <w:rStyle w:val="FootnoteAnchor"/>
          <w:rtl w:val="true"/>
        </w:rPr>
        <w:footnoteReference w:id="1469"/>
      </w:r>
      <w:r>
        <w:rPr>
          <w:rFonts w:ascii="IRNazanin" w:hAnsi="IRNazanin" w:eastAsia="IRNazanin"/>
          <w:color w:val="111111"/>
          <w:sz w:val="28"/>
          <w:sz w:val="28"/>
          <w:szCs w:val="28"/>
          <w:rtl w:val="true"/>
          <w:lang w:bidi="fa-IR"/>
        </w:rPr>
        <w:t>و غیره إلی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بالمصحف الأوراق المشتملة علی الخطوط کبقیّة الکتب،دون الخطّ فقط کما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للدروس </w:t>
      </w:r>
      <w:r>
        <w:rPr>
          <w:rStyle w:val="FootnoteAnchor"/>
          <w:rtl w:val="true"/>
        </w:rPr>
        <w:footnoteReference w:id="1470"/>
      </w:r>
      <w:r>
        <w:rPr>
          <w:rFonts w:ascii="IRNazanin" w:hAnsi="IRNazanin" w:eastAsia="IRNazanin"/>
          <w:color w:val="111111"/>
          <w:sz w:val="28"/>
          <w:sz w:val="28"/>
          <w:szCs w:val="28"/>
          <w:rtl w:val="true"/>
          <w:lang w:bidi="fa-IR"/>
        </w:rPr>
        <w:t>،فإنّ الخطّ بما هو خطّ غیر قابل للبیع،لکونه عرضا محضا تابعا لمعروضه،فلا یمکن انفکاکه عنه حتّی یبحث فیه بأنّه یقابل بالثمن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کونه من قبیل الجواهر،کالخطوط المخطوطة بالحبر و نحوه،فإنّه لا یقبل النقل و الانتقال</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کان،فلا وجه للبحث عن جواز بیع الخط الخالی عن الأوراق و عدم جوازه،نعم شأن الخطوط بالنسبة إلی الأوراق شأن الصور النوعیة العرفیة التی</w:t>
      </w:r>
      <w:bookmarkStart w:id="1002" w:name="pg5064_65839"/>
    </w:p>
    <w:p>
      <w:pPr>
        <w:pStyle w:val="BookText"/>
        <w:rPr/>
      </w:pPr>
      <w:bookmarkEnd w:id="1002"/>
      <w:r>
        <w:rPr>
          <w:rFonts w:ascii="IRNazanin" w:hAnsi="IRNazanin" w:eastAsia="IRNazanin"/>
          <w:color w:val="111111"/>
          <w:sz w:val="28"/>
          <w:sz w:val="28"/>
          <w:szCs w:val="28"/>
          <w:rtl w:val="true"/>
          <w:lang w:bidi="fa-IR"/>
        </w:rPr>
        <w:t>یلزم من انتفائها انتفاء المبیع رأسا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حسن الخطّ وجودته فذلک من قبیل الأوصاف الکمالیة،فتوجب زیادة فی الثمن،و لا یلزم من انتفائها انتفاء المبیع لکی یترتّب علیه بطلان البیع،بل یثبت الخیار للمشروط له،إلاّ إذا کان الخط بمرتبة من الجودة صار مباینا لسائر الخطوط فی نظر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کخط المیر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فتکون صفة الحسن أیضا من الصور النوعیة العرفیة،و یلزم من انتفائها انتفاء المبیع،فیحکم ببطلان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ما إذا باع فراشا علی أنّه منسوج بنسج کاشان فبان أنّه منسوج بنسج آخر فإنّ الأول لجودة نساجته یعدّ فی نظر العرف مباینا للثانی،فیبطل البیع،لأنّ ما جری علیه العقد غیر واقع،و ما هو واقع غیر ما جری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البحث فی بیع المصحف إمّا الأوراق المجرّدة عن الخطوط أو العکس،أو هما معا،و حیث لا سبیل إلی الأول و الثانی فیتعیّن الثالث</w:t>
      </w:r>
      <w:r>
        <w:rPr>
          <w:rFonts w:eastAsia="IRNazanin" w:cs="IRNazanin"/>
          <w:color w:val="111111"/>
          <w:sz w:val="28"/>
          <w:szCs w:val="28"/>
          <w:rtl w:val="true"/>
          <w:lang w:bidi="fa-IR"/>
        </w:rPr>
        <w:t>.</w:t>
      </w:r>
    </w:p>
    <w:p>
      <w:pPr>
        <w:pStyle w:val="Heading4"/>
        <w:numPr>
          <w:ilvl w:val="3"/>
          <w:numId w:val="1"/>
        </w:numPr>
        <w:rPr/>
      </w:pPr>
      <w:bookmarkStart w:id="1003" w:name="__RefHeading___Toc910666_774463916"/>
      <w:bookmarkStart w:id="1004" w:name="_Toc367"/>
      <w:bookmarkEnd w:id="1003"/>
      <w:r>
        <w:rPr>
          <w:rtl w:val="true"/>
        </w:rPr>
        <w:t>الروایات الواردة فی المقام و الجمع بینها</w:t>
      </w:r>
      <w:bookmarkEnd w:id="1004"/>
    </w:p>
    <w:p>
      <w:pPr>
        <w:pStyle w:val="BookText"/>
        <w:rPr/>
      </w:pPr>
      <w:r>
        <w:rPr>
          <w:rFonts w:ascii="IRNazanin" w:hAnsi="IRNazanin" w:eastAsia="IRNazanin"/>
          <w:color w:val="111111"/>
          <w:sz w:val="28"/>
          <w:sz w:val="28"/>
          <w:szCs w:val="28"/>
          <w:rtl w:val="true"/>
          <w:lang w:bidi="fa-IR"/>
        </w:rPr>
        <w:t>ثمّ إنّ الروایات الواردة فی بیع المصحف علی طائفتین</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حرمة بیعه </w:t>
      </w:r>
      <w:r>
        <w:rPr>
          <w:rStyle w:val="FootnoteAnchor"/>
          <w:rtl w:val="true"/>
        </w:rPr>
        <w:footnoteReference w:id="1471"/>
      </w:r>
      <w:r>
        <w:rPr>
          <w:rFonts w:ascii="IRNazanin" w:hAnsi="IRNazanin" w:eastAsia="IRNazanin"/>
          <w:color w:val="111111"/>
          <w:sz w:val="28"/>
          <w:sz w:val="28"/>
          <w:szCs w:val="28"/>
          <w:rtl w:val="true"/>
          <w:lang w:bidi="fa-IR"/>
        </w:rPr>
        <w:t>،أی الأوراق المقیّدة بالخطوط،و تدلّ هذه</w:t>
      </w:r>
    </w:p>
    <w:p>
      <w:pPr>
        <w:pStyle w:val="BookText"/>
        <w:rPr/>
      </w:pPr>
      <w:r>
        <w:rPr>
          <w:rFonts w:ascii="IRNazanin" w:hAnsi="IRNazanin" w:eastAsia="IRNazanin"/>
          <w:color w:val="111111"/>
          <w:sz w:val="28"/>
          <w:sz w:val="28"/>
          <w:szCs w:val="28"/>
          <w:rtl w:val="true"/>
          <w:lang w:bidi="fa-IR"/>
        </w:rPr>
        <w:t>الطائفة علی جواز بیع غلافه و حدیدته و 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جواز بیعه </w:t>
      </w:r>
      <w:r>
        <w:rPr>
          <w:rStyle w:val="FootnoteAnchor"/>
          <w:rtl w:val="true"/>
        </w:rPr>
        <w:footnoteReference w:id="1472"/>
      </w:r>
      <w:r>
        <w:rPr>
          <w:rFonts w:ascii="IRNazanin" w:hAnsi="IRNazanin" w:eastAsia="IRNazanin"/>
          <w:color w:val="111111"/>
          <w:sz w:val="28"/>
          <w:sz w:val="28"/>
          <w:szCs w:val="28"/>
          <w:rtl w:val="true"/>
          <w:lang w:bidi="fa-IR"/>
        </w:rPr>
        <w:t>،فتقع المعارضة بینهما</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جمع المصنّف بینهما بأنّ الطائفة المجوّزة و إن کانت ظاهرة فی جواز البیع و لکنّها لم تتعرّض لبیان کیفیته،فلا تعارض ما دلّ علی حرمة بیعه المتضمّن للبیان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فی الجواهر </w:t>
      </w:r>
      <w:r>
        <w:rPr>
          <w:rStyle w:val="FootnoteAnchor"/>
          <w:rtl w:val="true"/>
        </w:rPr>
        <w:footnoteReference w:id="1473"/>
      </w:r>
      <w:r>
        <w:rPr>
          <w:rFonts w:ascii="IRNazanin" w:hAnsi="IRNazanin" w:eastAsia="IRNazanin"/>
          <w:color w:val="111111"/>
          <w:sz w:val="28"/>
          <w:sz w:val="28"/>
          <w:szCs w:val="28"/>
          <w:rtl w:val="true"/>
          <w:lang w:bidi="fa-IR"/>
        </w:rPr>
        <w:t>حمل الأخبار المجوّزة علی إرادة شراء الورق قبل أن یکتب فیها علی أن یکتبها،فیکون العقد فی الحقیقة متضمّنا لمورد البیع و مورد الإجارة،بقرینة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عملته یدک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عدم صلاحیة العمل موردا للبیع،فلا بدّ من تنزیله علی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الوجهین أنّ کلا من النفی و الإثبات فی الروایات الواردة فی بیع المصاحف إنّما ورد علی مورد واحد،و علیه فلا ترتفع المعارضة بین الطائفتین بشیء من الوجهین،لأنّهما من الجمع التبرّعی المحض،و لا شاهد لهما من 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خصوص ما فی الجواهر أنّه لا وجه لجعل العقد الواحد متضمّنا لموردی الإجارة و البیع معا تمسّکا بروایة عبد الرحمن بن سلیمان المذکورة فی الحاشیة فإنّه مضافا إلی کونها ضعیفة السند،أنّه لا دلالة فیها علی مقصود صاحب الجواهر إذ الظاهر من عمل الید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إنّما أشتری منک الورق و ما فیه من الأدم و حلیته و ما فیه من عمل یدک بکذا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الأثر الحاصل من العمل لا نفس الفعل،فإنّه لا وجه لکون العمل بعد وقوعه متعلّقا للإجارة</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تحمل الطائفة المانعة من الروایات علی الکراهة،بدعوی أنّ الغایة القصوی من النهی عن بیع المصحف إنّما هو التأدّب و الاحترام لکلام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أجلّ من أن یجعل موردا للبیع کسائر الکتب و الأمتعة،و أرفع من أن یقابل بثمن بخس دراهم معدودة،إذ الدنیا و ما فیها لا تساوی عند اللّه جناح بعوضة،فکیف یمکن أن یقع جزء من ذلک ثمنا للقرآن الذی اشتمل علی جمیع ما فی العالم و یدور علیه مدار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تعارف من قدیم الأیّام أنّ المسلمین یعاملون علی المصاحف معاملة الهدایا،و یسمّون ثمن القرآن هدیة،و علیه فیحمل</w:t>
      </w:r>
    </w:p>
    <w:p>
      <w:pPr>
        <w:pStyle w:val="BookText"/>
        <w:rPr/>
      </w:pPr>
      <w:r>
        <w:rPr>
          <w:rFonts w:ascii="IRNazanin" w:hAnsi="IRNazanin" w:eastAsia="IRNazanin"/>
          <w:color w:val="111111"/>
          <w:sz w:val="28"/>
          <w:sz w:val="28"/>
          <w:szCs w:val="28"/>
          <w:rtl w:val="true"/>
          <w:lang w:bidi="fa-IR"/>
        </w:rPr>
        <w:t>النهی الوارد عن بیعه علی الکراهة،لإرشاده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یدلّنا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روح بن عبد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أحبّ إلیّ من أن أبیعه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أشتریه أحبّ إلیّ من أن أبیعه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ذکرناهما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کون الشراء أحبّ عند الإمام من البیع یدلّ علی کراهة البیع،و کونه منافیا لعظمة القرآن،و لو کان النهی تکلیفیا لم یفرق فیه بین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دلالة الروایات المانعة علی الحرمة،لکنّها ظاهرة فی الحرمة التکلیفیة،فلا دلالة فیها علی الحرمة الوضعیة،أعنی فساد البیع و عدم نفوذه،لعدم الملازمة بینهما،و قد تقدّم ذلک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إلی جمیع ما ذکرناه أنّ الطائفة المانعة کلّها ضعیفة السند،و غیر منجبرة بشیء،فلا یجوز الاستناد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دلّ علی جواز بیع الورق أیضا معارض بما دلّ علی عدم جواز بیعه،کروایة سماعة المتقدّمة فی الحاشیة المصرّحة بحرمة بیع الورق الذی فیه القرآن فإنّه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ضعف السند فی روایة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صریحة فی المنع عن بیع الورق الذی فیه القرآن،لا الورق المجرّد،فلا 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قلنا بحرمة بیع المصحف أو بکراهته للروایات المتقدّمة فإنّه لا إشعار فیها بأنّ القرآن لا یملک،و أنّه لا یقبل النقل و الانتقال مطلقا،و علیه فمقتضی القاعدة أنّه کسائر الأموال یجری علیه حکمها من أنحاء النقل و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الهبة المعوّضة لوقوع العوض فی مقابل الهبة دون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البیع فقط</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ذکرناه جریان السیرة القطعیة علی معاملة المصاحف معاملة بقیّة الأموال،و تدلّ علی ذلک أیضا الروایات الدالّة علی أنّ المصحف من الحبوة ینتقل إلی الولد الأکبر بموت الوالد،و إذا لم یکن للمیّت ولد أکبر ینتقل إلی سائر</w:t>
      </w:r>
    </w:p>
    <w:p>
      <w:pPr>
        <w:pStyle w:val="BookText"/>
        <w:rPr/>
      </w:pPr>
      <w:r>
        <w:rPr>
          <w:rFonts w:ascii="Amiri" w:hAnsi="Amiri" w:eastAsia="Amiri" w:cs="Amiri"/>
          <w:color w:val="111111"/>
          <w:sz w:val="28"/>
          <w:sz w:val="28"/>
          <w:szCs w:val="28"/>
          <w:rtl w:val="true"/>
          <w:lang w:bidi="ar-SA"/>
        </w:rPr>
        <w:t xml:space="preserve">الورثة </w:t>
      </w:r>
      <w:r>
        <w:rPr>
          <w:rStyle w:val="FootnoteAnchor"/>
          <w:rtl w:val="true"/>
        </w:rPr>
        <w:footnoteReference w:id="1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المصحف مملوکا،أو لم یکن قابلا للانتقال لم تصحّ الأحکام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ما ذکرناه أیضا أنّه لو أتلف أحد مصحف غیره،أو أحدث فیه نقصا ضمن ذلک لصاحبه،و من الواضح أنّه لو لم یکن مملوکا فإنّه لا وجه للحکم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ضعف ما قاله المحقّق الإیروانی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الأخبار المانعة هو البیع،و یمکن جعلها کنایة عن مطلق النواقل الاختیاریة،بل إشارة إلی عدم قبوله للنقل و لو بالأسباب الغیر الاختیاریة کالإرث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علی القول بحرمة بیع المصحف أو بکراهته فلا یجری ذلک فی مبادلة مصحف بمصحف آخر،لا لانصراف أدلّة المنع عن هذه الصورة کما ذکره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476"/>
      </w:r>
      <w:r>
        <w:rPr>
          <w:rFonts w:ascii="IRNazanin" w:hAnsi="IRNazanin" w:eastAsia="IRNazanin"/>
          <w:color w:val="111111"/>
          <w:sz w:val="28"/>
          <w:sz w:val="28"/>
          <w:szCs w:val="28"/>
          <w:rtl w:val="true"/>
          <w:lang w:bidi="fa-IR"/>
        </w:rPr>
        <w:t>لإمکان منعه بإطلاق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منشأ للانصراف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لما عرفت سابقا من أنّ المنع عن بیع القرآن إنّما هو لعظمته،و أنّه یفوت عن الإنسان متاع ثمین بإزاء ثمن بخس،فإذا کانت المبادلة بین المصحفین لم یجر ذلک المحذور موضوعا</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ملازمة بین بیع المصحف و بین أخذ الاجرة علی کتابته،فلا یلزم من حرمة الأول أو کراهته حرمة الثانی أو کراهته،بل مقتضی القاعدة هو الإباحة و تدلّ علیه جملة من الروایات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bookmarkStart w:id="1005" w:name="pg5064_65844"/>
    </w:p>
    <w:p>
      <w:pPr>
        <w:pStyle w:val="Heading4"/>
        <w:numPr>
          <w:ilvl w:val="3"/>
          <w:numId w:val="1"/>
        </w:numPr>
        <w:rPr/>
      </w:pPr>
      <w:bookmarkStart w:id="1006" w:name="__RefHeading___Toc910668_774463916"/>
      <w:bookmarkStart w:id="1007" w:name="_Toc368"/>
      <w:bookmarkEnd w:id="1005"/>
      <w:bookmarkEnd w:id="1006"/>
      <w:r>
        <w:rPr>
          <w:rtl w:val="true"/>
        </w:rPr>
        <w:t>معنی حرمة بیع المصحف و شرائه</w:t>
      </w:r>
      <w:bookmarkEnd w:id="100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 المراد من حرمة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أنّ القرآن یملک و لو بکتابته فی الأوراق المملوکة،و علیه فامّا أن تکون النقوش من الأعیان المملوکة،أو لا،و علی الثانی فلا حاجة إلی النهی عن بیع الخط،إذ لم یقع بازائه جزء من الثمن لیکون ذلک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فامّا أن یبقی الخطّ فی ملک البائع أو ینتقل إلی المشتری،و علی الأول فیلزم أن یکون المصحف مشترکا بین البائع و المشتری،و هو بدیهی البطلان و مخالف للاتّفاق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فإن انتقلت هذه النقوش إلی المشتری فی مقابل جزء من الثمن فهو البیع المنهی عنه،و إن انتقلت إلیه تبعا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ما یدخل فی المبیع قهرا من الأوصاف التی تتفاوت قیمته بوجودها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مفروض المتبایعین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نقوش القرآن و خطوطه من قبیل الصور النوعیة العرفیة و هی مملوکة لمالک الأوراق ملکیة تبعیة،و دخیلة فی مالیة الورق کبقیة الأوصاف التی هی من الصور النوعیة فی نظر العرف،و علیه فمورد الحرمة أو الکراهة هو بیع الورق الذی کتب فیه کلام اللّه</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قد عرفت فی بعض المباحث السابقة </w:t>
      </w:r>
      <w:r>
        <w:rPr>
          <w:rStyle w:val="FootnoteAnchor"/>
          <w:rtl w:val="true"/>
        </w:rPr>
        <w:footnoteReference w:id="1478"/>
      </w:r>
      <w:r>
        <w:rPr>
          <w:rFonts w:ascii="IRNazanin" w:hAnsi="IRNazanin" w:eastAsia="IRNazanin"/>
          <w:color w:val="111111"/>
          <w:sz w:val="28"/>
          <w:sz w:val="28"/>
          <w:szCs w:val="28"/>
          <w:rtl w:val="true"/>
          <w:lang w:bidi="fa-IR"/>
        </w:rPr>
        <w:t>و ستعرف إن</w:t>
      </w:r>
    </w:p>
    <w:p>
      <w:pPr>
        <w:pStyle w:val="BookText"/>
        <w:rPr/>
      </w:pPr>
      <w:r>
        <w:rPr>
          <w:rFonts w:ascii="IRNazanin" w:hAnsi="IRNazanin" w:eastAsia="IRNazanin"/>
          <w:color w:val="111111"/>
          <w:sz w:val="28"/>
          <w:sz w:val="28"/>
          <w:szCs w:val="28"/>
          <w:rtl w:val="true"/>
          <w:lang w:bidi="fa-IR"/>
        </w:rPr>
        <w:t xml:space="preserve">شاء اللّه تعالی فی مبحث الشروط </w:t>
      </w:r>
      <w:r>
        <w:rPr>
          <w:rStyle w:val="FootnoteAnchor"/>
          <w:rtl w:val="true"/>
        </w:rPr>
        <w:footnoteReference w:id="1479"/>
      </w:r>
      <w:r>
        <w:rPr>
          <w:rFonts w:ascii="IRNazanin" w:hAnsi="IRNazanin" w:eastAsia="IRNazanin"/>
          <w:color w:val="111111"/>
          <w:sz w:val="28"/>
          <w:sz w:val="28"/>
          <w:szCs w:val="28"/>
          <w:rtl w:val="true"/>
          <w:lang w:bidi="fa-IR"/>
        </w:rPr>
        <w:t>أنّ کیفیات الأشیاء و إن کانت بحسب الدقّة الفلسفیة من مقولة الأعراض،و لکنّها تختلف فی نظر أهل العرف،فقد یکون نظرهم إلی الأشیاء أنفسها بالأصالة و إلی أوصافها بالتبع،کالأوصاف التی هی من لوازم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نظرهم فیها إلی الهیئة بالأصالة و إلی المادّة بالتبع،لکون الهیئة من الصور النوعیة فی نظرهم،کما فی الکأس و الکوز المصنوعین من الخزف،فإنّهما فی نظر العرف نوعان متباینان،و إن کانا من مادّة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نظرهم إلی کلتیهما،کالفراش المنسوج من الصوف،فإنّ الاعتبار فی نظر أهل العرف بمادّته و هیئته،فهو مباین فی نظرهم مع العباءة المنسوجة من الصوف،و مع الفراش المنسوج من القطن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فالمالیة فیه من ناحیة المواد،لخروج أوصافها عن الرغبات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فالمالیة فیه لخصوص الهیئات،لکون المادّة ملحوظة بالتبع</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 فالمالیة فیه للهیئة و المادّة معا،فإنّ النظر فیه إلی کل منهما و علیه فإذا تخلّفت أوصاف المبیع فإن کانت من الصور النوعیة بطل البیع،کما إذا باع کوزا فبان کأسا،أو باع فراشا فظهر عباءة،و وجه البطلان هو أنّ الواقع غیر مقصود،و المقصود غیر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 الأوصاف الکمالیة فإن کان لوجودها دخل فی زیادة الثمن ثبت عند تخلّفها الخیار،و إلاّ فلا یترتّب علیه شیء نعم لا یجوز للبائع تغییر الهیئة،لکونه تصرّفا فی مال الغیر بدون إذنه،و هو حرام إلاّ إذا کانت الهیئة مبغوضة،کهیاکل العبادة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النقوش فی المصاحف،سواء کانت من الأعراض الصرفة أم من الجواهر و إن لم تکن مالا و لا مملوکة بنفسها،و لکنّها دخیلة فی مالیة الأوراق،فإنّ هذه النقوش فی نظر أهل العرف من الصور النوعیة التی یدور علیها مدار التسمیة،بحیث لو باع أحد مجموع ما بین الدفّتین علی أنّه مصحف فبان أوراقا خالیة عن الخطوط،أو کتابا آخر بطل البیع،لعدم وجود المبیع فی نظر العرف فالمصحف و کتاب المفاتیح مثلا نوعان،و الجواهر و البحار متباینان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جمیع ما ذکرناه أنّ مورد الحرمة أو الکراهة فی بیع المصحف هو الورق المنقوش الذی یسمّی مصحفا،و یؤیّد ذلک ما فی روایة سماعة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تشتری الورق و فیه القرآن مکتوب</w:t>
      </w:r>
      <w:r>
        <w:rPr>
          <w:rFonts w:eastAsia="IRNazanin" w:cs="IRNazanin"/>
          <w:color w:val="111111"/>
          <w:sz w:val="28"/>
          <w:szCs w:val="28"/>
          <w:rtl w:val="true"/>
          <w:lang w:bidi="fa-IR"/>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إذا قلنا بحرمة بیع المصحف فیمکن توجیه المعاملات الواقعة علیه فی الخارج بأحد وجهین،و هما اللذان یمکن استفادتهما من الروایات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المبیع هو الجلد و الغلاف و الحدید و الحلیة،و لکن یشترط المشتری علی البائع فی ضمن العقد أن یملّکه الأوراق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کتب فیه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مجّانا و لا یلزم التصریح بذلک الشرط،فإنّه بعد البناء علی حرمة بیعه فالقرینة القطعیة قائمة علی اعتبار ذلک الشرط فی العقد،بداهة أنّ غرض المشتری لیس هو شراء الأدیم و الحدید و الغلاف فقط،و إلاّ لاشتری غیرها،بل غرضه تملّک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المبیع بالأصالة هو الامور المذکورة،و لکن تنتقل الخطوط إلی المشتری تبعا و قهرا،فتکون مملوکة له ملکیة تبعیة،إذ لا یعقل انفکاک الصورة عن المادّة لکی تبقی الهیئة فی ملک البائع و تنتقل المادّة إلی المشتری</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المبیع هو الامور المذکورة لزم القول بصحّة بیع المصحف</w:t>
      </w:r>
      <w:bookmarkStart w:id="1008" w:name="pg5064_65847"/>
    </w:p>
    <w:p>
      <w:pPr>
        <w:pStyle w:val="BookText"/>
        <w:rPr/>
      </w:pPr>
      <w:bookmarkEnd w:id="1008"/>
      <w:r>
        <w:rPr>
          <w:rFonts w:ascii="IRNazanin" w:hAnsi="IRNazanin" w:eastAsia="IRNazanin"/>
          <w:color w:val="111111"/>
          <w:sz w:val="28"/>
          <w:sz w:val="28"/>
          <w:szCs w:val="28"/>
          <w:rtl w:val="true"/>
          <w:lang w:bidi="fa-IR"/>
        </w:rPr>
        <w:t>و لزومه علی وجه الإطلاق،حتّی إذا ظهر عیب فی النقوش الموجودة فی الأوراق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بالالتزام بذلک،إلاّ إذا اشترط المشتری علی البائع صحّة الخطوط،فیثبت للمشتری حینئذ خیار تخلّف الشرط</w:t>
      </w:r>
      <w:r>
        <w:rPr>
          <w:rFonts w:eastAsia="IRNazanin" w:cs="IRNazanin"/>
          <w:color w:val="111111"/>
          <w:sz w:val="28"/>
          <w:szCs w:val="28"/>
          <w:rtl w:val="true"/>
          <w:lang w:bidi="fa-IR"/>
        </w:rPr>
        <w:t>.</w:t>
      </w:r>
    </w:p>
    <w:p>
      <w:pPr>
        <w:pStyle w:val="Heading4"/>
        <w:numPr>
          <w:ilvl w:val="3"/>
          <w:numId w:val="1"/>
        </w:numPr>
        <w:rPr/>
      </w:pPr>
      <w:bookmarkStart w:id="1009" w:name="__RefHeading___Toc910670_774463916"/>
      <w:bookmarkStart w:id="1010" w:name="_Toc369"/>
      <w:bookmarkEnd w:id="1009"/>
      <w:r>
        <w:rPr>
          <w:rtl w:val="true"/>
        </w:rPr>
        <w:t>حکم بیع أبعاض المصحف</w:t>
      </w:r>
      <w:bookmarkEnd w:id="1010"/>
    </w:p>
    <w:p>
      <w:pPr>
        <w:pStyle w:val="BookText"/>
        <w:rPr/>
      </w:pPr>
      <w:r>
        <w:rPr>
          <w:rFonts w:ascii="IRNazanin" w:hAnsi="IRNazanin" w:eastAsia="IRNazanin"/>
          <w:color w:val="111111"/>
          <w:sz w:val="28"/>
          <w:sz w:val="28"/>
          <w:szCs w:val="28"/>
          <w:rtl w:val="true"/>
          <w:lang w:bidi="fa-IR"/>
        </w:rPr>
        <w:t>إذا قلنا بحرمة بیع المصحف أو بکراهته فهل یختصّ الحکم بمجموع ما بین الدفّتین،أو یسری إلی الأبعاض أیضا؟ربما قیل بالثانی،لقوله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سماعة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تشتری الورق و فیه القرآن مکتوب،فیکون علیک حراما و علی من باعه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الروایة ظاهرة فی شمول الحکم لأی ورق کتب فیه القرآن،و علیه فیشمل الحکم لکتب التفسیر،و لکل کتاب رقم فیه بعض الآیات للاستشهاد و الاستدلال،ککتب الفقه و اللغة و النحو و غیرها،أو ذکرت فیه لمناسبة الأبواب،کبعض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أنّ السیرة القطعیة قائمة علی جواز بیع الکتب المزبورة و شرائها،من غیر نکیر حتّی من المتورّعین فی أفعالهم و معاملاتهم،بل لم نر و لم نسمع من متفقّه أنّه أفتی فیها بکراهة البیع فضلا عن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بأس بالالتزام بجواز بیع کل کتاب مشتمل علی الآیات القرآنیة،کالکتب المزبورة و غیرها</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جاز بیع کتاب مشتمل علی أبعاض القرآن جاز بیع أبعاض القرآن بنفسها،لاتّحاد الملاک فیهما،بل یجوز بیع مجموع القرآن حینئذ،فإنّ دلیل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روایة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یفرق فیه بین مجموع القرآن و أبعاضه،و حیث قامت السیرة القطعیة علی جواز البیع فی الأبعاض کان ذلک کاشفا عن جواز بیع المجموع،و یکون ذلک وجها آخر لحمل الأخبار المانعة علی الکراهة</w:t>
      </w:r>
      <w:r>
        <w:rPr>
          <w:rFonts w:eastAsia="IRNazanin" w:cs="IRNazanin"/>
          <w:color w:val="111111"/>
          <w:sz w:val="28"/>
          <w:szCs w:val="28"/>
          <w:rtl w:val="true"/>
          <w:lang w:bidi="fa-IR"/>
        </w:rPr>
        <w:t>.</w:t>
      </w:r>
      <w:bookmarkStart w:id="1011" w:name="pg5064_65848"/>
    </w:p>
    <w:p>
      <w:pPr>
        <w:pStyle w:val="BookText"/>
        <w:rPr/>
      </w:pPr>
      <w:bookmarkEnd w:id="1011"/>
      <w:r>
        <w:rPr>
          <w:rFonts w:ascii="IRNazanin" w:hAnsi="IRNazanin" w:eastAsia="IRNazanin"/>
          <w:color w:val="111111"/>
          <w:sz w:val="28"/>
          <w:sz w:val="28"/>
          <w:szCs w:val="28"/>
          <w:rtl w:val="true"/>
          <w:lang w:bidi="fa-IR"/>
        </w:rPr>
        <w:t>و لکن الذی یعظم الخطب أنّ السیرة دلیل لبّی،فیؤخذ منها بالمقدار المتیقّن فلو تمّت الأدلّة المانعة عن بیع المصحف لم یجز الخروج عنها إلاّ بمقدار ما قامت علیه السیرة،أعنی به الکتب المشتملة علی الآیات القرآنیة،و لا یمکن التعدّی منها إلی الأبعاض المأخوذة من المصحف،فضلا عن التعدّی إلی مجموع ما بین الدفّتین و الحکم بجواز بیعه</w:t>
      </w:r>
      <w:r>
        <w:rPr>
          <w:rFonts w:eastAsia="IRNazanin" w:cs="IRNazanin"/>
          <w:color w:val="111111"/>
          <w:sz w:val="28"/>
          <w:szCs w:val="28"/>
          <w:rtl w:val="true"/>
          <w:lang w:bidi="fa-IR"/>
        </w:rPr>
        <w:t>.</w:t>
      </w:r>
    </w:p>
    <w:p>
      <w:pPr>
        <w:pStyle w:val="Heading4"/>
        <w:numPr>
          <w:ilvl w:val="3"/>
          <w:numId w:val="1"/>
        </w:numPr>
        <w:rPr/>
      </w:pPr>
      <w:bookmarkStart w:id="1012" w:name="__RefHeading___Toc910672_774463916"/>
      <w:bookmarkStart w:id="1013" w:name="_Toc370"/>
      <w:bookmarkEnd w:id="1012"/>
      <w:r>
        <w:rPr>
          <w:rtl w:val="true"/>
        </w:rPr>
        <w:t>بیع المصحف من الکافر</w:t>
      </w:r>
      <w:bookmarkEnd w:id="101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المشهور بین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تأخّر عنه عدم جواز بیع المصحف من الکافر علی الوجه الذی یجوز بیعه من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الکلام هنا یقع فی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تملّک الکافر للمصحف و 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جواز بیعه من المسلم فهل یجوز بیعه من الکافر،أو لا؟ و أمّا علی القول بحرمة بیعه منه فیحرم بیعه من الکافر بالأولویة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هو الجواز،للأصل،فإنّ مقتضاه جواز تملّک کل شخص لأی شیء إلاّ ما خرج بالدلیل،و من الواضح جدّا أنّا لم نجد ما یدلّ علی حرمة تملّک الکافر للمصحف،بل الظاهر ممّا ذکرناه آنفا هو جواز ذلک لأی أحد من الناس</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یلوح ذلک أیضا من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فصل ما یغنم و ما لا یغنم من المبسوط أنّ ما یوجد فی دار الحرب من المصاحف و الکتب التی لیست بکتب الزندقة و الکفر داخل فی الغنیمة،و یجوز بیعها </w:t>
      </w:r>
      <w:r>
        <w:rPr>
          <w:rStyle w:val="FootnoteAnchor"/>
          <w:rtl w:val="true"/>
        </w:rPr>
        <w:footnoteReference w:id="1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عدم تملّک الکافر</w:t>
      </w:r>
    </w:p>
    <w:p>
      <w:pPr>
        <w:pStyle w:val="BookText"/>
        <w:rPr/>
      </w:pPr>
      <w:r>
        <w:rPr>
          <w:rFonts w:ascii="IRNazanin" w:hAnsi="IRNazanin" w:eastAsia="IRNazanin"/>
          <w:color w:val="111111"/>
          <w:sz w:val="28"/>
          <w:sz w:val="28"/>
          <w:szCs w:val="28"/>
          <w:rtl w:val="true"/>
          <w:lang w:bidi="fa-IR"/>
        </w:rPr>
        <w:t>للمصاحف فلا وجه لدخولها فی الغنیمة،بل تکون من قبیل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الوجوه المذکورة لحرمة بیع المصحف من الکافر فلا دلالة فیها علی عدم تملّکه إیّاه،کما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المصنّف علی حرمة بیع المصحف من الکافر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فحوی ما دلّ علی عدم تملّک الکافر للمسلم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ذلک،بل ما دلّ علی وجوب بیعه یدلّ بالالتزام علی تملّکه إیّاه،إذ لا بیع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ذکر الفقهاء أنّه لو اشتری الکافر أحد عمودیه المسلم فإنّه ینعتق علیه،مع أنّه لا عتق إلاّ فی ملک،و سیأتی تفصیل ذلک فی البحث عن شرائط العوضین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ثبوت الحکم فی العبد المسلم فلا نسلّم قیاس المصحف علیه فإنّه مضافا إلی بطلان القیاس فی نفسه،أنّ فی تملّک الکافر للمسلم ذلا علیه بخلاف تملّکه للمصحف،فإنّه ربما یزید فی احترامه،کما إذا جعله فی مکتبة نظیفة للاطّلاع علی آیاته و براهینه،بل قد تترتّب علی ذلک هدایته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Style w:val="FootnoteAnchor"/>
          <w:rtl w:val="true"/>
        </w:rPr>
        <w:footnoteReference w:id="1483"/>
      </w:r>
      <w:r>
        <w:rPr>
          <w:rFonts w:ascii="IRNazanin" w:hAnsi="IRNazanin" w:eastAsia="IRNazanin"/>
          <w:color w:val="111111"/>
          <w:sz w:val="28"/>
          <w:sz w:val="28"/>
          <w:szCs w:val="28"/>
          <w:rtl w:val="true"/>
          <w:lang w:bidi="fa-IR"/>
        </w:rPr>
        <w:t>بدعوی أنّ تملّک الکافر للمصحف یوجب الاستعلاء علی الإسلام فلا یجوز</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النبوی المذکور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مجمل،فلا یجوز الاستدلال به علی المطلوب،إذ یمکن أن یراد به أنّ الإسلام یغلب علی بقیة الأدیان</w:t>
      </w:r>
    </w:p>
    <w:p>
      <w:pPr>
        <w:pStyle w:val="BookText"/>
        <w:rPr/>
      </w:pPr>
      <w:r>
        <w:rPr>
          <w:rFonts w:ascii="IRNazanin" w:hAnsi="IRNazanin" w:eastAsia="IRNazanin"/>
          <w:color w:val="111111"/>
          <w:sz w:val="28"/>
          <w:sz w:val="28"/>
          <w:szCs w:val="28"/>
          <w:rtl w:val="true"/>
          <w:lang w:bidi="fa-IR"/>
        </w:rPr>
        <w:t>فی العالم،و یمکن أن یراد به أنّ الإسلام أشرف من سائر المذاهب،و یمکن أن یراد به علو حجّته و سموّ برهانه،لأنّ حقیقة الإسلام مستندة إلی الحجج الواضحة و البراهین اللائحة،بحیث یفهمها کل عاقل ممیّز حتّی الصبیان،و یتّضح ذلک جلیّا لمن یلاحظ الآیات القرآنیة،و کیفیة استدلاله تعالی علی المبدأ و المعاد و غیرهما ببیان واضح یفهمه أی أحد،بلا احتیاج إلی مقدّمات بعیدة،بخلاف سائر الأدیان فإنّها تبتنی علی خیالات واهیة،و توهّمات باردة تشبه بأضغاث الأحلام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 المصحف من الکافر یوجب هتکه،لعدم مبالاته بهتک حرمات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بین هتک القرآن و بین بیعه من الکافر عموما من وجه،فقد لا یوجب بیعه من الکافر هتکا له،کما إذا اشتراه و جعله فی مکتبة نظیفة،و احترمه فوق ما یحترمه نوع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یتحقّق الهتک حیث لا یتحقّق بیعه من الکافر کما إذا کان تحت ید مسلم لا یبالی بهتک حرمات اللّه،فیجعله فی مکان لا یناسبه و یعامله معاملة المجلاّت و القراطیس الباطلة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یجتمعان،کما إذا اشتراه الکافر و نبذه وراء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الهتک إنّما یترتّب علی تسلیط الکافر علی المصحف خارجا،لا علی مجرّد بیعه منه،و علیه فإذا وکّل مسلما فی بیعه و شرائه و التصرّف فیه و الانتفاع به فإنّه لا یترتّب علیه الهتک من ناحیة تملّک الکافر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 المصحف من الکافر یستلزم تنجّسه،للعلم العادی بمسّ الکافر إیّاه بالرطوبة،فیکون حراما من هذه الجهة</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بیعه منه لا یلازم تنجّسه،فإنّ بینهما عموما من وجه،کما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من صغریات الإعانة علی الإثم،و قد علمت فی البحث عن</w:t>
      </w:r>
      <w:bookmarkStart w:id="1014" w:name="pg5064_65851"/>
    </w:p>
    <w:p>
      <w:pPr>
        <w:pStyle w:val="BookText"/>
        <w:rPr/>
      </w:pPr>
      <w:bookmarkEnd w:id="1014"/>
      <w:r>
        <w:rPr>
          <w:rFonts w:ascii="IRNazanin" w:hAnsi="IRNazanin" w:eastAsia="IRNazanin"/>
          <w:color w:val="111111"/>
          <w:sz w:val="28"/>
          <w:sz w:val="28"/>
          <w:szCs w:val="28"/>
          <w:rtl w:val="true"/>
          <w:lang w:bidi="fa-IR"/>
        </w:rPr>
        <w:t xml:space="preserve">بیع العنب ممّن یجعله خمرا </w:t>
      </w:r>
      <w:r>
        <w:rPr>
          <w:rStyle w:val="FootnoteAnchor"/>
          <w:rtl w:val="true"/>
        </w:rPr>
        <w:footnoteReference w:id="1484"/>
      </w:r>
      <w:r>
        <w:rPr>
          <w:rFonts w:ascii="IRNazanin" w:hAnsi="IRNazanin" w:eastAsia="IRNazanin"/>
          <w:color w:val="111111"/>
          <w:sz w:val="28"/>
          <w:sz w:val="28"/>
          <w:szCs w:val="28"/>
          <w:rtl w:val="true"/>
          <w:lang w:bidi="fa-IR"/>
        </w:rPr>
        <w:t>أنّه لا دلیل علی حرمتها إلاّ فی موارد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جمیع ما ذکرناه أنّ المستفاد من الوجوه المذکورة هو حرمة البیع تکلیفا،و قد تقدّم مرارا أنّه لا ملازمة بینها و بین الحرمة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الوجوه المذکورة لو تمّت دلالتها علی حرمة بیع المصحف من الکافر فإنّها تقتضی حرمة بیع الأدعیة و الروایات منه أیضا،خصوصا إذا کانت مشتملة علی أسماء اللّه و أسماء الأنبیاء و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أبعاض المصحف فی حکم الکل إذا کان مستقلا،و أمّا المتفرّقة فی تضاعیف غیر التفاسیر من الکتب للاستشهاد بلفظه أو معناه فلا یبعد عدم اللحوق،لعدم تحقّق الإهانة و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جواز بیع المصحف منه تماما إذا کان جزءا من کتاب آخر،و المفروض حرمته</w:t>
      </w:r>
      <w:r>
        <w:rPr>
          <w:rFonts w:eastAsia="IRNazanin" w:cs="IRNazanin"/>
          <w:color w:val="111111"/>
          <w:sz w:val="28"/>
          <w:szCs w:val="28"/>
          <w:rtl w:val="true"/>
          <w:lang w:bidi="fa-IR"/>
        </w:rPr>
        <w:t>.</w:t>
      </w:r>
    </w:p>
    <w:p>
      <w:pPr>
        <w:pStyle w:val="Heading3"/>
        <w:numPr>
          <w:ilvl w:val="2"/>
          <w:numId w:val="1"/>
        </w:numPr>
        <w:rPr/>
      </w:pPr>
      <w:bookmarkStart w:id="1015" w:name="__RefHeading___Toc910674_774463916"/>
      <w:bookmarkStart w:id="1016" w:name="_Toc371"/>
      <w:bookmarkEnd w:id="1015"/>
      <w:r>
        <w:rPr>
          <w:rtl w:val="true"/>
        </w:rPr>
        <w:t>جوائز السلطان</w:t>
      </w:r>
      <w:bookmarkEnd w:id="1016"/>
    </w:p>
    <w:p>
      <w:pPr>
        <w:pStyle w:val="Heading4"/>
        <w:numPr>
          <w:ilvl w:val="3"/>
          <w:numId w:val="1"/>
        </w:numPr>
        <w:rPr/>
      </w:pPr>
      <w:bookmarkStart w:id="1017" w:name="__RefHeading___Toc910676_774463916"/>
      <w:bookmarkStart w:id="1018" w:name="_Toc372"/>
      <w:bookmarkEnd w:id="1017"/>
      <w:r>
        <w:rPr>
          <w:rtl w:val="true"/>
        </w:rPr>
        <w:t>جواز أخذ المال منه مع الشکّ فی وجود الحرام فی أمواله</w:t>
      </w:r>
      <w:bookmarkEnd w:id="1018"/>
    </w:p>
    <w:p>
      <w:pPr>
        <w:pStyle w:val="Heading5"/>
        <w:numPr>
          <w:ilvl w:val="4"/>
          <w:numId w:val="1"/>
        </w:numPr>
        <w:rPr/>
      </w:pPr>
      <w:bookmarkStart w:id="1019" w:name="__RefHeading___Toc910678_774463916"/>
      <w:bookmarkStart w:id="1020" w:name="_Toc373"/>
      <w:bookmarkEnd w:id="1019"/>
      <w:r>
        <w:rPr>
          <w:rtl w:val="true"/>
        </w:rPr>
        <w:t>اشارة</w:t>
      </w:r>
      <w:bookmarkEnd w:id="102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جوائز السلطان و عمّاله،بل مطلق المال المأخوذ منهم مجّانا أو عوضا</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البحث هنا کل مال اخذ من أی شخص یأکل فریقا من أموال الناس بالظلم و العدوان،و تخصیص الکلام بجوائز السلطان و عمّاله إنّما هو من جهة الغلبة،و علیه فیعمّ البحث المال المأخوذ منهم بعنوان المعاملة،و المال المأخوذ ممّن یأخذ أموال الناس بالسرقة أو الغصب</w:t>
      </w:r>
      <w:r>
        <w:rPr>
          <w:rFonts w:eastAsia="IRNazanin" w:cs="IRNazanin"/>
          <w:color w:val="111111"/>
          <w:sz w:val="28"/>
          <w:szCs w:val="28"/>
          <w:rtl w:val="true"/>
          <w:lang w:bidi="fa-IR"/>
        </w:rPr>
        <w:t>.</w:t>
      </w:r>
      <w:bookmarkStart w:id="1021" w:name="pg5064_65852"/>
    </w:p>
    <w:p>
      <w:pPr>
        <w:pStyle w:val="BookText"/>
        <w:rPr/>
      </w:pPr>
      <w:bookmarkEnd w:id="1021"/>
      <w:r>
        <w:rPr>
          <w:rFonts w:ascii="IRNazanin" w:hAnsi="IRNazanin" w:eastAsia="IRNazanin"/>
          <w:color w:val="111111"/>
          <w:sz w:val="28"/>
          <w:sz w:val="28"/>
          <w:szCs w:val="28"/>
          <w:rtl w:val="true"/>
          <w:lang w:bidi="fa-IR"/>
        </w:rPr>
        <w:t>ثمّ إنّ المال المأخوذ من الجائر لا یخلو من أربعة أقسام،لأنّ الآخذ إمّا أن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مال محرّم فی أموال الجائر،أو هو یعلم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فإمّا أن لا یعلم بوجود الحرام فی خصوص المال المأخوذ،أو هو یعلم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فإمّا أن یعلم بوجود الحرام فیه تفصیلا أو إجمالا،فهنا أربع صور</w:t>
      </w:r>
      <w:r>
        <w:rPr>
          <w:rFonts w:eastAsia="IRNazanin" w:cs="IRNazanin"/>
          <w:color w:val="111111"/>
          <w:sz w:val="28"/>
          <w:szCs w:val="28"/>
          <w:rtl w:val="true"/>
          <w:lang w:bidi="fa-IR"/>
        </w:rPr>
        <w:t>:</w:t>
      </w:r>
    </w:p>
    <w:p>
      <w:pPr>
        <w:pStyle w:val="Heading5"/>
        <w:numPr>
          <w:ilvl w:val="4"/>
          <w:numId w:val="1"/>
        </w:numPr>
        <w:rPr/>
      </w:pPr>
      <w:bookmarkStart w:id="1022" w:name="__RefHeading___Toc910680_774463916"/>
      <w:bookmarkStart w:id="1023" w:name="_Toc374"/>
      <w:bookmarkEnd w:id="1022"/>
      <w:r>
        <w:rPr>
          <w:rtl w:val="true"/>
        </w:rPr>
        <w:t>أقسام المال المأخوذ من الجائر</w:t>
      </w:r>
      <w:bookmarkEnd w:id="1023"/>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یأخذ المال من الظالم مع الشکّ فی وجود الحرام فی أمواله و لا شبهة فی جواز ذلک،لعموم قاعدة الید،المتصیّدة من الأخبار الکثیرة الواردة فی موارد عدیدة،و للروایات الخاصّة الواردة فی خصوص المقام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مضافا إلی الروایات الخاصّة بالأصل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الإجماع فیحتمل قریبا أن یکون مستنده قاعدة الید،و الأخبار الخاصّة الواردة فی المقام،فلا یکون إجماعا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فإن کان المراد به 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عبّر عنها بالأصل للمساهلة و المسامحة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متین،لأنّها من القواعد المسلّمة بین الفقهاء،فحال الجائر فی هذه الصورة حال بقیّة الناس،فإنّ الاحتمال المذکور موجود حتّی فی أموال العدول من المسلمین،بل یمکن شمول قاعدة الید للکفّار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بالأصل غیر قاعدة الید فلا نعلم له وجها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أصالة الصحّة،فإنّ القاعدة تقتضی حمل فعل المسلم علی الصحّة،و المفروض أنّ الجائر من المسلمین،فیعامل معاملة بقیّة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أنّه لم یقم دلیل لفظی علی اعتبار أصالة الصحّة،لکی یتمسّک بإطلاقه فی کل مورد یشکّ فیه،و دلیلها إنّما هو السیرة،و هی من الأدلّة اللبّیة فیؤخذ بالمقدار المتیقّن منها،و هو نفس العقود و الإیقاعات مع إحراز أهلّیة المتصرّف للتصرّف،و علیه فإذا شکّ فی أنّ العقد الفلانی تحقّق صحیحا أو فاسدا لخلل فی إیجابه أو قبوله فإنّه یحمل علی الصحّة،و أمّا إذا شکّ فیه من جهة اخری فلا دلیل علی حمل فعل المسلم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أشار أحد إلی دار معیّنة و قال بعتک هذه الدار بکذا،فإنّه لا یمکن الحکم بصحّة هذه المعاملة،اعتمادا علی أصالة الصحّة إذا انتفت قاعدة الید،أو إذا قطعنا النظر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أیضا لو شکّ فی أنّ البائع أصیل أو فضولی فإنّه لا وجه لحمله علی الأول بمقتضی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بالأصل هو أصالة الإباحة الثابتة بالأدلّة العقلیة و النقلیة</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الإباحة إنّما تجری فی الأموال إذا لم تکن مسبوقة بید اخری کالمباحات الأصلیة التی ملکها الجائر بالحیازة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مسبوقة بید اخری</w:t>
      </w:r>
      <w:bookmarkStart w:id="1024" w:name="pg5064_65854"/>
    </w:p>
    <w:p>
      <w:pPr>
        <w:pStyle w:val="BookText"/>
        <w:rPr/>
      </w:pPr>
      <w:bookmarkEnd w:id="1024"/>
      <w:r>
        <w:rPr>
          <w:rFonts w:ascii="IRNazanin" w:hAnsi="IRNazanin" w:eastAsia="IRNazanin"/>
          <w:color w:val="111111"/>
          <w:sz w:val="28"/>
          <w:sz w:val="28"/>
          <w:szCs w:val="28"/>
          <w:rtl w:val="true"/>
          <w:lang w:bidi="fa-IR"/>
        </w:rPr>
        <w:t>فإنّ أصالة الإباحة محکومة بأصل آخر،و هو عدم انتقال الأموال المذکورة إلی الجائر من مالکها السابق،فیحرم تناول تلک الأموال من الجائر،إذ لیس هنا أصل موضوعی یثبت مالکیته لما فی یده إلاّ قاعدة الید،و المفروض أنّها لا تجری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یجوز أخذ الجوائز من الجائر إلاّ مع العلم باشتمال أمواله علی مال حلال،لکی یحتمل أن یکون المال المأخوذ من المال الحلال و قد استند فی ذلک إلی روایة الحمیری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مرسلة فلا یجوز الاستناد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غریبة عن محلّ البحث،فإنّ مورد کلامنا هی الصورة الاولی،و هی ما إذا لم یعلم باشتمال أموال الجائر علی مال محرّم،و مفروض الروایة عکس ذلک،فتکون راجعة إلی الصورة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اشتباه من الناسخ فکتبها فی غیر موضعها،و قد وقع نظیره فی کتب الشیخ،و اللّه العالم</w:t>
      </w:r>
      <w:r>
        <w:rPr>
          <w:rFonts w:eastAsia="IRNazanin" w:cs="IRNazanin"/>
          <w:color w:val="111111"/>
          <w:sz w:val="28"/>
          <w:szCs w:val="28"/>
          <w:rtl w:val="true"/>
          <w:lang w:bidi="fa-IR"/>
        </w:rPr>
        <w:t>.</w:t>
      </w:r>
    </w:p>
    <w:p>
      <w:pPr>
        <w:pStyle w:val="Heading4"/>
        <w:numPr>
          <w:ilvl w:val="3"/>
          <w:numId w:val="1"/>
        </w:numPr>
        <w:rPr/>
      </w:pPr>
      <w:bookmarkStart w:id="1025" w:name="__RefHeading___Toc910682_774463916"/>
      <w:bookmarkStart w:id="1026" w:name="_Toc375"/>
      <w:bookmarkEnd w:id="1025"/>
      <w:r>
        <w:rPr>
          <w:rtl w:val="true"/>
        </w:rPr>
        <w:t>جواز أخذ المال من الجائر</w:t>
      </w:r>
      <w:bookmarkEnd w:id="1026"/>
    </w:p>
    <w:p>
      <w:pPr>
        <w:pStyle w:val="Heading5"/>
        <w:numPr>
          <w:ilvl w:val="4"/>
          <w:numId w:val="1"/>
        </w:numPr>
        <w:rPr/>
      </w:pPr>
      <w:bookmarkStart w:id="1027" w:name="__RefHeading___Toc910684_774463916"/>
      <w:bookmarkStart w:id="1028" w:name="_Toc376"/>
      <w:bookmarkEnd w:id="1027"/>
      <w:r>
        <w:rPr>
          <w:rtl w:val="true"/>
        </w:rPr>
        <w:t>اشارة</w:t>
      </w:r>
      <w:bookmarkEnd w:id="1028"/>
    </w:p>
    <w:p>
      <w:pPr>
        <w:pStyle w:val="BookText"/>
        <w:rPr/>
      </w:pPr>
      <w:r>
        <w:rPr>
          <w:rFonts w:ascii="IRNazanin" w:hAnsi="IRNazanin" w:eastAsia="IRNazanin"/>
          <w:color w:val="111111"/>
          <w:sz w:val="28"/>
          <w:sz w:val="28"/>
          <w:szCs w:val="28"/>
          <w:rtl w:val="true"/>
          <w:lang w:bidi="fa-IR"/>
        </w:rPr>
        <w:t>مع العلم الإجمالی بوجود الحرام فی أمواله</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الآخذ إجمالا باشتمال أموال السلطان علی الحرام</w:t>
      </w:r>
      <w:bookmarkStart w:id="1029" w:name="pg5064_65855"/>
    </w:p>
    <w:p>
      <w:pPr>
        <w:pStyle w:val="BookText"/>
        <w:rPr/>
      </w:pPr>
      <w:bookmarkEnd w:id="1029"/>
      <w:r>
        <w:rPr>
          <w:rFonts w:ascii="IRNazanin" w:hAnsi="IRNazanin" w:eastAsia="IRNazanin"/>
          <w:color w:val="111111"/>
          <w:sz w:val="28"/>
          <w:sz w:val="28"/>
          <w:szCs w:val="28"/>
          <w:rtl w:val="true"/>
          <w:lang w:bidi="fa-IR"/>
        </w:rPr>
        <w:t>و لکن لا یعلم باشتمال الجائزة علیه،فیقع الکلام هنا فی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الاصول و الأمارات معارضة فی أطراف العلم الإجمالی،و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 المعارضة بینهما فی ذلک</w:t>
      </w:r>
      <w:r>
        <w:rPr>
          <w:rFonts w:eastAsia="IRNazanin" w:cs="IRNazanin"/>
          <w:color w:val="111111"/>
          <w:sz w:val="28"/>
          <w:szCs w:val="28"/>
          <w:rtl w:val="true"/>
          <w:lang w:bidi="fa-IR"/>
        </w:rPr>
        <w:t>.</w:t>
      </w:r>
    </w:p>
    <w:p>
      <w:pPr>
        <w:pStyle w:val="Heading5"/>
        <w:numPr>
          <w:ilvl w:val="4"/>
          <w:numId w:val="1"/>
        </w:numPr>
        <w:rPr/>
      </w:pPr>
      <w:bookmarkStart w:id="1030" w:name="__RefHeading___Toc910686_774463916"/>
      <w:bookmarkStart w:id="1031" w:name="_Toc377"/>
      <w:bookmarkEnd w:id="1030"/>
      <w:r>
        <w:rPr>
          <w:rtl w:val="true"/>
        </w:rPr>
        <w:t>أ</w:t>
      </w:r>
      <w:r>
        <w:rPr>
          <w:rtl w:val="true"/>
        </w:rPr>
        <w:t>-</w:t>
      </w:r>
      <w:r>
        <w:rPr>
          <w:rtl w:val="true"/>
        </w:rPr>
        <w:t>فیما إذا لم تکن الاصول و الأمارات متعارضة فی أطراف العلم الإجمالی</w:t>
      </w:r>
      <w:bookmarkEnd w:id="1031"/>
    </w:p>
    <w:p>
      <w:pPr>
        <w:pStyle w:val="Heading6"/>
        <w:numPr>
          <w:ilvl w:val="5"/>
          <w:numId w:val="1"/>
        </w:numPr>
        <w:rPr/>
      </w:pPr>
      <w:bookmarkStart w:id="1032" w:name="__RefHeading___Toc910688_774463916"/>
      <w:bookmarkStart w:id="1033" w:name="_Toc378"/>
      <w:bookmarkEnd w:id="1032"/>
      <w:r>
        <w:rPr>
          <w:rtl w:val="true"/>
        </w:rPr>
        <w:t>اشارة</w:t>
      </w:r>
      <w:bookmarkEnd w:id="1033"/>
    </w:p>
    <w:p>
      <w:pPr>
        <w:pStyle w:val="BookText"/>
        <w:rPr/>
      </w:pPr>
      <w:r>
        <w:rPr>
          <w:rFonts w:ascii="IRNazanin" w:hAnsi="IRNazanin" w:eastAsia="IRNazanin"/>
          <w:color w:val="111111"/>
          <w:sz w:val="28"/>
          <w:sz w:val="28"/>
          <w:szCs w:val="28"/>
          <w:rtl w:val="true"/>
          <w:lang w:bidi="fa-IR"/>
        </w:rPr>
        <w:t>أمّا 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المصنّف أنّ التصرّف فی المال المأخوذ من السلطان الجائر فی هذه الصورة جائز بأحد شرطین علی سبیل مانعة الخلو،الأول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الشبهة فی أطراف العلم الإجمالی غیر 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 الأطراف خارجا عن محل الابتلاء و إن کانت الشبهة محصورة،کما إذا دفع الجائر إلی أحد جاریة،و علم المدفوع إلیه بأنّ إحدی الجاریتین مغصوبة إمّا هذه الجاریة و إمّا الجاریة الاخری التی اختصّ بها الجائر،بحیث أصبحت امّ ولد له و من خواص نسائه،و من الواضح أنّ امّ ولد الجائر خارجة عن محل ابتلاء غیره،فلا یکون العلم الإجمالی منجّزا 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استدلّ علی هذا الرأی فی فرائده </w:t>
      </w:r>
      <w:r>
        <w:rPr>
          <w:rStyle w:val="FootnoteAnchor"/>
          <w:rtl w:val="true"/>
        </w:rPr>
        <w:footnoteReference w:id="1487"/>
      </w:r>
      <w:r>
        <w:rPr>
          <w:rFonts w:ascii="IRNazanin" w:hAnsi="IRNazanin" w:eastAsia="IRNazanin"/>
          <w:color w:val="111111"/>
          <w:sz w:val="28"/>
          <w:sz w:val="28"/>
          <w:szCs w:val="28"/>
          <w:rtl w:val="true"/>
          <w:lang w:bidi="fa-IR"/>
        </w:rPr>
        <w:t>بوجوه شتّی،و أشار هنا إلی واحد منها،و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إنّما یوجب التنجیز إذا کان التکلیف المتعلّق بالواقع فعلیا علی کل تقدیر،من غیر أن یکون مشروطا بالابتلاء فی بعض الأطراف،و إلاّ فتکون الشبهة بدویة بالنسبة إلی ما هو فی معرض الابتلاء</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ذکرناه مفصّلا فی علم الاصول </w:t>
      </w:r>
      <w:r>
        <w:rPr>
          <w:rStyle w:val="FootnoteAnchor"/>
          <w:rtl w:val="true"/>
        </w:rPr>
        <w:footnoteReference w:id="1488"/>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الشبهة محصورة أو غیر محصورة،أو خروج بعض أطرافها عن محل الابتلاء لیس مناطا فی تنجیز العلم الإجمالی،لعدم الدلیل علیه من العقل أو النقل،بل الحجر الأساسی فی تنجیزه أن یکون ارتکاب کل فرد من أطراف الشبهة مقدورا للمکلّف بالقدرة</w:t>
      </w:r>
      <w:bookmarkStart w:id="1034" w:name="pg5064_65856"/>
    </w:p>
    <w:p>
      <w:pPr>
        <w:pStyle w:val="BookText"/>
        <w:rPr/>
      </w:pPr>
      <w:bookmarkEnd w:id="1034"/>
      <w:r>
        <w:rPr>
          <w:rFonts w:ascii="IRNazanin" w:hAnsi="IRNazanin" w:eastAsia="IRNazanin"/>
          <w:color w:val="111111"/>
          <w:sz w:val="28"/>
          <w:sz w:val="28"/>
          <w:szCs w:val="28"/>
          <w:rtl w:val="true"/>
          <w:lang w:bidi="fa-IR"/>
        </w:rPr>
        <w:t>العقلیة،و إلاّ فهو لا یوجب التنجیز،لقبح التکلیف بأمر غیر مقدور للمکلّف و علیه فإن کان جمیع أطراف الشبهة هنا مقدورا للمکلّف کان العلم الإجمالی منجّزا للتکلیف،و إلاّ فلا،سواء أکانت الشبهة محصورة أم غیر محصورة،و سواء أکان بعض الأطراف خارجا عن محلّ الابتلاء أم لا،و علی هذا فلا وجه لتفصیل المصنّف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التصرّف فی هذه الصورة أیضا،سواء کان أخذ المال من الجائر مجّانا أم مع العوض،و ذلک من جهة الاعتماد علی قاعدة الید،فإنّ من المحتمل أن یکون الحرام منطبقا علی ما بید الجائر دون ما أعطاه للغیر،و لا فرق فیما ذکرناه بین ما کان المناط فی تنجیز العلم الإجمالی نفس العلم أو تعارض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قاعدة الید فی المال المأخوذ لا مانع عنه،و أمّا المال الآخر الباقی تحت ید الجائر فهو غیر مشمول للقاعدة،للعلم بحرمة التصرّف فیه علی کل من تقدیری کونه غصبا و عدمه،و سیجیء بیان ذلک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أنّه لو کان للجائر مرکوبان،و کان أحدهما غصبا،فأباح أحدهما لشخص و أبقی الآخر فی یده،فإنّه جاز للمباح له أن یتصرّف فی ذلک،و أمّا لو أباح أحدهما و ملّکه الآخر ببیع و نحوه فإنّه یحرم علیه التصرّف فی کلیهما</w:t>
      </w:r>
      <w:r>
        <w:rPr>
          <w:rFonts w:eastAsia="IRNazanin" w:cs="IRNazanin"/>
          <w:color w:val="111111"/>
          <w:sz w:val="28"/>
          <w:szCs w:val="28"/>
          <w:rtl w:val="true"/>
          <w:lang w:bidi="fa-IR"/>
        </w:rPr>
        <w:t>.</w:t>
      </w:r>
    </w:p>
    <w:p>
      <w:pPr>
        <w:pStyle w:val="Heading6"/>
        <w:numPr>
          <w:ilvl w:val="5"/>
          <w:numId w:val="1"/>
        </w:numPr>
        <w:rPr/>
      </w:pPr>
      <w:bookmarkStart w:id="1035" w:name="__RefHeading___Toc910690_774463916"/>
      <w:bookmarkStart w:id="1036" w:name="_Toc379"/>
      <w:bookmarkEnd w:id="1035"/>
      <w:r>
        <w:rPr>
          <w:rtl w:val="true"/>
        </w:rPr>
        <w:t>ما استدلّ به علی کراهة أخذ المال من الجائر</w:t>
      </w:r>
      <w:bookmarkEnd w:id="1036"/>
    </w:p>
    <w:p>
      <w:pPr>
        <w:pStyle w:val="BookText"/>
        <w:rPr/>
      </w:pPr>
      <w:r>
        <w:rPr>
          <w:rFonts w:ascii="IRNazanin" w:hAnsi="IRNazanin" w:eastAsia="IRNazanin"/>
          <w:color w:val="111111"/>
          <w:sz w:val="28"/>
          <w:sz w:val="28"/>
          <w:szCs w:val="28"/>
          <w:rtl w:val="true"/>
          <w:lang w:bidi="fa-IR"/>
        </w:rPr>
        <w:t>مع العلم بوجود الحرام فی أمواله و الجواب عنه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صرّح جماعة بکراهة الأخذ</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جماعة أخذ الجائزة من الجائر مع قیام الحجّة علی الجواز و استدلّوا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یحتمل أن یکون المأخوذ منه حراما واقعا،لکن قام الدلیل علی جواز تناوله ظاهرا،فیکون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الاحتمال موجبا لکراهة التصرّف فی المأخوذ من الجائر لوجب الالتزام بکراهة التصرّف فیما اخذ من أی أحد من الناس حتّی المتورّعین فی امورهم،لوجود الاحتمال المذکور فی أموالهم،مع أنّه لم یلتزم بها أحد فی غیر جوائز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الکثیرة الدالّة علی حسن الاحتیاط </w:t>
      </w:r>
      <w:r>
        <w:rPr>
          <w:rStyle w:val="FootnoteAnchor"/>
          <w:rtl w:val="true"/>
        </w:rPr>
        <w:footnoteReference w:id="1489"/>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الشبهات نجا من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 بما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ملک حمی،و حمی اللّه محارمه فمن رتع حول الحمی أوشک أن یقع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المراد بالریب أو الشبهة التی جعلت موضوعا للحکم فی هذه الأخبار الریب فی الحکم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کانت واقعة خاصّة مشتبهة فی حکمها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ممنوع فی المقام،لارتفاعه بقاعدة الید التی ثبت اعتبارها فی الشریعة المقدّسة</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به الریب فی الحکم الواقعی فالأموال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شذّ و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مشتبهة من حیث الحکم الواقعی،حتّی الأموال المشتبهة فی أیدی عدول المؤمنین</w:t>
      </w:r>
    </w:p>
    <w:p>
      <w:pPr>
        <w:pStyle w:val="BookText"/>
        <w:rPr/>
      </w:pPr>
      <w:r>
        <w:rPr>
          <w:rFonts w:ascii="IRNazanin" w:hAnsi="IRNazanin" w:eastAsia="IRNazanin"/>
          <w:color w:val="111111"/>
          <w:sz w:val="28"/>
          <w:sz w:val="28"/>
          <w:szCs w:val="28"/>
          <w:rtl w:val="true"/>
          <w:lang w:bidi="fa-IR"/>
        </w:rPr>
        <w:t>لوجود احتمال الحرمة الواقعیة فی جمیع ذلک،و لازم ذلک أن یحکم بکراهة التصرّف فی جمیع الأموال غیر ما اخذ من المباحات الأصلیة،و علی هذا فطریق التخلّص من الکراهة أن یعامل بها معاملة مجهول المالک،کما کان ذلک دأب بعض الأعلام من 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یختلف الاحتیاط من حیث الشدّة و الضعف بحسب الموارد فالاحتیاط فی أموال الجائرین أشدّ من الاحتیاط فی أموال بقیّة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طریق لنا إلی إثبات الکراهة فی جوائز السلطان،لأنّه إن کان المراد بالکراهة الکراهة الشرعیة فالأخبار المذکورة غریبة عنها،و إن کان المراد بها الکراهة الإرشادیة الناشئة من حسن الاحتیاط فلا اختصاص لها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أخذ المال منهم یوجب محبّتهم،فإنّ القلوب مجبولة علی حبّ من أحسن إلیها،و قد نهی فی الأخبار المتواترة عن موادّتهم و معاشرتهم،و قد أشرنا إلیها فی البحث عن حرمة معونة الظالمین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ورود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تحریمیا کما فی جملة من الأخبار،أو تنزیهیا کما فی جملة اخری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صحبة الظالمین و موادّتهم و مجالستهم،و لکن بین ذلک و بین أخذ جوائزهم عموما من وجه،إذ قد یکون أحد محبّا للظلمة و أعوانهم من دون أن یأخذ شیئا منهم،کالذین استحوذ علیهم الشیطان فأنساهم ذکر اللّه حتّی صاروا من أولیاء الظلمة و محبّیهم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یأخذ أحد جوائزهم و أموالهم و هو لا یحبّهم،بل ربما أوجب ذلک بغضهم و عداءهم،کما إذا کان أجیرا للظالم و أعطاه أقلّ من اجرة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کون الإجارة خارجة عن مورد البحث دعوی جزافیة،فقد عرفت أنّ مورد البحث أعمّ من أن یکون الأخذ مجّانا أو مع</w:t>
      </w:r>
    </w:p>
    <w:p>
      <w:pPr>
        <w:pStyle w:val="BookText"/>
        <w:rPr/>
      </w:pP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لا أنّنی أری من ازوّجه بها من عزّاب بنی أبی طالب لئلاّ ینقطع نسله ما قبلتها أبدا</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فإنّ هذه الروایة صریحة فی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قبل هدیة الرشید لیزوّج بها العزّاب من آل أبی طالب،لئلاّ ینقطع نسله،و لو لا هذه الناحیة المهمّة لکان الردّ أولی فتدلّ علی الکراهة ما لم تکن فی الأخذ مصلحة راجحة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اشمئزاز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قبول هدیة الرشید لیس من جهة کونها من أموال الظلمة،بل لاستلزامها المنّة،فإنّ من أشقّ الأحوال أن یغصب أحد حقّ غیره،ثمّ یهدی إلیه هدیّة بعنوان التفضّل و إظهار العظمة</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أعطاه الرشید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إمّا أن یکون من أمواله الشخصیة،أو من بیت المال،أو من مجهول المالک،أو من معروف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الأول فلا شبهة فی جواز أخذه،و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إن کان من الثانی أو الثالث،فإنّ ولایة بیت المال و مجهول المالک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الرابع فللإمام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یأخذه و یوصله إلی مالکه،و له أن لا یأخذه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یأخذه و یزوّج به عزّاب بنی أبی طالب فذلک غیر جائز،اللهمّ إلاّ أن یقال إنّه من جهة کون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بعید عن مراد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bookmarkStart w:id="1037" w:name="pg5064_65860"/>
    </w:p>
    <w:p>
      <w:pPr>
        <w:pStyle w:val="Heading6"/>
        <w:numPr>
          <w:ilvl w:val="5"/>
          <w:numId w:val="1"/>
        </w:numPr>
        <w:rPr/>
      </w:pPr>
      <w:bookmarkStart w:id="1038" w:name="__RefHeading___Toc910692_774463916"/>
      <w:bookmarkStart w:id="1039" w:name="_Toc380"/>
      <w:bookmarkEnd w:id="1037"/>
      <w:bookmarkEnd w:id="1038"/>
      <w:r>
        <w:rPr>
          <w:rtl w:val="true"/>
        </w:rPr>
        <w:t>ما استدلّ به علی رفع الکراهة عن جوائز السلطان</w:t>
      </w:r>
      <w:bookmarkEnd w:id="1039"/>
    </w:p>
    <w:p>
      <w:pPr>
        <w:pStyle w:val="BookText"/>
        <w:rPr/>
      </w:pPr>
      <w:r>
        <w:rPr>
          <w:rFonts w:ascii="IRNazanin" w:hAnsi="IRNazanin" w:eastAsia="IRNazanin"/>
          <w:color w:val="111111"/>
          <w:sz w:val="28"/>
          <w:sz w:val="28"/>
          <w:szCs w:val="28"/>
          <w:rtl w:val="true"/>
          <w:lang w:bidi="fa-IR"/>
        </w:rPr>
        <w:t>و الجواب عنه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ذکروا ارتفاع الکراهة بامور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لارتفاع الکراهة بناء علی ثبوتها فی جوائز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الظالم بحلّیة الجائزة و کونها من أمواله الشخصیة،کأن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الجائزة من تجارتی،أو من زراعتی،أو نحو ذلک ممّا یحلّ للآخذ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ارتفاع الکراهة بذلک بناء علی ثبوتها و إن کان مشهورا بین الأصحاب،بل ممّا لا خلاف فیه علی ما حکاه المصنّف عن ظاهر الریاض </w:t>
      </w:r>
      <w:r>
        <w:rPr>
          <w:rStyle w:val="FootnoteAnchor"/>
          <w:rtl w:val="true"/>
        </w:rPr>
        <w:footnoteReference w:id="1492"/>
      </w:r>
      <w:r>
        <w:rPr>
          <w:rFonts w:ascii="IRNazanin" w:hAnsi="IRNazanin" w:eastAsia="IRNazanin"/>
          <w:color w:val="111111"/>
          <w:sz w:val="28"/>
          <w:sz w:val="28"/>
          <w:szCs w:val="28"/>
          <w:rtl w:val="true"/>
          <w:lang w:bidi="fa-IR"/>
        </w:rPr>
        <w:t xml:space="preserve">تبعا لظاهر الحدائق </w:t>
      </w:r>
      <w:r>
        <w:rPr>
          <w:rStyle w:val="FootnoteAnchor"/>
          <w:rtl w:val="true"/>
        </w:rPr>
        <w:footnoteReference w:id="1493"/>
      </w:r>
      <w:r>
        <w:rPr>
          <w:rFonts w:ascii="IRNazanin" w:hAnsi="IRNazanin" w:eastAsia="IRNazanin"/>
          <w:color w:val="111111"/>
          <w:sz w:val="28"/>
          <w:sz w:val="28"/>
          <w:szCs w:val="28"/>
          <w:rtl w:val="true"/>
          <w:lang w:bidi="fa-IR"/>
        </w:rPr>
        <w:t xml:space="preserve">،إلاّ أنّا لم نجد له مستندا صحیحا،و قد اعترف بذلک صاحب المناهل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یتوهّم أنّ المستند فی رفع الکراهة هنا ما دلّ علی حجّیة قول ذی الید فیکون إخباره بذلک کسائر الأمارات المعتبرة شرعا</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إخباره بحلّیة ماله لا یزید علی یده،فکما أنّ إخباره یدلّ علی الملکیة الظاهریة فکذلک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مخالفة الواقع متحقّق فی کلیهما،و علیه فحسن الاحتیاط یقتضی الاجتناب فی کلا الموردین،و لکنّه لا تثبت به الکراهة المصطلحة الناشئة من الحزازة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الخمس،نقل المصنّف حکایته عن المنتهی </w:t>
      </w:r>
      <w:r>
        <w:rPr>
          <w:rStyle w:val="FootnoteAnchor"/>
          <w:rtl w:val="true"/>
        </w:rPr>
        <w:footnoteReference w:id="1495"/>
      </w:r>
      <w:r>
        <w:rPr>
          <w:rFonts w:ascii="IRNazanin" w:hAnsi="IRNazanin" w:eastAsia="IRNazanin"/>
          <w:color w:val="111111"/>
          <w:sz w:val="28"/>
          <w:sz w:val="28"/>
          <w:szCs w:val="28"/>
          <w:rtl w:val="true"/>
          <w:lang w:bidi="fa-IR"/>
        </w:rPr>
        <w:t xml:space="preserve">و المحقّق الأردبیلی </w:t>
      </w:r>
      <w:r>
        <w:rPr>
          <w:rStyle w:val="FootnoteAnchor"/>
          <w:rtl w:val="true"/>
        </w:rPr>
        <w:footnoteReference w:id="1496"/>
      </w:r>
      <w:r>
        <w:rPr>
          <w:rFonts w:ascii="IRNazanin" w:hAnsi="IRNazanin" w:eastAsia="IRNazanin"/>
          <w:color w:val="111111"/>
          <w:sz w:val="28"/>
          <w:sz w:val="28"/>
          <w:szCs w:val="28"/>
          <w:rtl w:val="true"/>
          <w:lang w:bidi="fa-IR"/>
        </w:rPr>
        <w:t>،بل عن ظاهر الریاض عدم الخلاف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علی کونه رافعا للکراهة عن الجوائز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فتوی النهایة </w:t>
      </w:r>
      <w:r>
        <w:rPr>
          <w:rStyle w:val="FootnoteAnchor"/>
          <w:rtl w:val="true"/>
        </w:rPr>
        <w:footnoteReference w:id="1497"/>
      </w:r>
      <w:r>
        <w:rPr>
          <w:rFonts w:ascii="IRNazanin" w:hAnsi="IRNazanin" w:eastAsia="IRNazanin"/>
          <w:color w:val="111111"/>
          <w:sz w:val="28"/>
          <w:sz w:val="28"/>
          <w:szCs w:val="28"/>
          <w:rtl w:val="true"/>
          <w:lang w:bidi="fa-IR"/>
        </w:rPr>
        <w:t xml:space="preserve">و السرائر </w:t>
      </w:r>
      <w:r>
        <w:rPr>
          <w:rStyle w:val="FootnoteAnchor"/>
          <w:rtl w:val="true"/>
        </w:rPr>
        <w:footnoteReference w:id="1498"/>
      </w:r>
      <w:r>
        <w:rPr>
          <w:rFonts w:ascii="IRNazanin" w:hAnsi="IRNazanin" w:eastAsia="IRNazanin"/>
          <w:color w:val="111111"/>
          <w:sz w:val="28"/>
          <w:sz w:val="28"/>
          <w:szCs w:val="28"/>
          <w:rtl w:val="true"/>
          <w:lang w:bidi="fa-IR"/>
        </w:rPr>
        <w:t>باستحباب الخمس فی الجوائز بدعوی أنّ أخبار من بلغ تشمل ما کان بلوغه بفتوی الفقیه،بل ذکر المصنّف أنّ فتوی النهایة و السرائر کالروایة،و علیه فلا نحتاج إلی ذلک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استحباب الخمس فیها لا یلازم رفع الکراهة عن التصرّف فی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حکاه المصنّف عن المنتهی من أنّ المال الذی اختلط بالحرام قطعا یطهر بالتخمیس،فما احتمل وجود الحرام فیه یطهر به بالأولویة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أنّ إخراج الخمس من المال المختلط بالحرام بمنزلة البدل عن الحرام الواقعی،فیکون ذلک نظیر المصالحة فی نظر الشارع فیرتفع به أثر الحرام،أعنی به وجوب 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المال الذی یحتمل أن یکون حراما کلّه و قذرا فی ذاته فلا معنی لتطهّره بإخراج خمسه،فإنّه لو کان المال بمجموعه حراما فی الواقع لم یصحّ أن یکون الخمس بدلا عنه،لکی یکون ذلک بمنزلة المصالحة فی نظر الشارع</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القیاس هو وجوب الخمس فیما یشکّ فی حرمته و حلیته</w:t>
      </w:r>
    </w:p>
    <w:p>
      <w:pPr>
        <w:pStyle w:val="BookText"/>
        <w:rPr/>
      </w:pPr>
      <w:r>
        <w:rPr>
          <w:rFonts w:ascii="IRNazanin" w:hAnsi="IRNazanin" w:eastAsia="IRNazanin"/>
          <w:color w:val="111111"/>
          <w:sz w:val="28"/>
          <w:sz w:val="28"/>
          <w:szCs w:val="28"/>
          <w:rtl w:val="true"/>
          <w:lang w:bidi="fa-IR"/>
        </w:rPr>
        <w:t>من الأموال،لا استحبابه،فإنّ اتّحاد الملاک فی الموردین یقتضی اتّحاد الحکم فیهما و علیه فتوهّم وجوب الخمس فی مورد و استحبابه فی مورد آخر مع فرض وحدة الملاک فیهما شبیه بالمتناقضین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 قیاس،لا یفید إلاّ الظنّ بالواقع،و هو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جمیع ذلک فإنّما یدلّ علی طهارة المال باخراج الخمس،و لا منافاة بین ذلک،و بین کراهة التصرّف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وجوب الخمس فی مطلق الجوائز،و حیث إنّ المشهور لم یلتزموا بوجوب الخمس فیها فتحمل تلک الأخبار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إعراض المشهور عن الروایة المعتبرة لا یوجب رفع الید عنها،و علیه فمقتضی العمل بتلک الروایات إنّما هو وجوب الخمس فی الجائزة،لا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هذه الأخبار إنّما هو وجوب الخمس فی الهدایا،لکونها من الغنائم و الفوائد و الأرباح التی تحصل للإنسان یوما فیوما،فشأنها شأن أرباح المکاسب التی یجب فیها الخمس بعد إخراج المؤونة و مضی السنة،و لازم ذلک أن نقول بوجوب الخمس أو باستحبابه فی الجائزة بعنوانها،لا من حیث اندراجها فی الأرباح،فلا بدّ من الالتزام بثبوته فیها مرّتین،و لم یلتزم بذلک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إخراج الخمس عن الجوائز لا یرفع احتمال الحرمة عن الباقی،إلاّ مع الالتزام بکون التخمیس بمنزلة المصالحة فی نظر الشارع،و قد عرفت جوابه آنفا</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إلی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نجد فی الروایات ما یدلّ علی وجوب الخمس فی الجائزة بعنوانها حتّی نحمله علی الاستحباب،نعم ذکرت الجائزة و الهدیة فی بعض</w:t>
      </w:r>
    </w:p>
    <w:p>
      <w:pPr>
        <w:pStyle w:val="BookText"/>
        <w:rPr/>
      </w:pPr>
      <w:r>
        <w:rPr>
          <w:rFonts w:ascii="IRNazanin" w:hAnsi="IRNazanin" w:eastAsia="IRNazanin"/>
          <w:color w:val="111111"/>
          <w:sz w:val="28"/>
          <w:sz w:val="28"/>
          <w:szCs w:val="28"/>
          <w:rtl w:val="true"/>
          <w:lang w:bidi="fa-IR"/>
        </w:rPr>
        <w:t xml:space="preserve">الأحادیث </w:t>
      </w:r>
      <w:r>
        <w:rPr>
          <w:rStyle w:val="FootnoteAnchor"/>
          <w:rtl w:val="true"/>
        </w:rPr>
        <w:footnoteReference w:id="1499"/>
      </w:r>
      <w:r>
        <w:rPr>
          <w:rFonts w:ascii="IRNazanin" w:hAnsi="IRNazanin" w:eastAsia="IRNazanin"/>
          <w:color w:val="111111"/>
          <w:sz w:val="28"/>
          <w:sz w:val="28"/>
          <w:szCs w:val="28"/>
          <w:rtl w:val="true"/>
          <w:lang w:bidi="fa-IR"/>
        </w:rPr>
        <w:t xml:space="preserve">و لکن لا علی نحو الموضوعیة،بل لکونهما من أفراد الغنائم و الفوائد و من الأرباح الحاصلة یوما فیوما،و من جمیع ما ذکرناه ظهر الجواب عن الموثّقة </w:t>
      </w:r>
      <w:r>
        <w:rPr>
          <w:rStyle w:val="FootnoteAnchor"/>
          <w:rtl w:val="true"/>
        </w:rPr>
        <w:footnoteReference w:id="1500"/>
      </w:r>
      <w:r>
        <w:rPr>
          <w:rFonts w:ascii="IRNazanin" w:hAnsi="IRNazanin" w:eastAsia="IRNazanin"/>
          <w:color w:val="111111"/>
          <w:sz w:val="28"/>
          <w:sz w:val="28"/>
          <w:szCs w:val="28"/>
          <w:rtl w:val="true"/>
          <w:lang w:bidi="fa-IR"/>
        </w:rPr>
        <w:t>الدالّة علی وجوب الخمس فیما حصل للإنسان من خصوص عمل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أنّ المستفاد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اعتذار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قبول الجائزة بتزویج عزّاب الطالبیین لئلاّ ینقطع نسلهم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غیره أنّ الکراهة ترتفع بکل مصلحة هی أهم فی نظر الشارع من الاجتناب عن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الوجه فی إبائه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قبول هدیة الرشید لزوم المنّة،و إلاّ فلا شبهة فی جواز أخذ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إنّا لو سلّمنا کراهة أخذ الجائزة من الجائر فلا رافع لها إلاّ معاملتها معاملة مجهول المالک،کما هو کذلک فی جمیع الأموال التی لم تثبت حلّیتها بالعلم الوجدانی</w:t>
      </w:r>
      <w:bookmarkStart w:id="1040" w:name="pg5064_65864"/>
    </w:p>
    <w:p>
      <w:pPr>
        <w:pStyle w:val="BookText"/>
        <w:rPr/>
      </w:pPr>
      <w:bookmarkEnd w:id="1040"/>
      <w:r>
        <w:rPr>
          <w:rFonts w:ascii="IRNazanin" w:hAnsi="IRNazanin" w:eastAsia="IRNazanin"/>
          <w:color w:val="111111"/>
          <w:sz w:val="28"/>
          <w:sz w:val="28"/>
          <w:szCs w:val="28"/>
          <w:rtl w:val="true"/>
          <w:lang w:bidi="fa-IR"/>
        </w:rPr>
        <w:t>و قد کان ذلک دأب بعض الأعاظم من 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5"/>
        <w:numPr>
          <w:ilvl w:val="4"/>
          <w:numId w:val="1"/>
        </w:numPr>
        <w:rPr/>
      </w:pPr>
      <w:bookmarkStart w:id="1041" w:name="__RefHeading___Toc910694_774463916"/>
      <w:bookmarkStart w:id="1042" w:name="_Toc381"/>
      <w:bookmarkEnd w:id="1041"/>
      <w:r>
        <w:rPr>
          <w:rtl w:val="true"/>
        </w:rPr>
        <w:t>ب</w:t>
      </w:r>
      <w:r>
        <w:rPr>
          <w:rtl w:val="true"/>
        </w:rPr>
        <w:t>-</w:t>
      </w:r>
      <w:r>
        <w:rPr>
          <w:rtl w:val="true"/>
        </w:rPr>
        <w:t>فیما إذا کانت الاصول و الأمارات متعارضة و مقتضی القواعد</w:t>
      </w:r>
      <w:bookmarkEnd w:id="1042"/>
    </w:p>
    <w:p>
      <w:pPr>
        <w:pStyle w:val="BookText"/>
        <w:rPr/>
      </w:pPr>
      <w:r>
        <w:rPr>
          <w:rFonts w:ascii="IRNazanin" w:hAnsi="IRNazanin" w:eastAsia="IRNazanin"/>
          <w:color w:val="111111"/>
          <w:sz w:val="28"/>
          <w:sz w:val="28"/>
          <w:szCs w:val="28"/>
          <w:rtl w:val="true"/>
          <w:lang w:bidi="fa-IR"/>
        </w:rPr>
        <w:t>و أمّا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کانت الاصول معارضة فی أطراف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فتفصیل الکلام فیها یقع تارة من حیث القواعد،و اخری من حیث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الجائر قد یجیز التصرّف فی شیء معیّن من أمواله أو یعطیه لأحد مجّانا أو مع العوض،و قد یجیز التصرّف فی جمیع أمواله علی نحو العموم الاستیعابی،و قد یجیز التصرّف فی شیء منها علی نحو العموم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انحلال العلم الإجمالی فیه إلی شکّ بدوی و علم تفصیلی،لأنّ الآخذ یعلم تفصیلا بحرمة التصرّف فی بقیّة أموال الجائر،إمّا لکونها مغصوبة،أو لأنّه لم یجز التصرّف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خصوص ما أخذه من الجائر فیجوز له التصرّف فیه،استنادا إلی ید الجائر التی هی أمارة الملکیة،و لا تکون معارضة بیده فی الطرف الآخر،لما عرفت من حرمة التصرّف فیه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عن الاستناد إلی قاعدة الید فلا بدّ من التفصیل بین الأموال التی کانت مسبوقة بید اخری،و بین الأموال التی اخذت من المباحات الأصلیة،فإنّ أصالة عدم الانتقال فی الأول حاکمة علی أصالة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تنجیز العلم الإجمالی فیه،لتعارض الاصول و تساقطها فی أطرافه،و کون التکلیف منجّزا علی کل تقدیر،کما إذا کان للجائر عشرون دینارا،فأجاز لأحد أن یتصرّف فی جمیعها،و کان المجاز یعلم أنّ أحد هذه الدنانیر حرام،فإنّه یحرم علیه التصرّف فی جمیعها</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یتوهّم فیه انحلال العلم الإجمالی إلی شکّ بدوی و علم تفصیلی علی التقریب المتقدّم فی القسم الأول،و مثاله إذا أعطی الجائر کیسه لشخص،و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منه دینارا،و کان الآخذ یعلم إجمالا باشتمال الکیس علی دینار محرّم،فإنّ اختیاره دینارا خاصّا إنّما یعیّن متعلّق إذن الجائر،فکأنّه من الأول</w:t>
      </w:r>
    </w:p>
    <w:p>
      <w:pPr>
        <w:pStyle w:val="BookText"/>
        <w:rPr/>
      </w:pPr>
      <w:r>
        <w:rPr>
          <w:rFonts w:ascii="IRNazanin" w:hAnsi="IRNazanin" w:eastAsia="IRNazanin"/>
          <w:color w:val="111111"/>
          <w:sz w:val="28"/>
          <w:sz w:val="28"/>
          <w:szCs w:val="28"/>
          <w:rtl w:val="true"/>
          <w:lang w:bidi="fa-IR"/>
        </w:rPr>
        <w:t>إنّما أذن فی التصرّف فی ذلک الدینار المعیّن،فیجری فی هذا القسم جمیع ما ذکرناه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التحقیق أنّه لا فرق فی تنجیز العلم الإجمالی بین القسم الثانی و الثالث و الوجه فی ذلک ما فصّلناه فی علم الاصول </w:t>
      </w:r>
      <w:r>
        <w:rPr>
          <w:rStyle w:val="FootnoteAnchor"/>
          <w:rtl w:val="true"/>
        </w:rPr>
        <w:footnoteReference w:id="1501"/>
      </w:r>
      <w:r>
        <w:rPr>
          <w:rFonts w:ascii="IRNazanin" w:hAnsi="IRNazanin" w:eastAsia="IRNazanin"/>
          <w:color w:val="111111"/>
          <w:sz w:val="28"/>
          <w:sz w:val="28"/>
          <w:szCs w:val="28"/>
          <w:rtl w:val="true"/>
          <w:lang w:bidi="fa-IR"/>
        </w:rPr>
        <w:t>،و مجمله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بالتکلیف الثابت بین الأطراف المعیّنة التی هی بأجمعها فی معرض الابتلاء یقتضی الاجتناب عن الجمیع،و علیه فالترخیص فی ارتکاب ما یختاره المکلّف ترخیص فی مخالفة الحکم المنجّز،من غیر وجود مؤمّن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عدم کون ما یختاره المجاز حراما معارضة بأصالة عدم کون الباقی حراما،إذن فیجب الاجتناب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تنجیز العلم الإجمالی إنّما هو تعارض الاصول فی أطرافه،سواء أکان المکلّف مع ذلک متمکّنا من ارتکابها علی نحو العموم الشمولی،أو علی نحو العموم البدلی بأن لا یتمکّن من ارتکاب المجموع،کما 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علیک السکنی فی الدار المعیّنة عند طلوع الفجر،فاشتبه علیه متعلّق التکلیف بین دارین،فإنّه یجب علیه الاجتناب عن کلتا الدارین،مع أنّه غیر متمکّن من السکنی فیهما معا عند طلوع الفجر،فإنّ عدم تمکّن المکلّف من ارتکاب مجموع الأطراف لا یمنع عن تنجیز العلم الإجمالی إذا تمکّن من ارتکابها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بانحلال العلم الإجمالی أیضا فی هذا القسم،لوجوه</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الید إنّما توجب الانحلال إذا أجاز الجائر التصرّف فی مال معیّن کما تقدّم فی القسم الأول،و أمّا إذا أذن فی التصرّف فی مال غیر معیّن علی نحو العموم البدلی فإنّ قاعدة الید فی أی فرد اختاره المجاز معارضة لها فی الطرف الآخر،فلا توجب انحلال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من ادّعی شیئا و لم یعارضه أحد فی دعواه یحکم بکون الشیء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القاعدة المذکورة و إن وردت فی بعض الأحادیث </w:t>
      </w:r>
      <w:r>
        <w:rPr>
          <w:rStyle w:val="FootnoteAnchor"/>
          <w:rtl w:val="true"/>
        </w:rPr>
        <w:footnoteReference w:id="1502"/>
      </w:r>
      <w:r>
        <w:rPr>
          <w:rFonts w:ascii="IRNazanin" w:hAnsi="IRNazanin" w:eastAsia="IRNazanin"/>
          <w:color w:val="111111"/>
          <w:sz w:val="28"/>
          <w:sz w:val="28"/>
          <w:szCs w:val="28"/>
          <w:rtl w:val="true"/>
          <w:lang w:bidi="fa-IR"/>
        </w:rPr>
        <w:t>و لکنّها غریبة عن المقام،للعلم بوجود الحرام فیما بید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الروایة واردة فی قضیة شخصیة،فلا یمکن التعدّی منها إلی غیرها،للجهل بخصوصیاتها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فعل المسلم علی الصحّة یقتضی معاملة ما بید الجائر معاملة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أوردناه علی الوجه الأول،أنّه قد یراد من أصالة الصحّة حمل فعل المسلم علی الصحیح فیما إذا کان ذا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أنّ حمله علی الوجه الحلال لا یوجب ترتّب آثاره علیه،کما إذا تکلّم المسلم بکلام احتملنا أنّه سلام أو سباب،فحمل فعله علی الصحّة یقتضی أن لا یکون سبابا و لکن ذلک لا یثبت کونه سلاما فیجب ردّ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حملنا فعل الجائر علی الصحّة بهذا المعنی لم یفد ذلک شیئا،و لم تترتّب علیه آثار الصحّة،من الحکم بملکیة المأخوذ و جواز التصرّف فیه</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یراد بها أصالة الصحّة فی العقود،و لا ریب أنّها لا تثبت کون العوضین ملکا للمتبایعین،و إنّما تثبت بها صحّة العقود إذا شکّ فیها لأمر یرجع إلی الصیغة</w:t>
      </w:r>
      <w:bookmarkStart w:id="1043" w:name="pg5064_65867"/>
    </w:p>
    <w:p>
      <w:pPr>
        <w:pStyle w:val="BookText"/>
        <w:rPr/>
      </w:pPr>
      <w:bookmarkEnd w:id="1043"/>
      <w:r>
        <w:rPr>
          <w:rFonts w:ascii="IRNazanin" w:hAnsi="IRNazanin" w:eastAsia="IRNazanin"/>
          <w:color w:val="111111"/>
          <w:sz w:val="28"/>
          <w:sz w:val="28"/>
          <w:szCs w:val="28"/>
          <w:rtl w:val="true"/>
          <w:lang w:bidi="fa-IR"/>
        </w:rPr>
        <w:t>لعدم الدلیل علی أزید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فأصالة الصحّة إمّا أن لا تکون جاریة،أو لا تثبت بها لوازمها</w:t>
      </w:r>
      <w:r>
        <w:rPr>
          <w:rFonts w:eastAsia="IRNazanin" w:cs="IRNazanin"/>
          <w:color w:val="111111"/>
          <w:sz w:val="28"/>
          <w:szCs w:val="28"/>
          <w:rtl w:val="true"/>
          <w:lang w:bidi="fa-IR"/>
        </w:rPr>
        <w:t>.</w:t>
      </w:r>
    </w:p>
    <w:p>
      <w:pPr>
        <w:pStyle w:val="Heading5"/>
        <w:numPr>
          <w:ilvl w:val="4"/>
          <w:numId w:val="1"/>
        </w:numPr>
        <w:rPr/>
      </w:pPr>
      <w:bookmarkStart w:id="1044" w:name="__RefHeading___Toc910696_774463916"/>
      <w:bookmarkStart w:id="1045" w:name="_Toc382"/>
      <w:bookmarkEnd w:id="1044"/>
      <w:r>
        <w:rPr>
          <w:rtl w:val="true"/>
        </w:rPr>
        <w:t>مقتضی الروایات</w:t>
      </w:r>
      <w:bookmarkEnd w:id="1045"/>
    </w:p>
    <w:p>
      <w:pPr>
        <w:pStyle w:val="BookText"/>
        <w:rPr/>
      </w:pPr>
      <w:r>
        <w:rPr>
          <w:rFonts w:ascii="IRNazanin" w:hAnsi="IRNazanin" w:eastAsia="IRNazanin"/>
          <w:color w:val="111111"/>
          <w:sz w:val="28"/>
          <w:sz w:val="28"/>
          <w:szCs w:val="28"/>
          <w:rtl w:val="true"/>
          <w:lang w:bidi="fa-IR"/>
        </w:rPr>
        <w:t>و أمّا من حیث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علی جواز التصرّف فی المأخوذ إذا علم إجمالا باشتمال مال الجائر علی الحرام بطوائف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الواردة فی باب الربا </w:t>
      </w:r>
      <w:r>
        <w:rPr>
          <w:rStyle w:val="FootnoteAnchor"/>
          <w:rtl w:val="true"/>
        </w:rPr>
        <w:footnoteReference w:id="1503"/>
      </w:r>
      <w:r>
        <w:rPr>
          <w:rFonts w:ascii="IRNazanin" w:hAnsi="IRNazanin" w:eastAsia="IRNazanin"/>
          <w:color w:val="111111"/>
          <w:sz w:val="28"/>
          <w:sz w:val="28"/>
          <w:szCs w:val="28"/>
          <w:rtl w:val="true"/>
          <w:lang w:bidi="fa-IR"/>
        </w:rPr>
        <w:t>الدالّة علی وجوب ردّ الزائد عن رأس المال إلی مالکه إذا کان معلوما،و أمّا إذا کان المالک مجهولا فهو حلال للآخذ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استدلّ بها السیّد فی حاشیته </w:t>
      </w:r>
      <w:r>
        <w:rPr>
          <w:rStyle w:val="FootnoteAnchor"/>
          <w:rtl w:val="true"/>
        </w:rPr>
        <w:footnoteReference w:id="1504"/>
      </w:r>
      <w:r>
        <w:rPr>
          <w:rFonts w:ascii="IRNazanin" w:hAnsi="IRNazanin" w:eastAsia="IRNazanin"/>
          <w:color w:val="111111"/>
          <w:sz w:val="28"/>
          <w:sz w:val="28"/>
          <w:szCs w:val="28"/>
          <w:rtl w:val="true"/>
          <w:lang w:bidi="fa-IR"/>
        </w:rPr>
        <w:t>علی جواز التصرّف فی الجائزة و لو مع العلم إجمالا باشتمالها علی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الأخبار غریبة عمّا نحن فیه،لأنّها راجعة إلی حلّیة الربا بعد التوبة،و دالّة علی عفو اللّه عن ذلک تسهیلا للمکلّفین و ترغیبا فی التوبة،و علیه فالتوبة شرط متأخّر لحلّیة الربا مع الجهل بصاحبه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تفسیر قوله تعالی</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 ما سَلَفَ </w:t>
      </w:r>
      <w:r>
        <w:rPr>
          <w:rStyle w:val="FootnoteAnchor"/>
          <w:rtl w:val="true"/>
        </w:rPr>
        <w:footnoteReference w:id="1505"/>
      </w:r>
      <w:r>
        <w:rPr>
          <w:rFonts w:ascii="IRNazanin" w:hAnsi="IRNazanin" w:eastAsia="IRNazanin"/>
          <w:color w:val="111111"/>
          <w:sz w:val="28"/>
          <w:sz w:val="28"/>
          <w:szCs w:val="28"/>
          <w:rtl w:val="true"/>
          <w:lang w:bidi="fa-IR"/>
        </w:rPr>
        <w:t xml:space="preserve">ما یدلّ علی العفو عن الربا وضعا و تکلیفا بعد التوبة </w:t>
      </w:r>
      <w:r>
        <w:rPr>
          <w:rStyle w:val="FootnoteAnchor"/>
          <w:rtl w:val="true"/>
        </w:rPr>
        <w:footnoteReference w:id="1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فشأن الربا شأن الموارد التی أذن الشارع فی التصرّف فی أموال الناس بدون إذنهم کأکل طعام الغیر فی المجاعة،و التصرّف فی اللقطة بعد التعریف،و فی الأراضی المتّسعة و الأنهار الکبار،و کالتصرّف فی الأراضی المغصوبة لإنقاذ الغریق،إلی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حلّیة الأشیاء ما لم تثبت حرمتها </w:t>
      </w:r>
      <w:r>
        <w:rPr>
          <w:rStyle w:val="FootnoteAnchor"/>
          <w:rtl w:val="true"/>
        </w:rPr>
        <w:footnoteReference w:id="1507"/>
      </w:r>
      <w:r>
        <w:rPr>
          <w:rFonts w:ascii="IRNazanin" w:hAnsi="IRNazanin" w:eastAsia="IRNazanin"/>
          <w:color w:val="111111"/>
          <w:sz w:val="28"/>
          <w:sz w:val="28"/>
          <w:szCs w:val="28"/>
          <w:rtl w:val="true"/>
          <w:lang w:bidi="fa-IR"/>
        </w:rPr>
        <w:t>فإنّها تدلّ بإطلاقها علی جواز التصرّف فیما اخذ من الظالم ما لم تعلم حرمته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علیها أنّ العمل بإطلاقها یقتضی الحکم بجواز ارتکاب جمیع الشبهات،سواء کانت مقرونة بالعلم الإجمالی أم لا،و سواء کانت الشبهة محصورة أم لا،و من الضروری أنّ هذا ممّا لا یمکن الالتزام به،و علیه فلا بدّ من حمل تلک الأخبار علی فرض کون الشبهة 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الأخبار منصرفة عن موارد العلم الإجمالی إذا کانت فی معرض الابتلاء،فإنّ شمولها لجمیع الأطراف یستلزم المخالفة القطعیة و لأحدهما المعیّن ترجیح بلا مرجّح،و عنوان أحدهما من غیر تعیین لیس له مصداق غیر الأفراد الخارجیة،و الفرد المردّد لا وجود له حتّی فی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القائلین بجواز أخذ الجائزة من الجائر کالشهیدین </w:t>
      </w:r>
      <w:r>
        <w:rPr>
          <w:rStyle w:val="FootnoteAnchor"/>
          <w:rtl w:val="true"/>
        </w:rPr>
        <w:footnoteReference w:id="1508"/>
      </w:r>
      <w:r>
        <w:rPr>
          <w:rFonts w:ascii="Amiri" w:hAnsi="Amiri" w:eastAsia="Amiri" w:cs="Amiri"/>
          <w:color w:val="111111"/>
          <w:sz w:val="28"/>
          <w:sz w:val="28"/>
          <w:szCs w:val="28"/>
          <w:rtl w:val="true"/>
          <w:lang w:bidi="ar-SA"/>
        </w:rPr>
        <w:t xml:space="preserve">و المحقّق </w:t>
      </w:r>
      <w:r>
        <w:rPr>
          <w:rStyle w:val="FootnoteAnchor"/>
          <w:rtl w:val="true"/>
        </w:rPr>
        <w:footnoteReference w:id="1509"/>
      </w:r>
      <w:r>
        <w:rPr>
          <w:rFonts w:ascii="IRNazanin" w:hAnsi="IRNazanin" w:eastAsia="IRNazanin"/>
          <w:color w:val="111111"/>
          <w:sz w:val="28"/>
          <w:sz w:val="28"/>
          <w:szCs w:val="28"/>
          <w:rtl w:val="true"/>
          <w:lang w:bidi="fa-IR"/>
        </w:rPr>
        <w:t>و غیرهم لم یقولوا بجواز المخالفة القطعیة فی أطراف العلم الإجمالی</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تقرّر حکومة قاعدة الاحتیاط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من المصنّف،فإنّه قد أسّس المبانی الاصولیة،و شیّد أساس تقدیم أدلّة البراءة علی أدلّة</w:t>
      </w:r>
    </w:p>
    <w:p>
      <w:pPr>
        <w:pStyle w:val="BookText"/>
        <w:rPr/>
      </w:pPr>
      <w:r>
        <w:rPr>
          <w:rFonts w:ascii="IRNazanin" w:hAnsi="IRNazanin" w:eastAsia="IRNazanin"/>
          <w:color w:val="111111"/>
          <w:sz w:val="28"/>
          <w:sz w:val="28"/>
          <w:szCs w:val="28"/>
          <w:rtl w:val="true"/>
          <w:lang w:bidi="fa-IR"/>
        </w:rPr>
        <w:t>الاحتیاط،و مع ذلک التزم هنا بحکومة قاعدة الاحتیاط علی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الید لا تؤثّر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 ذلک ما تقدّم من أنّ جریان قاعدة الید فی بعض الأطراف معارض بجریانها فی الطرف الآخر،للعلم بمخالفتها للواقع فی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طرف النقیض ممّا تقدّم عن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بعدم وجوب الاحتیاط یناقض القول بوجوبه،کما أنّ القول بخروج جوائز الظالم عن مورد الشبهة المحصورة تخصّصا یناقض القول بخروجها عن ذلک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جواز أخذ الجوائز من الجائر،سواء کان الأخذ مع العوض أم بدونه،و قد تقدّمت جملة من هذه الروایات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المستدلّ بهذه الأخبار إمّا أن یدّعی ظهورها فی الحلّیة الواقعیة،أو یدّعی ظهورها فی الحلّیة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الدعوی الاولی فحاصلها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قد حکم بأنّ أخذ المال من الجائر یوجب حلّیته واقعا،نظیر تخمیس المال المختلط بالحرام،بناء علی کونه مطهّرا للمال المذکور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الدعوی و إن کانت لا غرابة فیها فی نفسها،لأنّ الشارع قد أباح التصرّف فی مال الغیر بدون إذنه إباحة واقعیة فی موارد کثیرة،کأکل طعام الغیر فی المجاعة،و التصرّف فی أرضه لإنجاء الغریق،و أکل المارّة من ثمرته،و أکل اللقطة بعد التعریف المقرّر فی الشریعة و التصرّف فی الأراضی المتّسعة و الأنهار الکبار،و کالتصرّف فیما یؤخذ ممّن لا یعتقد الخمس،فإنّ الأئمّة قد جعلوا شیعتهم فی حلّ من ذلک واقعا لیطیب نسلهم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w:t>
      </w:r>
    </w:p>
    <w:p>
      <w:pPr>
        <w:pStyle w:val="BookText"/>
        <w:rPr/>
      </w:pPr>
      <w:r>
        <w:rPr>
          <w:rFonts w:ascii="IRNazanin" w:hAnsi="IRNazanin" w:eastAsia="IRNazanin"/>
          <w:color w:val="111111"/>
          <w:sz w:val="28"/>
          <w:sz w:val="28"/>
          <w:szCs w:val="28"/>
          <w:rtl w:val="true"/>
          <w:lang w:bidi="fa-IR"/>
        </w:rPr>
        <w:t>یمکن الذهاب إلی ذلک فی مقام الإثبات،إلاّ فیما دلّ الدلیل علیه،کما فی الموارد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یظهر ذلک من إطلاق جملة من الروایات،کقوله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أبی ولاّد المتقدّمة </w:t>
      </w:r>
      <w:r>
        <w:rPr>
          <w:rStyle w:val="FootnoteAnchor"/>
          <w:rtl w:val="true"/>
        </w:rPr>
        <w:footnoteReference w:id="1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المهنا و علیه 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العمل بإطلاقها یقتضی إباحة أخذ الجائزة من الجائر حتّی مع العلم التفصیلی باشتمالها علی الحرام،و لم یتفوّه به أحد،و علیه فلا بدّ من رفع الید عن إطلاقها و حمله علی الشبهات البدویة،أو المقرونة بالعلم الإجمالی الذی لا یوجب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أن نمنع دلالة تلک الروایات علی جواز أخذ الجائزة من الجائر مطلقا فإنّ السؤال فیها من جهة ما هو مرتکز فی أذهان الناس من أنّ الجائر لا یبالی بالحرام،و حینئذ فتکون أمواله مشتبهة بالحرام،إذ لیست أموال الجائرین مقطوعة الحرمة لیکون ذلک احتمالا موهونا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یلوح هذا المعنی من بعض تلک الروایات،کصحیحة أبی ولاّد التی تقدّمت،بل الظاهر من بعضها تقیید الحکم بصورة الشکّ فقط،کروایة إسحاق بن عمّار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الدعوی الثانیة فحاصلها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المأخوذ من الجائر علی تقدیر کونه حراما فهو باق علی حرمته الواقعیة،و لکنّه حلال فی الظاهر بترخیص الشارع کبقیّة الأحکام الظاهریة</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ذلک أنّ تلک الأخبار لا یمکن شمولها لجمیع الأطراف،فإنّه ترخیص فی مخالفة حکم الشارع و هو حرام،و لبعضها دون بعض ترجیح بلا</w:t>
      </w:r>
      <w:bookmarkStart w:id="1046" w:name="pg5064_65871"/>
    </w:p>
    <w:p>
      <w:pPr>
        <w:pStyle w:val="BookText"/>
        <w:rPr/>
      </w:pPr>
      <w:bookmarkEnd w:id="1046"/>
      <w:r>
        <w:rPr>
          <w:rFonts w:ascii="IRNazanin" w:hAnsi="IRNazanin" w:eastAsia="IRNazanin"/>
          <w:color w:val="111111"/>
          <w:sz w:val="28"/>
          <w:sz w:val="28"/>
          <w:szCs w:val="28"/>
          <w:rtl w:val="true"/>
          <w:lang w:bidi="fa-IR"/>
        </w:rPr>
        <w:t>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فتخرج موارد العلم الإجمالی الذی یوجب التنجیز عن حدود تلک الأخبار تخصّصا</w:t>
      </w:r>
      <w:r>
        <w:rPr>
          <w:rFonts w:eastAsia="IRNazanin" w:cs="IRNazanin"/>
          <w:color w:val="111111"/>
          <w:sz w:val="28"/>
          <w:szCs w:val="28"/>
          <w:rtl w:val="true"/>
          <w:lang w:bidi="fa-IR"/>
        </w:rPr>
        <w:t>.</w:t>
      </w:r>
    </w:p>
    <w:p>
      <w:pPr>
        <w:pStyle w:val="Heading4"/>
        <w:numPr>
          <w:ilvl w:val="3"/>
          <w:numId w:val="1"/>
        </w:numPr>
        <w:rPr/>
      </w:pPr>
      <w:bookmarkStart w:id="1047" w:name="__RefHeading___Toc910698_774463916"/>
      <w:bookmarkStart w:id="1048" w:name="_Toc383"/>
      <w:bookmarkEnd w:id="1047"/>
      <w:r>
        <w:rPr>
          <w:rtl w:val="true"/>
        </w:rPr>
        <w:t>فیما علم تفصیلا کون الجائزة محرّمة</w:t>
      </w:r>
      <w:bookmarkEnd w:id="1048"/>
    </w:p>
    <w:p>
      <w:pPr>
        <w:pStyle w:val="Heading5"/>
        <w:numPr>
          <w:ilvl w:val="4"/>
          <w:numId w:val="1"/>
        </w:numPr>
        <w:rPr/>
      </w:pPr>
      <w:bookmarkStart w:id="1049" w:name="__RefHeading___Toc910700_774463916"/>
      <w:bookmarkStart w:id="1050" w:name="_Toc384"/>
      <w:bookmarkEnd w:id="1049"/>
      <w:r>
        <w:rPr>
          <w:rtl w:val="true"/>
        </w:rPr>
        <w:t>اشارة</w:t>
      </w:r>
      <w:bookmarkEnd w:id="1050"/>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علم تفصیلا بکون الجائزة محرّمة،و قد ظهر حکمها من الصورة السابقة،فلا نحتاج إلی الإعادة،و إنّما المهم هو التعرّض للامور التی ذکرها المصنّف فی ذیل هذه الصورة</w:t>
      </w:r>
      <w:r>
        <w:rPr>
          <w:rFonts w:eastAsia="IRNazanin" w:cs="IRNazanin"/>
          <w:color w:val="111111"/>
          <w:sz w:val="28"/>
          <w:szCs w:val="28"/>
          <w:rtl w:val="true"/>
          <w:lang w:bidi="fa-IR"/>
        </w:rPr>
        <w:t>.</w:t>
      </w:r>
    </w:p>
    <w:p>
      <w:pPr>
        <w:pStyle w:val="Heading5"/>
        <w:numPr>
          <w:ilvl w:val="4"/>
          <w:numId w:val="1"/>
        </w:numPr>
        <w:rPr/>
      </w:pPr>
      <w:bookmarkStart w:id="1051" w:name="__RefHeading___Toc910702_774463916"/>
      <w:bookmarkStart w:id="1052" w:name="_Toc385"/>
      <w:bookmarkEnd w:id="1051"/>
      <w:r>
        <w:rPr>
          <w:rtl w:val="true"/>
        </w:rPr>
        <w:t>علم الآخذ تفصیلا بغصبیة المال</w:t>
      </w:r>
      <w:bookmarkEnd w:id="1052"/>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الجائزة إذا علم الآخذ تفصیلا بأنّها مغصوبة؟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الآخذ بحرمة الجائزة،تارة یکون قبل استقرارها فی یده،و اخری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 فیحرم علیه أخذها اختیارا بقصد التملّک،للعلم بکونها مال الغیر و أنّه یحرم التصرّف فی مال الغیر بدون إذن صاحبه،بل یحرم التصرّف حتّی مع قصد إرضاء مالکه بعده،فإنّ التصرّف فی مال الغیر إنّما یجوز إذا کان المالک راضیا به حال التصرّف،و أمّا الرضا المتأخّر فلا یؤثّر فی مشروعیة التصرّف المتقدّم فیکون الآخذ ضامنا للمالک مع التلف،لأنّ یده ید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أخذه لإیصاله إلی مالکه إذا کان معلوما،أو لیطبق علیه حکم مجهول المالک إذا کان المالک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إذا لم یخش ضررا من الجائر لعدم أخذه،و إلاّ فلا شبهة فی جوازه،للأخبار الدالّة علی مشروعیة التقیة عند کل ضرورة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هل یجوز أخذ الجائزة عند التقیّة مطلقا،أم لا یجوز أخذها إلاّ بنیّة الردّ إلی مالکها؟ذهب المصنّف إلی الثانی،بدعوی أنّ أخذه بغیر نیّة الردّ تصرّف فی</w:t>
      </w:r>
    </w:p>
    <w:p>
      <w:pPr>
        <w:pStyle w:val="BookText"/>
        <w:rPr/>
      </w:pPr>
      <w:r>
        <w:rPr>
          <w:rFonts w:ascii="IRNazanin" w:hAnsi="IRNazanin" w:eastAsia="IRNazanin"/>
          <w:color w:val="111111"/>
          <w:sz w:val="28"/>
          <w:sz w:val="28"/>
          <w:szCs w:val="28"/>
          <w:rtl w:val="true"/>
          <w:lang w:bidi="fa-IR"/>
        </w:rPr>
        <w:t>مال الغیر بدون إذنه،و أمّا التقیة فلا ریب أنّها تتأدّی بقصد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مرامه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المندوحة و إن لم یعتبر فی التقیة بالنسبة إلی أصل العمل،و لکن لا شبهة فی اعتباره حال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اقتضت التقیّة أن یکفّر فی صلاته مع سعة الوقت،و تمکّن المکلّف من الإتیان بها بغیر تکفیر فی بیت مظلم لا یراه أحد صحّت صلاته،لإطلاق الروایات الدالّة علی مشروعیة التقیّة،فإنّ موضوعها متحقّق حین الإتیان بالعمل علی وجه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له مندوحة حال العمل،فتمکّن من إیقاعه علی غیر وجه التقیّة،فلا شبهة فی فساد عمله إذا أوقعه علی وجه التقیة،فإذا تمکّن المصلّی مثلا من السجود علی الأرض و علی الفراش کلیهما فلا ریب فی وجوب السجود علی الأرض،و عدم کفایة السجود علی الفراش،و کذلک إذا تمکّن المتوضّی من المسح علی الرجل و علی الخفّ کلیهما،بأن کانت عنده فرقتان من العامّة،فرقة تجّوز المسح علی الخفّ،و فرقة لا تجوّزه علیه،فإنّه لا ریب فی وجوب المسح علی الرجل لوجود المندوحة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أنّه لا یکون مشمولا لأخبار التقیّة،لعدم تحقّق موضوعها إذا وجدت المندوحة حال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الإکراه علی أخذ الجائزة من الجائر فقد تقدّم </w:t>
      </w:r>
      <w:r>
        <w:rPr>
          <w:rStyle w:val="FootnoteAnchor"/>
          <w:rtl w:val="true"/>
        </w:rPr>
        <w:footnoteReference w:id="1514"/>
      </w:r>
      <w:r>
        <w:rPr>
          <w:rFonts w:ascii="IRNazanin" w:hAnsi="IRNazanin" w:eastAsia="IRNazanin"/>
          <w:color w:val="111111"/>
          <w:sz w:val="28"/>
          <w:sz w:val="28"/>
          <w:szCs w:val="28"/>
          <w:rtl w:val="true"/>
          <w:lang w:bidi="fa-IR"/>
        </w:rPr>
        <w:t xml:space="preserve">فی البحث عن الإکراه علی الولایة من الجائر أنّ الإکراه لا یتحقّق مع وجود المندوحة،فإذا أکره الجائر شخصا علی شرب أحد إناءین،أحدهما خل و الآخر خمر،فإنّه لا یجوز للمکره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یشرب الخمر بتوهّم أنّه مکره علیه،إذ الإکراه إنّما هو علی الجامع لا علی الفرد الخاصّ،و من هنا ظهر حکم الاضطرار أیضا</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فإذا اقتضت التقیة أو الإکراه و الاضطرار أخذ الجائزة من الجائر</w:t>
      </w:r>
    </w:p>
    <w:p>
      <w:pPr>
        <w:pStyle w:val="BookText"/>
        <w:rPr/>
      </w:pPr>
      <w:r>
        <w:rPr>
          <w:rFonts w:ascii="IRNazanin" w:hAnsi="IRNazanin" w:eastAsia="IRNazanin"/>
          <w:color w:val="111111"/>
          <w:sz w:val="28"/>
          <w:sz w:val="28"/>
          <w:szCs w:val="28"/>
          <w:rtl w:val="true"/>
          <w:lang w:bidi="fa-IR"/>
        </w:rPr>
        <w:t>مع العلم التفصیلی بکونها مغصوبة جاز أخذها،بل وجب فی بعض الأحیان،و لکن التقیة و أمثالها تتأدّی بأخذها بنیّة الردّ إلی مالکها،فلا یسوغ أخذها بغیر هذه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أخذت لا بنیّة الردّ ضمن الآخذ ما أخذه،و وجب علیه عند التلف أداء مثلها أو قیمتها لمالکها،لأنّ یده مشمولة لقاعدة الید الحاکمة بضمان ما أخذت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الأخذ بنیّة الردّ إلی المالک فهو لا یخلو عن إحدی ثلاث صور لأنّ الآخذ قد یکون عالما بعدم رضا المالک بأخذ ماله من الجائر،و قد یکون عالما برضاه بذلک،و قد یکون شاکّا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یجوز أخذ المال من الجائر،فإنّ دلیل سلطنة الناس علی أموالهم یقتضی کون زمام المال بید مالکه،و لیس لغیره أن یعارضه فی سلطنته علی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أطلق أحد عنان فرسه لیذهب إلی البیداء لغرض عقلائی،و لم یرض بردّه،فإنّه لا یجوز لأحد أن یأخذه و یحفظه لمالکه بزعم أنّه إحسان إلیه،لأنّه تصرّف فی مال الغیر بدون إذنه،فهو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أخذه أحد وجب علیه أن یردّه إلی صاحبه،لقاعدة ضمان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لا شبهة فی جواز الأخذ بنیّة الردّ إلی المالک،و لا یکون الأخذ حینئذ منافیا لسلطنته،و یکون المال المأخوذ أمانة مالکیة،لا شرعیة کما یظهر من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المال من الجائر مع العلم برضا المالک یکون شأنه شأن الودیعة المأخوذة من نفس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لیس لقصد الردّ إلی المالک و عدمه موضوعیة لعنوانی الإحسان و الظلم،کسائر الموارد التی یکون القصد موضوعا للحکم،و لیس مأخوذا علی نحو الطریقیة کما هو واضح</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الثالث لا ریب فی جواز الأخذ بنیّة الردّ إلی صاحبه،لکونه عدلا</w:t>
      </w:r>
    </w:p>
    <w:p>
      <w:pPr>
        <w:pStyle w:val="BookText"/>
        <w:rPr/>
      </w:pPr>
      <w:r>
        <w:rPr>
          <w:rFonts w:ascii="IRNazanin" w:hAnsi="IRNazanin" w:eastAsia="IRNazanin"/>
          <w:color w:val="111111"/>
          <w:sz w:val="28"/>
          <w:sz w:val="28"/>
          <w:szCs w:val="28"/>
          <w:rtl w:val="true"/>
          <w:lang w:bidi="fa-IR"/>
        </w:rPr>
        <w:t>و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المأخوذ حینئذ أمانة شرعیة عند الآخذ،فلا یضمنه مع التلف بغیر تفریط،لأنّه محسن،و ما علی المحسنین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یکون المورد مشمولا لقاعدة ضمان الید،لا من جهة اعتبار التعدّی فی مفهوم الأخذ کما ذهب إلیه شیخنا الاستاذ </w:t>
      </w:r>
      <w:r>
        <w:rPr>
          <w:rStyle w:val="FootnoteAnchor"/>
          <w:rtl w:val="true"/>
        </w:rPr>
        <w:footnoteReference w:id="1515"/>
      </w:r>
      <w:r>
        <w:rPr>
          <w:rFonts w:ascii="IRNazanin" w:hAnsi="IRNazanin" w:eastAsia="IRNazanin"/>
          <w:color w:val="111111"/>
          <w:sz w:val="28"/>
          <w:sz w:val="28"/>
          <w:szCs w:val="28"/>
          <w:rtl w:val="true"/>
          <w:lang w:bidi="fa-IR"/>
        </w:rPr>
        <w:t>،لکون مفهوم الأخذ أوسع من ذلک،بل من جهة تخصیص القاعدة بالروایات الدالّة علی عدم الضمان فی الأمانة،نعم لو أخذه بغیر قصد الردّ إلی المالک فتلف عند الآخذ ضمن للمالک،لأنّ الأخذ حینئذ تعد علی مال الغیر،و معارضة لسلطانه،فهو حرام وضعا و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بحرمة التصرّف فیما أخذ من الجائر مع العلم بکونه مغصوبا،سواء کان الأخذ بنیّة الردّ إلی المالک أم لا،لقوله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دم امرئ مسلم و لا ماله إلاّ بطیبة نفس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یحل لأحد أن یتصرّف فی مال غیره بغیر إذنه</w:t>
      </w:r>
      <w:r>
        <w:rPr>
          <w:rFonts w:eastAsia="IRNazanin" w:cs="IRNazanin"/>
          <w:color w:val="111111"/>
          <w:sz w:val="28"/>
          <w:szCs w:val="28"/>
          <w:rtl w:val="true"/>
          <w:lang w:bidi="fa-IR"/>
        </w:rPr>
        <w:t xml:space="preserve">» </w:t>
      </w:r>
      <w:r>
        <w:rPr>
          <w:rStyle w:val="FootnoteAnchor"/>
          <w:rtl w:val="true"/>
        </w:rPr>
        <w:footnoteReference w:id="1516"/>
      </w:r>
      <w:r>
        <w:rPr>
          <w:rFonts w:ascii="IRNazanin" w:hAnsi="IRNazanin" w:eastAsia="IRNazanin"/>
          <w:color w:val="111111"/>
          <w:sz w:val="28"/>
          <w:sz w:val="28"/>
          <w:szCs w:val="28"/>
          <w:rtl w:val="true"/>
          <w:lang w:bidi="fa-IR"/>
        </w:rPr>
        <w:t>فإنّ الأخذ تصرّف فی مال الغیر مع عدم إحراز إذنه فیه،فهو حرام و ظلم،لا عدل و 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ما إذا أراد المالک بیع متاعه من شخص بخمسة دنانیر،و أراد غیره بیع ذلک المتاع من شخص آخر بثمانیة دنانیر مع عدم رضا المالک،فإنّ ذلک لا یجوز بزعم أنّه إحسان إلیه</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ضعیف،أمّا الروایة الاولی فإنّ الحلّیة و الحرمة فیها حکمان لموضوع واحد،و سبب الاختلاف إنّما هو إذن المالک و عدمه،و من الواضح أنّ الموضوع المذکور إنّما هو منافع المال التی تعود إلی المتصرّف من الأکل و الشرب و البیع و الهبة و نحوها،فوضع الید علی مال الغیر بنیّة الردّ إلی المالک خارج عن حدود الروایة فإنّه لیس من المنافع العائدة إلی الآخذ،بل هو من المنافع التی تعود إلی المالک</w:t>
      </w:r>
    </w:p>
    <w:p>
      <w:pPr>
        <w:pStyle w:val="BookText"/>
        <w:rPr/>
      </w:pPr>
      <w:r>
        <w:rPr>
          <w:rFonts w:ascii="IRNazanin" w:hAnsi="IRNazanin" w:eastAsia="IRNazanin"/>
          <w:color w:val="111111"/>
          <w:sz w:val="28"/>
          <w:sz w:val="28"/>
          <w:szCs w:val="28"/>
          <w:rtl w:val="true"/>
          <w:lang w:bidi="fa-IR"/>
        </w:rPr>
        <w:t>و لیس للآخذ منها إلاّ العناء و الکلفة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الثانیة فأنّا نمنع صدق التصرّف علی مجرّد الأخذ بنیّة الردّ إلی المالک،إذ التصرّف عبارة عن التقلیب و التقلّب،و لا نسلّم صدقه علی ذلک،و إذا سلّمنا صدقه علیه لغة فإنّه منصرف عنه عرفا،فیکون المأخوذ أمانة شرعیة عند الآخذ،فتترتّب علیه أحکامها الوضعیة و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وضع الید علی مال الغیر لحفظه و إیصاله إلی مالکه خارج عن الروایتین موضوعا و حکما،و هذا معنی یحکم به الوجدان و أهل العرف و یؤیّده ما فی موثّقة أبی بصیر </w:t>
      </w:r>
      <w:r>
        <w:rPr>
          <w:rStyle w:val="FootnoteAnchor"/>
          <w:rtl w:val="true"/>
        </w:rPr>
        <w:footnoteReference w:id="1517"/>
      </w:r>
      <w:r>
        <w:rPr>
          <w:rFonts w:ascii="IRNazanin" w:hAnsi="IRNazanin" w:eastAsia="IRNazanin"/>
          <w:color w:val="111111"/>
          <w:sz w:val="28"/>
          <w:sz w:val="28"/>
          <w:szCs w:val="28"/>
          <w:rtl w:val="true"/>
          <w:lang w:bidi="fa-IR"/>
        </w:rPr>
        <w:t>من أنّ حرمة مال المؤمن کحرمة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منع المالک عن وضع الید علی ماله حتّی بقصد الردّ إلیه کان ذلک حراما أیضا،کما أنّ دقّ أبواب الناس جائز للسیرة القطعیة،فإذا منع المالک عنه کان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قیاس المقام ببیع مال الغیر بدون إذنه فواضح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أخذ المال من الجائر ثمّ علم بعد ذلک بکونه مغصوبا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فظاهر المصنّف و صریح السیّد فی حاشیته </w:t>
      </w:r>
      <w:r>
        <w:rPr>
          <w:rStyle w:val="FootnoteAnchor"/>
          <w:rtl w:val="true"/>
        </w:rPr>
        <w:footnoteReference w:id="1518"/>
      </w:r>
      <w:r>
        <w:rPr>
          <w:rFonts w:ascii="IRNazanin" w:hAnsi="IRNazanin" w:eastAsia="IRNazanin"/>
          <w:color w:val="111111"/>
          <w:sz w:val="28"/>
          <w:sz w:val="28"/>
          <w:szCs w:val="28"/>
          <w:rtl w:val="true"/>
          <w:lang w:bidi="fa-IR"/>
        </w:rPr>
        <w:t>أنّ هنا مسألتین،الاولی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الأخذ من الجائر بنیّة التملّک مع الجهل بکون المأخوذ من أموال الغیر موجبا للضمان أم لا؟الثانیة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حکمنا بالضمان بذلک فهل یبقی هذا الحکم حتّی إذا نوی الآخذ حفظ المال و إیصاله إلی مالکه بعد العلم بالحال،أم لا یبقی ذلک الحکم،بل یتغیّر بتغیّر العنوان؟</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القول بالضمان هو المشهور بین الأصحاب</w:t>
      </w:r>
    </w:p>
    <w:p>
      <w:pPr>
        <w:pStyle w:val="BookText"/>
        <w:rPr/>
      </w:pPr>
      <w:r>
        <w:rPr>
          <w:rFonts w:ascii="IRNazanin" w:hAnsi="IRNazanin" w:eastAsia="IRNazanin"/>
          <w:color w:val="111111"/>
          <w:sz w:val="28"/>
          <w:sz w:val="28"/>
          <w:szCs w:val="28"/>
          <w:rtl w:val="true"/>
          <w:lang w:bidi="fa-IR"/>
        </w:rPr>
        <w:t xml:space="preserve">و ظاهر المسالک </w:t>
      </w:r>
      <w:r>
        <w:rPr>
          <w:rStyle w:val="FootnoteAnchor"/>
          <w:rtl w:val="true"/>
        </w:rPr>
        <w:footnoteReference w:id="1519"/>
      </w:r>
      <w:r>
        <w:rPr>
          <w:rFonts w:ascii="IRNazanin" w:hAnsi="IRNazanin" w:eastAsia="IRNazanin"/>
          <w:color w:val="111111"/>
          <w:sz w:val="28"/>
          <w:sz w:val="28"/>
          <w:szCs w:val="28"/>
          <w:rtl w:val="true"/>
          <w:lang w:bidi="fa-IR"/>
        </w:rPr>
        <w:t>عدم الضمان مع القبض جاهلا،قال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ید أمانة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نفهم وجها صحیحا لهذا الاستصحاب،إذ لیس ذلک مسبوقا بید الأمانة حتّی نستصحبها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توجیه کلامه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الضمان عندنا عبارة عن انتقال القیمة أو المثل إلی ذمّة الضامن،و من الضروری أنّ هذا المعنی لا یتحقّق إلاّ بالتلف،و حیث إنّ ید الآخذ کانت ید أمانة لا توجب الضمان،لکونه جاهلا بالحال،فإذا شکّ فی تغیّر الحکم بعد حصول العلم کان مقتضی القاعدة 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التوجیه بدیهی البطلان،و لا یناسب مقام الشهید،بداهة أنّ الضمان یتحقّق بالاستیلاء علی مال الغیر بدون سبب شرعی،من غیر فرق بین العلم و الجهل،و بین کون المستولی کبیرا أو صغیرا،عاقلا أو مجنونا،نعم تنتقل العین إلی المثل أو القیمة حین التلف،و لکن هذا الانتقال أجنبی عن أصل الضمان،و لم یثبت فی المقام کون الید ید أمانة حتّی 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قد رخّص فی أخذ الجائزة عند الجهل بکونها مغصوبة،فتکون ید الآخذ ید أمانة شرعیة،فإذا شکّ فی ضمان العین بعد تلفها کان المرجع هو استصحاب ید الأمانة</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یرد علیه أنّ ترخیص الشارع فی ذلک ترخیص ظاهری فی ظرف الجهل،لا ترخیص واقعی،أمّا حکم الشارع بالضمان فهو حکم واقعی ثابت فی حالتی العلم و الجهل،و لا منافاة بین الحکمین علی ما حقّقناه فی علم الاصول </w:t>
      </w:r>
      <w:r>
        <w:rPr>
          <w:rStyle w:val="FootnoteAnchor"/>
          <w:rtl w:val="true"/>
        </w:rPr>
        <w:footnoteReference w:id="1520"/>
      </w:r>
      <w:r>
        <w:rPr>
          <w:rFonts w:ascii="IRNazanin" w:hAnsi="IRNazanin" w:eastAsia="IRNazanin"/>
          <w:color w:val="111111"/>
          <w:sz w:val="28"/>
          <w:sz w:val="28"/>
          <w:szCs w:val="28"/>
          <w:rtl w:val="true"/>
          <w:lang w:bidi="fa-IR"/>
        </w:rPr>
        <w:t>و علیه فوضع الید علی مال الغیر بنیّة التملّک یوجب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انکشف الواقع فإن</w:t>
      </w:r>
    </w:p>
    <w:p>
      <w:pPr>
        <w:pStyle w:val="BookText"/>
        <w:rPr/>
      </w:pPr>
      <w:r>
        <w:rPr>
          <w:rFonts w:ascii="IRNazanin" w:hAnsi="IRNazanin" w:eastAsia="IRNazanin"/>
          <w:color w:val="111111"/>
          <w:sz w:val="28"/>
          <w:sz w:val="28"/>
          <w:szCs w:val="28"/>
          <w:rtl w:val="true"/>
          <w:lang w:bidi="fa-IR"/>
        </w:rPr>
        <w:t>کانت العین باقیة فلا بدّ من ردّها إلی مالکها،و إلاّ فلا بدّ من ردّ مثلها أو قیمتها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حکمهم بالضمان فی مسألة تعاقب الأیدی علی المال المغصوب مع الجهل بالحال،و لم یقل أحد فیها بعدم الضمان حتّی صاحب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المسألة الثانیة و هی أنّه إذا کان وضع الید علی المال موجبا للضمان،فهل یرتفع هذا الحکم بنیّة الردّ إلی المالک بعد العلم بالحال أم لا؟فیه و جهان،الضمان کما ذهب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عدمه کما ذهب إلیه السیّد فی حاشیته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استدلّ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الضمان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الجائزة من الجائر بنیّة التملّک و إن کان جائزا بمقتضی الحکم الظاهری،إلاّ أنّه یوجب الضمان واقعا،لقاعدة ضمان الید،فإذا انکشف الخلاف،و تبدّل قصد الآخذ،و بنی علی حفظ المال للمالک و ردّه إلیه،شککنا فی ارتفاع الضمان الثابت بقاعدة ضمان الید و عدمه،فنستصحب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السیّد بأنّ علّة الضمان و إن کانت هی الأخذ العدوانی،إلاّ أنّها قد زالت بنیّة الردّ إلی المالک فی مسألتنا و أمثالها،لأنّ الید قد انقلبت من العدوان و الخیانة إلی الإحسان و الأمانة،فیکون المال أمانة شرعیة عند الآخذ،فلا یترتّب علیه الضمان عند التلف،لأنّ قاعدة ضمان الید مخصّصة بما دلّ علی عدم الضمان فی الأمانة،و بأنّ الودعی محسن،و ما علی المحسنین من سبیل،و علیه فلا مجال لاستصحاب الضمان،لعدم بقاء موضوعه</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هو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الضمان،و لیس الوجه فیه هو الاستصحاب،لما بنینا علیه من عدم جریانه فی الشبهات الحکمیة،بل الوجه فی ذلک أنّ وضع الید علی مال الغیر بقصد التملّک علّة لحدوث الضمان و بقائه،سواء</w:t>
      </w:r>
      <w:bookmarkStart w:id="1053" w:name="pg5064_65878"/>
    </w:p>
    <w:p>
      <w:pPr>
        <w:pStyle w:val="BookText"/>
        <w:rPr/>
      </w:pPr>
      <w:bookmarkEnd w:id="1053"/>
      <w:r>
        <w:rPr>
          <w:rFonts w:ascii="IRNazanin" w:hAnsi="IRNazanin" w:eastAsia="IRNazanin"/>
          <w:color w:val="111111"/>
          <w:sz w:val="28"/>
          <w:sz w:val="28"/>
          <w:szCs w:val="28"/>
          <w:rtl w:val="true"/>
          <w:lang w:bidi="fa-IR"/>
        </w:rPr>
        <w:t>تبدلّت بعد ذلک بید الأمانة أم لا،لأنّ ضمان الید لا یرتفع إلاّ بحصول غایته و هی الأداء،فما لم تتحقّق الغایة لم یسقط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فکون الید الفعلیة الحادثة ید أمانة لا تزاحم الید السابقة المقتضیة للضمان بقاء،فإنّ ید الأمین لا تقتضی الضمان لا أنّها تقتضی عدم الضمان،و من البدیهی أنّ ما لا اقتضاء له لا یزاحم ما له الاقتضاء،و مجرّد نیّة الردّ إلی المالک لا یرفع الضمان الثابت بالید ابتداء،کما أنّ الأحکام الثابتة علی الأشیاء بعناوینها الأوّلیة لا تنافی الأحکام الثابتة علیها بعناوینها الثانویة</w:t>
      </w:r>
      <w:r>
        <w:rPr>
          <w:rFonts w:eastAsia="IRNazanin" w:cs="IRNazanin"/>
          <w:color w:val="111111"/>
          <w:sz w:val="28"/>
          <w:szCs w:val="28"/>
          <w:rtl w:val="true"/>
          <w:lang w:bidi="fa-IR"/>
        </w:rPr>
        <w:t>.</w:t>
      </w:r>
    </w:p>
    <w:p>
      <w:pPr>
        <w:pStyle w:val="Heading5"/>
        <w:numPr>
          <w:ilvl w:val="4"/>
          <w:numId w:val="1"/>
        </w:numPr>
        <w:rPr/>
      </w:pPr>
      <w:bookmarkStart w:id="1054" w:name="__RefHeading___Toc910704_774463916"/>
      <w:bookmarkStart w:id="1055" w:name="_Toc386"/>
      <w:bookmarkEnd w:id="1054"/>
      <w:r>
        <w:rPr>
          <w:rtl w:val="true"/>
        </w:rPr>
        <w:t>ردّ المأخوذ من الجائر إلی أهله</w:t>
      </w:r>
      <w:bookmarkEnd w:id="1055"/>
    </w:p>
    <w:p>
      <w:pPr>
        <w:pStyle w:val="Heading6"/>
        <w:numPr>
          <w:ilvl w:val="5"/>
          <w:numId w:val="1"/>
        </w:numPr>
        <w:rPr/>
      </w:pPr>
      <w:bookmarkStart w:id="1056" w:name="__RefHeading___Toc910706_774463916"/>
      <w:bookmarkStart w:id="1057" w:name="_Toc387"/>
      <w:bookmarkEnd w:id="1056"/>
      <w:r>
        <w:rPr>
          <w:rtl w:val="true"/>
        </w:rPr>
        <w:t>اشارة</w:t>
      </w:r>
      <w:bookmarkEnd w:id="1057"/>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ما أخذ من الجائر إلی أهله،و تحقیق الکلام هنا یقع فی ناحیتین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المأخوذ من الجائر معلوم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مجهول المالک</w:t>
      </w:r>
      <w:r>
        <w:rPr>
          <w:rFonts w:eastAsia="IRNazanin" w:cs="IRNazanin"/>
          <w:color w:val="111111"/>
          <w:sz w:val="28"/>
          <w:szCs w:val="28"/>
          <w:rtl w:val="true"/>
          <w:lang w:bidi="fa-IR"/>
        </w:rPr>
        <w:t>.</w:t>
      </w:r>
    </w:p>
    <w:p>
      <w:pPr>
        <w:pStyle w:val="Heading6"/>
        <w:numPr>
          <w:ilvl w:val="5"/>
          <w:numId w:val="1"/>
        </w:numPr>
        <w:rPr/>
      </w:pPr>
      <w:bookmarkStart w:id="1058" w:name="__RefHeading___Toc910708_774463916"/>
      <w:bookmarkStart w:id="1059" w:name="_Toc388"/>
      <w:bookmarkEnd w:id="1058"/>
      <w:r>
        <w:rPr>
          <w:rtl w:val="true"/>
        </w:rPr>
        <w:t>أ</w:t>
      </w:r>
      <w:r>
        <w:rPr>
          <w:rtl w:val="true"/>
        </w:rPr>
        <w:t>-</w:t>
      </w:r>
      <w:r>
        <w:rPr>
          <w:rtl w:val="true"/>
        </w:rPr>
        <w:t>أن یکون المأخوذ معلوم المالک</w:t>
      </w:r>
      <w:bookmarkEnd w:id="1059"/>
    </w:p>
    <w:p>
      <w:pPr>
        <w:pStyle w:val="BookText"/>
        <w:rPr/>
      </w:pPr>
      <w:r>
        <w:rPr>
          <w:rFonts w:ascii="IRNazanin" w:hAnsi="IRNazanin" w:eastAsia="IRNazanin"/>
          <w:color w:val="111111"/>
          <w:sz w:val="28"/>
          <w:sz w:val="28"/>
          <w:szCs w:val="28"/>
          <w:rtl w:val="true"/>
          <w:lang w:bidi="fa-IR"/>
        </w:rPr>
        <w:t>أمّا 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شبهة فی وجوب ردّ المأخوذ منه إلی مالکه المعلوم لکونه أمانة فی ید الآخذ،و قد دلّت الآیة </w:t>
      </w:r>
      <w:r>
        <w:rPr>
          <w:rStyle w:val="FootnoteAnchor"/>
          <w:rtl w:val="true"/>
        </w:rPr>
        <w:footnoteReference w:id="1522"/>
      </w:r>
      <w:r>
        <w:rPr>
          <w:rFonts w:ascii="IRNazanin" w:hAnsi="IRNazanin" w:eastAsia="IRNazanin"/>
          <w:color w:val="111111"/>
          <w:sz w:val="28"/>
          <w:sz w:val="28"/>
          <w:szCs w:val="28"/>
          <w:rtl w:val="true"/>
          <w:lang w:bidi="fa-IR"/>
        </w:rPr>
        <w:t>علی وجوب ردّ الأمانات إلی أهلها و لا یفرق فی ذلک بین أن یکون علم الآخذ بالحال قبل وقوع المال فی یده أو بعده و إنّما الکلام فی معنی الأداء،فهل هو مجرّد إعلام المالک بذلک و التخلیة بینه و بین ماله أم حمله إلیه و إقباضه منه؟</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یستظهر الثانی من الآیة،فإنّ الظاهر من ردّ الأمانات إلی أهلها هو الردّ الحقیقی،أی حملها إلیهم و إقباضها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المرتکز فی أذهان عامّة أهل العرف،و الظاهر من ملاحظة موارد الأمانات أنّ المراد بأداء الأمانة إنّما هو التخلیة</w:t>
      </w:r>
      <w:bookmarkStart w:id="1060" w:name="pg5064_65879"/>
    </w:p>
    <w:p>
      <w:pPr>
        <w:pStyle w:val="BookText"/>
        <w:rPr/>
      </w:pPr>
      <w:bookmarkEnd w:id="1060"/>
      <w:r>
        <w:rPr>
          <w:rFonts w:ascii="IRNazanin" w:hAnsi="IRNazanin" w:eastAsia="IRNazanin"/>
          <w:color w:val="111111"/>
          <w:sz w:val="28"/>
          <w:sz w:val="28"/>
          <w:szCs w:val="28"/>
          <w:rtl w:val="true"/>
          <w:lang w:bidi="fa-IR"/>
        </w:rPr>
        <w:t>بینها و بین صاحبها،کما علیه أکثر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ذکرناه،بل یدلّ علیه أنّ المودع إذا طلب من الودعی حمل الودیعة إلیه ذمّه العقلاء،خصوصا إذا بعد موضع أحدهما عن الآخر،و احتاج النقل إلی المؤونة،بل ربما یستلزم الحمل الحرج و الضرر،و هما منفیان فی الشریعة المقدّسة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نقلها الودعی من بلد الإیداع إلی بلد آخر بغیر داعی الحفظ و بدون إذن المالک وجب علیه ردّها إلی بلد الودیعة</w:t>
      </w:r>
      <w:r>
        <w:rPr>
          <w:rFonts w:eastAsia="IRNazanin" w:cs="IRNazanin"/>
          <w:color w:val="111111"/>
          <w:sz w:val="28"/>
          <w:szCs w:val="28"/>
          <w:rtl w:val="true"/>
          <w:lang w:bidi="fa-IR"/>
        </w:rPr>
        <w:t>.</w:t>
      </w:r>
    </w:p>
    <w:p>
      <w:pPr>
        <w:pStyle w:val="Heading6"/>
        <w:numPr>
          <w:ilvl w:val="5"/>
          <w:numId w:val="1"/>
        </w:numPr>
        <w:rPr/>
      </w:pPr>
      <w:bookmarkStart w:id="1061" w:name="__RefHeading___Toc910710_774463916"/>
      <w:bookmarkStart w:id="1062" w:name="_Toc389"/>
      <w:bookmarkEnd w:id="1061"/>
      <w:r>
        <w:rPr>
          <w:rtl w:val="true"/>
        </w:rPr>
        <w:t>ب</w:t>
      </w:r>
      <w:r>
        <w:rPr>
          <w:rtl w:val="true"/>
        </w:rPr>
        <w:t>-</w:t>
      </w:r>
      <w:r>
        <w:rPr>
          <w:rtl w:val="true"/>
        </w:rPr>
        <w:t>أن یکون المأخوذ مجهول المالک</w:t>
      </w:r>
      <w:bookmarkEnd w:id="1062"/>
    </w:p>
    <w:p>
      <w:pPr>
        <w:pStyle w:val="Heading6"/>
        <w:numPr>
          <w:ilvl w:val="5"/>
          <w:numId w:val="1"/>
        </w:numPr>
        <w:rPr/>
      </w:pPr>
      <w:bookmarkStart w:id="1063" w:name="__RefHeading___Toc910712_774463916"/>
      <w:bookmarkStart w:id="1064" w:name="_Toc390"/>
      <w:bookmarkEnd w:id="1063"/>
      <w:r>
        <w:rPr>
          <w:rtl w:val="true"/>
        </w:rPr>
        <w:t>اشارة</w:t>
      </w:r>
      <w:bookmarkEnd w:id="1064"/>
    </w:p>
    <w:p>
      <w:pPr>
        <w:pStyle w:val="BookText"/>
        <w:rPr/>
      </w:pPr>
      <w:r>
        <w:rPr>
          <w:rFonts w:ascii="IRNazanin" w:hAnsi="IRNazanin" w:eastAsia="IRNazanin"/>
          <w:color w:val="111111"/>
          <w:sz w:val="28"/>
          <w:sz w:val="28"/>
          <w:szCs w:val="28"/>
          <w:rtl w:val="true"/>
          <w:lang w:bidi="fa-IR"/>
        </w:rPr>
        <w:t>و أمّا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إذا کان المالک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الکلام فیها من جهات شتّی</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یجب الفحص عن المالک أم لا؟قد یقال بعدم الوجوب کما احتمله المصنّف،فیجوز التصدّق بمجهول المالک بغیر فحص عن مالکه،استنادا إلی إطلاق جملة من الروایات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bookmarkStart w:id="1065" w:name="pg5064_65880"/>
    </w:p>
    <w:p>
      <w:pPr>
        <w:pStyle w:val="Heading6"/>
        <w:numPr>
          <w:ilvl w:val="5"/>
          <w:numId w:val="1"/>
        </w:numPr>
        <w:rPr/>
      </w:pPr>
      <w:bookmarkStart w:id="1066" w:name="__RefHeading___Toc910714_774463916"/>
      <w:bookmarkStart w:id="1067" w:name="_Toc391"/>
      <w:bookmarkEnd w:id="1065"/>
      <w:bookmarkEnd w:id="1066"/>
      <w:r>
        <w:rPr>
          <w:rtl w:val="true"/>
        </w:rPr>
        <w:t>وجوب الفحص عن المالک</w:t>
      </w:r>
      <w:bookmarkEnd w:id="1067"/>
    </w:p>
    <w:p>
      <w:pPr>
        <w:pStyle w:val="BookText"/>
        <w:rPr/>
      </w:pPr>
      <w:r>
        <w:rPr>
          <w:rFonts w:ascii="IRNazanin" w:hAnsi="IRNazanin" w:eastAsia="IRNazanin"/>
          <w:color w:val="111111"/>
          <w:sz w:val="28"/>
          <w:sz w:val="28"/>
          <w:szCs w:val="28"/>
          <w:rtl w:val="true"/>
          <w:lang w:bidi="fa-IR"/>
        </w:rPr>
        <w:t>و قد یقال بوجوب الفحص لوجهین</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وجوب الفحص عن المالک،فإنّ مقتضی القاعدة تقیید المطلقات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إیداع اللص دراهم أو متاعا عند مسلم </w:t>
      </w:r>
      <w:r>
        <w:rPr>
          <w:rStyle w:val="FootnoteAnchor"/>
          <w:rtl w:val="true"/>
        </w:rPr>
        <w:footnoteReference w:id="1524"/>
      </w:r>
      <w:r>
        <w:rPr>
          <w:rFonts w:ascii="IRNazanin" w:hAnsi="IRNazanin" w:eastAsia="IRNazanin"/>
          <w:color w:val="111111"/>
          <w:sz w:val="28"/>
          <w:sz w:val="28"/>
          <w:szCs w:val="28"/>
          <w:rtl w:val="true"/>
          <w:lang w:bidi="fa-IR"/>
        </w:rPr>
        <w:t>،فإنّه دلّ علی أنّ الودیعة بمنزلة اللقطة،فیعرفها الودعی حولا،فإن أصاب صاحبها ردّها إلیه و إلاّ تصدّق بها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وجوب الفحص عن الأجیر لإیصال حقّه إلیه </w:t>
      </w:r>
      <w:r>
        <w:rPr>
          <w:rStyle w:val="FootnoteAnchor"/>
          <w:rtl w:val="true"/>
        </w:rPr>
        <w:footnoteReference w:id="1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الأخبار الواردة فی وجوب تعریف اللقطة </w:t>
      </w:r>
      <w:r>
        <w:rPr>
          <w:rStyle w:val="FootnoteAnchor"/>
          <w:rtl w:val="true"/>
        </w:rPr>
        <w:footnoteReference w:id="1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وجوب الفحص عن رجل کان له علی رجل حقّ ففقده الرجل المدیون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یونس بن عبد الرحمن،قال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حاضر،إلی أن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کان لنا بمکّة،فرحل منها إلی منزله و رحلنا إلی منازلنا،فلمّا أن صرنا فی الطریق أصبنا بعض متاعه معنا،فأی شیء نصنع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تحملونه حتّی تحملوه إلی الکوفة،قال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نعرفه و لا نعرف بلده و لا نعرف کیف نصنع؟قال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کذا فبعه و تصدّق بثمنه،قال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الولایة</w:t>
      </w:r>
      <w:r>
        <w:rPr>
          <w:rFonts w:eastAsia="IRNazanin" w:cs="IRNazanin"/>
          <w:color w:val="111111"/>
          <w:sz w:val="28"/>
          <w:szCs w:val="28"/>
          <w:rtl w:val="true"/>
          <w:lang w:bidi="fa-IR"/>
        </w:rPr>
        <w:t xml:space="preserve">» </w:t>
      </w:r>
      <w:r>
        <w:rPr>
          <w:rStyle w:val="FootnoteAnchor"/>
          <w:rtl w:val="true"/>
        </w:rPr>
        <w:footnoteReference w:id="1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کذا فبعه و تصدّق بثمنه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 علی الیأس من الوصول إلی المالک،و یدلّ مفهومه علی عدم جواز التصدّق به قبل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و إن کانت خاصّة بحسب الموارد،إلاّ أنّ الملاک فیها هو عدم إمکان إیصال المال إلی مالکه،فیتعدّی منها إلی مطلق مجهول المالک</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أنّها بعیدة عمّا نحن فیه،أمّا ما ورد فی قضیة إیداع اللص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ضعیف السند،و دعوی انجباره بعمل المشهور کما فی الجواهر </w:t>
      </w:r>
      <w:r>
        <w:rPr>
          <w:rStyle w:val="FootnoteAnchor"/>
          <w:rtl w:val="true"/>
        </w:rPr>
        <w:footnoteReference w:id="1529"/>
      </w:r>
      <w:r>
        <w:rPr>
          <w:rFonts w:ascii="IRNazanin" w:hAnsi="IRNazanin" w:eastAsia="IRNazanin"/>
          <w:color w:val="111111"/>
          <w:sz w:val="28"/>
          <w:sz w:val="28"/>
          <w:szCs w:val="28"/>
          <w:rtl w:val="true"/>
          <w:lang w:bidi="fa-IR"/>
        </w:rPr>
        <w:t>دعوی</w:t>
      </w:r>
    </w:p>
    <w:p>
      <w:pPr>
        <w:pStyle w:val="BookText"/>
        <w:rPr/>
      </w:pPr>
      <w:r>
        <w:rPr>
          <w:rFonts w:ascii="IRNazanin" w:hAnsi="IRNazanin" w:eastAsia="IRNazanin"/>
          <w:color w:val="111111"/>
          <w:sz w:val="28"/>
          <w:sz w:val="28"/>
          <w:szCs w:val="28"/>
          <w:rtl w:val="true"/>
          <w:lang w:bidi="fa-IR"/>
        </w:rPr>
        <w:t xml:space="preserve">غیر صحیحة،لما حقّقناه فی علم الاصول </w:t>
      </w:r>
      <w:r>
        <w:rPr>
          <w:rStyle w:val="FootnoteAnchor"/>
          <w:rtl w:val="true"/>
        </w:rPr>
        <w:footnoteReference w:id="1530"/>
      </w:r>
      <w:r>
        <w:rPr>
          <w:rFonts w:ascii="IRNazanin" w:hAnsi="IRNazanin" w:eastAsia="IRNazanin"/>
          <w:color w:val="111111"/>
          <w:sz w:val="28"/>
          <w:sz w:val="28"/>
          <w:szCs w:val="28"/>
          <w:rtl w:val="true"/>
          <w:lang w:bidi="fa-IR"/>
        </w:rPr>
        <w:t>،و أشرنا إلیه مرارا فیما تقدّم من أنّ الشهرة الفتوائیة لا تجبر ضعف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وارد فی قضیّة خاصّة،فلا وجه للتعدّی منها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ورد فی تعریف اللقطة حولا و التصدّق بها بعده فهو مخصوص باللقطة،و لا یعمّ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بقیّة الروایات فهی واردة فی معلوم المالک الذی یتعذّر الوصول إلیه و مورد بحثنا إنّما هو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 وجها للتعدّی عن مورد الروایات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اتّحاد الملاک بین مواردها و بین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الوصول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جزافیة،إذ لا طریق لنا إلی کشف ذلک</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المتقدّمة فی أوّل المسألة تقتضی وجوب الفحص عن المالک مقدّمة للردّ الواجب،سواء أکانت الأمانة مالکیة کالودیعة و العاریة و نحوهما أم شرعیة کاللقطة و مجهول المالک و مال السرقة و الخیانة و الغصب،و المال المأخوذ من الجائر مع العلم بکونه مغصوبا،و لکنّه مقیّد بالتمکّن العقلی من الأداء و الفحص لقبح التکلیف بغیر المقدور،و علیه فلا یجب الفحص مع عدم التمکّن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المتقدّمة ظاهرة فی وجوب التصدّق بمجهول المالک علی وجه الإطلاق حتّی مع التمکّن من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فالنسبة بینهما هی العموم من وجه،فإنّ الآیة أعمّ من حیث المورد،لشمولها الأمانات المالکیة و الشرعیة،و أخصّ من حیث وجوب الفحص،لاختصاصها بصورة التمکّن منه،و المطلقات المتقدّمة أعم من جهة الفحص،لشمولها صورتی التمکّن من الفحص و عدمه،و أخصّ من حیث المورد لاختصاصها بمجهول المالک،فتقع المعارضة بینهما فی مجهول المالک مع التمکّن من الفحص،فمقتضی الآیة هو وجوب الفحص عن المالک مع التمکّن منه،و مقتضی</w:t>
      </w:r>
      <w:bookmarkStart w:id="1068" w:name="pg5064_65884"/>
    </w:p>
    <w:p>
      <w:pPr>
        <w:pStyle w:val="BookText"/>
        <w:rPr/>
      </w:pPr>
      <w:bookmarkEnd w:id="1068"/>
      <w:r>
        <w:rPr>
          <w:rFonts w:ascii="IRNazanin" w:hAnsi="IRNazanin" w:eastAsia="IRNazanin"/>
          <w:color w:val="111111"/>
          <w:sz w:val="28"/>
          <w:sz w:val="28"/>
          <w:szCs w:val="28"/>
          <w:rtl w:val="true"/>
          <w:lang w:bidi="fa-IR"/>
        </w:rPr>
        <w:t xml:space="preserve">الروایات هو جواز التصدّق به قبل الفحص عنه،سواء تمکّن منه أم لا،و قد حقّقنا فی مبحث التعادل و الترجیح من علم الاصول </w:t>
      </w:r>
      <w:r>
        <w:rPr>
          <w:rStyle w:val="FootnoteAnchor"/>
          <w:rtl w:val="true"/>
        </w:rPr>
        <w:footnoteReference w:id="1531"/>
      </w:r>
      <w:r>
        <w:rPr>
          <w:rFonts w:ascii="IRNazanin" w:hAnsi="IRNazanin" w:eastAsia="IRNazanin"/>
          <w:color w:val="111111"/>
          <w:sz w:val="28"/>
          <w:sz w:val="28"/>
          <w:szCs w:val="28"/>
          <w:rtl w:val="true"/>
          <w:lang w:bidi="fa-IR"/>
        </w:rPr>
        <w:t>أنّه إذا تعارض الخبر مع الکتاب معارضة العموم من وجه ترفع الید عن الخبر،و یؤخذ بعموم الکتاب أو باطلاقه و علیه فلا بدّ من الأخذ بإطلاق الآیة،و الحکم بوجوب الفحص مع التمکّن منه و رفع الید عن المطلقات الظاهرة فی عدم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عمّا ذکرناه و الحکم بالتساقط یرجع إلی ما دلّ علی حرمة التصرّف فی مال الغیر بدون إذنه</w:t>
      </w:r>
      <w:r>
        <w:rPr>
          <w:rFonts w:eastAsia="IRNazanin" w:cs="IRNazanin"/>
          <w:color w:val="111111"/>
          <w:sz w:val="28"/>
          <w:szCs w:val="28"/>
          <w:rtl w:val="true"/>
          <w:lang w:bidi="fa-IR"/>
        </w:rPr>
        <w:t>.</w:t>
      </w:r>
    </w:p>
    <w:p>
      <w:pPr>
        <w:pStyle w:val="Heading6"/>
        <w:numPr>
          <w:ilvl w:val="5"/>
          <w:numId w:val="1"/>
        </w:numPr>
        <w:rPr/>
      </w:pPr>
      <w:bookmarkStart w:id="1069" w:name="__RefHeading___Toc910716_774463916"/>
      <w:bookmarkStart w:id="1070" w:name="_Toc392"/>
      <w:bookmarkEnd w:id="1069"/>
      <w:r>
        <w:rPr>
          <w:rtl w:val="true"/>
        </w:rPr>
        <w:t>لا یجوز إعطاء مجهول المالک لمن یدّعیه</w:t>
      </w:r>
      <w:bookmarkEnd w:id="1070"/>
    </w:p>
    <w:p>
      <w:pPr>
        <w:pStyle w:val="BookText"/>
        <w:rPr/>
      </w:pPr>
      <w:r>
        <w:rPr>
          <w:rFonts w:ascii="IRNazanin" w:hAnsi="IRNazanin" w:eastAsia="IRNazanin"/>
          <w:color w:val="111111"/>
          <w:sz w:val="28"/>
          <w:sz w:val="28"/>
          <w:szCs w:val="28"/>
          <w:rtl w:val="true"/>
          <w:lang w:bidi="fa-IR"/>
        </w:rPr>
        <w:t>إلاّ بعد الثبوت شرعا</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أو یجب إعطاء مجهول المالک لمن یدّعیه بعد الفحص عن مالکه و الیأس من العلم به،استنادا إلی ما دلّ علی سماع قول المدّعی إذا لم یعارضه أحد فی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یجوز إعطاؤه إلاّ مع التوصیف،إلحاقا له باللقطة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یعتبر الثبوت الشرعی،لبطلان الوجهین المتقدّمین،فإنّه بعد وضع الید علی مال لا یجوز دفعه إلاّ إلی مالکه الواقعی،أو إلی مالکه الشرعی،و الوجهان المذکوران لا یفیدان ذلک</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 أنّ ترتیب الأثر علی دعوی المدّعی إذا کانت بلا معارض إنّما هو فیما لم تثبت ید علی المال،أمّا إذا ثبتت علی المال ید فلا تسمع دعوی أحد علیه إلاّ بالطرق الشرعیة،ضرورة أنّ ذا الید قد اشتغلت ذمّته بالمال بمجرّد وضع یده علیه،فلا یخرج من عهدته إلاّ بإیصاله إلی مالکه أو صرفه فیما قرّره الشارع،و علی هذا جرت السیرة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دلیل علی هذه القاعدة إلاّ</w:t>
      </w:r>
      <w:bookmarkStart w:id="1071" w:name="pg5064_65885"/>
    </w:p>
    <w:p>
      <w:pPr>
        <w:pStyle w:val="BookText"/>
        <w:rPr/>
      </w:pPr>
      <w:bookmarkEnd w:id="1071"/>
      <w:r>
        <w:rPr>
          <w:rFonts w:ascii="IRNazanin" w:hAnsi="IRNazanin" w:eastAsia="IRNazanin"/>
          <w:color w:val="111111"/>
          <w:sz w:val="28"/>
          <w:sz w:val="28"/>
          <w:szCs w:val="28"/>
          <w:rtl w:val="true"/>
          <w:lang w:bidi="fa-IR"/>
        </w:rPr>
        <w:t xml:space="preserve">روایة منصور </w:t>
      </w:r>
      <w:r>
        <w:rPr>
          <w:rStyle w:val="FootnoteAnchor"/>
          <w:rtl w:val="true"/>
        </w:rPr>
        <w:footnoteReference w:id="1532"/>
      </w:r>
      <w:r>
        <w:rPr>
          <w:rFonts w:ascii="IRNazanin" w:hAnsi="IRNazanin" w:eastAsia="IRNazanin"/>
          <w:color w:val="111111"/>
          <w:sz w:val="28"/>
          <w:sz w:val="28"/>
          <w:szCs w:val="28"/>
          <w:rtl w:val="true"/>
          <w:lang w:bidi="fa-IR"/>
        </w:rPr>
        <w:t>و قد تقدّم الإشکال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 أنّ التوصیف لیس له موضوعیة لإعطاء اللقطة لمن یدّعیها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لحصول الاطمئنان بصدق المدّعی فی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الاکتفاء بالتوصیف أو بالدعوی المجرّدة و إن لم تقارن بالتوصیف فلا دلیل علیه،و حینئذ فلا یترتّب الأثر علی توصیف المدّعی إلاّ بعد حصول الاطمئنان بصدق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فعل المسلم علی الصحّة فغایة ما یفیده أن لا یعامل المدّعی معاملة الکاذب،لا أن تترتب علی دعواه آثار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الموافق للتحقیق،لاشتغال ذمّة ذی الید بمجرّد وضع یده علی مال الغیر،فلا تبرأ ذمّته إلاّ بإیصاله إلی مالکه الواقعی أو الشرعی،و قد عرفت ذلک کلّه آنفا</w:t>
      </w:r>
      <w:r>
        <w:rPr>
          <w:rFonts w:eastAsia="IRNazanin" w:cs="IRNazanin"/>
          <w:color w:val="111111"/>
          <w:sz w:val="28"/>
          <w:szCs w:val="28"/>
          <w:rtl w:val="true"/>
          <w:lang w:bidi="fa-IR"/>
        </w:rPr>
        <w:t>.</w:t>
      </w:r>
    </w:p>
    <w:p>
      <w:pPr>
        <w:pStyle w:val="Heading6"/>
        <w:numPr>
          <w:ilvl w:val="5"/>
          <w:numId w:val="1"/>
        </w:numPr>
        <w:rPr/>
      </w:pPr>
      <w:bookmarkStart w:id="1072" w:name="__RefHeading___Toc910718_774463916"/>
      <w:bookmarkStart w:id="1073" w:name="_Toc393"/>
      <w:bookmarkEnd w:id="1072"/>
      <w:r>
        <w:rPr>
          <w:rtl w:val="true"/>
        </w:rPr>
        <w:t>مقدار الفحص عن المالک و کیفیته</w:t>
      </w:r>
      <w:bookmarkEnd w:id="1073"/>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مقدار الفحص عن المالک،و بیان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مقدار الفحص فهل یکفی فیه طبیعی الفحص عن المالک،أو یجب ذلک بمقدار یقطع الواجد أو یطمئن بعدم إمکان الوصول إلیه،أو یجب الفحص عنه سنة کاملة؟</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 فهو و إن کان غیر بعید فی نفسه،لکفایة الإتیان بصرف الوجود من الطبیعة فی امتثال الأمر،و لکنّه بعید عن المتفاهم العرفی و المرتکز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الأمر قد ورد بتکرار الطلب عن المالک فی روایة ابن وهب المتقدّمة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bookmarkStart w:id="1074" w:name="pg5064_65886"/>
    </w:p>
    <w:p>
      <w:pPr>
        <w:pStyle w:val="BookText"/>
        <w:rPr/>
      </w:pPr>
      <w:bookmarkEnd w:id="1074"/>
      <w:r>
        <w:rPr>
          <w:rFonts w:ascii="IRNazanin" w:hAnsi="IRNazanin" w:eastAsia="IRNazanin"/>
          <w:color w:val="111111"/>
          <w:sz w:val="28"/>
          <w:sz w:val="28"/>
          <w:szCs w:val="28"/>
          <w:rtl w:val="true"/>
          <w:lang w:bidi="fa-IR"/>
        </w:rPr>
        <w:t xml:space="preserve">و أمّا تقدیر الفحص بالسنة أو بالأقل فلا موجب له بعد وجود الإطلاقات الواردة فی جواز التصدّق بمجهول المالک أو وجوبه،علی أنّ تقدیره بزمان خاص دون غیره ترجیح بلا مرجّح،نعم ورد تحدید التعریف بالسنة فی جملة من روایات اللقطة </w:t>
      </w:r>
      <w:r>
        <w:rPr>
          <w:rStyle w:val="FootnoteAnchor"/>
          <w:rtl w:val="true"/>
        </w:rPr>
        <w:footnoteReference w:id="1534"/>
      </w:r>
      <w:r>
        <w:rPr>
          <w:rFonts w:ascii="IRNazanin" w:hAnsi="IRNazanin" w:eastAsia="IRNazanin"/>
          <w:color w:val="111111"/>
          <w:sz w:val="28"/>
          <w:sz w:val="28"/>
          <w:szCs w:val="28"/>
          <w:rtl w:val="true"/>
          <w:lang w:bidi="fa-IR"/>
        </w:rPr>
        <w:t xml:space="preserve">و فی روایة حفص المتقدّمة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أنّها غریبة عن مطلق مجهول المالک،أمّا روایات اللقطة فهی مختصّة بها فلا یجوز التعدّی منها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روایة حفص بن غیاث ففیها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السند،و غیر منجبرة بشیء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واردة فی خصوص إیداع اللصّ،فلا یتعدّی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سلّمنا عدم اختصاصها بموردها فإنّه لا یجوز التعدّی عنه إلاّ إلی خصوص إیداع الغاصب،أو إلی کل ما یؤخذ منه و لو بغیر عنوان الودیعة،و أمّا التعدّی عن موردها إلی مطلق مجهول المالک فلا وجه له أصلا</w:t>
      </w:r>
      <w:r>
        <w:rPr>
          <w:rFonts w:eastAsia="IRNazanin" w:cs="IRNazanin"/>
          <w:color w:val="111111"/>
          <w:sz w:val="28"/>
          <w:szCs w:val="28"/>
          <w:rtl w:val="true"/>
          <w:lang w:bidi="fa-IR"/>
        </w:rPr>
        <w:t>.</w:t>
      </w:r>
    </w:p>
    <w:p>
      <w:pPr>
        <w:pStyle w:val="Heading6"/>
        <w:numPr>
          <w:ilvl w:val="5"/>
          <w:numId w:val="1"/>
        </w:numPr>
        <w:rPr/>
      </w:pPr>
      <w:bookmarkStart w:id="1075" w:name="__RefHeading___Toc910720_774463916"/>
      <w:bookmarkStart w:id="1076" w:name="_Toc394"/>
      <w:bookmarkEnd w:id="1075"/>
      <w:r>
        <w:rPr>
          <w:rtl w:val="true"/>
        </w:rPr>
        <w:t>وجوب تعریف اللقطة سنة</w:t>
      </w:r>
      <w:bookmarkEnd w:id="1076"/>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أنّه ورد فی جملة من روایات اللقطة وجوب التعریف بها سنة کاملة،و قد افیدت ههنا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السیّد فی حاشیته </w:t>
      </w:r>
      <w:r>
        <w:rPr>
          <w:rStyle w:val="FootnoteAnchor"/>
          <w:rtl w:val="true"/>
        </w:rPr>
        <w:footnoteReference w:id="1536"/>
      </w:r>
      <w:r>
        <w:rPr>
          <w:rFonts w:ascii="IRNazanin" w:hAnsi="IRNazanin" w:eastAsia="IRNazanin"/>
          <w:color w:val="111111"/>
          <w:sz w:val="28"/>
          <w:sz w:val="28"/>
          <w:szCs w:val="28"/>
          <w:rtl w:val="true"/>
          <w:lang w:bidi="fa-IR"/>
        </w:rPr>
        <w:t>من أنّ تحدید الفحص بالسنة تحدید للمنتهی،بمعنی أنّه لا یجب الفحص أکثر من سنة و إن لم یحصل الیأس من وجدان المالک،و علیه فلو حصل الیأس من الأول،أو فی أثناء التعریف لم یجب الفحص</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تعریف اللقطة إنّما هو حصول الیأس عن الوصول إلی المالک،و أمّا التحدید بالسنة فمحمول علی الغالب،لحصول الیأس عن الوصول إلی المالک بعد السنة غالبا</w:t>
      </w:r>
      <w:r>
        <w:rPr>
          <w:rFonts w:eastAsia="IRNazanin" w:cs="IRNazanin"/>
          <w:color w:val="111111"/>
          <w:sz w:val="28"/>
          <w:szCs w:val="28"/>
          <w:rtl w:val="true"/>
          <w:lang w:bidi="fa-IR"/>
        </w:rPr>
        <w:t>.</w:t>
      </w:r>
      <w:bookmarkStart w:id="1077" w:name="pg5064_65887"/>
    </w:p>
    <w:p>
      <w:pPr>
        <w:pStyle w:val="BookText"/>
        <w:rPr/>
      </w:pPr>
      <w:bookmarkEnd w:id="1077"/>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التحدید بالسنة أمر تعبّدی،فلا بدّ من العمل به،سواء حصل الیأس عن الظفر بالمالک قبل مضی السنة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و الثانی فلا وجه لهما،إذ لا مجوّز لرفع الید عن الروایة الظاهرة فی اعتبار السنة فی تعریف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فیتعیّن الوجه الثالث،سواء حصل الاطمئنان بالیأس عن الظفر بالمالک قبل مضی السنة أم بعده،فإنّ الاطمئنان حجّة عقلائیة فیما إذا لم تقم أمارة شرعیة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الشارع قد اعتبر السنة فی وجوب الفحص عن مالک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ذکر فی بعض الروایات أنّ اللقطة یعرف بها ثلاثة أیّام </w:t>
      </w:r>
      <w:r>
        <w:rPr>
          <w:rStyle w:val="FootnoteAnchor"/>
          <w:rtl w:val="true"/>
        </w:rPr>
        <w:footnoteReference w:id="1537"/>
      </w:r>
      <w:r>
        <w:rPr>
          <w:rFonts w:ascii="IRNazanin" w:hAnsi="IRNazanin" w:eastAsia="IRNazanin"/>
          <w:color w:val="111111"/>
          <w:sz w:val="28"/>
          <w:sz w:val="28"/>
          <w:szCs w:val="28"/>
          <w:rtl w:val="true"/>
          <w:lang w:bidi="fa-IR"/>
        </w:rPr>
        <w:t>،و ظاهره المعارضة مع الروایات الدالّة علی اعتبار السنة،و لکن لا بدّ من حمله إمّا علی صورة الیأس عن المالک،أو علی جواز التصدّق به مع الالتزام بالمال و وجوب التعریف به إلی سنة،فإذا مضت السنة و لم یجد المالک سقط الضمان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تعریفها ثلاثة أیّام مقدّمة للتصدّق،و وجوب التعریف إلی سنة کاملة مقدّمة لجواز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دلّ علی کفایة ثلاثة أیّام فی التعریف ضعیف السند</w:t>
      </w:r>
      <w:r>
        <w:rPr>
          <w:rFonts w:eastAsia="IRNazanin" w:cs="IRNazanin"/>
          <w:color w:val="111111"/>
          <w:sz w:val="28"/>
          <w:szCs w:val="28"/>
          <w:rtl w:val="true"/>
          <w:lang w:bidi="fa-IR"/>
        </w:rPr>
        <w:t>.</w:t>
      </w:r>
    </w:p>
    <w:p>
      <w:pPr>
        <w:pStyle w:val="Heading6"/>
        <w:numPr>
          <w:ilvl w:val="5"/>
          <w:numId w:val="1"/>
        </w:numPr>
        <w:rPr/>
      </w:pPr>
      <w:bookmarkStart w:id="1078" w:name="__RefHeading___Toc910722_774463916"/>
      <w:bookmarkStart w:id="1079" w:name="_Toc395"/>
      <w:bookmarkEnd w:id="1078"/>
      <w:r>
        <w:rPr>
          <w:rtl w:val="true"/>
        </w:rPr>
        <w:t>إنّ اجرة الفحص عن المالک هل هی علی ذی الید</w:t>
      </w:r>
      <w:bookmarkEnd w:id="1079"/>
    </w:p>
    <w:p>
      <w:pPr>
        <w:pStyle w:val="BookText"/>
        <w:rPr/>
      </w:pPr>
      <w:r>
        <w:rPr>
          <w:rFonts w:ascii="IRNazanin" w:hAnsi="IRNazanin" w:eastAsia="IRNazanin"/>
          <w:color w:val="111111"/>
          <w:sz w:val="28"/>
          <w:sz w:val="28"/>
          <w:szCs w:val="28"/>
          <w:rtl w:val="true"/>
          <w:lang w:bidi="fa-IR"/>
        </w:rPr>
        <w:t>أو علی المالک</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احتاج الفحص عن المالک إلی بذل اجرة فهل هی علی من وضع یده علی مجهول المالک،أو علی المالک؟قال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احتاج الفحص إلی بذل مال کاجرة دلاّل صایح علیه فالظاهر عدم وجوبه علی الآخذ،بل یتولاّه</w:t>
      </w:r>
    </w:p>
    <w:p>
      <w:pPr>
        <w:pStyle w:val="BookText"/>
        <w:rPr/>
      </w:pPr>
      <w:r>
        <w:rPr>
          <w:rFonts w:ascii="IRNazanin" w:hAnsi="IRNazanin" w:eastAsia="IRNazanin"/>
          <w:color w:val="111111"/>
          <w:sz w:val="28"/>
          <w:sz w:val="28"/>
          <w:szCs w:val="28"/>
          <w:rtl w:val="true"/>
          <w:lang w:bidi="fa-IR"/>
        </w:rPr>
        <w:t>الحاکم ولایة عن صاحبه،و یخرج عن العین اجرة الدلاّل،ثمّ یتصدّق بالباقی إن لم یوجد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وجوبه علیه،لتوقّف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الاستیلاء علی مجهول المالک قد یستند إلی أسباب غیر شرعیة،بأن یأخذ أحد أموال الناس بغیر سبب شرعی،کالغصب و السرقة و الخیانة و نحوها ثمّ یندم،و لکن لا یقدر علی إیصاله إلی 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یستند إلی وجه شرعی،کأخذ المال من السارق أو الجائر،أو الصبی الذی لا یعرف له ولی،و کأخذ المال المشرف علی التلف،و کاللقطة و نحوها،فإنّ أخذ المال فی جمیع هذه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لحفظه لمالکه و إیصاله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من جهة الحسبة</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أنّ مؤونة الفحص علی الغاصب،لوجوب ردّ المغصوب إلی مالکه و إن توقّف ذلک علی بذل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إیجاب اجرة الفحص علی ذی الید ضرر علیه و هو منفی فی الشریعة دعوی جزافیة،لأنّ حدیث نفی الضرر إنّما ورد فی مقام الامتنان،و من الضروری أنّ کون مؤونة الفحص علی المالک علی خلاف الامتنان،فلا یکون مشمولا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إنّ الغاصب وضع یده علی مال الغیر بسوء اختیاره علی سبیل الظلم و العدوان،فإنّ الشارع یلزمه رغما لأنفه بردّ المغصوب إلی مالکه حتّی مع الاحتیاج إلی بذل الاجرة،و قد ورد فی بعض الروایات أنّه لو غصب أحد حجرا و وضعه فی أساس البناء فإنّه یجب علیه ردّه إلی مالکه،و إن توقّف ذلک علی هدم البناء و تضرّر الغاصب </w:t>
      </w:r>
      <w:r>
        <w:rPr>
          <w:rStyle w:val="FootnoteAnchor"/>
          <w:rtl w:val="true"/>
        </w:rPr>
        <w:footnoteReference w:id="1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اشتهر أنّ الغاصب یؤخذ بأشقّ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یستند الاستیلاء علی مجهول المالک إلی سبب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مؤونة الفحص علی المالک،بمعنی أنّ الواجد یصرفها من کیسه عن المالک،فإذا وجده أخذها منه،و إلاّ فمن المال الذی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یده ید أمانة و إحسان،و ما علی المحسنین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کون اجرة الفحص علی الواجد ضرر علیه،و هو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ذلک بالصورة الاولی،فإنّ الید فیها کانت ید عدوان،لا ید أمانة و إحسان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الفحص عن المالک واجب علی الواجد،و من الواضح أنّ إعطاء الاجرة من مقدّماته،فتحسب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الفحص واجب علی الواجد،و مقدّمته طبیعی بذل المال،سواء کان من کیسه أم من کیس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یتعیّن البذل علی الواجد إلاّ بدلیل خاصّ،و هو منفی فی المقام،و علیه فإذا بذل الواجد اجرة الفحص من کیسه رجع علی المالک مع الإمکان،و إلاّ أخذها من المال الذی هو تحت یده،و إن امتنع الواجد من بذل اجرة الفحص رجع إلی الحاکم الشرعی،فیعطیها من بیت المال،أو من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دلیل المقدّمیة المذکور لو تمّ فإنّما یتمّ فیما لو کان الفحص یتوقّف دائما علی بذل المال،مع أنّه لیس کذلک،بل هو أمر قد یکون و قد لا یکون،و علیه فإذا توقّف الفحص علی بذل المال ارتفع وجوبه عن الواجد بدلیل نفی الضرر کسائر التکالیف الضرریة التی ترتفع به</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لم تقم قرینة علی عدم رضا المالک بأخذ ماله و حفظه له،و إلاّ فلا یجوز لأحد أن یضع یده علیه و یحفظه لمالکه،لأنّ الناس مسلّطون علی أموالهم</w:t>
      </w:r>
      <w:r>
        <w:rPr>
          <w:rFonts w:eastAsia="IRNazanin" w:cs="IRNazanin"/>
          <w:color w:val="111111"/>
          <w:sz w:val="28"/>
          <w:szCs w:val="28"/>
          <w:rtl w:val="true"/>
          <w:lang w:bidi="fa-IR"/>
        </w:rPr>
        <w:t>.</w:t>
      </w:r>
      <w:bookmarkStart w:id="1080" w:name="pg5064_65890"/>
    </w:p>
    <w:p>
      <w:pPr>
        <w:pStyle w:val="Heading6"/>
        <w:numPr>
          <w:ilvl w:val="5"/>
          <w:numId w:val="1"/>
        </w:numPr>
        <w:rPr/>
      </w:pPr>
      <w:bookmarkStart w:id="1081" w:name="__RefHeading___Toc910724_774463916"/>
      <w:bookmarkStart w:id="1082" w:name="_Toc396"/>
      <w:bookmarkEnd w:id="1080"/>
      <w:bookmarkEnd w:id="1081"/>
      <w:r>
        <w:rPr>
          <w:rtl w:val="true"/>
        </w:rPr>
        <w:t>مصرف مجهول المالک</w:t>
      </w:r>
      <w:bookmarkEnd w:id="1082"/>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مصرف مجهول المالک؟فهل یتصدّق به،أو یحفظه الواجد ما دام حیّا لمالکه و یوصی به بعد مماته،أو یتملّکه،أو یعطیه للحاکم الشرعی،أو 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للإمام،لقوله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ابن أبی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له صاحب غیری</w:t>
      </w:r>
      <w:r>
        <w:rPr>
          <w:rFonts w:eastAsia="IRNazanin" w:cs="IRNazanin"/>
          <w:color w:val="111111"/>
          <w:sz w:val="28"/>
          <w:szCs w:val="28"/>
          <w:rtl w:val="true"/>
          <w:lang w:bidi="fa-IR"/>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وردت فی قضیة شخصیة فلا تکون مستندا لکبری کلّیة،إذ من المحتمل أن یکون المال فی تلک الواقعة مفقودا من الإمام نفسه،فیکون حلفه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محلّه،لکون المال له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بتقسیم ذلک المال فلعلّه دفع للتهمة عن نفسه،أو إحسان منه إلی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حلفه علی أنّ المال له لعلمه بموت مالکه،و أنّه لم یترک وارثا غیر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المال المذکور من صفو دار الحرب الذی هو خاصّ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مع هذه الاحتمالات لا یبقی مجال للاستدلال بهذه الروایة علی المقصود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مجهول المالک لمن وضع یده علیه،لقوله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علی بن مهزیار التی تبیّن موارد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مال یؤخذ و لا یعرف له صاحب</w:t>
      </w:r>
      <w:r>
        <w:rPr>
          <w:rFonts w:eastAsia="IRNazanin" w:cs="IRNazanin"/>
          <w:color w:val="111111"/>
          <w:sz w:val="28"/>
          <w:szCs w:val="28"/>
          <w:rtl w:val="true"/>
          <w:lang w:bidi="fa-IR"/>
        </w:rPr>
        <w:t xml:space="preserve">» </w:t>
      </w:r>
      <w:r>
        <w:rPr>
          <w:rStyle w:val="FootnoteAnchor"/>
          <w:rtl w:val="true"/>
        </w:rPr>
        <w:footnoteReference w:id="1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استظهر هذا الرأی من الروایة المذکورة المحقّق الهمدانی </w:t>
      </w:r>
      <w:r>
        <w:rPr>
          <w:rStyle w:val="FootnoteAnchor"/>
          <w:rtl w:val="true"/>
        </w:rPr>
        <w:footnoteReference w:id="1541"/>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 xml:space="preserve">ذکر المحقّق الإیروانی </w:t>
      </w:r>
      <w:r>
        <w:rPr>
          <w:rStyle w:val="FootnoteAnchor"/>
          <w:rtl w:val="true"/>
        </w:rPr>
        <w:footnoteReference w:id="1542"/>
      </w:r>
      <w:r>
        <w:rPr>
          <w:rFonts w:ascii="IRNazanin" w:hAnsi="IRNazanin" w:eastAsia="IRNazanin"/>
          <w:color w:val="111111"/>
          <w:sz w:val="28"/>
          <w:sz w:val="28"/>
          <w:szCs w:val="28"/>
          <w:rtl w:val="true"/>
          <w:lang w:bidi="fa-IR"/>
        </w:rPr>
        <w:t>أنّ هذه الصحیحة صریحة فی جواز تملّک مجهول المالک بعد إخراج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واردة فی بیان موارد الخمس علی نحو القضیة الحقیقیة،فیکون مفادها أنّه کلّما تحقّق شیء من تلک الموارد وجب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فلا دلالة فیها علی جواز تملّک مجهول المالک لکی یتمسّک بإطلاقها،نعم لا ننکر دلالتها علی وجوب إخراج الخمس فیما جاز فیه تملّک مجهول المالک،کباب اللقطة،فقد دلّت الروایات الکثیرة المذکورة فی أبواب اللقطة </w:t>
      </w:r>
      <w:r>
        <w:rPr>
          <w:rStyle w:val="FootnoteAnchor"/>
          <w:rtl w:val="true"/>
        </w:rPr>
        <w:footnoteReference w:id="1543"/>
      </w:r>
      <w:r>
        <w:rPr>
          <w:rFonts w:ascii="IRNazanin" w:hAnsi="IRNazanin" w:eastAsia="IRNazanin"/>
          <w:color w:val="111111"/>
          <w:sz w:val="28"/>
          <w:sz w:val="28"/>
          <w:szCs w:val="28"/>
          <w:rtl w:val="true"/>
          <w:lang w:bidi="fa-IR"/>
        </w:rPr>
        <w:t>علی أنّ واجدها مخیّر بین تملّکها،و بین التصدّق بها عن مالکها بعد أن یعرّف بها سنة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ما ورد فی بعض الروایات </w:t>
      </w:r>
      <w:r>
        <w:rPr>
          <w:rStyle w:val="FootnoteAnchor"/>
          <w:rtl w:val="true"/>
        </w:rPr>
        <w:footnoteReference w:id="1544"/>
      </w:r>
      <w:r>
        <w:rPr>
          <w:rFonts w:ascii="IRNazanin" w:hAnsi="IRNazanin" w:eastAsia="IRNazanin"/>
          <w:color w:val="111111"/>
          <w:sz w:val="28"/>
          <w:sz w:val="28"/>
          <w:szCs w:val="28"/>
          <w:rtl w:val="true"/>
          <w:lang w:bidi="fa-IR"/>
        </w:rPr>
        <w:t>من أنّه إذا وجد المشتری مالا فی بطن حیوان اشتراه من شخص فإنّه یرجع فی ذلک المال إلی البائع،و إذا لم یدّعه لنفسه تملّکه المشتری،و أعطی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ما ورد فی جملة من الأحادیث </w:t>
      </w:r>
      <w:r>
        <w:rPr>
          <w:rStyle w:val="FootnoteAnchor"/>
          <w:rtl w:val="true"/>
        </w:rPr>
        <w:footnoteReference w:id="1545"/>
      </w:r>
      <w:r>
        <w:rPr>
          <w:rFonts w:ascii="IRNazanin" w:hAnsi="IRNazanin" w:eastAsia="IRNazanin"/>
          <w:color w:val="111111"/>
          <w:sz w:val="28"/>
          <w:sz w:val="28"/>
          <w:szCs w:val="28"/>
          <w:rtl w:val="true"/>
          <w:lang w:bidi="fa-IR"/>
        </w:rPr>
        <w:t>من أنّه إذا وجد مالا فی بطن سمک اشتراه من الصیّاد فإنّه یتملّکه،و یعطی خمسه،من غیر مراجعة إلی المالک</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کون الروایة فی مقام البیان من هذه الجهة أیضا،فلا نسلّم کونها صریحة فی جواز تملّک مجهول المالک بعد إخراج خمسه،و إنّما هی مطلقة بالنسبة إلیه،فتقیّد بالروایات الدالّة علی لزوم التصدّق بمجهول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یجوز للواجد أن یعمل فی مجهول المالک،و یخرجه صدقة قلیلا قلیلا حتّی یخرج،و یدلّ علیه بعض الأحادیث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دلالة فی هذه الروایة علی جریان الحکم المذکور فی مجهول المالک فمن المحتمل أنّ صاحب المال قد مات و لم یترک وارثا غیر الإمام،فانتقل میراثه إلیه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وارث و مالک أجاز لصاحب الخان أن یتصرّف فی ذلک المال،و یتصدّق به قلیلا قلیلا حتّی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وجود وارث له غیر الأب و الامّ مدفوع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جریانه فی الشبهات الموضوعیة غیر محتاج إلی 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احتمال وجود الأب و الامّ فلعلّه کان مقطوع العدم،لمضی مدّة لا یحتمل بقاؤهما فیها و لذا لم یأمر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بالفحص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ما ذکرناه قول السائل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أعرف له 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 هذه العبارة أنّه تفحّص عن الوارث و لم یجده،فافهم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عمّا ذکرناه و تسلیم دلالتها علی المقصود فالنسبة بینها و بین الروایات الدالّة علی التصدّق بمجهول المالک هی العموم المطلق،فلا بدّ من تقییدها بهذه الروایات</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الروایة تنافی روایة الهیثم </w:t>
      </w:r>
      <w:r>
        <w:rPr>
          <w:rStyle w:val="FootnoteAnchor"/>
          <w:rtl w:val="true"/>
        </w:rPr>
        <w:footnoteReference w:id="1547"/>
      </w:r>
      <w:r>
        <w:rPr>
          <w:rFonts w:ascii="IRNazanin" w:hAnsi="IRNazanin" w:eastAsia="IRNazanin"/>
          <w:color w:val="111111"/>
          <w:sz w:val="28"/>
          <w:sz w:val="28"/>
          <w:szCs w:val="28"/>
          <w:rtl w:val="true"/>
          <w:lang w:bidi="fa-IR"/>
        </w:rPr>
        <w:t>صاحب الفندق الدالّة علی عدم</w:t>
      </w:r>
    </w:p>
    <w:p>
      <w:pPr>
        <w:pStyle w:val="BookText"/>
        <w:rPr/>
      </w:pPr>
      <w:r>
        <w:rPr>
          <w:rFonts w:ascii="IRNazanin" w:hAnsi="IRNazanin" w:eastAsia="IRNazanin"/>
          <w:color w:val="111111"/>
          <w:sz w:val="28"/>
          <w:sz w:val="28"/>
          <w:szCs w:val="28"/>
          <w:rtl w:val="true"/>
          <w:lang w:bidi="fa-IR"/>
        </w:rPr>
        <w:t>جواز التصرّف فی مال مات عنه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بینهما،فإنّ الظاهر من هذه الروایة أنّ صاحب الفندق لم یفحص عن ورثة المیّت،و هذا بخلاف الروایة الاولی،فإنّک قد عرفت ظهورها فی أنّ السائل تفحّص عن الورثة و لم یصل إلیهم،فمورد کل من الخبرین غیر مورد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یسهّل الخطب أنّ کلتا الروایتین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یجب حفظ مجهول المالک لمالکه،و الإیصاء به عند الوفاة للروایات الواردة فی مستأجر فقد أجیره،و لم یقدر علی إیصال حقّه إلیه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إنّما وردت فی معلوم المالک الذی لا یمکن الوصول إلیه،فلا صلة لها بمجهول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دعوی أنّ الملاک بین الموردین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تعذّر إیصال المال إلی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جزافیة،فإنّه لا طریق لنا إلی کشف هذا الملاک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وردت فی الحقّ الکلّی الثابت فی الذمّة،و هو لیس فی معرض التلف لکی یخاف علیه من بقائه،و کلامنا فی العین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وردت فی قضیة شخصیة،فلا یمکن التعدّی عن موردها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دلالة فیها علی وجوب حفظ مجهول المالک لصاحبه و لو بالإیصاء به نعم لا بأس بالالتزام بذلک قبل الیأس عن الوصول إلی المالک</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فی مال الغیر حرام مطلقا،فیکون الأمر بالتصدّق بمجهول المالک قد وقع بعد الحظر،فلا یدلّ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کون</w:t>
      </w:r>
    </w:p>
    <w:p>
      <w:pPr>
        <w:pStyle w:val="BookText"/>
        <w:rPr/>
      </w:pPr>
      <w:r>
        <w:rPr>
          <w:rFonts w:ascii="IRNazanin" w:hAnsi="IRNazanin" w:eastAsia="IRNazanin"/>
          <w:color w:val="111111"/>
          <w:sz w:val="28"/>
          <w:sz w:val="28"/>
          <w:szCs w:val="28"/>
          <w:rtl w:val="true"/>
          <w:lang w:bidi="fa-IR"/>
        </w:rPr>
        <w:t>الواجد مخیّرا بین التصدّق به و بین حفظه لصاحبه و لو بالإیصاء به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ورود الأمر مورد توهّم الحظر هو أن یتعلّق الأمر بعنوان تعلّق به النهی،أو کان معرضا له،کالصید الذی نهی عنه فی الإحرام،و امر به بعد الإحلال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لیس کذلک،فإنّ النهی قد تعلّق بالتصرّف فی أموال الناس بدون إذنهم،و الأمر قد تعلّق بالتصدّق بمجهول المالک بعد الفحص و الیأس من الظفر بصاحبه،فلا یرتبط أحد الأمرین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لئن سلّمنا ذلک فی الروایات التی وقع السؤال فیها ابتداء عن الصدقة،فهو لا یجری فی روایة ابن أبی حمزة </w:t>
      </w:r>
      <w:r>
        <w:rPr>
          <w:rStyle w:val="FootnoteAnchor"/>
          <w:rtl w:val="true"/>
        </w:rPr>
        <w:footnoteReference w:id="1549"/>
      </w:r>
      <w:r>
        <w:rPr>
          <w:rFonts w:ascii="IRNazanin" w:hAnsi="IRNazanin" w:eastAsia="IRNazanin"/>
          <w:color w:val="111111"/>
          <w:sz w:val="28"/>
          <w:sz w:val="28"/>
          <w:szCs w:val="28"/>
          <w:rtl w:val="true"/>
          <w:lang w:bidi="fa-IR"/>
        </w:rPr>
        <w:t>التی وردت فی قصّة الفتی الذی کان من کتّاب بنی امیّة،فإنّها صریحة فی عدم ورود الأمر بالتصدّق فی مقام توهّم الحظر،إذ الفتی إنّما طلب التخلّص عمّا اشتغلت به ذمّته من أموال الناس،فأجاب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من جمیع ما اکتسبت من دیوانهم،فمن عرفت منهم رددت علیه ماله،و من لم تعرف تصدّقت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أنّها ضعیفة السند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التصدّق بمجهول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هو الموافق للتحقیق،و تدلّ علیه المطلقات المتقدّمة،بل الروایات الخاصّة الواردة فی موارد عدیدة التی تقدّمت الإشارة إلیها آنفا،لأنّها و إن وردت فی المال المفقود صاحبه إلاّ أنّها تدلّ علی ثبوت التصدّق بمجهول المالک بالأولویة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بدّ من تقییدها بالیأس عن الوصول إلی المالک،فقد عرفت فیما سبق </w:t>
      </w:r>
      <w:r>
        <w:rPr>
          <w:rStyle w:val="FootnoteAnchor"/>
          <w:rtl w:val="true"/>
        </w:rPr>
        <w:footnoteReference w:id="1550"/>
      </w:r>
      <w:r>
        <w:rPr>
          <w:rFonts w:ascii="IRNazanin" w:hAnsi="IRNazanin" w:eastAsia="IRNazanin"/>
          <w:color w:val="111111"/>
          <w:sz w:val="28"/>
          <w:sz w:val="28"/>
          <w:szCs w:val="28"/>
          <w:rtl w:val="true"/>
          <w:lang w:bidi="fa-IR"/>
        </w:rPr>
        <w:t>أنّ مقتضی الآیة وجوب ردّ الأمانة إلی أهلها مع التمکّن منه،و أمّا صورة الیأس عن الظفر بالمالک فلا تکون مشمولة للآیة،بل تبقی تحت الروایات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دفعه إلی الحاکم،فإنّه ولی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استقربه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أنّ الروایات المتقدّمة ظاهرة فی أنّ من وضع یده علی مجهول المالک ابتداء وجب علیه التصدّق به،و إذا تصرّف فیه تصرّفا آخر و لو بدفعه إلی الحاکم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الحاکم ولی الغائب دعوی غیر صحیحة،لأنّ ولایته علی الغائب إنّما هی من جهة الحسبة،فلا بدّ من الاقتصار فیها علی المورد المتیقّن،و هو ما إذا لم یکن له ولی آخر غیر الحاکم،و قد عرفت أنّ الروایات المتقدّمة قد أثبتت ولایة مجهول المالک لمن وضع یده علیه،فلا تصل النوبة إلی غیره کما أنّه لا تثبت للحاکم ولایة علی الیتیم مع وجود الجدّ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دفع مجهول المالک إلی الحاکم،من حیث إنّ مصرفه الفقراء و المساکین،و من الواضح أنّ الحاکم ولیّهم،أو من حیث إنّه أعرف بموارده ممّن وضع یده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الاحتمال الأول فلا دلیل علیه،خصوصا مع ما عرفت من دلالة الروایات هنا علی ثبوت الولایة للواجد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الاحتمال الثانی فإن کان المراد أنّ الحاکم أعرف بمصرف مجهول المالک من حیث الشبهة الحکمیة،فهو مسلّم،لأنّ ذلک وظیفة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لا یدلّ علی وجوب دفعه إلیه،بل الواجب علی العامی أن یسأل العالم عن حکم الواقعة،و یعمل علی طبق ما أفتی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کونه أعرف من حیث الشبهة الموضوعیة فهو ممنوع،إذ قد یکون الواجد أعرف به لکثرة معاشرته للفقراء،و إطّلاعه علی أحوالهم</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لا یجب دفع مجهول المالک إلی الحاکم،فکذلک لا یجب تحصیل الإجازة منه فی إیصاله إلی موارده،لإطلاق الروایات المتقدّمة،نعم الأولی اختیار أحد الأمرین،لوجود القائل 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بدّ و أن یکون الدفع إلی الحاکم بعنوان أنّه یوصله إلی موارده،و إلاّ ضمنهم الواجد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وجود الفرق بین الحقّ الکلّی فیجب إمّا دفعه إلی الحاکم،و إمّا تحصیل الإذن منه فی التصدّق به عن المالک،لأنّ الکلّی لا یتعیّن إلاّ بإذن المالک أو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الحقّ الشخصی،فلا یجب فیه ذلک لتعیّنه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توهّم فاسد،لأنّ مقتضی الإطلاقات المتقدّمة هو عدم الفرق بینهما و أنّ الولایة لمن علیه الحقّ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حکم تعذّر الإیصال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الذی لا یمکن إیصاله إلی صاحبه قد یکون مجهول المالک من جمیع الجهات،و هو مورد المطلقات المتقدّمة </w:t>
      </w:r>
      <w:r>
        <w:rPr>
          <w:rStyle w:val="FootnoteAnchor"/>
          <w:rtl w:val="true"/>
        </w:rPr>
        <w:footnoteReference w:id="1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معلوم المالک مع کونه مشتبها بین أفراد غیر محصورین،و هو أیضا مورد روایات اخری قد تقدّمت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حکم کلا القسمین قد تقدّم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المالک معلوما من جمیع الجهات و لکن یتعذّر إیصال المال إلیه لمانع خارجی،کأن یکون المالک فی سجن،أو مکان بعید یتعذّر الوصول إلیه،و یجری علیه حکم القسم الثانی،للروایات المتقدّمة أیضا،لأنّ المستفاد منها أنّ المناط فی ذلک إنّما هو تعذّر إیصال المال إلی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مستحقّ هذه الصدقة هو الفقیر</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 عن صاحب الجواهر </w:t>
      </w:r>
      <w:r>
        <w:rPr>
          <w:rStyle w:val="FootnoteAnchor"/>
          <w:rtl w:val="true"/>
        </w:rPr>
        <w:footnoteReference w:id="1552"/>
      </w:r>
      <w:r>
        <w:rPr>
          <w:rFonts w:ascii="IRNazanin" w:hAnsi="IRNazanin" w:eastAsia="IRNazanin"/>
          <w:color w:val="111111"/>
          <w:sz w:val="28"/>
          <w:sz w:val="28"/>
          <w:szCs w:val="28"/>
          <w:rtl w:val="true"/>
          <w:lang w:bidi="fa-IR"/>
        </w:rPr>
        <w:t>جواز التصدّق بمجهول المالک علی الفقراء و غیرهم،عملا بإطلاق الروایات المتقدّمة،و بهذا المناط جوّز إعطاء مال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و الأغنیاء،بدعوی أنّ الإمام و إن کان معلوما إلاّ أنّه یتعذّر إیصال ماله إلیه للعوارض الخارجیة،و قد عرفت أنّ حکمه حکم مجهول المالک</w:t>
      </w:r>
      <w:r>
        <w:rPr>
          <w:rFonts w:eastAsia="IRNazanin" w:cs="IRNazanin"/>
          <w:color w:val="111111"/>
          <w:sz w:val="28"/>
          <w:szCs w:val="28"/>
          <w:rtl w:val="true"/>
          <w:lang w:bidi="fa-IR"/>
        </w:rPr>
        <w:t>.</w:t>
      </w:r>
      <w:bookmarkStart w:id="1083" w:name="pg5064_65897"/>
    </w:p>
    <w:p>
      <w:pPr>
        <w:pStyle w:val="BookText"/>
        <w:rPr/>
      </w:pPr>
      <w:bookmarkEnd w:id="1083"/>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المتبادر من مفهوم الصدقة و إطلاق الأمر بها أنّه لا یجوز إعطاؤها للأغنیاء،کما ذهب إلیه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w:t>
      </w:r>
      <w:r>
        <w:rPr>
          <w:rStyle w:val="FootnoteAnchor"/>
          <w:rtl w:val="true"/>
        </w:rPr>
        <w:footnoteReference w:id="1553"/>
      </w:r>
      <w:r>
        <w:rPr>
          <w:rFonts w:ascii="IRNazanin" w:hAnsi="IRNazanin" w:eastAsia="IRNazanin"/>
          <w:color w:val="111111"/>
          <w:sz w:val="28"/>
          <w:sz w:val="28"/>
          <w:szCs w:val="28"/>
          <w:rtl w:val="true"/>
          <w:lang w:bidi="fa-IR"/>
        </w:rPr>
        <w:t>قد بیّن مصرف الصدقات،و لم یجعل الغنی من ذلک،فیکون خارجا عن حدود أخبار التصدّق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وجوب التصدّق بمجهول المالک إنّما هو مع عدم التمکّن من تحصیل رضا المالک بصرف ماله فی مورد خاصّ،و إلاّ فلا تصل النوبة إلی التصدّق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لقیاس مال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بمجهول المالک،لأنّا نقطع برضا الإمام باعطاء ماله لأهل العلم و الجهات التی توجب ترویج الدین،و مع ذلک لا یمکن صرفه فیما نشکّ فی رضاه</w:t>
      </w:r>
      <w:r>
        <w:rPr>
          <w:rFonts w:eastAsia="IRNazanin" w:cs="IRNazanin"/>
          <w:color w:val="111111"/>
          <w:sz w:val="28"/>
          <w:szCs w:val="28"/>
          <w:rtl w:val="true"/>
          <w:lang w:bidi="fa-IR"/>
        </w:rPr>
        <w:t>.</w:t>
      </w:r>
    </w:p>
    <w:p>
      <w:pPr>
        <w:pStyle w:val="Heading6"/>
        <w:numPr>
          <w:ilvl w:val="5"/>
          <w:numId w:val="1"/>
        </w:numPr>
        <w:rPr/>
      </w:pPr>
      <w:bookmarkStart w:id="1084" w:name="__RefHeading___Toc910726_774463916"/>
      <w:bookmarkStart w:id="1085" w:name="_Toc397"/>
      <w:bookmarkEnd w:id="1084"/>
      <w:r>
        <w:rPr>
          <w:rtl w:val="true"/>
        </w:rPr>
        <w:t>هل یجوز دفعه للهاشمی؟</w:t>
      </w:r>
      <w:bookmarkEnd w:id="108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إعطائها للهاشمی قولان</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حرمة مطلق الصدقات علی الهاشمیین،و إنّما تحرم علیهم الصدقة الخاصّة،أعنی زکاة المال و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تحرم علیهم أیضا الصدقات التی تعطی لدفع البلاء و ردّ القضاء،فإنّ فی ذلک مذلّة و مهانة لا تناسب الذرّیة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کانت زینب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الطعام من أطفال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ترمیه إلی أهل الکوفة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یا أهل الکوفة إنّ الصدقة علینا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بأس بالتصدّق بمجهول المالک علی الهاشمیین،لکونه خارجا عن القسمین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إلی ما ذکرناه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ابن أبی یزید المتقدّمة </w:t>
      </w:r>
      <w:r>
        <w:rPr>
          <w:rStyle w:val="FootnoteAnchor"/>
          <w:rtl w:val="true"/>
        </w:rPr>
        <w:footnoteReference w:id="1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فاقسمه فی إخوانک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عدم الفرق بین</w:t>
      </w:r>
      <w:bookmarkStart w:id="1086" w:name="pg5064_65898"/>
    </w:p>
    <w:p>
      <w:pPr>
        <w:pStyle w:val="BookText"/>
        <w:rPr/>
      </w:pPr>
      <w:bookmarkEnd w:id="1086"/>
      <w:r>
        <w:rPr>
          <w:rFonts w:ascii="IRNazanin" w:hAnsi="IRNazanin" w:eastAsia="IRNazanin"/>
          <w:color w:val="111111"/>
          <w:sz w:val="28"/>
          <w:sz w:val="28"/>
          <w:szCs w:val="28"/>
          <w:rtl w:val="true"/>
          <w:lang w:bidi="fa-IR"/>
        </w:rPr>
        <w:t>الهاشمی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الصدقة التی تحرم علی بنی هاشم فهی الصدقة الخاصّة،أعنی بها الزکاة المفروضة</w:t>
      </w:r>
      <w:r>
        <w:rPr>
          <w:rFonts w:eastAsia="IRNazanin" w:cs="IRNazanin"/>
          <w:color w:val="111111"/>
          <w:sz w:val="28"/>
          <w:szCs w:val="28"/>
          <w:rtl w:val="true"/>
          <w:lang w:bidi="fa-IR"/>
        </w:rPr>
        <w:t>.</w:t>
      </w:r>
    </w:p>
    <w:p>
      <w:pPr>
        <w:pStyle w:val="Heading6"/>
        <w:numPr>
          <w:ilvl w:val="5"/>
          <w:numId w:val="1"/>
        </w:numPr>
        <w:rPr/>
      </w:pPr>
      <w:bookmarkStart w:id="1087" w:name="__RefHeading___Toc910728_774463916"/>
      <w:bookmarkStart w:id="1088" w:name="_Toc398"/>
      <w:bookmarkEnd w:id="1087"/>
      <w:r>
        <w:rPr>
          <w:rtl w:val="true"/>
        </w:rPr>
        <w:t>التصدّق بمجهول المالک لا یوجب الضمان</w:t>
      </w:r>
      <w:bookmarkEnd w:id="108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فی الضمان لو ظهر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یضمن مجهول المالک لصاحبه إذا ظهر بعد التصدّق به أم لا؟فیه وجوه،ثالثها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إذا طلب المالک ماله من المتصدّق فیضمن له،و بین ما إذا لم یطلبه فلا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یکون المال مسبوقا بالید العادیة فیحکم بالضمان،و بین عدمه فیحکم بعدمه</w:t>
      </w:r>
      <w:r>
        <w:rPr>
          <w:rFonts w:eastAsia="IRNazanin" w:cs="IRNazanin"/>
          <w:color w:val="111111"/>
          <w:sz w:val="28"/>
          <w:szCs w:val="28"/>
          <w:rtl w:val="true"/>
          <w:lang w:bidi="fa-IR"/>
        </w:rPr>
        <w:t>.</w:t>
      </w:r>
    </w:p>
    <w:p>
      <w:pPr>
        <w:pStyle w:val="Heading6"/>
        <w:numPr>
          <w:ilvl w:val="5"/>
          <w:numId w:val="1"/>
        </w:numPr>
        <w:rPr/>
      </w:pPr>
      <w:bookmarkStart w:id="1089" w:name="__RefHeading___Toc910730_774463916"/>
      <w:bookmarkStart w:id="1090" w:name="_Toc399"/>
      <w:bookmarkEnd w:id="1089"/>
      <w:r>
        <w:rPr>
          <w:rtl w:val="true"/>
        </w:rPr>
        <w:t>الفرق بین مجهول المالک و اللقطة</w:t>
      </w:r>
      <w:bookmarkEnd w:id="1090"/>
    </w:p>
    <w:p>
      <w:pPr>
        <w:pStyle w:val="BookText"/>
        <w:rPr/>
      </w:pPr>
      <w:r>
        <w:rPr>
          <w:rFonts w:ascii="IRNazanin" w:hAnsi="IRNazanin" w:eastAsia="IRNazanin"/>
          <w:color w:val="111111"/>
          <w:sz w:val="28"/>
          <w:sz w:val="28"/>
          <w:szCs w:val="28"/>
          <w:rtl w:val="true"/>
          <w:lang w:bidi="fa-IR"/>
        </w:rPr>
        <w:t>و قبل التعرّض للوجوه المذکورة لا بأس بالإشارة إلی الفرق بین اللقطة و مجهول المالک،فنقول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 بین مجهول المالک و اللقطة من جهات کثیرة،و نحن نشیر هنا إلی جهتین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یجوز للملتقط أن یقصد حین الالتقاط تملّک المال بعد انتهاء مدّة الفحص عن المالک،و قد دلّت الروایات الکثیرة المذکورة فی أبواب اللقطة </w:t>
      </w:r>
      <w:r>
        <w:rPr>
          <w:rStyle w:val="FootnoteAnchor"/>
          <w:rtl w:val="true"/>
        </w:rPr>
        <w:footnoteReference w:id="1555"/>
      </w:r>
      <w:r>
        <w:rPr>
          <w:rFonts w:ascii="IRNazanin" w:hAnsi="IRNazanin" w:eastAsia="IRNazanin"/>
          <w:color w:val="111111"/>
          <w:sz w:val="28"/>
          <w:sz w:val="28"/>
          <w:szCs w:val="28"/>
          <w:rtl w:val="true"/>
          <w:lang w:bidi="fa-IR"/>
        </w:rPr>
        <w:t>علی أنّ آخذ اللقطة یعرّفها سنة،فإن جاء لها طالب،و إلاّ فهی کسبیل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ذلک فی مجهول المالک،فقد عرفت أنّه لا یجوز أخذه ابتداء إلاّ بنیّة الإحسان إلی المالک بحفظه له و إیصاله إلیه،ثم یتصدّق به عن مالکه بعد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یتجلّی لک أنّه لا یجوز أخذ المغصوب من الغاصب إلاّ بنیّة الردّ إلی المالک</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اللاقط إذا تملّک اللقطة بعد التعریف أو تصدّق بها عن مالکها ضمنها له مع المطالبة بها،للروایات الکثیرة المذکورة أیضا فی أبواب اللقطة الدالّة</w:t>
      </w:r>
    </w:p>
    <w:p>
      <w:pPr>
        <w:pStyle w:val="BookText"/>
        <w:rPr/>
      </w:pPr>
      <w:r>
        <w:rPr>
          <w:rFonts w:ascii="IRNazanin" w:hAnsi="IRNazanin" w:eastAsia="IRNazanin"/>
          <w:color w:val="111111"/>
          <w:sz w:val="28"/>
          <w:sz w:val="28"/>
          <w:szCs w:val="28"/>
          <w:rtl w:val="true"/>
          <w:lang w:bidi="fa-IR"/>
        </w:rPr>
        <w:t xml:space="preserve">علی ذلک </w:t>
      </w:r>
      <w:r>
        <w:rPr>
          <w:rStyle w:val="FootnoteAnchor"/>
          <w:rtl w:val="true"/>
        </w:rPr>
        <w:footnoteReference w:id="1556"/>
      </w:r>
      <w:r>
        <w:rPr>
          <w:rFonts w:ascii="IRNazanin" w:hAnsi="IRNazanin" w:eastAsia="IRNazanin"/>
          <w:color w:val="111111"/>
          <w:sz w:val="28"/>
          <w:sz w:val="28"/>
          <w:szCs w:val="28"/>
          <w:rtl w:val="true"/>
          <w:lang w:bidi="fa-IR"/>
        </w:rPr>
        <w:t xml:space="preserve">،أمّا مجهول المالک فقد عرفت أنّ فیه وجوها شتّی تقدّمت الإشارة إلیها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ذلک فاعلم أنّ الکلام هنا یقع فی مقامین،الأول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الید الموضوعة علی مجهول المالک ابتداء ید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هذه الید مسبوقة بالضمان،ثمّ تنقلب إلی ید أمانة و إحسان،کمن أخذه بنیّة التملّک،ثمّ نوی بعد ذلک حفظه لمالکه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کمن غصبه من المالک ثمّ تاب و عزم علی إیصاله إلیه،و لم یتمکّن من ذلک لفقد المالک،أو لکونه مجهولا بین أشخاص غیر محصورین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هو عدم الضمان فیها،و لیس ذلک من جهة أنّ الشارع قد أذن فی التصدّق بمجهول المالک و هو ینافی الحکم بالضمان،لأنّ إذن الشارع فی التصرّف بمال الغیر یرفع حرمته التکلیفیة،و لا ینافی ذلک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جهة أنّ دلیل الضمان هو أحد الامور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قاعدة ضمان الید،و إمّا قاعدة الاتلاف،و إمّا قیام دلیل خاصّ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منتفیة هنا قطعا،إذ المفروض أنّ الید کانت ید أمانة و إحسان،و ما علی المحسنین من سبیل</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قاعدة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مردودة لوجوه عدیدة،الأول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لیست بروایة لکی یتمسّک بها،و إنّما هی قاعدة متصیّدة من موارد شتّی،فلا یمکن التمسّک بها فی غیر الموارد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الإتلاف إنّما یقتضی الضمان إذا لم یکن التصرّف لنفع المالک،و إلاّ فلا یوجب الضمان،و من هنا إذا أشرف أحد علی الهلکة،و توقّف إنجاؤه منها علی بذل مقدار من ماله فإنّ ذلک یکون واجبا من غیر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التصدّق بمجهول المالک لو کان موجبا للضمان ببدله لکان البدل أیضا مجهول المالک،و مشمولا لما دلّ علی وجوب التصدّق به،و هکذا،فیلزم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أنّ ذلک مقطوع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نجد فی المقام ما یدل علی الضمان إلاّ روایة حفص المتقدّمة </w:t>
      </w:r>
      <w:r>
        <w:rPr>
          <w:rStyle w:val="FootnoteAnchor"/>
          <w:rtl w:val="true"/>
        </w:rPr>
        <w:footnoteReference w:id="1558"/>
      </w:r>
      <w:r>
        <w:rPr>
          <w:rFonts w:ascii="IRNazanin" w:hAnsi="IRNazanin" w:eastAsia="IRNazanin"/>
          <w:color w:val="111111"/>
          <w:sz w:val="28"/>
          <w:sz w:val="28"/>
          <w:szCs w:val="28"/>
          <w:rtl w:val="true"/>
          <w:lang w:bidi="fa-IR"/>
        </w:rPr>
        <w:t>الواردة فی إیداع اللص،فإنّها ظاهرة فی أنّ التصدّق بالودیعة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بمنزلة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الضمان مع مطالبة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ضعیفة السند،و واردة فی قضیة شخصیة،فلا یمکن التعدّی منها إلی غیرها،کما عرفته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التصدّق بمجهول المالک لا یوجب الضمان،علی أنّ الإطلاقات الدالّة علی وجوب التصدّق به بعد التعریف تقتضی عدم الضمان،و مع الشکّ فی الإطلاق یرجع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إذا کانت ید الأمانة مسبوقة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الید الموضوعة ابتداء علی مجهول المالک حیث کانت ید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موجبة للضمان بقاء أیضا ما لم تؤد،لما ذکرناه سابقا من أنّ الشارع قد جعل ضمان الید منوطا بالأداء،فما لم تتحقّق الغایة لم یسقط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أیضا أنّ نیّة الردّ إلی المالک و إن کانت توجب صیرورة الید ید أمانة،إلاّ أنّ هذه الید لا توجب ضمانا،لا أنّها لا تقتضی عدم الضمان،و واضح أنّ ما لا اقتضاء فیه لا یزاحم ما فیه الاقتضاء</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عرفته آنفا من أنّ التصدّق بمجهول المالک لو کان موجبا للضمان للزم منه التسلسل،فیکون ذلک تخصیصا عقلیّا لقاعدة ضمان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روایة ابن أبی حمزة المتقدّمة </w:t>
      </w:r>
      <w:r>
        <w:rPr>
          <w:rStyle w:val="FootnoteAnchor"/>
          <w:rtl w:val="true"/>
        </w:rPr>
        <w:footnoteReference w:id="1559"/>
      </w:r>
      <w:r>
        <w:rPr>
          <w:rFonts w:ascii="IRNazanin" w:hAnsi="IRNazanin" w:eastAsia="IRNazanin"/>
          <w:color w:val="111111"/>
          <w:sz w:val="28"/>
          <w:sz w:val="28"/>
          <w:szCs w:val="28"/>
          <w:rtl w:val="true"/>
          <w:lang w:bidi="fa-IR"/>
        </w:rPr>
        <w:t>کالصریحة فی عدم الضمان،فإنّ الفتی قد طلب المخرج عمّا أخذه من أموال الناس،فأجابه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بالتصدّق بجمیع ما تحت یده،و ضمن له بذلک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التصدّق به موجبا للضمان لما جعله الإمام مخرجا له عن ظلامته،و قد جعل اللّه التصدّق بمجهول المالک وسیلة للتوبة،و سببا لفراغ الذمّة،تسهیلا للأمر علی الغاصبین التائبین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عدم الضمان أیضا إطلاق الروایات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کروایة ابن أبی حمزة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الآمرة بالتصدّق بمجهول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ما کان مجهول المالک عینا خارجیة أو دینا ثابتا فی الذمّة،فإنّ الدین و إن کان کلّیا فی الذمّة إلاّ أنّه یتشخّص بالتصدّق،و تبرأ به ذمّة المدیون،و توهّم أنّ نفوذ التصدّق یتوقّف علی إذن المالک،توهّم فاسد،لإطلاق تلک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یجوز للمالک أن یرجع علی الفقیر لو کانت العین باقیة عنده،لأنّ آخذ الصدقة هو اللّه،و ما کان للّه لا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علی مجهول المالک حکم اللقطة،لعدم الدلیل علیه،إلاّ فی إیداع اللص،و قد عرفت أنّ النص الوارد فیه ضعیف السند،و وارد فی قضیة شخصیة</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جمیع ما ذکرناه ظهر ضعف ما ذهب إلیه المصنّف من أنّ الأوجه هو الضمان مطلقا،إمّا تحکیما للاستصحاب حیث یعارض البراءة و لو بضمیمة عدم القول بالفصل،و إمّا للمرسلة المتقدّمة عن السرائر </w:t>
      </w:r>
      <w:r>
        <w:rPr>
          <w:rStyle w:val="FootnoteAnchor"/>
          <w:rtl w:val="true"/>
        </w:rPr>
        <w:footnoteReference w:id="1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روی من أنّه بمنزلة</w:t>
      </w:r>
    </w:p>
    <w:p>
      <w:pPr>
        <w:pStyle w:val="BookText"/>
        <w:rPr/>
      </w:pPr>
      <w:r>
        <w:rPr>
          <w:rFonts w:ascii="IRNazanin" w:hAnsi="IRNazanin" w:eastAsia="IRNazanin"/>
          <w:color w:val="111111"/>
          <w:sz w:val="28"/>
          <w:sz w:val="28"/>
          <w:szCs w:val="28"/>
          <w:rtl w:val="true"/>
          <w:lang w:bidi="fa-IR"/>
        </w:rPr>
        <w:t>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لاستفادة ذلک من خبر الودیعة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موضوع للأصل بعد أمر الشارع بالتصدّق بمجهول المالک،و أنّک قد عرفت أنّه لا دلیل علی الضمان فیما کانت الید مسبوقة به،فضلا عن إثباته فی مطلق مجهول المالک بعدم القول بالفصل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استفادة حکم المسألة ممّا ورد فی إیداع اللص فقد عرفت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مرسلة السرائر فهی غیر قابلة للاعتماد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من المظنون أنّها بعینها روایة حفص الواردة فی إیداع اللص فیتوجّه علیها ما وجّهناه علی الاستدلال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الضمان هل یثبت بمجرد 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تقدّم أنّ التصدّق بمجهول المالک لا یوجب الضمان،فإذا أغمضنا النظر عن ذلک و قلنا بالضمان،أو ثبت ذلک بدلیل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یحکم بثبوته من حین الأخذ،أو من حین التصدّق،أو من حین مطالبة المالک بماله و عدم رضاه بالتصدّق؟وجوه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بالضمان إن کان لقاعدة الضمان بالإتلاف فاللازم هو الحکم بثبوته من حین التصدّق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أنّک قد عرفت آنفا أنّ القاعدة لا تشمل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مدرک الضمان هو ما ورد فی اللقطة من أنّ المالک إذا جاء و طلب ماله فله الغرم أو الرضا بالأجر،فاللازم هو ثبوته من حین مطالبة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مدرک الضمان هو قاعدة ضمان الید،فاللازم ثبوته من حین الأخذ إذا کانت الید الموضوعة علیه ید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المالک</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قد یقع فی موت المالک،و قد یقع فی موت</w:t>
      </w:r>
      <w:bookmarkStart w:id="1091" w:name="pg5064_65903"/>
    </w:p>
    <w:p>
      <w:pPr>
        <w:pStyle w:val="BookText"/>
        <w:rPr/>
      </w:pPr>
      <w:bookmarkEnd w:id="1091"/>
      <w:r>
        <w:rPr>
          <w:rFonts w:ascii="Amiri" w:hAnsi="Amiri" w:eastAsia="Amiri" w:cs="Amiri"/>
          <w:color w:val="111111"/>
          <w:sz w:val="28"/>
          <w:sz w:val="28"/>
          <w:szCs w:val="28"/>
          <w:rtl w:val="true"/>
          <w:lang w:bidi="ar-SA"/>
        </w:rPr>
        <w:t>المتصدّق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موت المالک بعد التصدّق،و قد یکون قبل التصدّق فإذا کان التصدّق بعد موت المالک فإذا جاء الوارث و لم یرض بالتصدّق خیّره المتصدّق بین الغرم و الأجر،لقوله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حفص المتقدّمة فی البحث عن ردّ المأخوذ من الظالم إلی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طالبها بعد ذلک خیّره بین الأجر و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التصدّق قبل موت المالک فإنّه لا شیء للورثة،إذ المالک لم یبق حیّا بعد التصدّق حتّی یتخیّر بین الغرم و الأجر،و الورثة لیسوا بملاک حتّی یجری فیهم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المالک بعد التصدّق کان مخیّرا بین الغرم و الأجر،فیکون هذا حقّا من حقوقه،فإذا مات انتقل إلی الورثة،لأنّ ما ترکه المیّت 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أنّ کل حقّ یقبل النقل و الانتقال أو الإسقاط،إلاّ فی موارد خاصّة،و مع الشکّ فی ذلک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مات المتصدّق ثمّ وجد المالک فالظاهر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بین الأجر و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شیء للمالک حینئذ،إذ لا وجود للمتصدّق حتّی یخیّر المالک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یقال بخروج الغرامة من ترکته،لأنّ ضمان الصدقة من الحقوق المالیة اللازمة علیه بفعله،و لا غرابة فی ذلک،فقد ثبت نظیره فی الفقه کثیرا،کما إذا رمی أحد رجلا بحجر و مات الرامی قبل وصول الحجر،ثمّ أصاب الحجر الرجل فقتله،فإنّ دیّة المقتول تؤخذ من ترکة القاتل،لاستناد القتل إلیه،بل قد یملک المیّت من جهة إیجاده سبب الملک قبل موته،کما إذا نصب شبکة و وقع فیها السمک بعد موته،فإنّه یکون من ترکته</w:t>
      </w:r>
      <w:r>
        <w:rPr>
          <w:rFonts w:eastAsia="IRNazanin" w:cs="IRNazanin"/>
          <w:color w:val="111111"/>
          <w:sz w:val="28"/>
          <w:szCs w:val="28"/>
          <w:rtl w:val="true"/>
          <w:lang w:bidi="fa-IR"/>
        </w:rPr>
        <w:t>.</w:t>
      </w:r>
    </w:p>
    <w:p>
      <w:pPr>
        <w:pStyle w:val="Heading6"/>
        <w:numPr>
          <w:ilvl w:val="5"/>
          <w:numId w:val="1"/>
        </w:numPr>
        <w:rPr/>
      </w:pPr>
      <w:bookmarkStart w:id="1092" w:name="__RefHeading___Toc910732_774463916"/>
      <w:bookmarkStart w:id="1093" w:name="_Toc400"/>
      <w:bookmarkEnd w:id="1092"/>
      <w:r>
        <w:rPr>
          <w:rtl w:val="true"/>
        </w:rPr>
        <w:t>حکم ما لو دفعه إلی الحاکم فتصدّق به بعد الیأس</w:t>
      </w:r>
      <w:bookmarkEnd w:id="109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دفعه إلی الحاکم فتصدّق به بعد الیأس</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 المصنّف أنّ دفع المال إلی الحاکم إن کان بعنوان کونه وکیل</w:t>
      </w:r>
    </w:p>
    <w:p>
      <w:pPr>
        <w:pStyle w:val="BookText"/>
        <w:rPr/>
      </w:pPr>
      <w:r>
        <w:rPr>
          <w:rFonts w:ascii="IRNazanin" w:hAnsi="IRNazanin" w:eastAsia="IRNazanin"/>
          <w:color w:val="111111"/>
          <w:sz w:val="28"/>
          <w:sz w:val="28"/>
          <w:szCs w:val="28"/>
          <w:rtl w:val="true"/>
          <w:lang w:bidi="fa-IR"/>
        </w:rPr>
        <w:t>الغائب أو ولیّه فلا ضمان علی الدافع،لأنّ دفعه إلی الولی أو الوکیل کدفعه إلی نفس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دفعه إلیه بعنوان أنّه کبقیّة الناس فلا تبرأ ذمّته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هنا یکون فی جهتین،الاولی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للحاکم ولایة علی الغائب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للحاکم ولایة علی الغائب فهل یعتبر قصد هذا العنوان فی دفع مال الغائب إلیه،أم لا؟</w:t>
      </w:r>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ممنوعة صغری و کبری،أمّا الصغری فلأنّه لم یحرز کون المالک غائبا،بل یحتمل کونه حاضرا عند الواجد،و إن لم یعرفه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یتّفق کثیرا أنّ الملتقط یتفحّص عن المالک و هو ینادی یا صاحب المال و یسمعه المالک و لا یلتفت إلی کون اللقطة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فلعدم الدلیل اللفظی علی ولایة الحاکم علی الغائب لکی یتمسّک بإطلاقه،و إنّما هی ثابتة بالحسبة،فلا بدّ من الاقتصار علی المقدار المتیقّن و هو أخذ مال الغائب لحفظه و إیصاله إلیه،و لا یجوز إتلافه و لو بالتصدّق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سلّمنا ولایة الحاکم علی الغائب مطلقا فإنّما هی فیما لم یکن للغائب ولی خاصّ،و الظاهر من الروایات </w:t>
      </w:r>
      <w:r>
        <w:rPr>
          <w:rStyle w:val="FootnoteAnchor"/>
          <w:rtl w:val="true"/>
        </w:rPr>
        <w:footnoteReference w:id="1562"/>
      </w:r>
      <w:r>
        <w:rPr>
          <w:rFonts w:ascii="IRNazanin" w:hAnsi="IRNazanin" w:eastAsia="IRNazanin"/>
          <w:color w:val="111111"/>
          <w:sz w:val="28"/>
          <w:sz w:val="28"/>
          <w:szCs w:val="28"/>
          <w:rtl w:val="true"/>
          <w:lang w:bidi="fa-IR"/>
        </w:rPr>
        <w:t>أنّ من وضع یده علی اللقطة له الولایة علی مالکها فی التصدّق بها</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سلّمنا ثبوت ولایة الحاکم علی الغائب فإنّه لا دلیل علی دخل قصد الولایة فی دفع اللقطة إلی الحاکم،فإنّ اعتبار القصد فی ذلک کاعتبار قصد المالک فی دفع ماله إلیه،و لا نحتمل أن یلتزم بذلک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ما ذکرناه بمراجعة الوجدان،و بالنظر إلی سیرة العقلاء،فإنّهم لا یعتبرون القصد المذکور فی دفع أموال الموکّلین و المولّی علیهم إلیهم أو إلی وکلائهم و أولیائهم</w:t>
      </w:r>
      <w:r>
        <w:rPr>
          <w:rFonts w:eastAsia="IRNazanin" w:cs="IRNazanin"/>
          <w:color w:val="111111"/>
          <w:sz w:val="28"/>
          <w:szCs w:val="28"/>
          <w:rtl w:val="true"/>
          <w:lang w:bidi="fa-IR"/>
        </w:rPr>
        <w:t>.</w:t>
      </w:r>
      <w:bookmarkStart w:id="1094" w:name="pg5064_65905"/>
    </w:p>
    <w:p>
      <w:pPr>
        <w:pStyle w:val="BookText"/>
        <w:rPr/>
      </w:pPr>
      <w:bookmarkEnd w:id="1094"/>
      <w:r>
        <w:rPr>
          <w:rFonts w:ascii="IRNazanin" w:hAnsi="IRNazanin" w:eastAsia="IRNazanin"/>
          <w:color w:val="111111"/>
          <w:sz w:val="28"/>
          <w:sz w:val="28"/>
          <w:szCs w:val="28"/>
          <w:rtl w:val="true"/>
          <w:lang w:bidi="fa-IR"/>
        </w:rPr>
        <w:t>ثمّ إنّه إذا جاز دفع اللقطة إلی الحاکم کان الحاکم مکلّفا بجمیع أحکامها من وجوب الفحص و غیره،و إذا ظهر مالکها بعد التصدّق أعطی بدلها من بیت المال فقد ثبت فی الشریعة أنّ ما أخطأته القضاة فهو من بیت المال،و ما نحن فیه من صغریاته</w:t>
      </w:r>
      <w:r>
        <w:rPr>
          <w:rFonts w:eastAsia="IRNazanin" w:cs="IRNazanin"/>
          <w:color w:val="111111"/>
          <w:sz w:val="28"/>
          <w:szCs w:val="28"/>
          <w:rtl w:val="true"/>
          <w:lang w:bidi="fa-IR"/>
        </w:rPr>
        <w:t>.</w:t>
      </w:r>
    </w:p>
    <w:p>
      <w:pPr>
        <w:pStyle w:val="Heading4"/>
        <w:numPr>
          <w:ilvl w:val="3"/>
          <w:numId w:val="1"/>
        </w:numPr>
        <w:rPr/>
      </w:pPr>
      <w:bookmarkStart w:id="1095" w:name="__RefHeading___Toc910734_774463916"/>
      <w:bookmarkStart w:id="1096" w:name="_Toc401"/>
      <w:bookmarkEnd w:id="1095"/>
      <w:r>
        <w:rPr>
          <w:rtl w:val="true"/>
        </w:rPr>
        <w:t>فیما علم إجمالا اشتمال الجائزة علی الحرام</w:t>
      </w:r>
      <w:bookmarkEnd w:id="1096"/>
    </w:p>
    <w:p>
      <w:pPr>
        <w:pStyle w:val="Heading5"/>
        <w:numPr>
          <w:ilvl w:val="4"/>
          <w:numId w:val="1"/>
        </w:numPr>
        <w:rPr/>
      </w:pPr>
      <w:bookmarkStart w:id="1097" w:name="__RefHeading___Toc910736_774463916"/>
      <w:bookmarkStart w:id="1098" w:name="_Toc402"/>
      <w:bookmarkEnd w:id="1097"/>
      <w:r>
        <w:rPr>
          <w:rtl w:val="true"/>
        </w:rPr>
        <w:t>اشارة</w:t>
      </w:r>
      <w:bookmarkEnd w:id="1098"/>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إجمالا اشتمال الجائزة علی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المصنّف هنا أنّ ما علم إجمالا اشتمال الجائزة علی الحرام یقع علی وجوه،لأنّ الاشتباه إمّا أن یکون موجبا للشرکة و الإشاعة،کخلط الخل بالخل و السمن بالسمن و الحنطة بالحنطة،و إمّا أن لا یکون موجبا لذلک،کما إذا اشتری فراشا و غصب فراشا آخر و اشتبه أحدهما بالآخر،و علی الأول فامّا أن یکون المالک و مقدار المال معلومین و إمّا أن یکونا مجهولین،و إمّا أن یکونا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کانا معلومین فلا شبهة فی وجوب ردّ المال إلی صاحبه،و إن کانا مجهولین فالمورد من صغریات المال الحلال المختلط بالحرام فیجب فیه الخمس،و إن کانا مختلفین فإن کان القدر معلوما و المالک مجهولا فقد تقدّم تفصیله فی الصورة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القدر مجهولا و المالک معلوما وجب التخلّص عن اشتغال الذمّة بالمصالحة مع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یوجب الاشتباه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الرجوع إلی القرعة،لأنّها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یباع المأخوذ من الجائر و یشترک فی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 تفصیل ذلک کلّه فی کتاب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نظر من وجهین</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للرجوع إلی المصالحة مطلقا فیما إذا کان المالک معلوما و القدر مجهولا،لأنّ المال المذکور قد یکون فی ید أحد،و قد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p>
    <w:p>
      <w:pPr>
        <w:pStyle w:val="BookText"/>
        <w:rPr/>
      </w:pPr>
      <w:r>
        <w:rPr>
          <w:rFonts w:ascii="IRNazanin" w:hAnsi="IRNazanin" w:eastAsia="IRNazanin"/>
          <w:color w:val="111111"/>
          <w:sz w:val="28"/>
          <w:sz w:val="28"/>
          <w:szCs w:val="28"/>
          <w:rtl w:val="true"/>
          <w:lang w:bidi="fa-IR"/>
        </w:rPr>
        <w:t>الأول فالمقدار الذی یعلم صاحبه یردّ إلیه،و المقدار الذی لا یعلم صاحبه فهو لذی الید،لأنّها أمارة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فما هو معلوم المالک أیضا یردّ إلی صاحبه و فی المقدار المشتبه یرجع إلی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الحکم بالتنصیف،للمصالحة القهریة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یستأنس حکم ذلک ممّا ورد فی الودعی </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أنّ الروایة غیر نقیّة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کلام المصنّف عدم جریان التقسیم المذکور فی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لا یکون الاشتباه موجبا للشرکة و الإشاعة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اکتفی فیه بالرجوع إلی القرعة،أو بیع المال المشتبه و الاشتراک فی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الأقسام المذکورة کلّها جاریة فی القسم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المأخوذ من الجائر إذا کان مشتبها بالحرام مع عدم کونه موجبا للشرکة فامّا أن یکون المالک و القدر کلاهما معلومین،فلا بدّ من ردّ المال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القدر معلوما و المالک مجهولا،و قد تقدّم حکمه فی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القدر مجهولا و المالک معلوما،فیرجع إلی القرعة،أو یباع و یشترک فی ثمنه کما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أن یکون القدر و المالک کلاهما مجهولین،فیجب فیه الخمس علی المشهور،و ذکرنا تفصیل ذلک فی کتاب الخمس </w:t>
      </w:r>
      <w:r>
        <w:rPr>
          <w:rStyle w:val="FootnoteAnchor"/>
          <w:rtl w:val="true"/>
        </w:rPr>
        <w:footnoteReference w:id="1564"/>
      </w:r>
      <w:r>
        <w:rPr>
          <w:rFonts w:ascii="IRNazanin" w:hAnsi="IRNazanin" w:eastAsia="IRNazanin"/>
          <w:color w:val="111111"/>
          <w:sz w:val="28"/>
          <w:sz w:val="28"/>
          <w:szCs w:val="28"/>
          <w:rtl w:val="true"/>
          <w:lang w:bidi="fa-IR"/>
        </w:rPr>
        <w:t>،و ظاهر المصنّف عدم وجوبه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مدفوع بإطلاق ما دلّ علی وجوب الخمس فی المال المختلط بالحرام </w:t>
      </w:r>
      <w:r>
        <w:rPr>
          <w:rStyle w:val="FootnoteAnchor"/>
          <w:rtl w:val="true"/>
        </w:rPr>
        <w:footnoteReference w:id="1565"/>
      </w:r>
      <w:r>
        <w:rPr>
          <w:rFonts w:ascii="IRNazanin" w:hAnsi="IRNazanin" w:eastAsia="IRNazanin"/>
          <w:color w:val="111111"/>
          <w:sz w:val="28"/>
          <w:sz w:val="28"/>
          <w:szCs w:val="28"/>
          <w:rtl w:val="true"/>
          <w:lang w:bidi="fa-IR"/>
        </w:rPr>
        <w:t>علی القول به،و دعوی اختصاصه بصورة الإشاعة لا شاهد له</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إطلاق أخبار الخمس عدم</w:t>
      </w:r>
    </w:p>
    <w:p>
      <w:pPr>
        <w:pStyle w:val="BookText"/>
        <w:rPr/>
      </w:pPr>
      <w:r>
        <w:rPr>
          <w:rFonts w:ascii="IRNazanin" w:hAnsi="IRNazanin" w:eastAsia="IRNazanin"/>
          <w:color w:val="111111"/>
          <w:sz w:val="28"/>
          <w:sz w:val="28"/>
          <w:szCs w:val="28"/>
          <w:rtl w:val="true"/>
          <w:lang w:bidi="fa-IR"/>
        </w:rPr>
        <w:t>الفرق بین ما لو شکّ فی کون الحرام بمقدار الخمس أو أقل أو أکثر،و ما لو علم بنقصانه عنه أو زیادته علیه مع عدم العلم بمقداره،و هو الأقوی،وفاقا لسیّد المناهل علی 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بعضهم إلی الاختصاص بالصورة الاولی،و أنّه لو علم النقص لا یجب إعطاء الخمس،و لو علم الزیادة لا یکفی،بل یجب دفع الأزید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الظاهر هو ما ذهب إلیه ذلک البعض،لأنّ مورد ما دلّ علی ثبوت الخمس فی المختلط بالحرام إنّما هو ما لم یعلم کون الحرام زائدا علی مقدار الخمس،أو ناقصا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صورة العلم بالنقصان فلأنّ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الحسن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قد رضی من ذلک المال بالخمس</w:t>
      </w:r>
      <w:r>
        <w:rPr>
          <w:rFonts w:eastAsia="IRNazanin" w:cs="IRNazanin"/>
          <w:color w:val="111111"/>
          <w:sz w:val="28"/>
          <w:szCs w:val="28"/>
          <w:rtl w:val="true"/>
          <w:lang w:bidi="fa-IR"/>
        </w:rPr>
        <w:t xml:space="preserve">» </w:t>
      </w:r>
      <w:r>
        <w:rPr>
          <w:rStyle w:val="FootnoteAnchor"/>
          <w:rtl w:val="true"/>
        </w:rPr>
        <w:footnoteReference w:id="1567"/>
      </w:r>
      <w:r>
        <w:rPr>
          <w:rFonts w:ascii="IRNazanin" w:hAnsi="IRNazanin" w:eastAsia="IRNazanin"/>
          <w:color w:val="111111"/>
          <w:sz w:val="28"/>
          <w:sz w:val="28"/>
          <w:szCs w:val="28"/>
          <w:rtl w:val="true"/>
          <w:lang w:bidi="fa-IR"/>
        </w:rPr>
        <w:t>أنّ الرضا بالخمس للامتنان علی العباد،و التسهیل علیهم،و من الواضح أنّه لا امتنان إلاّ مع احتمال زیادة الحرام علی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إلی ذلک أنّه لا قائل بوجوب الخمس فی هذه الصورة،ذکر ذلک المحقّق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صورة العلم بزیادة الحرام عنه فإنّ الجزء الزائد کبقیة المحرّمات،فلا ترتفع الحرمة عنه،و إلاّ کان ذلک حیلة لأکل أموال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إلی ذلک عدم القول بالفصل بین صورتی العلم بالزیادة و العلم بالنقیصة،و حیث عرفت عدم وجوب الخمس مع العلم بالنقیصة فلا بدّ من القول بعدم وجوبه أیضا مع العلم بالزیادة</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الروایة وقوع المصالحة الشرعیة بین الحرام و الخمس و لا یجری ذلک إلاّ مع احتمال کونه بمقدار الحرام</w:t>
      </w:r>
      <w:r>
        <w:rPr>
          <w:rFonts w:eastAsia="IRNazanin" w:cs="IRNazanin"/>
          <w:color w:val="111111"/>
          <w:sz w:val="28"/>
          <w:szCs w:val="28"/>
          <w:rtl w:val="true"/>
          <w:lang w:bidi="fa-IR"/>
        </w:rPr>
        <w:t>.</w:t>
      </w:r>
      <w:bookmarkStart w:id="1099" w:name="pg5064_65908"/>
    </w:p>
    <w:p>
      <w:pPr>
        <w:pStyle w:val="Heading5"/>
        <w:numPr>
          <w:ilvl w:val="4"/>
          <w:numId w:val="1"/>
        </w:numPr>
        <w:rPr/>
      </w:pPr>
      <w:bookmarkStart w:id="1100" w:name="__RefHeading___Toc910738_774463916"/>
      <w:bookmarkStart w:id="1101" w:name="_Toc403"/>
      <w:bookmarkEnd w:id="1099"/>
      <w:bookmarkEnd w:id="1100"/>
      <w:r>
        <w:rPr>
          <w:rtl w:val="true"/>
        </w:rPr>
        <w:t>أخذ المال من الجائر</w:t>
      </w:r>
      <w:bookmarkEnd w:id="1101"/>
    </w:p>
    <w:p>
      <w:pPr>
        <w:pStyle w:val="BookText"/>
        <w:rPr/>
      </w:pPr>
      <w:r>
        <w:rPr>
          <w:rFonts w:ascii="IRNazanin" w:hAnsi="IRNazanin" w:eastAsia="IRNazanin"/>
          <w:color w:val="111111"/>
          <w:sz w:val="28"/>
          <w:sz w:val="28"/>
          <w:szCs w:val="28"/>
          <w:rtl w:val="true"/>
          <w:lang w:bidi="fa-IR"/>
        </w:rPr>
        <w:t>لیس له بنفسه حکم من الأحکام الخمسة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أخذ ما فی ید الظالم ینقسم باعتبار نفس الأخذ إلی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المال من الجائر ینقسم بلحاظ نفس الأخذ إلی الأحکام الخمسة،و بلحاظ نفس المال إلی المحرّم و المکروه و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فالمحرّم ما علم أنّه مال الغیر مع عدم رضاه بأخذه،و المکروه هو المال المشتبه،و الواجب هو ما یجب استنقاذه من ید الجائر من حقوق الناس،و حقوق السادة و الفقراء،و لو کان ذلک بعنوان المقاصّة</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الأخذ بنفسه لا یتّصف بشیء من الأحکام الخمسة حتّی بالإباحة،بل شأنه شأن سائر الأفعال التی لا تتّصف بها إلاّ باعتبار العوارض و الطوارئ،فإنّ الأخذ قد یتّصف بالحرمة،کأخذ مال الغیر بدون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یتّصف بالوجوب،کأخذ حقوق الناس من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یتّصف بالکراهة،کأخذ المال المشتبه منه،بناء علی کراهته کما ذهب إلیه بعض الأصحاب،و قد تقدّم ذلک فی البحث عن کراهة أخذ الجائزة من الجائر مع اشتمال أمواله علی الحرام </w:t>
      </w:r>
      <w:r>
        <w:rPr>
          <w:rStyle w:val="FootnoteAnchor"/>
          <w:rtl w:val="true"/>
        </w:rPr>
        <w:footnoteReference w:id="1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یتّصف بالاستحباب،کأخذ المال منه مع عدم العلم بحرمته لزیارة المشاهد و التوسعة علی العیال،و نحو ذلک من الغایات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یتّصف بالإباحة کأخذ المال منه لغیر الدواعی المذکورة</w:t>
      </w:r>
      <w:r>
        <w:rPr>
          <w:rFonts w:eastAsia="IRNazanin" w:cs="IRNazanin"/>
          <w:color w:val="111111"/>
          <w:sz w:val="28"/>
          <w:szCs w:val="28"/>
          <w:rtl w:val="true"/>
          <w:lang w:bidi="fa-IR"/>
        </w:rPr>
        <w:t>.</w:t>
      </w:r>
      <w:bookmarkStart w:id="1102" w:name="pg5064_65909"/>
    </w:p>
    <w:p>
      <w:pPr>
        <w:pStyle w:val="Heading5"/>
        <w:numPr>
          <w:ilvl w:val="4"/>
          <w:numId w:val="1"/>
        </w:numPr>
        <w:rPr/>
      </w:pPr>
      <w:bookmarkStart w:id="1103" w:name="__RefHeading___Toc910740_774463916"/>
      <w:bookmarkStart w:id="1104" w:name="_Toc404"/>
      <w:bookmarkEnd w:id="1102"/>
      <w:bookmarkEnd w:id="1103"/>
      <w:r>
        <w:rPr>
          <w:rtl w:val="true"/>
        </w:rPr>
        <w:t>وظیفة الجائر فی نفسه</w:t>
      </w:r>
      <w:bookmarkEnd w:id="1104"/>
    </w:p>
    <w:p>
      <w:pPr>
        <w:pStyle w:val="BookText"/>
        <w:rPr/>
      </w:pPr>
      <w:r>
        <w:rPr>
          <w:rFonts w:ascii="IRNazanin" w:hAnsi="IRNazanin" w:eastAsia="IRNazanin"/>
          <w:color w:val="111111"/>
          <w:sz w:val="28"/>
          <w:sz w:val="28"/>
          <w:szCs w:val="28"/>
          <w:rtl w:val="true"/>
          <w:lang w:bidi="fa-IR"/>
        </w:rPr>
        <w:t>بالنسبة إلی ما أخذه من أموال الناس</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فالظاهر أنّه لا إشکال فی کون ما فی ذمّته من قیم المتلفات غصبا من جملة دیونه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فصّلنا الکلام فی حکم أخذ المال من الجائر،و أمّا وظیفته فی نفسه فلا شبهة فی اشتغال ذمّته بما أتلفه من أموال الناس،لقاعدة الضمان بالإتلاف،فیجب علیه أن یخرج من عهدته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أیضا فی أنّ ما أخذه من الناس بالظلم یجب علیه ردّه إلیهم،لقاعدة ضمان الید،هذا إذا کان الجائر حیّا،و أمّا إذا مات کانت الأموال المذکورة من جملة دیونه،فتخرج من أصل الترکة،لقوله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وَصِیَّةٍ یُوصی بِها أَوْ دَیْنٍ </w:t>
      </w:r>
      <w:r>
        <w:rPr>
          <w:rStyle w:val="FootnoteAnchor"/>
          <w:rtl w:val="true"/>
        </w:rPr>
        <w:footnoteReference w:id="1570"/>
      </w:r>
      <w:r>
        <w:rPr>
          <w:rFonts w:ascii="IRNazanin" w:hAnsi="IRNazanin" w:eastAsia="IRNazanin"/>
          <w:color w:val="111111"/>
          <w:sz w:val="28"/>
          <w:sz w:val="28"/>
          <w:szCs w:val="28"/>
          <w:rtl w:val="true"/>
          <w:lang w:bidi="fa-IR"/>
        </w:rPr>
        <w:t>و للروایات الواردة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خالف فی ذلک الشیخ الکبیر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571"/>
      </w:r>
      <w:r>
        <w:rPr>
          <w:rFonts w:ascii="IRNazanin" w:hAnsi="IRNazanin" w:eastAsia="IRNazanin"/>
          <w:color w:val="111111"/>
          <w:sz w:val="28"/>
          <w:sz w:val="28"/>
          <w:szCs w:val="28"/>
          <w:rtl w:val="true"/>
          <w:lang w:bidi="fa-IR"/>
        </w:rPr>
        <w:t>فحکم بکونه من الثلث مع الإیصاء به،و منع کونه من الدیون،و استدلّ علی رأیه هذا بعدم المقتضی و بوجود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فبأنّ ذمّة الظالم و إن اشتغلت بالحقوق،و وجب علیه الخروج من عهدتها،إلاّ أنّ الدین الذی یخرج من أصل الترکة منصرف إلی الدیون المتعارفة،فلا یکون مورد البحث مشمولا للآیة و ما بمعناها</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المانع فلأنّ الآیة الشریفة و إن دلّت علی إخراج دیون المیّت من أصل الترکة،و بها خصّص ما دلّ علی أنّ ما ترکه المیّت ینتقل إلی وارثه،و لکن السیرة القطعیة قائمة علی أنّ الضمانات الثابتة بقاعدة ضمان الید لا تخرج من أصل الترکة،بل تخرج من الثلث مع الإیصاء به،و إلاّ بقی المیّت مشغول الذمّة به إلی یوم القیامة</w:t>
      </w:r>
    </w:p>
    <w:p>
      <w:pPr>
        <w:pStyle w:val="BookText"/>
        <w:rPr/>
      </w:pPr>
      <w:r>
        <w:rPr>
          <w:rFonts w:ascii="IRNazanin" w:hAnsi="IRNazanin" w:eastAsia="IRNazanin"/>
          <w:color w:val="111111"/>
          <w:sz w:val="28"/>
          <w:sz w:val="28"/>
          <w:szCs w:val="28"/>
          <w:rtl w:val="true"/>
          <w:lang w:bidi="fa-IR"/>
        </w:rPr>
        <w:t>و علیه فالآیة قد خصّصت بالسیرة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منع المقتضی فقد أشکل علیه المصنّف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الانصراف،فإنّا لا نجد بعد مراجعة العرف فرقا بین ما أتلفه هذا الظالم عدوانا،و بین ما أتلفه شخص آخر من غیر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الثانی یخرج من أصل الترکة فکذا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إشکال فی جریان أحکام الدین علیه فی حال حیاته،من جواز المقاصّة من ماله کما هو المنصوص </w:t>
      </w:r>
      <w:r>
        <w:rPr>
          <w:rStyle w:val="FootnoteAnchor"/>
          <w:rtl w:val="true"/>
        </w:rPr>
        <w:footnoteReference w:id="1572"/>
      </w:r>
      <w:r>
        <w:rPr>
          <w:rFonts w:ascii="IRNazanin" w:hAnsi="IRNazanin" w:eastAsia="IRNazanin"/>
          <w:color w:val="111111"/>
          <w:sz w:val="28"/>
          <w:sz w:val="28"/>
          <w:szCs w:val="28"/>
          <w:rtl w:val="true"/>
          <w:lang w:bidi="fa-IR"/>
        </w:rPr>
        <w:t>و عدم تعلّق الخمس و الاستطاعة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تمّ الانصراف لزم إهمال الأحکام المنوطة بالدین وجودا و عدما من غیر فرق بین حیاته و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إطلاق الغنی علیه عرفا لا شاهد علیها،لأنّ أهل العرف لیسوا مشرّعین لکی تکون إطلاقاتهم حجّة شرعیة،کما أنّهم یرون القمار و بیع المنابذة و الحصاة و المعاملة الربویة من المعاملات الصحیحة،و قد نهی الشارع عنها و أزری علیهم بها</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وجود المانع فأشکل علیه المصنّف أیضا بأنّ السیرة المذکورة ناشئة من قلّة مبالاة الناس،کما هو دیدنهم فی أکثر السیر التی استمرّوا علیها،و لذا لا یفرقون فی ذلک بین الظلمة و غیرهم ممّن علموا باشتغال ذممهم بحقوق الناس من جهة حقّ السادة و الفقراء أو من جهة العلم بفساد أکثر معاملاته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حقوق الناس فلا یمکن رفع الید عن القواعد المنصوصة المجمع علیها فی الشریعة المقدّسة بمثل هذه</w:t>
      </w:r>
      <w:bookmarkStart w:id="1105" w:name="pg5064_65911"/>
    </w:p>
    <w:p>
      <w:pPr>
        <w:pStyle w:val="BookText"/>
        <w:rPr/>
      </w:pPr>
      <w:bookmarkEnd w:id="1105"/>
      <w:r>
        <w:rPr>
          <w:rFonts w:ascii="IRNazanin" w:hAnsi="IRNazanin" w:eastAsia="IRNazanin"/>
          <w:color w:val="111111"/>
          <w:sz w:val="28"/>
          <w:sz w:val="28"/>
          <w:szCs w:val="28"/>
          <w:rtl w:val="true"/>
          <w:lang w:bidi="fa-IR"/>
        </w:rPr>
        <w:t>السیر الواهیة،بل سیرة المتدیّنین علی عکس السیرة المذکورة،فإنّهم لا یفرقون فی الدیون بین المظالم و غیرها</w:t>
      </w:r>
      <w:r>
        <w:rPr>
          <w:rFonts w:eastAsia="IRNazanin" w:cs="IRNazanin"/>
          <w:color w:val="111111"/>
          <w:sz w:val="28"/>
          <w:szCs w:val="28"/>
          <w:rtl w:val="true"/>
          <w:lang w:bidi="fa-IR"/>
        </w:rPr>
        <w:t>.</w:t>
      </w:r>
    </w:p>
    <w:p>
      <w:pPr>
        <w:pStyle w:val="Heading5"/>
        <w:numPr>
          <w:ilvl w:val="4"/>
          <w:numId w:val="1"/>
        </w:numPr>
        <w:rPr/>
      </w:pPr>
      <w:bookmarkStart w:id="1106" w:name="__RefHeading___Toc910742_774463916"/>
      <w:bookmarkStart w:id="1107" w:name="_Toc405"/>
      <w:bookmarkEnd w:id="1106"/>
      <w:r>
        <w:rPr>
          <w:rtl w:val="true"/>
        </w:rPr>
        <w:t>ما یأخذه الجائر من الناس یجوز احتسابه من الزکاة</w:t>
      </w:r>
      <w:bookmarkEnd w:id="110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یأخذه السلطان المستحلّ لأخذ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الشرعیة الثابتة فی أموال الناس أو فی ذممهم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 الزکاة،و الخراج،و المقاسمة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بجعل الأخیرین قسما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الخمس فقد أسقطه عمر بن الخطاب،و تبعه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بعض المفسّرین من العامّة أنّ عمر قد أسقط الخمس فی شریعة الإسلام و تبعه أصحابه فصارت المسألة إجماعیة،و علی ذلک فلا جدوی فی البحث عن الخمس،لعدم اعتقاد الجائر به لکی یأخذه من الناس حتّی نبحث فی أحکامه،فیختصّ الکلام ببقیّة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مورد تلک الحقوق الثلاثة هی الغلاّت الأربع و الأنعام الثلاثة و أراضی المسلمین،و أمّا الأراضی التی أحیاها العامل فلا شیء علیه،و إن کان المحیی من غیر المسلمین علی ما ذهب إلیه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الکلام هنا یقع فی ثلاث نواح</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 الجائر الحقوق المذکورة من المسلمین فهل تبرأ ذممهم عنها،أم لا؟مقتضی القاعدة الأوّلیة هو العدم،فإنّ الشارع قد حکم بثبوت تلک الحقوق فی ذمم هؤلاء،فلا تبرأ عنها إلاّ بصرفها فیما عیّنه الشارع،و واضح أنّ الجائر خارج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لا تتعیّن فی خصوص ما یأخذه الجائر حتّی تسقط عن ذممهم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الظاهر من الروایات الآتیة فی الناحیة الثالثة هو جواز أخذ الصدقات و المقاسمات من الجائر،بل الظاهر من السؤال فی روایة الحذاء الآتیة أنّ</w:t>
      </w:r>
      <w:bookmarkStart w:id="1108" w:name="pg5064_65912"/>
    </w:p>
    <w:p>
      <w:pPr>
        <w:pStyle w:val="BookText"/>
        <w:rPr/>
      </w:pPr>
      <w:bookmarkEnd w:id="1108"/>
      <w:r>
        <w:rPr>
          <w:rFonts w:ascii="IRNazanin" w:hAnsi="IRNazanin" w:eastAsia="IRNazanin"/>
          <w:color w:val="111111"/>
          <w:sz w:val="28"/>
          <w:sz w:val="28"/>
          <w:szCs w:val="28"/>
          <w:rtl w:val="true"/>
          <w:lang w:bidi="fa-IR"/>
        </w:rPr>
        <w:t>ذلک من المسلّمات،فتدلّ تلک الروایات بالملازمة علی أنّ الأموال التی یأخذها الجائر من الناس یجوز احتسابها من الصدقات و المقاسمات،و إلاّ لکان علی الآخذ أن یردّه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ذلک علی تنزیل ید الجائر فی زمان الغیبة منزلة ید السلطان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یضاف إلی ما ذکرناه ما فی جملة من الروایات </w:t>
      </w:r>
      <w:r>
        <w:rPr>
          <w:rStyle w:val="FootnoteAnchor"/>
          <w:rtl w:val="true"/>
        </w:rPr>
        <w:footnoteReference w:id="1573"/>
      </w:r>
      <w:r>
        <w:rPr>
          <w:rFonts w:ascii="IRNazanin" w:hAnsi="IRNazanin" w:eastAsia="IRNazanin"/>
          <w:color w:val="111111"/>
          <w:sz w:val="28"/>
          <w:sz w:val="28"/>
          <w:szCs w:val="28"/>
          <w:rtl w:val="true"/>
          <w:lang w:bidi="fa-IR"/>
        </w:rPr>
        <w:t>من أنّ العشور التی تؤخذ من الرجل یجوز احتسابها من الزکاة إلاّ إذا استطاع الرجل دفع الظالم،کما أشار إلیه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عیص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تعطوهم شیئا 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ورد فی صحیحة أبی اسامة زید الشحّام </w:t>
      </w:r>
      <w:r>
        <w:rPr>
          <w:rStyle w:val="FootnoteAnchor"/>
          <w:rtl w:val="true"/>
        </w:rPr>
        <w:footnoteReference w:id="1574"/>
      </w:r>
      <w:r>
        <w:rPr>
          <w:rFonts w:ascii="IRNazanin" w:hAnsi="IRNazanin" w:eastAsia="IRNazanin"/>
          <w:color w:val="111111"/>
          <w:sz w:val="28"/>
          <w:sz w:val="28"/>
          <w:szCs w:val="28"/>
          <w:rtl w:val="true"/>
          <w:lang w:bidi="fa-IR"/>
        </w:rPr>
        <w:t xml:space="preserve">من منع الاحتساب لأنّهم قوم غصبوا ذلک،فیمکن حمله علی استحباب الإعادة،کما صنعه الشیخ فی التهذیب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910744_774463916"/>
      <w:bookmarkStart w:id="1110" w:name="_Toc406"/>
      <w:bookmarkEnd w:id="1109"/>
      <w:r>
        <w:rPr>
          <w:rtl w:val="true"/>
        </w:rPr>
        <w:t>لا یجوز للجائر أخذ الصدقات و المقاسمات من الناس</w:t>
      </w:r>
      <w:bookmarkEnd w:id="1110"/>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للجائر أخذ الصدقة و الخراج و المقاسمة من الناس أم لا؟و علی القول بالجواز فهل تبرأ ذمّته إذا أعطاها لغیر أهلها،أم لا؟قد یقال</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الولایة فی زمان الغیبة و إن کانت راجعة إلی السلطان العادل الذی وجبت علی</w:t>
      </w:r>
    </w:p>
    <w:p>
      <w:pPr>
        <w:pStyle w:val="BookText"/>
        <w:rPr/>
      </w:pPr>
      <w:r>
        <w:rPr>
          <w:rFonts w:ascii="IRNazanin" w:hAnsi="IRNazanin" w:eastAsia="IRNazanin"/>
          <w:color w:val="111111"/>
          <w:sz w:val="28"/>
          <w:sz w:val="28"/>
          <w:szCs w:val="28"/>
          <w:rtl w:val="true"/>
          <w:lang w:bidi="fa-IR"/>
        </w:rPr>
        <w:t>الناس طاعته،و حرمت علیهم معصیته،فإذا غصبها غاصب و تقمّصها متقمّص کان عاصیا و آثما،إلاّ أنّ هذه الولایة الجائرة تترتّب علیها الأحکام الشرعیة المترتّبة علی الولایة الحقّة من حفظ حوزة الإسلام،و جمع الحقوق الثابتة فی أموال الناس،و صرفها فی محلّها،و غیر ذلک،لأنّ موضوع تلک الأحکام هو مطلق السلطنة،سواء أکانت حقّة أم باطلة،کما إذا وقف أحد أرضا و جعل تولیتها لسلطان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المحرّم إنّما هو تصدّی الجائر لمنصب السلطنة،لا الأحکام المترتّبة علیها،فإنّها لا تحرم علیه بعد غصبه الخلافة و تقمّصها،هذا غایة ما یمکن أن یقال فی جواز تصدّی الجائر للامور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الاحتمال و إن کان ممکنا فی مقام الثبوت،إلاّ أنّه لا دلیل علیه،و علی هذا فالجائر مشغول الذمّة بما یأخذه من حقوق المسلمین ما لم یخرج من عهدتها</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السیّد فی حاشیته </w:t>
      </w:r>
      <w:r>
        <w:rPr>
          <w:rStyle w:val="FootnoteAnchor"/>
          <w:rtl w:val="true"/>
        </w:rPr>
        <w:footnoteReference w:id="1576"/>
      </w:r>
      <w:r>
        <w:rPr>
          <w:rFonts w:ascii="IRNazanin" w:hAnsi="IRNazanin" w:eastAsia="IRNazanin"/>
          <w:color w:val="111111"/>
          <w:sz w:val="28"/>
          <w:sz w:val="28"/>
          <w:szCs w:val="28"/>
          <w:rtl w:val="true"/>
          <w:lang w:bidi="fa-IR"/>
        </w:rPr>
        <w:t>إلی براءة ذمّة الجائر لوجه آخر،و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الولاة الشرعیّون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أذنوا لشیعتهم فی شراء الصدقة و الخراج و المقاسمة من الجائر،و یکون تصرّفه فی هذه الحقوق الثلاثة کتصرّف الفضولی فی مال الغیر إذا انضمّ إلیه إذن المالک،و حینئذ فیترتّب علیه أمران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ذمّة الزارع بما دفع إلی الجائر من الحقوق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ذمّة الجائر من الضمان و إن ترتّب علیه الإثم من جهة العصیان و العدوان،و نظیر ذلک ما إذا غصب الغاصب مال غیره فوهبه لآخر،و أجازه المالک</w:t>
      </w:r>
      <w:r>
        <w:rPr>
          <w:rFonts w:eastAsia="IRNazanin" w:cs="IRNazanin"/>
          <w:color w:val="111111"/>
          <w:sz w:val="28"/>
          <w:szCs w:val="28"/>
          <w:rtl w:val="true"/>
          <w:lang w:bidi="fa-IR"/>
        </w:rPr>
        <w:t>.</w:t>
      </w:r>
      <w:bookmarkStart w:id="1111" w:name="pg5064_65914"/>
    </w:p>
    <w:p>
      <w:pPr>
        <w:pStyle w:val="BookText"/>
        <w:rPr/>
      </w:pPr>
      <w:bookmarkEnd w:id="1111"/>
      <w:r>
        <w:rPr>
          <w:rFonts w:ascii="IRNazanin" w:hAnsi="IRNazanin" w:eastAsia="IRNazanin"/>
          <w:color w:val="111111"/>
          <w:sz w:val="28"/>
          <w:sz w:val="28"/>
          <w:szCs w:val="28"/>
          <w:rtl w:val="true"/>
          <w:lang w:bidi="fa-IR"/>
        </w:rPr>
        <w:t xml:space="preserve">و یرد علیه أولا </w:t>
      </w:r>
      <w:r>
        <w:rPr>
          <w:rStyle w:val="FootnoteAnchor"/>
          <w:rtl w:val="true"/>
        </w:rPr>
        <w:footnoteReference w:id="1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إذن الشارع فی أخذ الحقوق المذکورة من الجائر إنّما هو لتسهیل الأمر علی الشیعة لئلاّ یقعوا فی المضیقة و الشدّة،فإنّهم یأخذون الأموال المذکورة من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إذنه هذا و إن کان یدلّ بالالتزام علی براءة ذمّة الزارع و إلاّ لزم منه العسر و الحرج المرفوعان فی الشریعة،إلاّ أنّه لا إشعار فیه ببراءة ذمّة الجائر،فضلا عن الدلالة علیها،و علی هذا فتصدّیه لأخذ تلک الحقوق ظلم و عدوان،فتشمله قاعدة ضمان الید،و تلحقه جمیع تبعات الغصب وضعا و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تنظیر المقام بهبة الغاصب المال المغصوب مع لحوق إجازة المالک فهو قیاس مع الفارق،إذ المفروض أنّ الجائر لم یعط الحقوق المذکورة لأهلها حتّی تبرأ ذمّته،بل أعطاها لغیرهم إمّا مجّانا،أو مع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فقد أتلف المال فیکون ضامنا له،و إن جاز للآخذ التصرّف فیه،و علیه فالعوض یکون للآخذ و ینتقل المال إلی ذمّة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فالمعاملة و إن صحّت علی الفرض،إلاّ أنّ ما یأخذه الجائر بدلا عن الصدقة یکون صدقة،و یضمنه الجائر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أنّ الأئمّة قد أذنوا لشیعتهم فی أخذ ما تعلّق به الخمس أو الزکاة ممّن لا یعطیهما أو لا یعتقد بهما،مع أنّ ذلک یحرم علی المعطی وضعا و تکلیفا</w:t>
      </w:r>
      <w:r>
        <w:rPr>
          <w:rFonts w:eastAsia="IRNazanin" w:cs="IRNazanin"/>
          <w:color w:val="111111"/>
          <w:sz w:val="28"/>
          <w:szCs w:val="28"/>
          <w:rtl w:val="true"/>
          <w:lang w:bidi="fa-IR"/>
        </w:rPr>
        <w:t>.</w:t>
      </w:r>
    </w:p>
    <w:p>
      <w:pPr>
        <w:pStyle w:val="Heading5"/>
        <w:numPr>
          <w:ilvl w:val="4"/>
          <w:numId w:val="1"/>
        </w:numPr>
        <w:rPr/>
      </w:pPr>
      <w:bookmarkStart w:id="1112" w:name="__RefHeading___Toc910746_774463916"/>
      <w:bookmarkStart w:id="1113" w:name="_Toc407"/>
      <w:bookmarkEnd w:id="1112"/>
      <w:r>
        <w:rPr>
          <w:rtl w:val="true"/>
        </w:rPr>
        <w:t>جواز أخذ الصدقات و المقاسمات</w:t>
      </w:r>
      <w:bookmarkEnd w:id="1113"/>
    </w:p>
    <w:p>
      <w:pPr>
        <w:pStyle w:val="BookText"/>
        <w:rPr/>
      </w:pPr>
      <w:r>
        <w:rPr>
          <w:rFonts w:ascii="IRNazanin" w:hAnsi="IRNazanin" w:eastAsia="IRNazanin"/>
          <w:color w:val="111111"/>
          <w:sz w:val="28"/>
          <w:sz w:val="28"/>
          <w:szCs w:val="28"/>
          <w:rtl w:val="true"/>
          <w:lang w:bidi="fa-IR"/>
        </w:rPr>
        <w:t>من الجائر المستحلّ لذلک</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أخذ مال الصدقة و الخراج و المقاسمة من الجائر المستحلّ لذلک،أم لا یجوز؟و علی القول بالجواز فهل یملکها الآخذ أم لا؟المشهور بل المجمع علیه بین الأصحاب هو الأول،و عن المسالک أنّه أطبق علیه علماؤنا،لا</w:t>
      </w:r>
    </w:p>
    <w:p>
      <w:pPr>
        <w:pStyle w:val="BookText"/>
        <w:rPr/>
      </w:pPr>
      <w:r>
        <w:rPr>
          <w:rFonts w:ascii="IRNazanin" w:hAnsi="IRNazanin" w:eastAsia="IRNazanin"/>
          <w:color w:val="111111"/>
          <w:sz w:val="28"/>
          <w:sz w:val="28"/>
          <w:szCs w:val="28"/>
          <w:rtl w:val="true"/>
          <w:lang w:bidi="fa-IR"/>
        </w:rPr>
        <w:t xml:space="preserve">نعلم فیه مخالفا </w:t>
      </w:r>
      <w:r>
        <w:rPr>
          <w:rStyle w:val="FootnoteAnchor"/>
          <w:rtl w:val="true"/>
        </w:rPr>
        <w:footnoteReference w:id="1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المفاتیح أنّه لا خلاف فیه </w:t>
      </w:r>
      <w:r>
        <w:rPr>
          <w:rStyle w:val="FootnoteAnchor"/>
          <w:rtl w:val="true"/>
        </w:rPr>
        <w:footnoteReference w:id="1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الریاض أنّه استفاض نقل الإجماع علیه </w:t>
      </w:r>
      <w:r>
        <w:rPr>
          <w:rStyle w:val="FootnoteAnchor"/>
          <w:rtl w:val="true"/>
        </w:rPr>
        <w:footnoteReference w:id="1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خالف فی ذلک الفاضل القطیفی </w:t>
      </w:r>
      <w:r>
        <w:rPr>
          <w:rStyle w:val="FootnoteAnchor"/>
          <w:rtl w:val="true"/>
        </w:rPr>
        <w:footnoteReference w:id="1581"/>
      </w:r>
      <w:r>
        <w:rPr>
          <w:rFonts w:ascii="IRNazanin" w:hAnsi="IRNazanin" w:eastAsia="IRNazanin"/>
          <w:color w:val="111111"/>
          <w:sz w:val="28"/>
          <w:sz w:val="28"/>
          <w:szCs w:val="28"/>
          <w:rtl w:val="true"/>
          <w:lang w:bidi="fa-IR"/>
        </w:rPr>
        <w:t xml:space="preserve">و المحقّق الأردبیلی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التحقیق یقتضی الأول،لإطلاق الروایات الکثیرة الدالّة علی إباحة أخذ الجوائز من الجائر،و قد تقدّمت الإشارة إلیها فی البحث عن جوائز السلطان </w:t>
      </w:r>
      <w:r>
        <w:rPr>
          <w:rStyle w:val="FootnoteAnchor"/>
          <w:rtl w:val="true"/>
        </w:rPr>
        <w:footnoteReference w:id="1583"/>
      </w:r>
      <w:r>
        <w:rPr>
          <w:rFonts w:ascii="IRNazanin" w:hAnsi="IRNazanin" w:eastAsia="IRNazanin"/>
          <w:color w:val="111111"/>
          <w:sz w:val="28"/>
          <w:sz w:val="28"/>
          <w:szCs w:val="28"/>
          <w:rtl w:val="true"/>
          <w:lang w:bidi="fa-IR"/>
        </w:rPr>
        <w:t>،و تدلّ علیه أیضا الروایات الخاصّة الواردة فی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الحذاء </w:t>
      </w:r>
      <w:r>
        <w:rPr>
          <w:rStyle w:val="FootnoteAnchor"/>
          <w:rtl w:val="true"/>
        </w:rPr>
        <w:footnoteReference w:id="1584"/>
      </w:r>
      <w:r>
        <w:rPr>
          <w:rFonts w:ascii="IRNazanin" w:hAnsi="IRNazanin" w:eastAsia="IRNazanin"/>
          <w:color w:val="111111"/>
          <w:sz w:val="28"/>
          <w:sz w:val="28"/>
          <w:szCs w:val="28"/>
          <w:rtl w:val="true"/>
          <w:lang w:bidi="fa-IR"/>
        </w:rPr>
        <w:t>و هی تدلّ علی المقصود بثلاث 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السائل جعل جواز أخذ الصدقات من السلطان الجائر مفروغا عنه،و إنّما سأل عمّا إذا أخذ الجائر من الناس أکثر من الحقّ الذی یجب علیهم،فقال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حتّی تعرف الحرام بعینه</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المحقّق الأردبیلی فی محکی کلامه 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حتّی تعرف الحرام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إلاّ علی جواز شراء ما کان حلالا،بل مشتبها،و عدم جواز ما کان معروفا أنّه حرام بعینه،و لا تدلّ علی جواز شراء الزکاة بعینها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ظاهرها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ینبغی الحمل علیه،لمنافاته العقل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سبب الإجمال منه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صریحة فی المطلوب،فإنّ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شراء إبل الصدقة و غیرها،فلا وجه لإنکار الأردبیلی صراحة هذه الفقرة فی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حکم العقل بقبح التصرّف فی مال الغیر بدون إذنه و إن کان ممّا لا ریب فیه،و کذا لا شبهة فی دلالة جملة من الروایات علی حرمته </w:t>
      </w:r>
      <w:r>
        <w:rPr>
          <w:rStyle w:val="FootnoteAnchor"/>
          <w:rtl w:val="true"/>
        </w:rPr>
        <w:footnoteReference w:id="1585"/>
      </w:r>
      <w:r>
        <w:rPr>
          <w:rFonts w:ascii="IRNazanin" w:hAnsi="IRNazanin" w:eastAsia="IRNazanin"/>
          <w:color w:val="111111"/>
          <w:sz w:val="28"/>
          <w:sz w:val="28"/>
          <w:szCs w:val="28"/>
          <w:rtl w:val="true"/>
          <w:lang w:bidi="fa-IR"/>
        </w:rPr>
        <w:t>،إلاّ أنّ إذن الشارع فیه أحیانا یوجب ارتفاع القبح،و تخصیص العمومات،و علیه فجواز أخذ الصدقات من الجائر لا ینافی حکم العقل و النقل،لأنّ أخذ الجائر هذه الحقوق من المسلمین و إن کان علی وجه الظلم و العدوان،إلاّ أنّ الشارع أجاز لغیر الجائر أن یأخذها منه،و من هنا لم یتوهّم أحد أنّ إذن الشارع فی التصرّف فی الأراضی المتّسعة و الأنهار الکبار و غیرهما ینافی حکم 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لإنکاره صراحة هذه الفقرة فی المطلوب،و دعواه ظهورها فیه،ثمّ إنکاره الظهور أیضا لمنافاته العقل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 إنکار حجّیتها من الأول،سواء کانت صریحة فی المطلوب أم ظاهرة فیه،کما هو کذلک فی کل دلیل ینافی 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لاحتمال التقیّة فی الروایة و جعلها سبب الإجمال فیها،لأنّ مجرد معارضة الروایة لعموم آیة أو روایة أو إطلاقهما لا یسوّغ حملها علی التقیّة،بل یلتزم بالتخصیص أو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لحمل لفظ السلطان الوارد فی الروایة علی السلطان الجائر و لماذا لا یحمل علی السلطان العادل،فتبعد الروایة عمّا نحن فیه</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أنّهم یأخذون منهم أکثر من الحقّ</w:t>
      </w:r>
    </w:p>
    <w:p>
      <w:pPr>
        <w:pStyle w:val="BookText"/>
        <w:rPr/>
      </w:pPr>
      <w:r>
        <w:rPr>
          <w:rFonts w:ascii="IRNazanin" w:hAnsi="IRNazanin" w:eastAsia="IRNazanin"/>
          <w:color w:val="111111"/>
          <w:sz w:val="28"/>
          <w:sz w:val="28"/>
          <w:szCs w:val="28"/>
          <w:rtl w:val="true"/>
          <w:lang w:bidi="fa-IR"/>
        </w:rPr>
        <w:t>الذی یجب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فرض الکلام فی الجائر،لأنّ العادل لا یعمل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إلی ما ذکرناه أنّا لم نسمع بوجود السلطان العادل فی زمان السائل و ما یقاربه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السائل قد احتمل حرمة شراء الإنسان صدقات نفسه من الجائر فسأل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أخذها و عزلها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الفقرة أیضا صریحة فی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شراء الصدقات بالأخذ و العزل معا و لم یکتف بالعزل فقط،لأنّ الصدقات لا تتعیّن بأمر الجائر بالعزل،فإذا اشتراها قبل الأخذ و العزل فقد اشتری مال نفسه،و هو بدیهی البطلان،فإنّ البیع تبدیل المالین فی طرفی الإضافة،و هو غیر معقول فی شراء الإنسان مال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سنتعرّض لذلک فی أوائل البیع إن شاء اللّه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المصدّق فی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 مصدّق یجیئنا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العامل من قبل السلطان العادل،و وجه السؤال هو احتمال أن لا یکون العامل وکیلا فی بیعها،فتکون الروایة أجنبیة عن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واردة فی الجائر،و قد تقدّم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السائل قد احتمل عدم کفایة الکیل السابق فی الشراء فسأل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قبضه بکیل و أنتم حضور ذلک فلا بأس بشرائه منه من غیر 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الکیل إنّما اعتبر طریقا إلی تعیین مقدار المکیل بأی نحو اتّفق،و لا دلیل علی اعتباره عند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الفقرة أیضا صریحة فی جواز شراء الصدقات من الجائر</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القاسم المذکور فی السؤال هو المزارع أو وکیله،فلا</w:t>
      </w:r>
    </w:p>
    <w:p>
      <w:pPr>
        <w:pStyle w:val="BookText"/>
        <w:rPr/>
      </w:pPr>
      <w:r>
        <w:rPr>
          <w:rFonts w:ascii="IRNazanin" w:hAnsi="IRNazanin" w:eastAsia="IRNazanin"/>
          <w:color w:val="111111"/>
          <w:sz w:val="28"/>
          <w:sz w:val="28"/>
          <w:szCs w:val="28"/>
          <w:rtl w:val="true"/>
          <w:lang w:bidi="fa-IR"/>
        </w:rPr>
        <w:t>مدخل للروایة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السیاق یقتضی أن یراد من القاسم عامل الصدقة،لا المزارع أو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الظاهر من إطلاق لفظ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کانت القسمة حرفة له،و لا یطلق ذلک علی المزارع للأرض بقسمة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الروایة إنّما تعرّضت لحکم الصدقة فقط،فلا تشمل الخراج و المقاسمة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مقابلة القاسم بالمصدّق فی الروایة تدلّ علی إرادة کل من المقاسمة المصطلحة و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لفظ القاسم یشمل الخراج و المقاسمة الزکاتیة،فلا وجه لصرفه 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یکفینا تعرّض الروایة لخصوص الصدقات،فیثبت الحکم فی غیرها بعدم القول بالفصل،لأنّ کل من قال بجواز أخذ الصدقات من الجائر قال بجواز أخذ الخراج و المقاسمة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یشتری من العامل و هو یظلم،قال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منه ما لم یعلم أنّه ظلم فیه أحدا</w:t>
      </w:r>
      <w:r>
        <w:rPr>
          <w:rFonts w:eastAsia="IRNazanin" w:cs="IRNazanin"/>
          <w:color w:val="111111"/>
          <w:sz w:val="28"/>
          <w:szCs w:val="28"/>
          <w:rtl w:val="true"/>
          <w:lang w:bidi="fa-IR"/>
        </w:rPr>
        <w:t xml:space="preserve">» </w:t>
      </w:r>
      <w:r>
        <w:rPr>
          <w:rStyle w:val="FootnoteAnchor"/>
          <w:rtl w:val="true"/>
        </w:rPr>
        <w:footnoteReference w:id="1587"/>
      </w:r>
      <w:r>
        <w:rPr>
          <w:rFonts w:ascii="IRNazanin" w:hAnsi="IRNazanin" w:eastAsia="IRNazanin"/>
          <w:color w:val="111111"/>
          <w:sz w:val="28"/>
          <w:sz w:val="28"/>
          <w:szCs w:val="28"/>
          <w:rtl w:val="true"/>
          <w:lang w:bidi="fa-IR"/>
        </w:rPr>
        <w:t>فإنّ ظاهر الشراء من العامل هو شراء الحقوق المذکورة منه،فتدلّ هذه الروایة أیضا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علیها الفاضل القطیفی </w:t>
      </w:r>
      <w:r>
        <w:rPr>
          <w:rStyle w:val="FootnoteAnchor"/>
          <w:rtl w:val="true"/>
        </w:rPr>
        <w:footnoteReference w:id="1588"/>
      </w:r>
      <w:r>
        <w:rPr>
          <w:rFonts w:ascii="IRNazanin" w:hAnsi="IRNazanin" w:eastAsia="IRNazanin"/>
          <w:color w:val="111111"/>
          <w:sz w:val="28"/>
          <w:sz w:val="28"/>
          <w:szCs w:val="28"/>
          <w:rtl w:val="true"/>
          <w:lang w:bidi="fa-IR"/>
        </w:rPr>
        <w:t>بأنّ المراد من العامل هو عامل الظلمة و قد عرفت فیما سبق أنّه لا مانع من أخذ أموالهم ما لم یعلم أنّها من الحرام فتکون الروایة بعیدة عن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الدعوی و إن لم تکن بعیدة فی نفسها و لکن یدفعها إطلاق الروایة،و عدم تفصیل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المقامین</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أبی بکر الحضرمی </w:t>
      </w:r>
      <w:r>
        <w:rPr>
          <w:rStyle w:val="FootnoteAnchor"/>
          <w:rtl w:val="true"/>
        </w:rPr>
        <w:footnoteReference w:id="1589"/>
      </w:r>
      <w:r>
        <w:rPr>
          <w:rFonts w:ascii="IRNazanin" w:hAnsi="IRNazanin" w:eastAsia="IRNazanin"/>
          <w:color w:val="111111"/>
          <w:sz w:val="28"/>
          <w:sz w:val="28"/>
          <w:szCs w:val="28"/>
          <w:rtl w:val="true"/>
          <w:lang w:bidi="fa-IR"/>
        </w:rPr>
        <w:t>فإنّها ظاهرة فی حلّ ما یعطیه الجائر</w:t>
      </w:r>
    </w:p>
    <w:p>
      <w:pPr>
        <w:pStyle w:val="BookText"/>
        <w:rPr/>
      </w:pPr>
      <w:r>
        <w:rPr>
          <w:rFonts w:ascii="IRNazanin" w:hAnsi="IRNazanin" w:eastAsia="IRNazanin"/>
          <w:color w:val="111111"/>
          <w:sz w:val="28"/>
          <w:sz w:val="28"/>
          <w:szCs w:val="28"/>
          <w:rtl w:val="true"/>
          <w:lang w:bidi="fa-IR"/>
        </w:rPr>
        <w:t>للناس من بیت المال،سواء کان ذلک بعنوان البذل،أم الاجرة علی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المحقّق الکرکی أنّ هذا الخبر نصّ فی الباب </w:t>
      </w:r>
      <w:r>
        <w:rPr>
          <w:rStyle w:val="FootnoteAnchor"/>
          <w:rtl w:val="true"/>
        </w:rPr>
        <w:footnoteReference w:id="1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تعجّب منه الأردبیلی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ما فهمت منه دلالة ما،و ذلک لأنّ غایتها ما ذکر،و ذلک قد یکون شیء من بیت مال یجوز أخذه و إعطاؤه للمستحقّین،بأن یکون منذورا،أو وصیة لهم،و یعطیهم ابن أبی شمال أو غیر ذلک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تحقّق للروایة ظهور فإنّ مجرد الاحتمال علی خلافه لا یسوغ رفع الید عنه،و إلاّ لانسدّ باب الاجتهاد،فإنّ کل ظاهر یحتمل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یجوز الاستدلال بالروایة المذکورة علی المقصود من جهة اخری،و هی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علّل التعریض بابن أبی شمال بأنّه لم یبعث إلی أبی بکر الحضرمی بعطائه،حیث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 أنّ لک فی بیت المال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هذا التعلیل أنّ جواز الأخذ من جهة ثبوت الحقّ فی بیت المال،فیجوز له الأخذ بمقدار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دلالة فیها علی جواز أخذ الحقوق الثلاثة من الجائر مطلقا،لکون الدلیل أخصّ من المدّعی</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w:t>
      </w:r>
      <w:r>
        <w:rPr>
          <w:rStyle w:val="FootnoteAnchor"/>
          <w:rtl w:val="true"/>
        </w:rPr>
        <w:footnoteReference w:id="1592"/>
      </w:r>
      <w:r>
        <w:rPr>
          <w:rFonts w:ascii="IRNazanin" w:hAnsi="IRNazanin" w:eastAsia="IRNazanin"/>
          <w:color w:val="111111"/>
          <w:sz w:val="28"/>
          <w:sz w:val="28"/>
          <w:szCs w:val="28"/>
          <w:rtl w:val="true"/>
          <w:lang w:bidi="fa-IR"/>
        </w:rPr>
        <w:t>الواردة فی جواز تقبّل الأراضی الخراجیة،و تقبّل</w:t>
      </w:r>
    </w:p>
    <w:p>
      <w:pPr>
        <w:pStyle w:val="BookText"/>
        <w:rPr/>
      </w:pPr>
      <w:r>
        <w:rPr>
          <w:rFonts w:ascii="IRNazanin" w:hAnsi="IRNazanin" w:eastAsia="IRNazanin"/>
          <w:color w:val="111111"/>
          <w:sz w:val="28"/>
          <w:sz w:val="28"/>
          <w:szCs w:val="28"/>
          <w:rtl w:val="true"/>
          <w:lang w:bidi="fa-IR"/>
        </w:rPr>
        <w:t>خراجها،و خراج الرجال و الرؤوس من الجائر،فإنّها تدلّ بالملازمة علی جواز شراء الخراج و المقاسمة و الصدقة منه</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التقبّل قد یتعلّق بالأرض،و قد یتعلّق بالخراج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فتشهد به جملة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فی تجویز الشارع ذلک أن لا تبقی الأرض معطّلة،و لا شبهة أنّ هذه الجهة لا ترتبط بما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تقبّل الخراج فتدلّ علیه جملة اخری من الروایات،و لا ریب فی دلالة هذه الجملة علی المطلوب إذ لا فارق بین شراء الحقوق المذکورة من الجائر أو أخذها منه مجانا،و بین تقبّلها فإنّ الغرض هو مطلق الأخذ،و لذا نوّهنا فی صدر المسألة بأنّ الأخذ أعمّ من أن یکون مع العوض أو بدونه</w:t>
      </w:r>
      <w:r>
        <w:rPr>
          <w:rFonts w:eastAsia="IRNazanin" w:cs="IRNazanin"/>
          <w:color w:val="111111"/>
          <w:sz w:val="28"/>
          <w:szCs w:val="28"/>
          <w:rtl w:val="true"/>
          <w:lang w:bidi="fa-IR"/>
        </w:rPr>
        <w:t>.</w:t>
      </w:r>
      <w:bookmarkStart w:id="1114" w:name="pg5064_65921"/>
    </w:p>
    <w:p>
      <w:pPr>
        <w:pStyle w:val="Heading5"/>
        <w:numPr>
          <w:ilvl w:val="4"/>
          <w:numId w:val="1"/>
        </w:numPr>
        <w:rPr/>
      </w:pPr>
      <w:bookmarkStart w:id="1115" w:name="__RefHeading___Toc910748_774463916"/>
      <w:bookmarkStart w:id="1116" w:name="_Toc408"/>
      <w:bookmarkEnd w:id="1114"/>
      <w:bookmarkEnd w:id="1115"/>
      <w:r>
        <w:rPr>
          <w:rtl w:val="true"/>
        </w:rPr>
        <w:t>لا یجوز للجائر إقطاع شخص خاصّ شیئا</w:t>
      </w:r>
      <w:bookmarkEnd w:id="1116"/>
    </w:p>
    <w:p>
      <w:pPr>
        <w:pStyle w:val="BookText"/>
        <w:rPr/>
      </w:pPr>
      <w:r>
        <w:rPr>
          <w:rFonts w:ascii="IRNazanin" w:hAnsi="IRNazanin" w:eastAsia="IRNazanin"/>
          <w:color w:val="111111"/>
          <w:sz w:val="28"/>
          <w:sz w:val="28"/>
          <w:szCs w:val="28"/>
          <w:rtl w:val="true"/>
          <w:lang w:bidi="fa-IR"/>
        </w:rPr>
        <w:t>من الأراضی الخراجیة</w:t>
      </w:r>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یجوز للجائر إقطاع شخص خاصّ شیئا من الأراضی الخراجیة و تخصیصها به أم لا؟الظاهر هو الثانی،لدلالة الأخبار الکثیرة علی أنّ الأراضی الخراجیة للمسلمین </w:t>
      </w:r>
      <w:r>
        <w:rPr>
          <w:rStyle w:val="FootnoteAnchor"/>
          <w:rtl w:val="true"/>
        </w:rPr>
        <w:footnoteReference w:id="1593"/>
      </w:r>
      <w:r>
        <w:rPr>
          <w:rFonts w:ascii="IRNazanin" w:hAnsi="IRNazanin" w:eastAsia="IRNazanin"/>
          <w:color w:val="111111"/>
          <w:sz w:val="28"/>
          <w:sz w:val="28"/>
          <w:szCs w:val="28"/>
          <w:rtl w:val="true"/>
          <w:lang w:bidi="fa-IR"/>
        </w:rPr>
        <w:t>،فلا یجوز لأحد أن یتولّی التصرّف عنهم إلاّ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کان مأذونا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قلنا بکون الجائر ولی الأمر فی زمان الغیبة،أو قلنا بکونه مأذونا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التصدّی للامور العامّة فلا بأس بتصرّفه فی تلک الأراضی من قبل المسلمین علی أی نحو شاء،و إن لم نقل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الدلیل علیهما فیحرم علیه التصرّف فیها وضعا و تکلیفا</w:t>
      </w:r>
      <w:r>
        <w:rPr>
          <w:rFonts w:eastAsia="IRNazanin" w:cs="IRNazanin"/>
          <w:color w:val="111111"/>
          <w:sz w:val="28"/>
          <w:szCs w:val="28"/>
          <w:rtl w:val="true"/>
          <w:lang w:bidi="fa-IR"/>
        </w:rPr>
        <w:t>.</w:t>
      </w:r>
    </w:p>
    <w:p>
      <w:pPr>
        <w:pStyle w:val="Heading5"/>
        <w:numPr>
          <w:ilvl w:val="4"/>
          <w:numId w:val="1"/>
        </w:numPr>
        <w:rPr/>
      </w:pPr>
      <w:bookmarkStart w:id="1117" w:name="__RefHeading___Toc910750_774463916"/>
      <w:bookmarkStart w:id="1118" w:name="_Toc409"/>
      <w:bookmarkEnd w:id="1117"/>
      <w:r>
        <w:rPr>
          <w:rtl w:val="true"/>
        </w:rPr>
        <w:t>شراء الصدقات من الجائر قبل أخذه إیّاها من الناس</w:t>
      </w:r>
      <w:bookmarkEnd w:id="1118"/>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شراء الصدقات من الجائر قبل أخذه إیّاها من الناس أم لا یجوز ذلک إلاّ بعد الأخذ؟ظاهر عبارات الأکثر بل الکل أنّ الحکم مختص بما یأخذه السلطان من المسلمین،فلا یجوز شراء ما فی ذمّة مستعمل الأراضی الخراجیة أو الحوالة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صریح جماعة جواز ذلک،للأخبار الواردة فی تقبّل الأراضی الخراجیة و تقبّل خراجها،و جزیة الرؤوس من الجائر قبل أخذه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تقدّمت الإشارة إلیها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تقبّل الخراج من الجائر لیس إلاّ شراؤه منه</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اختصاص عبارات الفقهاء بصورة الشراء بعد الأخذ فمبنی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الحذاء المتقدّمة </w:t>
      </w:r>
      <w:r>
        <w:rPr>
          <w:rStyle w:val="FootnoteAnchor"/>
          <w:rtl w:val="true"/>
        </w:rPr>
        <w:footnoteReference w:id="1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أخذها و عزلها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حرمة الشراء قبل الأخذ و العزل،و لا اختصاص لذلک بالصدقات،لعدم القول بالفصل بینها و بین الخراج و المقاسمة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و إن کانت ظاهرة فی ذلک،إلاّ أنّه ظهور بدوی یزول بالتأمّل فیها،فإنّها بعیدة عمّا نحن فیه،لأنّ الظاهر من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 مصدّق یجیئنا فیأخذ منّا صدقات أغنامنا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إلخ،أنّ الجابی هو العامل من قبل الجائر،إذ لم یتعارف تصدّی الجائر لذلک بنفسه،و علی هذا فکل ما أخذه العامل من حقوق المسلمین جاز شراؤه منه،لقاعدة الید المقتضیة لحمل معاملاته علی الصحّة،فإنّه من المحتمل أن یکون العامل مأذونا فی البیع کما هو مأذون فی الجبایة</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ذلک لا یجری فیما قبل الأخذ،لأنّ حمل فعل المسلم علی الصحّة فی المعاملات إنّما هو فی الشرائط العائدة إلی العقد فقط،و أمّا شرائط العوضین و أشباهها فلا بدّ من إحرازها بدلیل آخر من قاعدة الید و نحوها،و هی منتفیة فی هذه الصورة،فإذا باع أحد شیئا،و لم تحرز مالکیته له،أو کونه وکیلا مفوّضا فی البیع،فإنّ الأثر لا یترتّب علی بیعه،و قد ظهر ممّا تقدّم أنّ الروایة إنّما وردت علی طبق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إلی ذلک ما تقدّم سابقا من أنّ الروایة ناظرة إلی عدم جواز الشراء قبل الأخذ،لأنّ الصدقات لا تتعیّن بأمر الجائر بالعزل،فإذا اشتراها قبل الأخذ فقد اشتری مال نفسه،و هو واضح البطلان</w:t>
      </w:r>
      <w:r>
        <w:rPr>
          <w:rFonts w:eastAsia="IRNazanin" w:cs="IRNazanin"/>
          <w:color w:val="111111"/>
          <w:sz w:val="28"/>
          <w:szCs w:val="28"/>
          <w:rtl w:val="true"/>
          <w:lang w:bidi="fa-IR"/>
        </w:rPr>
        <w:t>.</w:t>
      </w:r>
      <w:bookmarkStart w:id="1119" w:name="pg5064_65923"/>
    </w:p>
    <w:p>
      <w:pPr>
        <w:pStyle w:val="Heading3"/>
        <w:numPr>
          <w:ilvl w:val="2"/>
          <w:numId w:val="1"/>
        </w:numPr>
        <w:rPr/>
      </w:pPr>
      <w:bookmarkStart w:id="1120" w:name="__RefHeading___Toc910752_774463916"/>
      <w:bookmarkStart w:id="1121" w:name="_Toc410"/>
      <w:bookmarkEnd w:id="1119"/>
      <w:bookmarkEnd w:id="1120"/>
      <w:r>
        <w:rPr>
          <w:rtl w:val="true"/>
        </w:rPr>
        <w:t>حکم الأراضی الخراجیة حال الغیبة</w:t>
      </w:r>
      <w:bookmarkEnd w:id="1121"/>
    </w:p>
    <w:p>
      <w:pPr>
        <w:pStyle w:val="Heading4"/>
        <w:numPr>
          <w:ilvl w:val="3"/>
          <w:numId w:val="1"/>
        </w:numPr>
        <w:rPr/>
      </w:pPr>
      <w:bookmarkStart w:id="1122" w:name="__RefHeading___Toc910754_774463916"/>
      <w:bookmarkStart w:id="1123" w:name="_Toc411"/>
      <w:bookmarkEnd w:id="1122"/>
      <w:r>
        <w:rPr>
          <w:rtl w:val="true"/>
        </w:rPr>
        <w:t>اشارة</w:t>
      </w:r>
      <w:bookmarkEnd w:id="1123"/>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الأراضی الخراجیة ملک لجمیع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صرف اجرتها فی مصالحهم العامّة،کما لا شبهة فی أنّ أمر التصرّف فیها و فی خراجها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الإشکال فی حکمها حال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اختلفوا فی ذلک علی أقوال قد تعرّض لها السید فی حاشیته </w:t>
      </w:r>
      <w:r>
        <w:rPr>
          <w:rStyle w:val="FootnoteAnchor"/>
          <w:rtl w:val="true"/>
        </w:rPr>
        <w:footnoteReference w:id="1595"/>
      </w:r>
      <w:r>
        <w:rPr>
          <w:rFonts w:ascii="IRNazanin" w:hAnsi="IRNazanin" w:eastAsia="IRNazanin"/>
          <w:color w:val="111111"/>
          <w:sz w:val="28"/>
          <w:sz w:val="28"/>
          <w:szCs w:val="28"/>
          <w:rtl w:val="true"/>
          <w:lang w:bidi="fa-IR"/>
        </w:rPr>
        <w:t>،و لا یهمّنا ذکرها،و الذی یهمّنا أمره أنّه لم یستشکل أحد من الأصحاب فی أنّ السلطان الجائر غاصب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 فی صفّ المعاندة للّه،إلاّ أنّه ذهب جمع منهم إلی حرمة التصرّف فی تلک الأراضی و فی خراجها بدون إذنه،بتوهّم أنّه ولی الأمر فی ذلک بعد غصبه الخلافة،لأنّ موضوع التصرّف فیها هو السلطنة و إن کانت باطلة،فإذا تحقّقت یترتّب علیها حکمها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أنّک قد عرفت سابقا </w:t>
      </w:r>
      <w:r>
        <w:rPr>
          <w:rStyle w:val="FootnoteAnchor"/>
          <w:rtl w:val="true"/>
        </w:rPr>
        <w:footnoteReference w:id="1596"/>
      </w:r>
      <w:r>
        <w:rPr>
          <w:rFonts w:ascii="IRNazanin" w:hAnsi="IRNazanin" w:eastAsia="IRNazanin"/>
          <w:color w:val="111111"/>
          <w:sz w:val="28"/>
          <w:sz w:val="28"/>
          <w:szCs w:val="28"/>
          <w:rtl w:val="true"/>
          <w:lang w:bidi="fa-IR"/>
        </w:rPr>
        <w:t>عدم الدلیل علی ذلک،بل غایة ما ثبت لنا من الأخبار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تقدّم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نفوذ تصرّفات الجائر فیما أخذه من الناس باسم الخراج و المقاسمة و الصدقة،بمعنی أنّ الشارع قد حکم بجواز أخذها منه و ببراءة ذمّة الدافع منها،و إن بقی الجائر مشغول الذمّة بها ما لم یؤدّها إلی أهلها و قد عرفت ذلک فیما سبق</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أیضا أنّ حکم الشارع بنفوذ معاملة الجائر علی النحو المذکور إنّما هو لتسهیل الأمر علی الشیعة،لکی لا یقعوا فی العسر و الحرج فی معاملاتهم و امور معاشهم،و لم یدلّ دلیل علی أزید من ذلک،حتّی أنّه لو أمکن إنقاذ الحقوق المذکورة من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بالسرقة و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إیصالها إلی أهلها وجب ذلک،فضلا عن أن</w:t>
      </w:r>
      <w:bookmarkStart w:id="1124" w:name="pg5064_65924"/>
    </w:p>
    <w:p>
      <w:pPr>
        <w:pStyle w:val="BookText"/>
        <w:rPr/>
      </w:pPr>
      <w:bookmarkEnd w:id="1124"/>
      <w:r>
        <w:rPr>
          <w:rFonts w:ascii="Amiri" w:hAnsi="Amiri" w:eastAsia="Amiri" w:cs="Amiri"/>
          <w:color w:val="111111"/>
          <w:sz w:val="28"/>
          <w:sz w:val="28"/>
          <w:szCs w:val="28"/>
          <w:rtl w:val="true"/>
          <w:lang w:bidi="ar-SA"/>
        </w:rPr>
        <w:t>تردّ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یخفی أنّ المستفاد من بعض الأخبار </w:t>
      </w:r>
      <w:r>
        <w:rPr>
          <w:rStyle w:val="FootnoteAnchor"/>
          <w:rtl w:val="true"/>
        </w:rPr>
        <w:footnoteReference w:id="1597"/>
      </w:r>
      <w:r>
        <w:rPr>
          <w:rFonts w:ascii="IRNazanin" w:hAnsi="IRNazanin" w:eastAsia="IRNazanin"/>
          <w:color w:val="111111"/>
          <w:sz w:val="28"/>
          <w:sz w:val="28"/>
          <w:szCs w:val="28"/>
          <w:rtl w:val="true"/>
          <w:lang w:bidi="fa-IR"/>
        </w:rPr>
        <w:t xml:space="preserve">إنّما هو حرمة دفع الصدقات إلی الجائر اختیارا،و بعدم القول بالفصل بینها و بین الخراج و المقاسمة نحکم بحرمة دفعهما إلیه أیضا اختیارا،بل یمکن استئناس التعمیم من روایة علی بن یقطین </w:t>
      </w:r>
      <w:r>
        <w:rPr>
          <w:rStyle w:val="FootnoteAnchor"/>
          <w:rtl w:val="true"/>
        </w:rPr>
        <w:footnoteReference w:id="1598"/>
      </w:r>
      <w:r>
        <w:rPr>
          <w:rFonts w:ascii="IRNazanin" w:hAnsi="IRNazanin" w:eastAsia="IRNazanin"/>
          <w:color w:val="111111"/>
          <w:sz w:val="28"/>
          <w:sz w:val="28"/>
          <w:szCs w:val="28"/>
          <w:rtl w:val="true"/>
          <w:lang w:bidi="fa-IR"/>
        </w:rPr>
        <w:t>حیث إنّه کان یأخذ أموال الشیعة علانیة،و یردّها إلیهم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یمکن استئناس التعمیم من صحیحة زرارة </w:t>
      </w:r>
      <w:r>
        <w:rPr>
          <w:rStyle w:val="FootnoteAnchor"/>
          <w:rtl w:val="true"/>
        </w:rPr>
        <w:footnoteReference w:id="1599"/>
      </w:r>
      <w:r>
        <w:rPr>
          <w:rFonts w:ascii="IRNazanin" w:hAnsi="IRNazanin" w:eastAsia="IRNazanin"/>
          <w:color w:val="111111"/>
          <w:sz w:val="28"/>
          <w:sz w:val="28"/>
          <w:szCs w:val="28"/>
          <w:rtl w:val="true"/>
          <w:lang w:bidi="fa-IR"/>
        </w:rPr>
        <w:t>فإنّها تدلّ علی أنّه اشتری ضریس من هبیرة ارزا بثلاثمائة ألف،و أدّی المال إلی بنی امیّة،و عضّ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إصبعه علی ذلک،لأنّ أمرهم کان فی شرف الانقضاء،و کان أداء المال إلیهم بغیر إکراه منهم،بل کان ذلک باختیار ضریس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فیستفاد من ذلک أنّه لا یجوز دفع الخراج إلی الجائر مع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أوضح محامل هذا الخبر أن یکون الارز من المقاسمة</w:t>
      </w:r>
      <w:r>
        <w:rPr>
          <w:rFonts w:eastAsia="IRNazanin" w:cs="IRNazanin"/>
          <w:color w:val="111111"/>
          <w:sz w:val="28"/>
          <w:szCs w:val="28"/>
          <w:rtl w:val="true"/>
          <w:lang w:bidi="fa-IR"/>
        </w:rPr>
        <w:t>.</w:t>
      </w:r>
    </w:p>
    <w:p>
      <w:pPr>
        <w:pStyle w:val="Heading4"/>
        <w:numPr>
          <w:ilvl w:val="3"/>
          <w:numId w:val="1"/>
        </w:numPr>
        <w:rPr/>
      </w:pPr>
      <w:bookmarkStart w:id="1125" w:name="__RefHeading___Toc910756_774463916"/>
      <w:bookmarkStart w:id="1126" w:name="_Toc412"/>
      <w:bookmarkEnd w:id="1125"/>
      <w:r>
        <w:rPr>
          <w:rtl w:val="true"/>
        </w:rPr>
        <w:t>حکم شراء ما یأخذه الجائر من غیر الأراضی الخراجیة</w:t>
      </w:r>
      <w:bookmarkEnd w:id="1126"/>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یختصّ جواز شراء الخراج و المقاسمة بما أخذه الجائر من الأراضی الخراجیة،أو یعمّ مطلق ما أخذه من الأراضی باسم الخراج و المقاسمة و إن لم تکن الأرض خراجیة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قد تکون خراجیة کالأراضی التی فتحت عنوة أو صلحا،فهی لجمیع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شخصیة کالأراضی المحیاة،فإنّها ملک للمحیی،و کالأراضی التی أسلم أهلها طوعا،فإنّها</w:t>
      </w:r>
      <w:bookmarkStart w:id="1127" w:name="pg5064_65925"/>
    </w:p>
    <w:p>
      <w:pPr>
        <w:pStyle w:val="BookText"/>
        <w:rPr/>
      </w:pPr>
      <w:bookmarkEnd w:id="1127"/>
      <w:r>
        <w:rPr>
          <w:rFonts w:ascii="IRNazanin" w:hAnsi="IRNazanin" w:eastAsia="IRNazanin"/>
          <w:color w:val="111111"/>
          <w:sz w:val="28"/>
          <w:sz w:val="28"/>
          <w:szCs w:val="28"/>
          <w:rtl w:val="true"/>
          <w:lang w:bidi="fa-IR"/>
        </w:rPr>
        <w:t>لمالکها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من الأنفال،کالجبال و بطون الأودیة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کونه مشمولا للأخبار المتقدّمة الدالّة علی جواز شراء الحقوق الثلاثة من الجائر علی النحو الذی عرفته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حدود تلک الأخبار قطعا،و لم یقل أحد بثبوت الخراج فیها،و علیه فإذا أخذ الجائر منه الخراج کان غاصبا جزما،و لا یجوز شراؤه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لم یکن من الأراضی الخراجیة،إلاّ أنّ ما یأخذه الجائر من هذه الأراضی لا یبعد أن یکون محکوما بحکم الخراج المصطلح،و مشمولا للروایات الدالّة علی جواز شراء الخراج من الجائر بعد ما کان أخذ الجائر إیّاه بعنوان الخراج،و لو کان ذلک بجعل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القسم خارج عن موضوع الأخبار المذکورة،فإنّها مسوقة لبیان جواز المعاملة علی الحقوق الثلاثة من التقبّل و الشراء و نحوهما،و لیس فیها تعرّض لموارد ثبوت الخراج و کیفیته و مقداره،بل لا بدّ فی ذلک کلّه من التماس دلیل آخر،و لا دلیل علی إمضاء ما جعله الجائر خراجا و إن لم یکن من الخراج فی الشریعة المقدّسة</w:t>
      </w:r>
      <w:r>
        <w:rPr>
          <w:rFonts w:eastAsia="IRNazanin" w:cs="IRNazanin"/>
          <w:color w:val="111111"/>
          <w:sz w:val="28"/>
          <w:szCs w:val="28"/>
          <w:rtl w:val="true"/>
          <w:lang w:bidi="fa-IR"/>
        </w:rPr>
        <w:t>.</w:t>
      </w:r>
    </w:p>
    <w:p>
      <w:pPr>
        <w:pStyle w:val="Heading4"/>
        <w:numPr>
          <w:ilvl w:val="3"/>
          <w:numId w:val="1"/>
        </w:numPr>
        <w:rPr/>
      </w:pPr>
      <w:bookmarkStart w:id="1128" w:name="__RefHeading___Toc910758_774463916"/>
      <w:bookmarkStart w:id="1129" w:name="_Toc413"/>
      <w:bookmarkEnd w:id="1128"/>
      <w:r>
        <w:rPr>
          <w:rtl w:val="true"/>
        </w:rPr>
        <w:t>اختصاص الحکم بالسلطان المدّعی للرئاسة العامّة</w:t>
      </w:r>
      <w:bookmarkEnd w:id="1129"/>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المصنّف أنّ ظاهر الأخبار و منصرف کلمات الأصحاب الاختصاص بالسلطان المدّعی للرئاسة العامّة و عمّاله،فلا یشمل من تسلّط علی قریة أو بلدة خروجا علی سلطان الوقت،فیأخذ منهم حقوق المسلمین </w:t>
      </w:r>
      <w:r>
        <w:rPr>
          <w:rStyle w:val="FootnoteAnchor"/>
          <w:rtl w:val="true"/>
        </w:rPr>
        <w:footnoteReference w:id="1600"/>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یکون ذلک مشمولا للأخبار المتقدّمة،و لا یجوز شراؤها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المذکورة لم ترد علی سبیل القضایا الحقیقیة،فلیس مفادها أنّ کل متصدّ لمنصب الخلافة و السلطنة تترتّب علی دعواه الأحکام المزبورة،بل موردها القضایا الخارجیة،أعنی السلاطین الذین یرون أنفسهم أولیاء الامور للمسلمین،بحیث لا یمکن التخلّص عن مکرهم،و یدعون علیهم الولایة العامّة فی الظاهر،و إن کانت عقیدتهم علی خلاف دعواهم،کجملة من الخلفاء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المسؤول عنه فی تلک الروایات إنّما هو تصرّفات هؤلاء الخلفاء فی الحقوق الثابتة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فلیس فی تلک الروایات عموم و لا إطلاق لکی یتمسّک به فی الموارد المشکوکة و فی کل متزعّم أطلق علیه لفظ السلطان،و حینئذ فلا بدّ من الاقتصار فی الأحکام المذکورة علی المقدار المتیقّن،و هی القضایا الشخصیة الخارجیة،و لا یجوز التعدّی منها إلاّ إلی ما شاکلها فی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عدم شمول الأخبار المزبورة لسلاطین الشیعة الذین اتّصفوا بأوصاف المخالفین،فضلا عن شمولها لمن تسلّط علی قریة أو بلدة خروجا علی سلطان الوقت،و أخذ من أهلها أموالهم باسم الخراج و المقاسمة و الصدقة،فلا تبرأ بذلک ذمم الزارعین،و لا یجوز شراؤها من هؤلاء الظالمین،لأنّ ذلک یدخل فیما اخذ علی سبیل الظلم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بشمول الأحکام المتقدّمة لکل من یدّعی الرئاسة و منصب الخلافة و لو علی قریة أو بلدة،لقاعدة نفی العسر و الحرج</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یراد بذلک لزوم الحرج علی الذین یأخذون الأموال المذکورة من هؤلاء الظلمة المدّعین للخلافة،و هو واضح البطلان،و أی حرج فی ترک شراء ما فی ید السّراق و الغصّاب مع العلم بکونه غصبا و 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ذلک لو صحّ لجاز أخذ الأموال المحرّمة من أی شخص کان،و هو بدیهی البطلان</w:t>
      </w:r>
      <w:r>
        <w:rPr>
          <w:rFonts w:eastAsia="IRNazanin" w:cs="IRNazanin"/>
          <w:color w:val="111111"/>
          <w:sz w:val="28"/>
          <w:szCs w:val="28"/>
          <w:rtl w:val="true"/>
          <w:lang w:bidi="fa-IR"/>
        </w:rPr>
        <w:t>.</w:t>
      </w:r>
      <w:bookmarkStart w:id="1130" w:name="pg5064_65927"/>
    </w:p>
    <w:p>
      <w:pPr>
        <w:pStyle w:val="BookText"/>
        <w:rPr/>
      </w:pPr>
      <w:bookmarkEnd w:id="1130"/>
      <w:r>
        <w:rPr>
          <w:rFonts w:ascii="IRNazanin" w:hAnsi="IRNazanin" w:eastAsia="IRNazanin"/>
          <w:color w:val="111111"/>
          <w:sz w:val="28"/>
          <w:sz w:val="28"/>
          <w:szCs w:val="28"/>
          <w:rtl w:val="true"/>
          <w:lang w:bidi="fa-IR"/>
        </w:rPr>
        <w:t>و قد یراد بذلک لزوم الحرج علی الزارعین و أولیاء الأراضی إذا وجب علیهم أداء تلک الحقوق ثانیا،فیرتفع بدلیل نفی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أیضا بیّن الخلل،فإنّ لازم ذلک أنّ الإنسان إذا أجبره سارق أو غاصب علی إعطاء حقوق اللّه أو حقوق الناس أن تبرأ ذمّته بالدفع إلیه،لتلک القاعدة،و لم یلتزم بذلک فقیه،و لا متفقّه</w:t>
      </w:r>
      <w:r>
        <w:rPr>
          <w:rFonts w:eastAsia="IRNazanin" w:cs="IRNazanin"/>
          <w:color w:val="111111"/>
          <w:sz w:val="28"/>
          <w:szCs w:val="28"/>
          <w:rtl w:val="true"/>
          <w:lang w:bidi="fa-IR"/>
        </w:rPr>
        <w:t>.</w:t>
      </w:r>
    </w:p>
    <w:p>
      <w:pPr>
        <w:pStyle w:val="Heading4"/>
        <w:numPr>
          <w:ilvl w:val="3"/>
          <w:numId w:val="1"/>
        </w:numPr>
        <w:rPr/>
      </w:pPr>
      <w:bookmarkStart w:id="1131" w:name="__RefHeading___Toc910760_774463916"/>
      <w:bookmarkStart w:id="1132" w:name="_Toc414"/>
      <w:bookmarkEnd w:id="1131"/>
      <w:r>
        <w:rPr>
          <w:rtl w:val="true"/>
        </w:rPr>
        <w:t>عدم اختصاص الحکم بمن یعتقد کون الجائر ولی الأمر</w:t>
      </w:r>
      <w:bookmarkEnd w:id="1132"/>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أنّه لا شبهة فی جواز أخذ الصدقة و الخراج من الجائر،فهل یختصّ ذلک بالحقوق التی أخذها من المعتقدین بخلافته و ولایته،أم یعمّ غیرها؟الظاهر أنّه لا فارق بینهما،لإطلاق الروایات المتقدّمة،بل ورد بعضها فیما کان المأخوذ منه مؤمنا کروایتی الحذاء و إسحاق بن عمّار </w:t>
      </w:r>
      <w:r>
        <w:rPr>
          <w:rStyle w:val="FootnoteAnchor"/>
          <w:rtl w:val="true"/>
        </w:rPr>
        <w:footnoteReference w:id="1601"/>
      </w:r>
      <w:r>
        <w:rPr>
          <w:rFonts w:ascii="IRNazanin" w:hAnsi="IRNazanin" w:eastAsia="IRNazanin"/>
          <w:color w:val="111111"/>
          <w:sz w:val="28"/>
          <w:sz w:val="28"/>
          <w:szCs w:val="28"/>
          <w:rtl w:val="true"/>
          <w:lang w:bidi="fa-IR"/>
        </w:rPr>
        <w:t>،و بعض ما ورد فی تقبّل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الإشارة إلی هذه الروایات آنفا </w:t>
      </w:r>
      <w:r>
        <w:rPr>
          <w:rStyle w:val="FootnoteAnchor"/>
          <w:rtl w:val="true"/>
        </w:rPr>
        <w:footnoteReference w:id="1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المؤمن لا یعتقد بخلافة الجائر و کونه ولی أمر المسلمین</w:t>
      </w:r>
      <w:r>
        <w:rPr>
          <w:rFonts w:eastAsia="IRNazanin" w:cs="IRNazanin"/>
          <w:color w:val="111111"/>
          <w:sz w:val="28"/>
          <w:szCs w:val="28"/>
          <w:rtl w:val="true"/>
          <w:lang w:bidi="fa-IR"/>
        </w:rPr>
        <w:t>.</w:t>
      </w:r>
    </w:p>
    <w:p>
      <w:pPr>
        <w:pStyle w:val="Heading4"/>
        <w:numPr>
          <w:ilvl w:val="3"/>
          <w:numId w:val="1"/>
        </w:numPr>
        <w:rPr/>
      </w:pPr>
      <w:bookmarkStart w:id="1133" w:name="__RefHeading___Toc910762_774463916"/>
      <w:bookmarkStart w:id="1134" w:name="_Toc415"/>
      <w:bookmarkEnd w:id="1133"/>
      <w:r>
        <w:rPr>
          <w:rtl w:val="true"/>
        </w:rPr>
        <w:t>تقدیر الخراج منوط برضی المؤجر و المستأجر</w:t>
      </w:r>
      <w:bookmarkEnd w:id="1134"/>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للخراج قدر معیّن،بل المناط فیه ما رضی به السلطان و مستعمل الأرض،بحیث لا یکون فیه ضرر علی مستعمل الأرض،فإنّ الخراج هو اجرة الأرض،فیناط تقدیره برضی المؤجر و المستأجر،کالنصف و الثلث و الربع و نحوها،فإن زاد علی ذلک فالزائد غصب یحرم أخذه من الجائر</w:t>
      </w:r>
      <w:r>
        <w:rPr>
          <w:rFonts w:eastAsia="IRNazanin" w:cs="IRNazanin"/>
          <w:color w:val="111111"/>
          <w:sz w:val="28"/>
          <w:szCs w:val="28"/>
          <w:rtl w:val="true"/>
          <w:lang w:bidi="fa-IR"/>
        </w:rPr>
        <w:t>.</w:t>
      </w:r>
      <w:bookmarkStart w:id="1135" w:name="pg5064_65928"/>
    </w:p>
    <w:p>
      <w:pPr>
        <w:pStyle w:val="BookText"/>
        <w:rPr/>
      </w:pPr>
      <w:bookmarkEnd w:id="1135"/>
      <w:r>
        <w:rPr>
          <w:rFonts w:ascii="IRNazanin" w:hAnsi="IRNazanin" w:eastAsia="IRNazanin"/>
          <w:color w:val="111111"/>
          <w:sz w:val="28"/>
          <w:sz w:val="28"/>
          <w:szCs w:val="28"/>
          <w:rtl w:val="true"/>
          <w:lang w:bidi="fa-IR"/>
        </w:rPr>
        <w:t>و یدلّ علی ما ذکرناه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مرسلة حمّاد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الأرضون التی اخذت عنوة بخیل و رجال فهی موقوفة متروکة فی ید من یعمرها و یحییها و یقوم علیها علی صلح ما یصالحهم الوالی علی قدر طاقتهم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و الثلث و الثلثین،و علی قدر ما یکون صالحا و لا یضرّهم</w:t>
      </w:r>
      <w:r>
        <w:rPr>
          <w:rFonts w:eastAsia="IRNazanin" w:cs="IRNazanin"/>
          <w:color w:val="111111"/>
          <w:sz w:val="28"/>
          <w:szCs w:val="28"/>
          <w:rtl w:val="true"/>
          <w:lang w:bidi="fa-IR"/>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6" w:name="__RefHeading___Toc910764_774463916"/>
      <w:bookmarkStart w:id="1137" w:name="_Toc416"/>
      <w:bookmarkEnd w:id="1136"/>
      <w:r>
        <w:rPr>
          <w:rtl w:val="true"/>
        </w:rPr>
        <w:t>شراء الصدقة من الجائر علی وجه الإطلاق</w:t>
      </w:r>
      <w:bookmarkEnd w:id="1137"/>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الروایات المتقدّمة هو جواز شراء الصدقة و الخراج و المقاسمة من الجائر علی وجه الإطلاق،سواء کان المأخوذ بقدر الکفاف و الاستحقاق،أم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الأخذ المجّانی فیحرم من أصله إن کان الآخذ غیر مستحقّ لذلک،و إلاّ یحرم الزائد علی قدر الاستحقاق،و یشعر بما ذکرناه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 أنّ لک فی بیت المال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تعرّضنا لها سابقا </w:t>
      </w:r>
      <w:r>
        <w:rPr>
          <w:rStyle w:val="FootnoteAnchor"/>
          <w:rtl w:val="true"/>
        </w:rPr>
        <w:footnoteReference w:id="1604"/>
      </w:r>
      <w:r>
        <w:rPr>
          <w:rFonts w:ascii="IRNazanin" w:hAnsi="IRNazanin" w:eastAsia="IRNazanin"/>
          <w:color w:val="111111"/>
          <w:sz w:val="28"/>
          <w:sz w:val="28"/>
          <w:szCs w:val="28"/>
          <w:rtl w:val="true"/>
          <w:lang w:bidi="fa-IR"/>
        </w:rPr>
        <w:t>و رمیناها بالجهالة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بأخذها للاستنقاذ،و حینئذ فلا بدّ من إیصالها إلی الحاکم الشرعی مع التمکّن منه،و إلاّ أوصلها إلی المستحقّین</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جواز الأخذ مطلقا،للأخبار الدالّة علی حلّیة أخذ الجوائز من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جملة منها فی البحث عن ذلک </w:t>
      </w:r>
      <w:r>
        <w:rPr>
          <w:rStyle w:val="FootnoteAnchor"/>
          <w:rtl w:val="true"/>
        </w:rPr>
        <w:footnoteReference w:id="1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التوهّم فاسد فإنّ تلک الأخبار غیر متعرّضة لحکم الحقوق الثلاثة نفیا و إثباتا</w:t>
      </w:r>
      <w:r>
        <w:rPr>
          <w:rFonts w:eastAsia="IRNazanin" w:cs="IRNazanin"/>
          <w:color w:val="111111"/>
          <w:sz w:val="28"/>
          <w:szCs w:val="28"/>
          <w:rtl w:val="true"/>
          <w:lang w:bidi="fa-IR"/>
        </w:rPr>
        <w:t>.</w:t>
      </w:r>
      <w:bookmarkStart w:id="1138" w:name="pg5064_65929"/>
    </w:p>
    <w:p>
      <w:pPr>
        <w:pStyle w:val="Heading4"/>
        <w:numPr>
          <w:ilvl w:val="3"/>
          <w:numId w:val="1"/>
        </w:numPr>
        <w:rPr/>
      </w:pPr>
      <w:bookmarkStart w:id="1139" w:name="__RefHeading___Toc910766_774463916"/>
      <w:bookmarkStart w:id="1140" w:name="_Toc417"/>
      <w:bookmarkEnd w:id="1138"/>
      <w:bookmarkEnd w:id="1139"/>
      <w:r>
        <w:rPr>
          <w:rtl w:val="true"/>
        </w:rPr>
        <w:t>شرائط الأراضی الخراجیة</w:t>
      </w:r>
      <w:bookmarkEnd w:id="1140"/>
    </w:p>
    <w:p>
      <w:pPr>
        <w:pStyle w:val="Heading5"/>
        <w:numPr>
          <w:ilvl w:val="4"/>
          <w:numId w:val="1"/>
        </w:numPr>
        <w:rPr/>
      </w:pPr>
      <w:bookmarkStart w:id="1141" w:name="__RefHeading___Toc910768_774463916"/>
      <w:bookmarkStart w:id="1142" w:name="_Toc418"/>
      <w:bookmarkEnd w:id="1141"/>
      <w:r>
        <w:rPr>
          <w:rtl w:val="true"/>
        </w:rPr>
        <w:t>اشارة</w:t>
      </w:r>
      <w:bookmarkEnd w:id="1142"/>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 الخراجیة إنّما تثبت بشرائط ثلاثة</w:t>
      </w:r>
      <w:r>
        <w:rPr>
          <w:rFonts w:eastAsia="IRNazanin" w:cs="IRNazanin"/>
          <w:color w:val="111111"/>
          <w:sz w:val="28"/>
          <w:szCs w:val="28"/>
          <w:rtl w:val="true"/>
          <w:lang w:bidi="fa-IR"/>
        </w:rPr>
        <w:t>:</w:t>
      </w:r>
    </w:p>
    <w:p>
      <w:pPr>
        <w:pStyle w:val="Heading5"/>
        <w:numPr>
          <w:ilvl w:val="4"/>
          <w:numId w:val="1"/>
        </w:numPr>
        <w:rPr/>
      </w:pPr>
      <w:bookmarkStart w:id="1143" w:name="__RefHeading___Toc910770_774463916"/>
      <w:bookmarkStart w:id="1144" w:name="_Toc419"/>
      <w:bookmarkEnd w:id="1143"/>
      <w:r>
        <w:rPr>
          <w:rtl w:val="true"/>
        </w:rPr>
        <w:t>الأول</w:t>
      </w:r>
      <w:r>
        <w:rPr>
          <w:rtl w:val="true"/>
        </w:rPr>
        <w:t>:</w:t>
      </w:r>
      <w:r>
        <w:rPr>
          <w:rtl w:val="true"/>
        </w:rPr>
        <w:t>أن تکون الأرض مفتوحة عنوة أو صلحا</w:t>
      </w:r>
      <w:bookmarkEnd w:id="1144"/>
    </w:p>
    <w:p>
      <w:pPr>
        <w:pStyle w:val="Heading6"/>
        <w:numPr>
          <w:ilvl w:val="5"/>
          <w:numId w:val="1"/>
        </w:numPr>
        <w:rPr/>
      </w:pPr>
      <w:bookmarkStart w:id="1145" w:name="__RefHeading___Toc910772_774463916"/>
      <w:bookmarkStart w:id="1146" w:name="_Toc420"/>
      <w:bookmarkEnd w:id="1145"/>
      <w:r>
        <w:rPr>
          <w:rtl w:val="true"/>
        </w:rPr>
        <w:t>اشارة</w:t>
      </w:r>
      <w:bookmarkEnd w:id="1146"/>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الأرض مفتوحة عنوة أو صلحا،أو تکون من الأنفال علی الاحتمال المتقدّم </w:t>
      </w:r>
      <w:r>
        <w:rPr>
          <w:rStyle w:val="FootnoteAnchor"/>
          <w:rtl w:val="true"/>
        </w:rPr>
        <w:footnoteReference w:id="1606"/>
      </w:r>
      <w:r>
        <w:rPr>
          <w:rFonts w:ascii="IRNazanin" w:hAnsi="IRNazanin" w:eastAsia="IRNazanin"/>
          <w:color w:val="111111"/>
          <w:sz w:val="28"/>
          <w:sz w:val="28"/>
          <w:szCs w:val="28"/>
          <w:rtl w:val="true"/>
          <w:lang w:bidi="fa-IR"/>
        </w:rPr>
        <w:t>و یثبت ذلک بالشیاع المفید للعلم،و بشهادة العدلین،و کذا یثبت بالشیاع المفید للظنّ المتاخم للعلم إذا قلنا بکفایته فی کل ما تعسّرت إقامة البیّنة علیه،کالنسب و الوقف و الملک المطلق و نحوها،و بقول العدل الواحد إذا قلنا بحجّیته فی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الأمارات حاکمة علی أصالة عدم کون الأرض مفتوحة عنوة</w:t>
      </w:r>
      <w:r>
        <w:rPr>
          <w:rFonts w:eastAsia="IRNazanin" w:cs="IRNazanin"/>
          <w:color w:val="111111"/>
          <w:sz w:val="28"/>
          <w:szCs w:val="28"/>
          <w:rtl w:val="true"/>
          <w:lang w:bidi="fa-IR"/>
        </w:rPr>
        <w:t>.</w:t>
      </w:r>
    </w:p>
    <w:p>
      <w:pPr>
        <w:pStyle w:val="Heading6"/>
        <w:numPr>
          <w:ilvl w:val="5"/>
          <w:numId w:val="1"/>
        </w:numPr>
        <w:rPr/>
      </w:pPr>
      <w:bookmarkStart w:id="1147" w:name="__RefHeading___Toc910774_774463916"/>
      <w:bookmarkStart w:id="1148" w:name="_Toc421"/>
      <w:bookmarkEnd w:id="1147"/>
      <w:r>
        <w:rPr>
          <w:rtl w:val="true"/>
        </w:rPr>
        <w:t>طرق ثبوت الفتح عنوة</w:t>
      </w:r>
      <w:bookmarkEnd w:id="1148"/>
    </w:p>
    <w:p>
      <w:pPr>
        <w:pStyle w:val="BookText"/>
        <w:rPr/>
      </w:pPr>
      <w:r>
        <w:rPr>
          <w:rFonts w:ascii="IRNazanin" w:hAnsi="IRNazanin" w:eastAsia="IRNazanin"/>
          <w:color w:val="111111"/>
          <w:sz w:val="28"/>
          <w:sz w:val="28"/>
          <w:szCs w:val="28"/>
          <w:rtl w:val="true"/>
          <w:lang w:bidi="fa-IR"/>
        </w:rPr>
        <w:t>و قد یقال بثبوت الفتح عنوة بالسیرة،و بحمل فعل الجائر علی الصحّة،فإنّ أصالة الصحّة لا تختصّ بفعل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السیرة فإن کان المراد بها سیرة الجائرین فهی مقطوعة البطلان،لأنّهم لا یلتزمون بالأحکام الشرعیة،بل یرتکبون الأفعال الشنیعة،و لا یفرقون بین الحلال و الحرام،فکیف یبقی مع ذلک اطمئنان بالسیرة الدائرة بینهم،و یزداد ذلک وضوحا بمراجعة التواریخ،و ملاحظة أحوال الخلفاء السابقین و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بها سیرة الفقهاء علی معاملة جملة من الأراضی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کمعاملة الأراضی الخراجیة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متین،و لکن الإشکال فی الصغری،فأیّ أرض ثبت کونها مفتوحة عنوة أو صلحا لکی یحکم بکونها خراجیة؟</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أنّ البحث فی ذلک خال عن الفائدة،فإنّ الجائرین فی یومنا هذا لا یأخذون الخراج بعنوان الولایة و الاستحقاق،بل لا یعتقدون بذلک،و معه یأخذون فریقا من أموال الناس باسم الخراج،کالمکوس و الگمارک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فعل الجائر علی الصحّة فسیأتی التعرّض له عند بیان الضابطة للأراضی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تحریر البحث فی المقام یقع فی ثلاث نواح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التی تکون بید الزارع قد توجد فیها علامة تدلّ علی کونها مسبوقة بالید،و قد لا تکون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فقد تمضی مدّة یطمئن الزارع بعدم بقاء المالک عادة،و قد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الأرض و خراجها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وارث من لا وارث له،و مع الشکّ فی وجود الوارث فالأصل عدمه إذا کان هنا علم عادی بموت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الأراضی و خراجها معاملة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یتّضح ما فی کلام المصنّف من إثبات عدم الفتح عنوة و عدم تملّک المسلمین و غیرهم بأصالة العدم،و وجه الضعف هو أنّ کون الأرض معلمة بما یدلّ علی أنّها مسبوقة بالید مانع عن الرجوع إلی الأصل</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لم تکن فی الأرض علامة تدلّ علی کونها مسبوقة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ثبت کونها خراجیة فلا کلام لنا فیه،و إن لم یثبت ذلک فهل یمکن إثبات ذلک بحمل فعل الجائر علی الصحّة أم لا؟الظاهر هو الثانی،فقد عرفت فیما سبق </w:t>
      </w:r>
      <w:r>
        <w:rPr>
          <w:rStyle w:val="FootnoteAnchor"/>
          <w:rtl w:val="true"/>
        </w:rPr>
        <w:footnoteReference w:id="1607"/>
      </w:r>
      <w:r>
        <w:rPr>
          <w:rFonts w:ascii="IRNazanin" w:hAnsi="IRNazanin" w:eastAsia="IRNazanin"/>
          <w:color w:val="111111"/>
          <w:sz w:val="28"/>
          <w:sz w:val="28"/>
          <w:szCs w:val="28"/>
          <w:rtl w:val="true"/>
          <w:lang w:bidi="fa-IR"/>
        </w:rPr>
        <w:t>أنّ معنی حمل فعل المسلم علی الصحّة فی غیر المعاملات هو أن لا یعامل معاملة الکاذب،و من المعلوم أنّه لا دلالة فی ذلک علی ترتیب آثار الصدق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الحمل علی الصحّة إنّما هو فیما إذا کان الفاعل علی الصلاح و السداد،و إلاّ فلا موجب</w:t>
      </w:r>
    </w:p>
    <w:p>
      <w:pPr>
        <w:pStyle w:val="BookText"/>
        <w:rPr/>
      </w:pPr>
      <w:r>
        <w:rPr>
          <w:rFonts w:ascii="IRNazanin" w:hAnsi="IRNazanin" w:eastAsia="IRNazanin"/>
          <w:color w:val="111111"/>
          <w:sz w:val="28"/>
          <w:sz w:val="28"/>
          <w:szCs w:val="28"/>
          <w:rtl w:val="true"/>
          <w:lang w:bidi="fa-IR"/>
        </w:rPr>
        <w:t xml:space="preserve">له،کما فی الخبر </w:t>
      </w:r>
      <w:r>
        <w:rPr>
          <w:rStyle w:val="FootnoteAnchor"/>
          <w:rtl w:val="true"/>
        </w:rPr>
        <w:footnoteReference w:id="1608"/>
      </w:r>
      <w:r>
        <w:rPr>
          <w:rFonts w:ascii="IRNazanin" w:hAnsi="IRNazanin" w:eastAsia="IRNazanin"/>
          <w:color w:val="111111"/>
          <w:sz w:val="28"/>
          <w:sz w:val="28"/>
          <w:szCs w:val="28"/>
          <w:rtl w:val="true"/>
          <w:lang w:bidi="fa-IR"/>
        </w:rPr>
        <w:t>و لکنّه ضعیف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بحمل فعل الجائر علی الصحّة من ناحیة وضع یده علیها و أخذه الخراج منها،و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وضع الید إنّما یحمل علی الصحّة فیما إذا احتملت صحّته،و أحرز واضع الید جواز ذلک،و من المعلوم جزما أنّ الجائر لم یحرز کون الأراضی التی هی تحت تصرّفه خراجیة،فتکون یده علیها ید غصب و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فمقتضی القاعدة أنّ الأرض ملک للزارع،لأنّ من أحیا أرضا فهی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التی بید الزارع إمّا أن تکون معمورة قبل أخذها من الجائر،أو 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فهی لمن أحیاها،للأخبار الدالّة علی أنّ من أحیا أرضا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هذه الأخبار فی کتاب إحیاء الموات</w:t>
      </w:r>
      <w:r>
        <w:rPr>
          <w:rFonts w:eastAsia="IRNazanin" w:cs="IRNazanin"/>
          <w:color w:val="111111"/>
          <w:sz w:val="28"/>
          <w:szCs w:val="28"/>
          <w:rtl w:val="true"/>
          <w:lang w:bidi="fa-IR"/>
        </w:rPr>
        <w:t xml:space="preserve">- </w:t>
      </w:r>
      <w:r>
        <w:rPr>
          <w:rStyle w:val="FootnoteAnchor"/>
          <w:rtl w:val="true"/>
        </w:rPr>
        <w:footnoteReference w:id="1609"/>
      </w:r>
      <w:r>
        <w:rPr>
          <w:rFonts w:ascii="IRNazanin" w:hAnsi="IRNazanin" w:eastAsia="IRNazanin"/>
          <w:color w:val="111111"/>
          <w:sz w:val="28"/>
          <w:sz w:val="28"/>
          <w:szCs w:val="28"/>
          <w:rtl w:val="true"/>
          <w:lang w:bidi="fa-IR"/>
        </w:rPr>
        <w:t>و علی الأول فامّا أن یحتمل بقاء المالک،أو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تکون الأرض من مجهول المالک و علی الثانی فهی ملک للإمام،لأنّه وارث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وجود وارث غیره مدفوع بالأصل،إلاّ إذا احتمل بقاء العمودین فتکون الأرض أیضا من مجهول المالک</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الخراج ممّن أخذه من الجائر حکمه حکم أخذه من نفس الجائر،فإن احتمل فی حقّه أنّه یعرف الأراضی الخراجیة،و یعلم أنّ ما أخذه الجائر من تلک الأراضی حمل فعله علی الصحّة،و عومل معاملة المالک،و إلاّ کان المقام من</w:t>
      </w:r>
      <w:bookmarkStart w:id="1149" w:name="pg5064_65932"/>
    </w:p>
    <w:p>
      <w:pPr>
        <w:pStyle w:val="BookText"/>
        <w:rPr/>
      </w:pPr>
      <w:bookmarkEnd w:id="1149"/>
      <w:r>
        <w:rPr>
          <w:rFonts w:ascii="IRNazanin" w:hAnsi="IRNazanin" w:eastAsia="IRNazanin"/>
          <w:color w:val="111111"/>
          <w:sz w:val="28"/>
          <w:sz w:val="28"/>
          <w:szCs w:val="28"/>
          <w:rtl w:val="true"/>
          <w:lang w:bidi="fa-IR"/>
        </w:rPr>
        <w:t>قبیل تعاقب الأیدی علی المال المغصوب</w:t>
      </w:r>
      <w:r>
        <w:rPr>
          <w:rFonts w:eastAsia="IRNazanin" w:cs="IRNazanin"/>
          <w:color w:val="111111"/>
          <w:sz w:val="28"/>
          <w:szCs w:val="28"/>
          <w:rtl w:val="true"/>
          <w:lang w:bidi="fa-IR"/>
        </w:rPr>
        <w:t>.</w:t>
      </w:r>
    </w:p>
    <w:p>
      <w:pPr>
        <w:pStyle w:val="Heading5"/>
        <w:numPr>
          <w:ilvl w:val="4"/>
          <w:numId w:val="1"/>
        </w:numPr>
        <w:rPr/>
      </w:pPr>
      <w:bookmarkStart w:id="1150" w:name="__RefHeading___Toc910776_774463916"/>
      <w:bookmarkStart w:id="1151" w:name="_Toc422"/>
      <w:bookmarkEnd w:id="1150"/>
      <w:r>
        <w:rPr>
          <w:rtl w:val="true"/>
        </w:rPr>
        <w:t>الثانی</w:t>
      </w:r>
      <w:r>
        <w:rPr>
          <w:rtl w:val="true"/>
        </w:rPr>
        <w:t>:</w:t>
      </w:r>
      <w:r>
        <w:rPr>
          <w:rtl w:val="true"/>
        </w:rPr>
        <w:t>أن یکون الفتح بإذن الإمام</w:t>
      </w:r>
      <w:r>
        <w:rPr>
          <w:rtl w:val="true"/>
        </w:rPr>
        <w:t>(</w:t>
      </w:r>
      <w:r>
        <w:rPr>
          <w:rtl w:val="true"/>
        </w:rPr>
        <w:t>علیه السّلام</w:t>
      </w:r>
      <w:r>
        <w:rPr>
          <w:rtl w:val="true"/>
        </w:rPr>
        <w:t>)</w:t>
      </w:r>
      <w:bookmarkEnd w:id="1151"/>
    </w:p>
    <w:p>
      <w:pPr>
        <w:pStyle w:val="Heading6"/>
        <w:numPr>
          <w:ilvl w:val="5"/>
          <w:numId w:val="1"/>
        </w:numPr>
        <w:rPr/>
      </w:pPr>
      <w:bookmarkStart w:id="1152" w:name="__RefHeading___Toc910778_774463916"/>
      <w:bookmarkStart w:id="1153" w:name="_Toc423"/>
      <w:bookmarkEnd w:id="1152"/>
      <w:r>
        <w:rPr>
          <w:rtl w:val="true"/>
        </w:rPr>
        <w:t>اشارة</w:t>
      </w:r>
      <w:bookmarkEnd w:id="1153"/>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الفتح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اعتبار هذا الشرط هو المشهور بین الفقهاء،و ذهب صاحب المستند </w:t>
      </w:r>
      <w:r>
        <w:rPr>
          <w:rStyle w:val="FootnoteAnchor"/>
          <w:rtl w:val="true"/>
        </w:rPr>
        <w:footnoteReference w:id="1610"/>
      </w:r>
      <w:r>
        <w:rPr>
          <w:rFonts w:ascii="IRNazanin" w:hAnsi="IRNazanin" w:eastAsia="IRNazanin"/>
          <w:color w:val="111111"/>
          <w:sz w:val="28"/>
          <w:sz w:val="28"/>
          <w:szCs w:val="28"/>
          <w:rtl w:val="true"/>
          <w:lang w:bidi="fa-IR"/>
        </w:rPr>
        <w:t>و بعض آخر إلی عدم اعتباره فی کون الأرض خراجیة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قد یقع فی الشبهة الحکمیة،بمعنی أنّه هل یعتبر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الفتح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فی الشبهة الموضوعیة،و أنّه بعد اعتبار إذن الإمام فی ذلک فبأیّ طریق یثبت کون الأرض خراجیة عند الشک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اعتبار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الفتح فتدلّ علیه روایة الورّاق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مرسلة لا یصح الاعتماد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النسبة بینها و بین الروایات الدالّة علی أنّ الأرض الخراجیة التی فتحت بالسیوف للمسلمین </w:t>
      </w:r>
      <w:r>
        <w:rPr>
          <w:rStyle w:val="FootnoteAnchor"/>
          <w:rtl w:val="true"/>
        </w:rPr>
        <w:footnoteReference w:id="1612"/>
      </w:r>
      <w:r>
        <w:rPr>
          <w:rFonts w:ascii="IRNazanin" w:hAnsi="IRNazanin" w:eastAsia="IRNazanin"/>
          <w:color w:val="111111"/>
          <w:sz w:val="28"/>
          <w:sz w:val="28"/>
          <w:szCs w:val="28"/>
          <w:rtl w:val="true"/>
          <w:lang w:bidi="fa-IR"/>
        </w:rPr>
        <w:t>هی العموم من وجه،لأنّ المرسلة أعم من حیث شمولها للمنقولات و تلک الروایات أعم لإطلاقها من ناحیة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،فتقع المعارضة بینهما فی الأراضی التی أخذت بغیر إذن الإمام،فتکون بمقتضی المرسلة ملکا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بمقتضی تلک الروایات ملکا للمسلمین،فیحکم بالتساقط،و یرجع إلی 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شَیْءٍ فَأَنَّ لِلّهِ خُمُسَهُ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bookmarkStart w:id="1154" w:name="pg5064_65933"/>
    </w:p>
    <w:p>
      <w:pPr>
        <w:pStyle w:val="BookText"/>
        <w:rPr/>
      </w:pPr>
      <w:bookmarkEnd w:id="1154"/>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اعتبار الشرط الثانی فی کون الأراضی المفتوحة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یضاف إلی ذلک خبر محمد بن مسلم </w:t>
      </w:r>
      <w:r>
        <w:rPr>
          <w:rStyle w:val="FootnoteAnchor"/>
          <w:rtl w:val="true"/>
        </w:rPr>
        <w:footnoteReference w:id="1614"/>
      </w:r>
      <w:r>
        <w:rPr>
          <w:rFonts w:ascii="IRNazanin" w:hAnsi="IRNazanin" w:eastAsia="IRNazanin"/>
          <w:color w:val="111111"/>
          <w:sz w:val="28"/>
          <w:sz w:val="28"/>
          <w:szCs w:val="28"/>
          <w:rtl w:val="true"/>
          <w:lang w:bidi="fa-IR"/>
        </w:rPr>
        <w:t>فإنّ ظاهره أنّ الأراضی المفتوحة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 حکم أرض العراق،و أنّها ملک للمسلمین</w:t>
      </w:r>
      <w:r>
        <w:rPr>
          <w:rFonts w:eastAsia="IRNazanin" w:cs="IRNazanin"/>
          <w:color w:val="111111"/>
          <w:sz w:val="28"/>
          <w:szCs w:val="28"/>
          <w:rtl w:val="true"/>
          <w:lang w:bidi="fa-IR"/>
        </w:rPr>
        <w:t>.</w:t>
      </w:r>
    </w:p>
    <w:p>
      <w:pPr>
        <w:pStyle w:val="Heading6"/>
        <w:numPr>
          <w:ilvl w:val="5"/>
          <w:numId w:val="1"/>
        </w:numPr>
        <w:rPr/>
      </w:pPr>
      <w:bookmarkStart w:id="1155" w:name="__RefHeading___Toc910780_774463916"/>
      <w:bookmarkStart w:id="1156" w:name="_Toc424"/>
      <w:bookmarkEnd w:id="1155"/>
      <w:r>
        <w:rPr>
          <w:rtl w:val="true"/>
        </w:rPr>
        <w:t>ما إذا شکّ فی کون الفتح باذنه</w:t>
      </w:r>
      <w:r>
        <w:rPr>
          <w:rtl w:val="true"/>
        </w:rPr>
        <w:t>(</w:t>
      </w:r>
      <w:r>
        <w:rPr>
          <w:rtl w:val="true"/>
        </w:rPr>
        <w:t>علیه السّلام</w:t>
      </w:r>
      <w:r>
        <w:rPr>
          <w:rtl w:val="true"/>
        </w:rPr>
        <w:t>)</w:t>
      </w:r>
      <w:bookmarkEnd w:id="1156"/>
    </w:p>
    <w:p>
      <w:pPr>
        <w:pStyle w:val="BookText"/>
        <w:rPr/>
      </w:pPr>
      <w:r>
        <w:rPr>
          <w:rFonts w:ascii="IRNazanin" w:hAnsi="IRNazanin" w:eastAsia="IRNazanin"/>
          <w:color w:val="111111"/>
          <w:sz w:val="28"/>
          <w:sz w:val="28"/>
          <w:szCs w:val="28"/>
          <w:rtl w:val="true"/>
          <w:lang w:bidi="fa-IR"/>
        </w:rPr>
        <w:t>و أمّا الکلام من حیث الشبهة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الأصل هو عدم کون الفتح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هذا مثبتا،فإنّ الفتح محرز بالوجدان،و عدم کونه بإذن الإمام محرز بالأصل،فیترتّب الأثر علی الموضوع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 المفتوح ملکا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الفتح المستند إلی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الأصل مثبتا،و نتمسّک مع ذلک بالعدم الأزلی،و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عدم الاستناد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وجوه للخروج عن الأصل المذکور</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الفتوحات الإسلامیة کلّها کانت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 علی ذلک روایة الخصال </w:t>
      </w:r>
      <w:r>
        <w:rPr>
          <w:rStyle w:val="FootnoteAnchor"/>
          <w:rtl w:val="true"/>
        </w:rPr>
        <w:footnoteReference w:id="1615"/>
      </w:r>
      <w:r>
        <w:rPr>
          <w:rFonts w:ascii="IRNazanin" w:hAnsi="IRNazanin" w:eastAsia="IRNazanin"/>
          <w:color w:val="111111"/>
          <w:sz w:val="28"/>
          <w:sz w:val="28"/>
          <w:szCs w:val="28"/>
          <w:rtl w:val="true"/>
          <w:lang w:bidi="fa-IR"/>
        </w:rPr>
        <w:t>الدالّة علی أنّ عمر کان یشاور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غوامض الامور،و من الواضح أنّ الخروج إلی الکفّار و دعاءهم إلی الإسلام من أعظم تلک الامور،بل لا أعظم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الوجه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السند،فلا یصحّ الاعتماد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کان مستقلا فی رأیه،و لم یشاور الإمام فی کثیر من الامور المهمّة،بل فی جمیعها الراجعة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 إنّما یجری فی الأراضی التی فتحت فی خلافة عمر،و لا یجری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راضون بالفتوحات الواقعة فی زمن خلفاء الجور،لکونها موجبة لقوّة الإسلام و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الدعوی و إن کانت ممکنة فی نفسها،إذ المناط فی ذلک هو الکشف عن رضا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طریق کان،و لا موضوعیة للإذن الصریح،و لکنّها أخصّ من المدّعی،فإنّه لیس کل فتح مرضیا للأئمّة حتّی ما کان من الفتوح موجبا لکسر الإسلام و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أنّه یمکن أن یقال بحمل الصادر من الغزاة من فتح البلاد علی وجه الصحیح،و هو کونه بأمر الإمام</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مورد حمل فعل المسلم علی الصحّة ما إذا کان الفعل ذا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الصلاح و الفساد،و دار الأمر بین حمله علی الصحیح أو الفاسد،فإنّه یحمل علی الأول،للقاعدة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کلا وجهی الفعل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bookmarkStart w:id="1157" w:name="pg5064_65935"/>
    </w:p>
    <w:p>
      <w:pPr>
        <w:pStyle w:val="BookText"/>
        <w:rPr/>
      </w:pPr>
      <w:bookmarkEnd w:id="1157"/>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مورد لها أصلا،فإنّ الغزوات الواقعة إن کانت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فالغنائم للمسلمین،و إلاّ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أنّ کلا الوجهین صحیح،فلا مورد لنفی أحدهما و إثبات الآخر بتلک القاعدة</w:t>
      </w:r>
      <w:r>
        <w:rPr>
          <w:rFonts w:eastAsia="IRNazanin" w:cs="IRNazanin"/>
          <w:color w:val="111111"/>
          <w:sz w:val="28"/>
          <w:szCs w:val="28"/>
          <w:rtl w:val="true"/>
          <w:lang w:bidi="fa-IR"/>
        </w:rPr>
        <w:t>.</w:t>
      </w:r>
    </w:p>
    <w:p>
      <w:pPr>
        <w:pStyle w:val="Heading5"/>
        <w:numPr>
          <w:ilvl w:val="4"/>
          <w:numId w:val="1"/>
        </w:numPr>
        <w:rPr/>
      </w:pPr>
      <w:bookmarkStart w:id="1158" w:name="__RefHeading___Toc910782_774463916"/>
      <w:bookmarkStart w:id="1159" w:name="_Toc425"/>
      <w:bookmarkEnd w:id="1158"/>
      <w:r>
        <w:rPr>
          <w:rtl w:val="true"/>
        </w:rPr>
        <w:t>الثالث</w:t>
      </w:r>
      <w:r>
        <w:rPr>
          <w:rtl w:val="true"/>
        </w:rPr>
        <w:t>:</w:t>
      </w:r>
      <w:r>
        <w:rPr>
          <w:rtl w:val="true"/>
        </w:rPr>
        <w:t>أن تکون الأرض محیاة حال الفتح</w:t>
      </w:r>
      <w:bookmarkEnd w:id="1159"/>
    </w:p>
    <w:p>
      <w:pPr>
        <w:pStyle w:val="Heading6"/>
        <w:numPr>
          <w:ilvl w:val="5"/>
          <w:numId w:val="1"/>
        </w:numPr>
        <w:rPr/>
      </w:pPr>
      <w:bookmarkStart w:id="1160" w:name="__RefHeading___Toc910784_774463916"/>
      <w:bookmarkStart w:id="1161" w:name="_Toc426"/>
      <w:bookmarkEnd w:id="1160"/>
      <w:r>
        <w:rPr>
          <w:rtl w:val="true"/>
        </w:rPr>
        <w:t>اشارة</w:t>
      </w:r>
      <w:bookmarkEnd w:id="1161"/>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الأراضی المفتوحة محیاة حال الفتح لتدخل فی الغنائم،و یخرج منها الخمس أولا علی المشهور،و یبقی الباقی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مواتا حین الفتح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أباحها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مضافا إلی الشهرات و الإجماعات المنقولة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ورد فی الشریعة المقدّسة أنّ أموال الکفّار الحربیین من الغنائم فیخرج منها الخمس و یبقی الباقی للمسلمین،و لا شبهة أنّ هذا الحکم لا یشمل أموال المسلمین المودعة عند الکفّار أو المعارة لهم أو المغصوبة عندهم،لأنّها لیست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أیضا أنّ الأراضی الموات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أباحها للمسلمین أو لمن أحیاها و لو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المقدّمتین أنّ الأراضی المفتوحة إنّما تکون ملکا للمسلمین إذا کانت محیاة حال الفتح،و إلاّ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الأراضی کلّها کانت بید الکفّار،و قد أخذها المسلمون بالحرب و نحوه،فلو لم تکن الموات من تلک الأراضی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مورد للروایات الدالّة علی أنّ موات الأرض للإمام،فتکون ملغاة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ذکرت هذه الأخبار فی أبواب الأنفال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bookmarkStart w:id="1162" w:name="pg5064_65936"/>
    </w:p>
    <w:p>
      <w:pPr>
        <w:pStyle w:val="Heading6"/>
        <w:numPr>
          <w:ilvl w:val="5"/>
          <w:numId w:val="1"/>
        </w:numPr>
        <w:rPr/>
      </w:pPr>
      <w:bookmarkStart w:id="1163" w:name="__RefHeading___Toc910786_774463916"/>
      <w:bookmarkStart w:id="1164" w:name="_Toc427"/>
      <w:bookmarkEnd w:id="1162"/>
      <w:bookmarkEnd w:id="1163"/>
      <w:r>
        <w:rPr>
          <w:rtl w:val="true"/>
        </w:rPr>
        <w:t>حکم ما لو ماتت المحیاة حال الفتح</w:t>
      </w:r>
      <w:bookmarkEnd w:id="116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مات المحیاة حال الفتح فالظاهر بقاؤها علی ملک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 الموات علی ثلاثة أقسام،الأول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مواتا فی الأصل بحیث لم تکن محیاة فی وقت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محیاة حال الفتح،ثمّ ماتت بعد و لم یحیها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مواتا حال الفتح،ثمّ أحیاها أحد المسلمین،ثمّ ترکها فصارت 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هذه الأقسام کلّها مشمولة للأخبار الدالّة علی أنّ الأراضی الموات کلّها للإمام،ضرورة صدق المیّت بالفعل علیها،من غیر فرق بین ما کان میّتا بالأصل أو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 التی کانت محیاة حال الفتح باقیة فی ملک المسلمین،سواء عرضها الموت بعد ذلک أم لا،کما أنّ کل أرض کانت مواتا حال الفتح ثمّ أحیاها أحد فهی باقیة فی ملک من أحیاها،و إن عرضها الموت بعد ذلک،لأنّ خروجها بالموت عن ملکه یحتاج إلی دلیل،و مع الإغضاء عن ذلک یرجع إلی الاستصحاب</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المجعولة علی الموضوعات المقدّرة إنّما تکون فعلیة بفعلیة موضوعاتها،فإذا انتفی الموضوع سقط الحکم عن الفعلیة،کما ینعدم المعلول بانعدام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موضوع الملکیة الفعلیة حدوثا و بقاء فیما دلّ علی أنّ من أحیا أرضا فهی له إنّما هو الأرض مع قید الحیاة،فإذا زالت الحیاة زالت الملکیة أیضا فلا یشمل إطلاق ذلک لما بعد الموت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الاستصحاب فهو محکوم بالإطلاقات الدالّة علی أنّ کل أرض میّت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لا یجری فی الشبهات الحکمیة کما حقّقناه فی علم الاصول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شمول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الدالّة علی أنّ موات الأرض للإمام </w:t>
      </w:r>
      <w:r>
        <w:rPr>
          <w:rStyle w:val="FootnoteAnchor"/>
          <w:rtl w:val="true"/>
        </w:rPr>
        <w:footnoteReference w:id="1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للأراضی التی کانت محیاة ثمّ ماتت بالعموم،و شمول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الدالّة علی أنّ من أحیا أرضا فهی له </w:t>
      </w:r>
      <w:r>
        <w:rPr>
          <w:rStyle w:val="FootnoteAnchor"/>
          <w:rtl w:val="true"/>
        </w:rPr>
        <w:footnoteReference w:id="1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لذلک بالإطلاق،فیتعارضان بالعموم من وجه،فیقدّم ما کانت دلالته بالعموم علی ما کانت دلالته بالإطلاق،و قد حقّقنا ذلک فی علم الاصول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الامور التی تثبت بها الحیاة حال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الشیاع المفید للعلم و غیره ممّا قدّمناه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بها الفتح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فی ذلک یرجع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علم إجمالا باشتمال الأراضی التی بید أحد المسلمین علی أرض محیاة حال الفتح،بأن کانت لأحد أراض متعدّدة فی نقاط العراق،کالبصرة و الکوفة و کربلاء،و علم إجمالا باشتمالها علی أرض محیاة حال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ادّعی من بیده الأراضی ملکیة جمیعها مع احتمال کونها له عومل معاملة المالک،إذ یحتمل أنّ المحیاة حال الفتح ماتت بعد ذلک،ثمّ طرأت علیها الحیاة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یدّع ملکیة کلّها أو بعضها رجع فیها إلی حکّام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یوجد لهذه الصورة مصداق فی الخارج</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أحرزنا کون أرض مفتوحة عنوة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محیاة حال الفتح،فإنّه لا یمکن الحکم أیضا بکونها أرض خراج و ملکا للمسلمین مع ثبوت الید علیها،لأنّا نحتمل خروجها عن ملکهم بالشراء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w:t>
      </w:r>
    </w:p>
    <w:p>
      <w:pPr>
        <w:pStyle w:val="BookText"/>
        <w:rPr/>
      </w:pPr>
      <w:r>
        <w:rPr>
          <w:rFonts w:ascii="IRNazanin" w:hAnsi="IRNazanin" w:eastAsia="IRNazanin"/>
          <w:color w:val="111111"/>
          <w:sz w:val="28"/>
          <w:sz w:val="28"/>
          <w:szCs w:val="28"/>
          <w:rtl w:val="true"/>
          <w:lang w:bidi="fa-IR"/>
        </w:rPr>
        <w:t>فائدة لتطویل البحث فی المقام،إذ لا یترتّب علیه أثر مهم</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تمّ الجزء الأول من کتاب مصباح الفقاهة فی المعاملات بعون اللّه و حسن توفیقه،و یتلوه الجزء الثانی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أولا و آخرا،و ظاهرا و باطنا و صلّی اللّه علی محمّد و آله الطیبین الطاهرین المعصومین،و لعنة اللّه علی أعدائهم أجمعین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الفراغ من ذلک صبیحة یوم الثلاثاء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165" w:name="pg5064_65939"/>
    </w:p>
    <w:p>
      <w:pPr>
        <w:pStyle w:val="Heading2"/>
        <w:numPr>
          <w:ilvl w:val="1"/>
          <w:numId w:val="1"/>
        </w:numPr>
        <w:rPr/>
      </w:pPr>
      <w:bookmarkStart w:id="1166" w:name="__RefHeading___Toc910788_774463916"/>
      <w:bookmarkStart w:id="1167" w:name="_Toc428"/>
      <w:bookmarkEnd w:id="1165"/>
      <w:bookmarkEnd w:id="1166"/>
      <w:r>
        <w:rPr>
          <w:rtl w:val="true"/>
        </w:rPr>
        <w:t>فهرس الموضوعات</w:t>
      </w:r>
      <w:bookmarkEnd w:id="1167"/>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روایة تحف العقول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المناقشة فی حجّیة روایات تحف العقول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أنحاء الإضافة بین المال و مالکه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روایة الفقه الرضوی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البحث فی صحّة نسبة الکتاب إلی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دلالة الروایة علی المطلوب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روایة دعائم الإسلام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البحث فی کتاب الدعائم و مؤلّفه القاضی النعمان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نقد لبعض ما ورد فی کتاب الدعائم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النبوی المشهور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البحث فی سند النبوی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البحث فی دلالته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المعاملة علی الأعمال المحرّمة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تقسیم المکاسب بالإضافة إلی الحکم التکلیفی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معنی حرمة الاکتساب تکلیفا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معنی حرمة الاکتساب وضعا </w:t>
      </w:r>
      <w:r>
        <w:rPr>
          <w:rFonts w:eastAsia="IRNazanin" w:cs="IRNazanin"/>
          <w:color w:val="111111"/>
          <w:sz w:val="28"/>
          <w:szCs w:val="28"/>
          <w:lang w:bidi="fa-IR"/>
        </w:rPr>
        <w:t>47</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المعاوضة علی أبوال ما لا یؤکل لحمه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أدلّة المصنّف علی حرمة المعاوضة و مناقشتها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دلیل المحقّق الإیروانی و الجواب عنه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شرب أبوال ما یؤکل لحمه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الاستدلال بآیة تحریم الخبائث و مناقشته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بیع شحوم ما لا یؤکل لحمه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بیع العذرة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مقتضی القواعد و الإجماعات و الروایات العامّة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مقتضی الروایات الخاصّة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وجوه الجمع بین الروایات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استعمال لفظ السحت فی الکراهة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المختار فی علاج التعارض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بیع الأرواث الطاهرة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المعاوضة علی الدم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بیع المنی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الدلیل علی حرمة بیعه إذا وقع خارج الرحم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بیعه بعد وقوعه فی الرحم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بیعه و هو فی أصلاب الفحول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الانتفاع بالمیتة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الروایات الدالّة علی حرمة الانتفاع بها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الروایات الدالّة علی جواز الانتفاع بها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مقتضی الجمع بین الروایات </w:t>
      </w:r>
      <w:r>
        <w:rPr>
          <w:rFonts w:eastAsia="IRNazanin" w:cs="IRNazanin"/>
          <w:color w:val="111111"/>
          <w:sz w:val="28"/>
          <w:szCs w:val="28"/>
          <w:lang w:bidi="fa-IR"/>
        </w:rPr>
        <w:t>102</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 المیتة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أدلّة حرمة بیعها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الجمع بین أدلّة الحرمة و الجواز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بیع المذکّی المختلط بالمیتة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الروایات الواردة فی المقام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مقتضی الجمع بین الروایات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میتة ما لا نفس سائلة له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التکسّب بالکلب الهراش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التکسّب بالخنزیر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الجمع بین الروایات المانعة و المجوّزة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بیع أجزاء الکلب و الخنزیر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حرمة الاکتساب بالخمر و سائر المسکرات و الفقّاع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اختصاص الحکم بالمسکرات المائعة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جواز بیع الکحول الصناعی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المعاوضة علی المتنجّس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بیع المسوخ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بیع السباع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بیع العبد الکافر الأصلی و المرتدّ الملّی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بیع المرتدّ الفطری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المعاوضة علی کلب الصید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الروایات الواردة فی بیع الکلاب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بیع کلب الماشیة و الحائط و الزرع </w:t>
      </w:r>
      <w:r>
        <w:rPr>
          <w:rFonts w:eastAsia="IRNazanin" w:cs="IRNazanin"/>
          <w:color w:val="111111"/>
          <w:sz w:val="28"/>
          <w:szCs w:val="28"/>
          <w:lang w:bidi="fa-IR"/>
        </w:rPr>
        <w:t>151</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الوجوه المستدلّ بها علی الجواز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حکم المعاملات الاخری غیر البیع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اقتناء الکلاب المتقدّمة فی غیر أوان الاصطیاد و الحراسة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بیع العصیر العنبی إذا غلی و لم یذهب ثلثاه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الاستدلال علی حرمة بیعه بالنجاسة و الحرمة و انتفاء المالیة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الاستدلال علی الحرمة بالروایات الخاصة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المعاوضة علی الدهن المتنجّس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الروایات الواردة فی بیع الدهن المتنجّس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اشتراط الاستصباح فی صحّة بیعه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هل تقتضی الروایات لزوم قصد الاستصباح؟</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وجوب الإعلام بنجاسة الدهن عند البیع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حرمة تغریر الجاهل و إلقائه فی الحرام الواقعی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تنبیه الجاهل فی غیر موارد التسبیب و التغریر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الأقسام الأربعة لإلقاء الغیر فی الحرام الواقعی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الاستصباح بالدهن المتنجّس تحت السقف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الانتفاع بالدهن المتنجّس فی غیر الاستصباح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الانتفاع بالمتنجّسات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الاستدلال علی حرمة الانتفاع و الجواب عنه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الانتفاع بالأعیان النجسة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ما استدلّ به علی الحرمة و مناقشته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حقّ الاختصاص و منشأ ثبوته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ما یحرم التکسّب به لتحریم ما یقصد به </w:t>
      </w:r>
      <w:r>
        <w:rPr>
          <w:rFonts w:eastAsia="IRNazanin" w:cs="IRNazanin"/>
          <w:color w:val="111111"/>
          <w:sz w:val="28"/>
          <w:szCs w:val="28"/>
          <w:lang w:bidi="fa-IR"/>
        </w:rPr>
        <w:t>230</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یقصد من وجوده علی نحوه الخاص إلاّ الحرام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التکسّب بهیاکل العبادة المبتدعة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مناشئ مالیة الأشیاء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بیع آلات القمار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بیع آلات الملاهی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بیع أوانی الذهب و الفضّة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الدراهم المغشوشة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الانتفاع بها فی التزیین و الدفع إلی الظالم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المعاوضة علیها مع العلم بالغش و الجهل به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یقصد منه المتعاملان المنفعة المحرّمة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بیع العنب علی أن یعمل خمرا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أقسام ما یقصد من إجارته الحرام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المعاوضة علی الجاریة المغنّیة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البحث فیما تقتضیه القواعد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البحث فی الروایات الخاصّة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حرمة کسب المغنّیة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بیع العنب ممّن یجعله خمرا بقصد أن یعمله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مقتضی الروایات بلحاظ الحرمة الوضعیة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مقتضی الروایات بلحاظ الحرمة التکلیفیة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مقتضی القواعد فی المقام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حقیقة الإعانة و مفهومها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حکم الإعانة علی الإثم </w:t>
      </w:r>
      <w:r>
        <w:rPr>
          <w:rFonts w:eastAsia="IRNazanin" w:cs="IRNazanin"/>
          <w:color w:val="111111"/>
          <w:sz w:val="28"/>
          <w:szCs w:val="28"/>
          <w:lang w:bidi="fa-IR"/>
        </w:rPr>
        <w:t>282</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علی حرمة الإعانة و الجواب عنه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الاستدلال علی جوازها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هل تقبل حرمة الإعانة علی الإثم التخصیص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یحرم لتحریم ما یقصد منه شأنا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بیع السلاح من أعداء الدین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تفصیل المصنّف بین حالتی الحرب و الصلح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الروایات الواردة فی المقام و کیفیة الجمع بینها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شمول التحریم لمطلق آلات الحرب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هل الحرمة فی المقام تکلیفیة فقط أو وضعیة أیضا؟</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ما یحرم الاکتساب به لعدم وجود منفعة محلّلة معتد بها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بیع ما لا نفع فیه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الاستدلال علی فساد بیعه و الجواب عنه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ضمان ما لا نفع فیه لو غصب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ما یحرم الاکتساب به لکونه عملا محرّما فی نفسه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تدلیس الماشطة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هل یحرم التدلیس فی المقام؟</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حکم تمشیط الماشطة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البحث فیما ورد من لعن الماشطة علی الوصل و النمص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الجمع بین الروایات الواردة فی وصل الشعر بشعر امرأة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حکم وشم الأطفال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معنی التدلیس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تزیین الرجل بما یحرم علیه </w:t>
      </w:r>
      <w:r>
        <w:rPr>
          <w:rFonts w:eastAsia="IRNazanin" w:cs="IRNazanin"/>
          <w:color w:val="111111"/>
          <w:sz w:val="28"/>
          <w:szCs w:val="28"/>
          <w:lang w:bidi="fa-IR"/>
        </w:rPr>
        <w:t>323</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تشبّه الرجل بالمرأة و بالعکس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التشبّه فی اللباس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التشبیب بالمرأة الأجنبیة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الاستدلال علی حرمة ذلک و الجواب عنه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دلیل المصنّف علی الحرمة و مناقشته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الأخبار الناهیة عن النظر إلی الأجنبیة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الأخبار الناهیة عن الخلوة بالأجنبیة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التشبیب بالغلام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حرمة التصویر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الأقوال فی حرمته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هل یحرم التصویر مطلقا؟</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الدلیل علی حرمة تصویر ذوات الأرواح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ما استدلّ به علی اختصاص الحرمة بالصور المجسّمة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تصویر الجنّ و الملک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هل تختصّ الحرمة بما إذا کانت الصورة معجبة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اعتبار قصد الحکایة فی حرمة التصویر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اعتبار الصدق العرفی فی الحرمة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حکم التصویر الفوتوغرافی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عموم الحرمة لتصویر الحیوان مطلقا و لو کان خیالیا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الصورة المشترکة بین الحیوان و غیره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لا فرق فی الحرمة بین المباشرة و التسبیب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الاستدلال علی حرمة اقتناء الصور المحرّمة و الجواب عنه </w:t>
      </w:r>
      <w:r>
        <w:rPr>
          <w:rFonts w:eastAsia="IRNazanin" w:cs="IRNazanin"/>
          <w:color w:val="111111"/>
          <w:sz w:val="28"/>
          <w:szCs w:val="28"/>
          <w:lang w:bidi="fa-IR"/>
        </w:rPr>
        <w:t>364</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الجمع بین الروایات هو کراهة الاقتناء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جواز بیع الصور المحرّمة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التطفیف و البخس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أدلّة حرمتهما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صحّة المعاملة المطفّف فیها و فسادها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التنجیم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اصول الإسلام أربعة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تأثیر الکیفیات الخاصّة بین الفلکیات فی الأوضاع الأرضیة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رأی الفلاسفة فی النفوس الفلکیة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تأثیر الأوضاع الفلکیة بنفسها فی الحوادث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علامیة أوضاع الکواکب علی الحوادث الأرضیة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الالتزام بأنّه تعالی أودع فیها ما یقتضی حدوث بعض الحوادث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تعلّم علم النجوم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حفظ کتب الضلال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أدلّة الحرمة و الجواب عنها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حرمة حلق اللحیة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أدلّة الحرمة و ما یرد علیها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الرشوة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موضوع الرشوة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أدلّة حرمة الرشوة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حکم ما یأخذه القاضی من الرشوة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حکم الاجرة و الرشوة علی تبلیغ الأحکام </w:t>
      </w:r>
      <w:r>
        <w:rPr>
          <w:rFonts w:eastAsia="IRNazanin" w:cs="IRNazanin"/>
          <w:color w:val="111111"/>
          <w:sz w:val="28"/>
          <w:szCs w:val="28"/>
          <w:lang w:bidi="fa-IR"/>
        </w:rPr>
        <w:t>414</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ارتزاق القاضی من بیت المال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جواز أخذ القاضی للهدیّة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الرشوة فی غیر الأحکام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المعاملة المحاباتیة مع القاضی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حکم الرشوة وضعا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فروع فی اختلاف الدافع و القابض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حرمة سبّ المؤمن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النسبة بین السبّ و الغیبة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مستثنیات حرمة السب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حرمة السحر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موضوع السحر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الفرق بین المعجزة و السحر و الشعوذة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أقسام السحر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الروایات الدالّة علی کفر الساحر و المراد منها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ما هو حدّ الساحر؟</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عدم اختصاص الحرمة بالمضرّ من السحر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دفع ضرر السحر بالسحر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هل التسخیر من السحر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الشعوذة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حرمة الغشّ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موضوع الغشّ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هل یعتبر فی صدق الغشّ قصد التلبیس </w:t>
      </w:r>
      <w:r>
        <w:rPr>
          <w:rFonts w:eastAsia="IRNazanin" w:cs="IRNazanin"/>
          <w:color w:val="111111"/>
          <w:sz w:val="28"/>
          <w:szCs w:val="28"/>
          <w:lang w:bidi="fa-IR"/>
        </w:rPr>
        <w:t>465</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المعاملة المشتملة علی الغشّ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حرمة الغناء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الوجوه المستدلّ بها علی الحرمة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رأی المحدّث الکاشانی و الجواب عنه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تحقیق موضوع الغناء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مستثنیات حرمة الغناء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رثاء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الحداء لسوق الإبل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غناء المغنّیة فی زفّ العرائس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الغناء فی قراءة القرآن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تعلّم الغناء و تعلیمه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حرمة الغیبة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النصوص الدالّة علی الحرمة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الغیبة من الذنوب الکبیرة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تحقیق المراد من الکبیرة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اختصاص الحرمة بالمؤمن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غیبة الصبی الممیّز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موضوع الغیبة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تنبیهات موضوع الغیبة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دواعی الغیبة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کفّارة الغیبة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الروایات الدالّة علی أنّ حقوق الناس لا ترتفع إلاّ بإسقاط ذی الحقّ منهم </w:t>
      </w:r>
      <w:r>
        <w:rPr>
          <w:rFonts w:eastAsia="IRNazanin" w:cs="IRNazanin"/>
          <w:color w:val="111111"/>
          <w:sz w:val="28"/>
          <w:szCs w:val="28"/>
          <w:lang w:bidi="fa-IR"/>
        </w:rPr>
        <w:t>510</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وجوب الاستغفار للمغتاب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التفصیل بین وصول الغیبة للمقول فیه فیجب الاستحلال منه و عدم وصولها فیجب الاستغفار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التفصیل بین إمکان الاستحلال و عدمه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المختار فی کفّارة الغیبة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مستثنیات الغیبة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المتجاهر بالفسق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فروع المسألة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تظلّم المظلوم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حرمة اغتیاب الظالم بترک الأولی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نصح المستشیر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الاغتیاب فی مواضع الاستفتاء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الاغتیاب لردع المغتاب عن المنکر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جواز الغیبة لحسم مادّة الفساد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جرح الشهود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الاغتیاب لدفع الضرر عن المغتاب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الاغتیاب بذکر الأوصاف الظاهرة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الاغتیاب عند من یعلم بمعصیة المغتاب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ردّ من ادّعی نسبا لیس له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القدح فی مقالة باطلة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حرمة استماع الغیبة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هل یحرم الاستماع مطلقا حتّی مع جواز الغیبة؟</w:t>
      </w:r>
      <w:r>
        <w:rPr>
          <w:rFonts w:eastAsia="IRNazanin" w:cs="IRNazanin"/>
          <w:color w:val="111111"/>
          <w:sz w:val="28"/>
          <w:szCs w:val="28"/>
          <w:lang w:bidi="fa-IR"/>
        </w:rPr>
        <w:t>552</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حرمة کون الإنسان ذا لسانین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حقوق الإخوان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حرمة القمار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اللعب بالآلات المعدّة للقمار مع المراهنة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اللعب بالآلات المعدّة للقمار بدون الرهن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موضوع القمار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اللعب بغیر الآلات المعدّة للقمار مع الرهن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ما ورد فی قیء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البیض المقامر به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المسابقة بغیر رهن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حرمة القیادة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حرمة القیافة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الکذب و حرمته بالأدلّة الأربعة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هل الکذب من الکبائر؟</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حرمة الکذب فی الجدّ و الهزل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حقیقة الوعد و أقسامه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خلف الوعد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خروج المبالغة عن الکذب موضوعا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هل التوریة من الکذب؟</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لا کذب فی قول إبراهیم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مسوغات الکذب </w:t>
      </w:r>
      <w:r>
        <w:rPr>
          <w:rFonts w:eastAsia="IRNazanin" w:cs="IRNazanin"/>
          <w:color w:val="111111"/>
          <w:sz w:val="28"/>
          <w:szCs w:val="28"/>
          <w:lang w:bidi="fa-IR"/>
        </w:rPr>
        <w:t>614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الضرورة إلیه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هل تجب التوریة فی حالة الضرورة لمن یتمکّن منها؟</w:t>
      </w:r>
      <w:r>
        <w:rPr>
          <w:rFonts w:eastAsia="IRNazanin" w:cs="IRNazanin"/>
          <w:color w:val="111111"/>
          <w:sz w:val="28"/>
          <w:szCs w:val="28"/>
          <w:lang w:bidi="fa-IR"/>
        </w:rPr>
        <w:t>616</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الأقوال الصادرة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تقیة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دوران الأمر بین الحمل علی الوجوب تقیّة و الاستحباب </w:t>
      </w:r>
      <w:r>
        <w:rPr>
          <w:rFonts w:eastAsia="IRNazanin" w:cs="IRNazanin"/>
          <w:color w:val="111111"/>
          <w:sz w:val="28"/>
          <w:szCs w:val="28"/>
          <w:lang w:bidi="fa-IR"/>
        </w:rPr>
        <w:t>629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إرادة الإصلاح </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 xml:space="preserve">حرمة الکهانة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موضوع الکهانة و أقسامها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الرجوع إلی الکاهن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 xml:space="preserve">الإخبار عن الامور المستقبلة </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 xml:space="preserve">اللهو و أدلّة حرمته فی الجملة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اللعب و اللغو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مدح من لا یستحقّ المدح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معونة الظالمین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إعانة الظالمین فی غیر جهة الظلم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النجش و ما استدلّ به علی الحرمة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النمیمة و حرمتها بالأدلّة الأربعة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النیاحة و الأقوال فیها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کسب النائحة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الولایة من قبل الجائر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مستثنیات الولایة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القیام بمصالح العباد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أقسام الولایة من قبل الجائر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الإکراه علی القبول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تنبیهات</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الإضرار بالناس مع الإکراه </w:t>
      </w:r>
      <w:r>
        <w:rPr>
          <w:rFonts w:eastAsia="IRNazanin" w:cs="IRNazanin"/>
          <w:color w:val="111111"/>
          <w:sz w:val="28"/>
          <w:szCs w:val="28"/>
          <w:lang w:bidi="fa-IR"/>
        </w:rPr>
        <w:t>674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الولایة لدفع الضرر عن الغیر </w:t>
      </w:r>
      <w:r>
        <w:rPr>
          <w:rFonts w:eastAsia="IRNazanin" w:cs="IRNazanin"/>
          <w:color w:val="111111"/>
          <w:sz w:val="28"/>
          <w:szCs w:val="28"/>
          <w:lang w:bidi="fa-IR"/>
        </w:rPr>
        <w:t>679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العجز عن التفصّی فی الإکراه </w:t>
      </w:r>
      <w:r>
        <w:rPr>
          <w:rFonts w:eastAsia="IRNazanin" w:cs="IRNazanin"/>
          <w:color w:val="111111"/>
          <w:sz w:val="28"/>
          <w:szCs w:val="28"/>
          <w:lang w:bidi="fa-IR"/>
        </w:rPr>
        <w:t>683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الولایة مع الضرر المالی رخصة لا غریمة </w:t>
      </w:r>
      <w:r>
        <w:rPr>
          <w:rFonts w:eastAsia="IRNazanin" w:cs="IRNazanin"/>
          <w:color w:val="111111"/>
          <w:sz w:val="28"/>
          <w:szCs w:val="28"/>
          <w:lang w:bidi="fa-IR"/>
        </w:rPr>
        <w:t>685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قتل المؤمن بالإکراه أو تقیّة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المستحقّ للقتل قصاصا محقون الدم لغیر الولی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حکم التقیة و الإکراه فی قتل المخالفین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هجاء المؤمن </w:t>
      </w:r>
      <w:r>
        <w:rPr>
          <w:rFonts w:eastAsia="IRNazanin" w:cs="IRNazanin"/>
          <w:color w:val="111111"/>
          <w:sz w:val="28"/>
          <w:szCs w:val="28"/>
          <w:lang w:bidi="fa-IR"/>
        </w:rPr>
        <w:t>692</w:t>
      </w:r>
    </w:p>
    <w:p>
      <w:pPr>
        <w:pStyle w:val="BookText"/>
        <w:rPr/>
      </w:pPr>
      <w:r>
        <w:rPr>
          <w:rFonts w:ascii="Amiri" w:hAnsi="Amiri" w:eastAsia="Amiri" w:cs="Amiri"/>
          <w:color w:val="111111"/>
          <w:sz w:val="28"/>
          <w:sz w:val="28"/>
          <w:szCs w:val="28"/>
          <w:rtl w:val="true"/>
          <w:lang w:bidi="ar-SA"/>
        </w:rPr>
        <w:t xml:space="preserve">حرمة الهجر </w:t>
      </w:r>
      <w:r>
        <w:rPr>
          <w:rFonts w:eastAsia="Amiri" w:cs="Amiri" w:ascii="Amiri" w:hAnsi="Amiri"/>
          <w:color w:val="111111"/>
          <w:sz w:val="28"/>
          <w:szCs w:val="28"/>
          <w:lang w:bidi="ar-SA"/>
        </w:rPr>
        <w:t>695</w:t>
      </w:r>
    </w:p>
    <w:p>
      <w:pPr>
        <w:pStyle w:val="BookText"/>
        <w:rPr/>
      </w:pPr>
      <w:r>
        <w:rPr>
          <w:rFonts w:ascii="IRNazanin" w:hAnsi="IRNazanin" w:eastAsia="IRNazanin"/>
          <w:color w:val="111111"/>
          <w:sz w:val="28"/>
          <w:sz w:val="28"/>
          <w:szCs w:val="28"/>
          <w:rtl w:val="true"/>
          <w:lang w:bidi="fa-IR"/>
        </w:rPr>
        <w:t xml:space="preserve">أخذ الاجرة علی الواجبات </w:t>
      </w:r>
      <w:r>
        <w:rPr>
          <w:rFonts w:eastAsia="IRNazanin" w:cs="IRNazanin"/>
          <w:color w:val="111111"/>
          <w:sz w:val="28"/>
          <w:szCs w:val="28"/>
          <w:lang w:bidi="fa-IR"/>
        </w:rPr>
        <w:t>697</w:t>
      </w:r>
    </w:p>
    <w:p>
      <w:pPr>
        <w:pStyle w:val="BookText"/>
        <w:rPr/>
      </w:pPr>
      <w:r>
        <w:rPr>
          <w:rFonts w:ascii="Amiri" w:hAnsi="Amiri" w:eastAsia="Amiri" w:cs="Amiri"/>
          <w:color w:val="111111"/>
          <w:sz w:val="28"/>
          <w:sz w:val="28"/>
          <w:szCs w:val="28"/>
          <w:rtl w:val="true"/>
          <w:lang w:bidi="ar-SA"/>
        </w:rPr>
        <w:t xml:space="preserve">موضوع أخذ الاجرة </w:t>
      </w:r>
      <w:r>
        <w:rPr>
          <w:rFonts w:eastAsia="Amiri" w:cs="Amiri" w:ascii="Amiri" w:hAnsi="Amiri"/>
          <w:color w:val="111111"/>
          <w:sz w:val="28"/>
          <w:szCs w:val="28"/>
          <w:lang w:bidi="ar-SA"/>
        </w:rPr>
        <w:t>699</w:t>
      </w:r>
    </w:p>
    <w:p>
      <w:pPr>
        <w:pStyle w:val="BookText"/>
        <w:rPr/>
      </w:pPr>
      <w:r>
        <w:rPr>
          <w:rFonts w:ascii="IRNazanin" w:hAnsi="IRNazanin" w:eastAsia="IRNazanin"/>
          <w:color w:val="111111"/>
          <w:sz w:val="28"/>
          <w:sz w:val="28"/>
          <w:szCs w:val="28"/>
          <w:rtl w:val="true"/>
          <w:lang w:bidi="fa-IR"/>
        </w:rPr>
        <w:t xml:space="preserve">صفة العبادیة لا تنافی الإجارة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أدلّة صحّة الإجارة علی العبادة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صفة الوجوب لا تنافی الإجارة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حقیقة النیابة فی العبادات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أخذ الاجرة علی المستحبّات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الأجیر للطواف و احتسابه لنفسه أیضا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أخذ الاجرة علی الأذان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أخذ الاجرة علی الشهادة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أخذ الاجرة علی القضاء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الارتزاق من بیت المال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بیع المصحف </w:t>
      </w:r>
      <w:r>
        <w:rPr>
          <w:rFonts w:eastAsia="IRNazanin" w:cs="IRNazanin"/>
          <w:color w:val="111111"/>
          <w:sz w:val="28"/>
          <w:szCs w:val="28"/>
          <w:lang w:bidi="fa-IR"/>
        </w:rPr>
        <w:t>732</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الروایات الواردة فی المقام و الجمع بینها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معنی حرمة بیع المصحف و شرائه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بیع أبعاض المصحف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بیع المصحف من الکافر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جوائز السلطان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أقسام المال المأخوذ من الجائر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یشکّ فی وجود الحرام فی أمواله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یعلم إجمالا باشتمال أمواله علی الحرام و لکن لا یعلم اشتمال المأخوذ علیه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إذا لم تکن الاصول و الأمارات متعارضة فی أطراف العلم الإجمالی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الاستدلال علی کراهة الأخذ مع العلم بوجود الحرام و الجواب عنه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ما استدلّ به علی رفع الکراهة عن الجوائز و الجواب عنه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إذا کانت الاصول و الأمارات متعارضة و مقتضی القواعد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مقتضی الروایات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یعلم تفصیلا بحرمة المال المأخوذ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علم الآخذ تفصیلا بغصبیة المال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ردّ ما اخذ من الجائر إلی أهله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المأخوذ معلوم المالک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المأخوذ مجهول المالک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وجوب الفحص عن المالک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هل یجوز إعطاء مجهول المالک لمن یدّعیه؟</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مقدار الفحص عن المالک و کیفیته </w:t>
      </w:r>
      <w:r>
        <w:rPr>
          <w:rFonts w:eastAsia="IRNazanin" w:cs="IRNazanin"/>
          <w:color w:val="111111"/>
          <w:sz w:val="28"/>
          <w:szCs w:val="28"/>
          <w:lang w:bidi="fa-IR"/>
        </w:rPr>
        <w:t>779</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تعریف اللقطة سنة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اجرة الفحص عن المالک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مصرف مجهول المالک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هل یجوز دفعه للهاشمی؟</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ضمان المتصدّق بمجهول المالک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الفرق بین مجهول المالک و اللقطة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حکم ما لو دفعه إلی الحاکم فتصدّق به بعد الیأس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یعلم إجمالا اشتمال المأخوذ علی الحرام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حکم المال المأخوذ من الجائر تکلیفا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 xml:space="preserve">وظیفة الجائر بالنسبة إلی ما أخذه من الأموال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احتساب ما یأخذه الجائر من الزکاة </w:t>
      </w:r>
      <w:r>
        <w:rPr>
          <w:rFonts w:eastAsia="IRNazanin" w:cs="IRNazanin"/>
          <w:color w:val="111111"/>
          <w:sz w:val="28"/>
          <w:szCs w:val="28"/>
          <w:lang w:bidi="fa-IR"/>
        </w:rPr>
        <w:t>805</w:t>
      </w:r>
    </w:p>
    <w:p>
      <w:pPr>
        <w:pStyle w:val="BookText"/>
        <w:rPr/>
      </w:pPr>
      <w:r>
        <w:rPr>
          <w:rFonts w:ascii="Amiri" w:hAnsi="Amiri" w:eastAsia="Amiri" w:cs="Amiri"/>
          <w:color w:val="111111"/>
          <w:sz w:val="28"/>
          <w:sz w:val="28"/>
          <w:szCs w:val="28"/>
          <w:rtl w:val="true"/>
          <w:lang w:bidi="ar-SA"/>
        </w:rPr>
        <w:t xml:space="preserve">حرمة أخذ الجائر الصدقات و المقاسمات من الناس </w:t>
      </w:r>
      <w:r>
        <w:rPr>
          <w:rFonts w:eastAsia="Amiri" w:cs="Amiri" w:ascii="Amiri" w:hAnsi="Amiri"/>
          <w:color w:val="111111"/>
          <w:sz w:val="28"/>
          <w:szCs w:val="28"/>
          <w:lang w:bidi="ar-SA"/>
        </w:rPr>
        <w:t>806</w:t>
      </w:r>
    </w:p>
    <w:p>
      <w:pPr>
        <w:pStyle w:val="BookText"/>
        <w:rPr/>
      </w:pPr>
      <w:r>
        <w:rPr>
          <w:rFonts w:ascii="IRNazanin" w:hAnsi="IRNazanin" w:eastAsia="IRNazanin"/>
          <w:color w:val="111111"/>
          <w:sz w:val="28"/>
          <w:sz w:val="28"/>
          <w:szCs w:val="28"/>
          <w:rtl w:val="true"/>
          <w:lang w:bidi="fa-IR"/>
        </w:rPr>
        <w:t xml:space="preserve">جواز أخذ الصدقات و نحوها من الجائر المستحل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هل یجوز للجائر إقطاع شخص أرضا خراجیة؟</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شراء الصدقات من الجائر قبل أخذه إیّاها من الناس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حکم الأراضی الخراجیة زمن الغیبة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شراء ما یأخذه الجائر من غیر الأراضی الخراجیة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اختصاص الحکم بالسلطان المدّعی للرئاسة العامّة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هل یختصّ جواز الأخذ من الجائر بما أخذه من المعتقدین ولایته؟</w:t>
      </w:r>
      <w:r>
        <w:rPr>
          <w:rFonts w:eastAsia="IRNazanin" w:cs="IRNazanin"/>
          <w:color w:val="111111"/>
          <w:sz w:val="28"/>
          <w:szCs w:val="28"/>
          <w:lang w:bidi="fa-IR"/>
        </w:rPr>
        <w:t>821</w:t>
      </w:r>
    </w:p>
    <w:p>
      <w:pPr>
        <w:pStyle w:val="BookText"/>
        <w:rPr/>
      </w:pPr>
      <w:r>
        <w:rPr>
          <w:rFonts w:ascii="Amiri" w:hAnsi="Amiri" w:eastAsia="Amiri" w:cs="Amiri"/>
          <w:color w:val="111111"/>
          <w:sz w:val="28"/>
          <w:sz w:val="28"/>
          <w:szCs w:val="28"/>
          <w:rtl w:val="true"/>
          <w:lang w:bidi="ar-SA"/>
        </w:rPr>
        <w:t xml:space="preserve">إناطة مقدار الخراج برضا المؤجر و المستأجر </w:t>
      </w:r>
      <w:r>
        <w:rPr>
          <w:rFonts w:eastAsia="Amiri" w:cs="Amiri" w:ascii="Amiri" w:hAnsi="Amiri"/>
          <w:color w:val="111111"/>
          <w:sz w:val="28"/>
          <w:szCs w:val="28"/>
          <w:lang w:bidi="ar-SA"/>
        </w:rPr>
        <w:t>821</w:t>
      </w:r>
    </w:p>
    <w:p>
      <w:pPr>
        <w:pStyle w:val="BookText"/>
        <w:rPr/>
      </w:pPr>
      <w:r>
        <w:rPr>
          <w:rFonts w:ascii="IRNazanin" w:hAnsi="IRNazanin" w:eastAsia="IRNazanin"/>
          <w:color w:val="111111"/>
          <w:sz w:val="28"/>
          <w:sz w:val="28"/>
          <w:szCs w:val="28"/>
          <w:rtl w:val="true"/>
          <w:lang w:bidi="fa-IR"/>
        </w:rPr>
        <w:t xml:space="preserve">جواز شراء الصدقة من الجائر و إن کان المأخوذ أزید من الواجب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شرائط الأراضی الخراجیة </w:t>
      </w:r>
      <w:r>
        <w:rPr>
          <w:rFonts w:eastAsia="IRNazanin" w:cs="IRNazanin"/>
          <w:color w:val="111111"/>
          <w:sz w:val="28"/>
          <w:szCs w:val="28"/>
          <w:lang w:bidi="fa-IR"/>
        </w:rPr>
        <w:t>823</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الأرض مفتوحة عنوة أو صلحا </w:t>
      </w:r>
      <w:r>
        <w:rPr>
          <w:rFonts w:eastAsia="IRNazanin" w:cs="IRNazanin"/>
          <w:color w:val="111111"/>
          <w:sz w:val="28"/>
          <w:szCs w:val="28"/>
          <w:lang w:bidi="fa-IR"/>
        </w:rPr>
        <w:t>823</w:t>
      </w:r>
    </w:p>
    <w:p>
      <w:pPr>
        <w:pStyle w:val="BookText"/>
        <w:rPr/>
      </w:pPr>
      <w:r>
        <w:rPr>
          <w:rFonts w:ascii="Amiri" w:hAnsi="Amiri" w:eastAsia="Amiri" w:cs="Amiri"/>
          <w:color w:val="111111"/>
          <w:sz w:val="28"/>
          <w:sz w:val="28"/>
          <w:szCs w:val="28"/>
          <w:rtl w:val="true"/>
          <w:lang w:bidi="ar-SA"/>
        </w:rPr>
        <w:t xml:space="preserve">طرق ثبوت الفتح عنوة </w:t>
      </w:r>
      <w:r>
        <w:rPr>
          <w:rFonts w:eastAsia="Amiri" w:cs="Amiri" w:ascii="Amiri" w:hAnsi="Amiri"/>
          <w:color w:val="111111"/>
          <w:sz w:val="28"/>
          <w:szCs w:val="28"/>
          <w:lang w:bidi="ar-SA"/>
        </w:rPr>
        <w:t>823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الفتح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ما إذا شکّ فی کون الفتح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الأرض محیاة حال الفتح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 xml:space="preserve">حکم ما لو ماتت المحیاة حال الفتح </w:t>
      </w:r>
      <w:r>
        <w:rPr>
          <w:rFonts w:eastAsia="IRNazanin" w:cs="IRNazanin"/>
          <w:color w:val="111111"/>
          <w:sz w:val="28"/>
          <w:szCs w:val="28"/>
          <w:lang w:bidi="fa-IR"/>
        </w:rPr>
        <w:t>830</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833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100:11/44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المکاسب المحرّمة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المحدّث الحرّ العاملی فی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الفائدة الرابعة من الخاتمة،حیث عدّ کتاب تحف العقول من جملة الکتب المعتبرة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رجال المامقانی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الحاء</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بن الحسین بن شعبة الحرانی أو الحلبی،قال فی 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فاضل فقیه و متبحّر نبیه و مترفّع وجیه،له کتاب تحف العقول عن آل الرسول،معتمد علیه عند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المحدّث القمّی فی الفوائد الرضویة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شیخ فاضل محدّث عالم عامل فقیه 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صاحب التکملة عن الحسین بن علی بن الصادق البحرانی أنه من قدماء الأصحاب،حتی أنّ شیخنا المفید ینقل عنه،و هو کتاب لم یسمح الدهر بمثله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هکذا المحدّث الطهرانی فی الذریعة </w:t>
      </w:r>
      <w:r>
        <w:rPr>
          <w:rFonts w:eastAsia="IRNazanin" w:cs="IRNazanin"/>
          <w:b w:val="false"/>
          <w:bCs w:val="false"/>
          <w:i w:val="false"/>
          <w:iCs w:val="false"/>
          <w:color w:val="333333"/>
          <w:sz w:val="20"/>
          <w:szCs w:val="20"/>
        </w:rPr>
        <w:t>3:1435/400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المجلسی فی البحار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تحف العقول عثرنا منه علی کتاب عتیق،و نظمه یدلّ علی رفعة شأن مؤلّفه،و أکثره فی المواعظ و الاصول المعلومة التی لا نحتاج فیها إلی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السید حسن الصدر فی 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مضمونه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شیخنا الأقدم و إمامنا الأعظم له کتاب تحف العقول فی الحکم و المواعظ عن آل الرسول،کتاب جلیل لم یصنّف مثله و کان هذا الشیخ جلیل القدر عظیم المنزلة،و فی حقّه یقول الشیخ العالم الربّانی الشیخ حسین ابن علی بن الصادق البحرانی فی رسالته فی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تحف العقول للفاضل النبیل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 من کلمات الأعلام فی اعتبار تحف العقول و وثاقة مؤلّفه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الصحیح علی مبناه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لاختصاصها بخبر الثقة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الحمیری عن أحمد بن إسحاق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اعامل و عمّن آخذ و قول من أقبل؟فقال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العمری ثقتی،فما أدّی إلیک عنّی فعنّی یؤدّی و ما قال لک عنّی فعنّی یقول،فاسمع له و أطع فإنه الثقة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مثل ذلک،فقال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العمری و ابنه ثقتان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فإنهما الثقتان المأمونان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هما موثّقتان،راجع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المذکور من الوسائل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أبواب القضاء من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لحوم السباع و جلودها،فقال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الجلود فارکبوا علیها،و لا تلبسوا منها شیئا تصلّون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7:33/412</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1:801/169</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2:802/205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الخامس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یکون فی هؤلاء الأجناس الأربعة حلال من جهة حرام من جهة،و هذه الأجناس مسمّیات معروفات الجهات،فأول هذه الجهات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حکایة کلامه فی الهامش من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غایة 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المامقانی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،مادّة سوق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،مادّة نحا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المرتضی فی رسالة المحکم و المتشابه نقلا عن تفسیر النعمانی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ما جاء فی القرآن من ذکر معائش الخلق و أسبابها فقد أعلمنا سبحانه ذلک من خمسة أوجه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الإمارة،و وجه العمارة،و وجه الإجارة،و وجه التجارة،و وجه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w:t>
      </w:r>
      <w:r>
        <w:rPr>
          <w:rFonts w:eastAsia="IRNazanin" w:cs="IRNazanin"/>
          <w:b w:val="false"/>
          <w:bCs w:val="false"/>
          <w:i w:val="false"/>
          <w:iCs w:val="false"/>
          <w:color w:val="333333"/>
          <w:sz w:val="20"/>
          <w:szCs w:val="20"/>
        </w:rPr>
        <w:t>93:46</w:t>
      </w:r>
      <w:r>
        <w:rPr>
          <w:rFonts w:ascii="IRNazanin" w:hAnsi="IRNazanin" w:eastAsia="IRNazanin"/>
          <w:b w:val="false"/>
          <w:b w:val="false"/>
          <w:bCs w:val="false"/>
          <w:i w:val="false"/>
          <w:i w:val="false"/>
          <w:iCs w:val="false"/>
          <w:color w:val="333333"/>
          <w:sz w:val="20"/>
          <w:sz w:val="20"/>
          <w:szCs w:val="20"/>
          <w:rtl w:val="true"/>
        </w:rPr>
        <w:t>عن تفسیر النعمانی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ما جاء فی القرآن من ذکر معائش الخلق و أسبابها فقد أعلمنا سبحانه ذلک من خمسة أوجه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الإشارة،إلی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وجه الإشارة فقوله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أَنَّما غَنِمْتُمْ مِنْ شَیْءٍ فَأَنَّ لِلّهِ خُمُسَهُ وَ لِلرَّسُولِ وَ لِذِی الْقُرْبی وَ الْیَتامی وَ الْمَساکِینِ 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وجه العمارة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أَنْشَأَکُمْ مِنَ الْأَرْضِ وَ اسْتَعْمَرَکُمْ فِیها فأعلمنا سبحانه أنّه قد أمرهم بالعمارة لیکون ذلک سببا لمعایشهم بما یخرج من الأرض من الحبّ و الثمرات و ما شاکل ذلک مما جعله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معائش للخلق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وجه التجارة فقوله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إِذا تَدایَنْتُمْ بِدَیْنٍ إِلی أَجَلٍ مُسَمًّی فَاکْتُبُوهُ وَ لْیَکْتُبْ بَیْنَکُمْ کاتِبٌ بِالْعَدْلِ الآیة،فعرّفهم سبحانه کیف یشترون المتاع فی السفر و الحضر و کیف یتّجرون،إذ کان ذلک من أسباب المعائش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وجه الإجارة فقوله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قَسَمْنا بَیْنَهُمْ مَعِیشَتَهُمْ فِی الْحَیاةِ الدُّنْیا وَ رَفَعْنا بَعْضَهُمْ فَوْقَ بَعْضٍ دَرَجاتٍ لِیَتَّخِذَ بَعْضُهُمْ بَعْضاً سُخْرِیًّا وَ رَحْمَتُ رَبِّکَ خَیْرٌ مِمّا یَجْمَعُونَ فأخبرنا سبحانه أنّ الإجارة أحد معائش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ذلک قواما لمعائش الخلق،و هو الرجل یستأجر الرجل فی صنعته و أعماله و أحکامه و تصرفاته و أملاکه،إلی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وجه الصدقات فإنما هی لأقوام لیس لهم فی الإمارة نصیب،و لا فی العمارة حظّ،و لا فی التجارة مال،و لا فی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غیر السید حسین بن بنت المحقق الکرکی کما أشار إلیه فی المستدرک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ناقلا عن الریاض الذی هو استاذ هذه الصناعة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ذهب إلیه صاحب الفصول و العلاّمة الطباطبائی من اتّحادهما خطأ فاحش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المتقدّم من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المتقدم من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المتقدم من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المتقدّم من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 ما نقله النوری فی المصدر المتقدّم من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عن کتاب ریاض العلماء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المصدر،نعم نقله فی المستدرک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البحث عن الفقه الرضوی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توقیعات الاحتجاج فراجع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من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اللباس و ما لا یجوز فیه الصلاة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 الصلاة فی سنجاب و سنور و فنک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باب اللباس و ما یکره فیه الصلاة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المیتة دباغته طهارته و قد یجوز الصلاة فیما لم تنبته الأرض و لم یحل أکله مثل السنجاب و الفنک و السنور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باب التخلّی و الوضوء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غسلت قدمیک و نسیت المسح علیهما فإنّ ذلک یجزئک لأنّک قد أتیت بأکثر ما علیک،و قد ذکر اللّه الجمیع فی القرآن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باب المتعة محمد بن أبی عمیر عن ابن اذینة عن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عبد اللّه بن عمیر إلی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 فی متعة النساء؟فقال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أحلّها اللّه فی کتابه و علی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یرحمک اللّه أنّ کل مأمور به مما هو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هو 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العباد و قوام لهم فی امورهم من وجوه الصلاح الذی لا یقیمهم غیره مما یأکلون و یشربون و یلبسون و ینکحون و یملکون و یستعملون،فهذا کلّه حلال بیعه و شراؤه و هبته و عاریته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أمر یکون فیه الفساد مما قد نهی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 أکله و شربه و لبسه و نکاحه و إمساکه لوجه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المیتة و الدم و لحم الخنزیر و الربا و جمیع الفواحش و لحوم السباع و الخمر و ما أشبه ذلک،فحرام ضارّ للجسم و فساد للنفس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کما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لا یوجد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100:12/51</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20:4/624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کان أکثر أهل عصرنا یتوهّمون أنه تألیف الصدوق،و قد ظهر لنا أنه تألیف أبی حنیفة النعمان بن محمد بن منصور قاضی مصر فی أیام الدولة الاسماعیلیة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المیم</w:t>
      </w:r>
      <w:r>
        <w:rPr>
          <w:rFonts w:eastAsia="IRNazanin" w:cs="IRNazanin"/>
          <w:b w:val="false"/>
          <w:bCs w:val="false"/>
          <w:i w:val="false"/>
          <w:iCs w:val="false"/>
          <w:color w:val="333333"/>
          <w:sz w:val="20"/>
          <w:szCs w:val="20"/>
        </w:rPr>
        <w:t>12502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حنیفة الشیعة،هو القاضی نعمان بن محمد بن منصور قاضی مصر،کان مالکیا أولا ثم اهتدی و صار إمامیا،و صنّف علی طریق الشیعة کتبا منها کتاب 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کتاب دائرة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حنیفة المغربی هو النعمان بن أبی عبد اللّه محمد ابن منصور بن أحمد بن حیوان،أحد الأئمة الفضلاء المشار إلیهم،ذکره الإمام المسبحی فی تاریخه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أهل العلم و الفقه و الدین و النبل علی ما لا مزید علیه،و له عدّة مصنّفات منها کتاب اختلاف اصول المذهب،و غیره،و کان مالکی المذهب ثم انتقل إلی مذهب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زولاق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فی غایة الفضل من أهل القرآن و العلم بمعانیه،عالما بوجوه الفقه و علم اختلاف الفقهاء و اللغة و الشعر و المعرفة بأیام الناس مع عقل و إنصاف،و ألّف لأهل البیت من الکتب آلاف الأوراق بأحسن تألیف و أفصح سجع و عمل فی المناقب و المثالب کتابا حسنا،و له ردّ علی المخالفین،له ردّ علی أبی حنیفة و مالک و الشافعی و علی بن سریج،و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ینتصر فیه لأهل البیت علیهم السّلام و له القصیدة الفقهیة لقّبها بالمنتخبة،و کان ملازما صحبة المعزّ العلوی،توفّی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أولاده من الأفاضل،منهم أبو الحسن علی بن النعمان و أبو عبد اللّه محمد بن النعمان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w:t>
      </w:r>
      <w:r>
        <w:rPr>
          <w:rFonts w:eastAsia="IRNazanin" w:cs="IRNazanin"/>
          <w:b w:val="false"/>
          <w:bCs w:val="false"/>
          <w:i w:val="false"/>
          <w:iCs w:val="false"/>
          <w:color w:val="333333"/>
          <w:sz w:val="20"/>
          <w:szCs w:val="20"/>
        </w:rPr>
        <w:t>8:725/149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من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من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2:858/228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المتعة و أنها لیست بمشروعة،و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ما یسجد علیه المصلّی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رخّص فی الصلاة علی ثیاب الصوف و کلّ ما یجوز لباسه و الصلاة فیه یجوز السجود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جاز لباس ثوب الصوف و الصلاة فیه فذلک مما یسجد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 فی الوضوء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بدأ بالمیاسیر من أعضاء الوضوء جهلا أو نسیانا و صلّی لم تفسد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نواقض الوضوء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الذی ینقض الوضوء،إلی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المذی،و قال بعد أسطر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رأوا أنّ کل ما خرج من مخرج الغائط و من مخرج البول عما قدّمنا ذکره أو من دود أو حبّات أو حبّ القرع ذلک کلّه حدث یجب منه الوضوء و ینقض الوضوء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 من البیوع کل ما هو حلال من المأکول و المشروب و غیر ذلک مما هو قوام للناس و صلاح و مباح لهم الانتفاع به،و ما کان محرّما أصله منهیا عنه لم یجز بیعه و لا شراؤه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جالسا عند الرکن،فرفع بصره إلی السماء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الیهود،حرّم علیهم الشحوم فباعوها فأکلوا أثمانها،و إنّ اللّه إذا حرّم علی قوم شیئا حرّم علیهم ثمنه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1:2956/530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حیاة الحیوان للدمیری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الحکم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بیع ذرق الحمام و سرجین البهائم المأکولة و غیرها فباطل،و ثمنه حرام،هذا مذهبنا،إلی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 أصحابنا بحدیث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إذا حرّم علی قوم شیئا حرّم علیهم ثمنه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حدیث صحیح رواه أبو داود باسناد صحیح،و هو عام إلاّ ما خرج بدلیل کالحمار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المصدر المتقدّم من سنن أبی داود السجستانی مشتمل 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فلاحظ و شرح فتح القدیر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علی حرمة بیع الخمر،و غیرهما من کتبهم الاستدلالیة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100:29/55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خط الشیخ محمد بن علی الجبعی،و فی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الطوسی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بیع السرجین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استدل به علی حرمة بیع السرجین النجس و الخلاف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علی حرمة بیع الدهن المتنجّس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علی حرمة بیع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أنّ الطبعة الأخیرة مشتملة علی کلمة أکل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مع الجوهر النقی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الجزء الثانی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عطیة،قال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لأنبیائه من الأعمال الحرث و الرعی لئلاّ یکرهوا شیئا من قطر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11:6/64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بعث اللّه نبیا قطّ حتی یسترعیه الغنم و یعلمه بذلک رعیة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11:7/64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نبی إلاّ و قد رعی الغنم،قیل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یا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61:117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الکافی عن محمد بن عطیة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 لأنبیائه الحرث و الزرع کی لا یکرهوا شیئا من قطر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و التهذیب عن سهل بن زیاد رفعه،قال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جعل أرزاق أنبیائه فی الزرع و الضرع لئلاّ یکرهوا شیئا من قطر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بسهل و مرفوعة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سیّابة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 رجل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ظریف عن محمد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اللّهِ فَلْیَتَوَکَّلِ الْمُتَوَکِّلُونَ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مهملة بالحسین بن ظریف،راجع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اشیر إلی ذلک فی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تنقیح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علی المذاهب الأربعة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تاج العروس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البول معروف،الجمع أبوال،و قد بال یبول و الاسم البیلة بالکسر کالرکبة و الجلسة،و من المجاز الولد،قال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 الرجل یبول بولا شریفا فاخرا إذا ولد له ولد یشبهه فی شکله و صورته و آسانه و آساله و أعسانه و أعساله و تجالیده،و البولة بهاء بنت الرجل،و البوال کغراب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یکثر منه البول،یقال أخذه بوال إذا جعل البول یعتریه کثیرا،و البولة کهمزة الکثیرة یقال رجل بولة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الکتاب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بیع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أوّل المکاسب،أی المصدر المتقدّم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رواه أحمد بن محمد بن عیسی فی نوادره عن أبیه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تَأْکُلُوا أَمْوالَکُمْ بَیْنَکُمْ بِالْباطِلِ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القمار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العیاشی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أسباط بن سالم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رجل فقال أخبرنی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لا تَأْکُلُوا أَمْوالَکُمْ بَیْنَکُمْ بِالْباطِلِ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 بذلک القمار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علی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سئل عن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موسی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 بول البقر یشربه الرجل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محتاجا إلیه یتداوی به یشربه،و کذلک أبوال الإبل و الغنم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موثّقة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1:832/284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رواه بعض أصحابنا عن موسی بن عبد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أشیاخنا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ألبان اللقاح شفاء من کل داء و عاهة و لصاحب البطن أبوالها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لقح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الإبل،و اللقوح کصبور واحدته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لصاحب الربو أبوالها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المفضّل بن عمر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شکی إلیه الربو الشدید،فقال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اشرب له أبوال اللقاح،فشربت ذلک،فمسح اللّه دائی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موثّقة،الوسائل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التهیّج و توارد النفس الذی یعرض للمسرع فی مشیه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سماعة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شرب الرجل أبوال الإبل و البقر و الغنم ینعت له من الوجع،هل یجوز له أن یشرب؟قال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بأحمد ابن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السنن الکبری للبیهقی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العرنیین أن یشربوا ألبان الإبل و أبوالها،و عن أنس أنّ رهطا من عرینة أتوا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إنّا اجتوینا المدینة و عظمت بطوننا و ارتهست أعضادنا،فأمرهم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یلحقوا برّا الإبل فیشربوا من ألبانها و أبوالها،فلحقوا براعی الإبل فشربوا من أبوالها و ألبانها حتی صلحت بطونهم و أبدانهم ثم قتلوا الراعی و ساقوا الإبل،الحدیث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البخاری فی الصحیح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الأبوال بأدنی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الجوی،اجتواه کرهه،و أرض جویة غیر موافقة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الرهس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ارتهس الوادی امتلأ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أحمد </w:t>
      </w:r>
      <w:r>
        <w:rPr>
          <w:rFonts w:eastAsia="IRNazanin" w:cs="IRNazanin"/>
          <w:b w:val="false"/>
          <w:bCs w:val="false"/>
          <w:i w:val="false"/>
          <w:iCs w:val="false"/>
          <w:color w:val="333333"/>
          <w:sz w:val="20"/>
          <w:szCs w:val="20"/>
        </w:rPr>
        <w:t>1:2672/483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أبوال الإبل و ألبانها شفاء للذربة بطونهم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مادّة 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 المعدة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ببول ما أکل 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بأبی البختری وهب بن وهب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فی الکافی و التهذیب عن الجعفری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الحسن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 الإبل خیر من ألبانها،و یجعل اللّه الشفاء فی ألبانها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ببکر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19:5/352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20:1/687</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9:437/100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 فی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،مادّة خبث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الخبیث ضد الطیّب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الخبیث خلاف طیّب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جابر بن عبد اللّه أنه سمع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عام الفتح و هو بمکة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 رسوله حرّم بیع الخمر و المیتة و الخنزیر و الأصنام،فقیل یا رسول اللّه،أ رأیت شحوم المیتة فإنها تطلی بها السفن و یدهن بها الجلود و یستصبح بها الناس،فقال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لا،هو حرام،ثم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 اللّه الیهود،إنّ اللّه لمّا حرّم علیهم شحومها جملوه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أذابوه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باعوه و أکلوا ثمنه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،و سبل السّلام </w:t>
      </w:r>
      <w:r>
        <w:rPr>
          <w:rFonts w:eastAsia="IRNazanin" w:cs="IRNazanin"/>
          <w:b w:val="false"/>
          <w:bCs w:val="false"/>
          <w:i w:val="false"/>
          <w:iCs w:val="false"/>
          <w:color w:val="333333"/>
          <w:sz w:val="20"/>
          <w:szCs w:val="20"/>
        </w:rPr>
        <w:t>3:735/6</w:t>
      </w:r>
      <w:r>
        <w:rPr>
          <w:rFonts w:ascii="IRNazanin" w:hAnsi="IRNazanin" w:eastAsia="IRNazanin"/>
          <w:b w:val="false"/>
          <w:b w:val="false"/>
          <w:bCs w:val="false"/>
          <w:i w:val="false"/>
          <w:i w:val="false"/>
          <w:iCs w:val="false"/>
          <w:color w:val="333333"/>
          <w:sz w:val="20"/>
          <w:sz w:val="20"/>
          <w:szCs w:val="20"/>
          <w:rtl w:val="true"/>
        </w:rPr>
        <w:t xml:space="preserve">،و البخاری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یذاب شحم المیتة،و باب بیع المیتة،و تقدّم أیضا بعض روایات الشحوم 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المالکیة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 بیع زبل ما لا یؤکل لحمه سواء کان أکله محرّما کالخیل و البغال و الحمیر،أو مکروها کالسبع و الضبع و الثعلب و الذئب و الهرّ،فإنّ فضلات هذه الحیوانات و نحوها لا یصح بیعها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 بیع النجس کالزبل النجس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عند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ینعقد بیع العذرة،فإذا باعها کان البیع باطلا إلاّ إذا خلطها بالتراب،فإنه یجوز بیعها إذا کانت لها مالیة،و یصح بیع الزبل و یسمّی سرجین،و کذا بیع البعر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رواه یعقوب بن شعیب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 العذرة من 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بعلی بن مسکین أو 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6:1080/372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3:182/56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17:22/283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بیع العذرة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مرسلة،راجع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مضارب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ببیع العذرة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بابن مضارب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5:3/226</w:t>
      </w:r>
      <w:r>
        <w:rPr>
          <w:rFonts w:ascii="IRNazanin" w:hAnsi="IRNazanin" w:eastAsia="IRNazanin"/>
          <w:b w:val="false"/>
          <w:b w:val="false"/>
          <w:bCs w:val="false"/>
          <w:i w:val="false"/>
          <w:i w:val="false"/>
          <w:iCs w:val="false"/>
          <w:color w:val="333333"/>
          <w:sz w:val="20"/>
          <w:sz w:val="20"/>
          <w:szCs w:val="20"/>
          <w:rtl w:val="true"/>
        </w:rPr>
        <w:t>،و الأبواب المذکورة من التهذیب و الوسائل و الاستبصار و الوافی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رجل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حاضر،قال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رجل أبیع العذرة فما تقول؟قال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بیعها و ثمنها،و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ببیع العذرة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الأبواب المذکورة من التهذیب و الوسائل و الاستبصار و الوافی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6:1080/372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الرقی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بول الخشاشیف یصیب ثوبی فأطلبه فلا أجده،فقال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اغسل ثوبک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بیحیی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1:777/265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عن جعفر عن أبیه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بدم البراغیث و البق و بول الخشاشیف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البابین المذکورین من التهذیب و الوسائل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،مادّة أعذر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العذرة الغائط،و فی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العذرة وزان کلمة الخرؤ،و لم یسمع التخفیف،و قد تکرّر ذکرها فی الحدیث،و سمّی فناء الدار عذرة لمکان إلقاء العذرة هناک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فی نهایة 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،مادّة 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تاج العروس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العاذر الغائط الذی هو السلح و الرجیع،و العذرة بکسر الذال المعجمة،و منه حدیث ابن عمر أنه کره السلت الذی یزرع بالعذرة،یرید غائط الإنسان الذی یلقیه،و فناء الدار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لکنّه حکاه عن والده فی ملاذ الأخیار </w:t>
      </w:r>
      <w:r>
        <w:rPr>
          <w:rFonts w:eastAsia="IRNazanin" w:cs="IRNazanin"/>
          <w:b w:val="false"/>
          <w:bCs w:val="false"/>
          <w:i w:val="false"/>
          <w:iCs w:val="false"/>
          <w:color w:val="333333"/>
          <w:sz w:val="20"/>
          <w:szCs w:val="20"/>
        </w:rPr>
        <w:t>10:379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،مادّة 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مال لا یحل کسبه،و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 أو ما خبث من المکاسب،و فی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 حرام لا یحل أکله و لا کسبه،و فی لسان العرب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حرام قبیح الذکر،و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خبث من المکاسب و حرم فلزم عنه العار،و قبیح الذکر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فی 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السحت ثمن جلود السباع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السحت ثمن جلود السباع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100:13/72</w:t>
      </w:r>
      <w:r>
        <w:rPr>
          <w:rFonts w:ascii="IRNazanin" w:hAnsi="IRNazanin" w:eastAsia="IRNazanin"/>
          <w:b w:val="false"/>
          <w:b w:val="false"/>
          <w:bCs w:val="false"/>
          <w:i w:val="false"/>
          <w:i w:val="false"/>
          <w:iCs w:val="false"/>
          <w:color w:val="333333"/>
          <w:sz w:val="20"/>
          <w:sz w:val="20"/>
          <w:szCs w:val="20"/>
          <w:rtl w:val="true"/>
        </w:rPr>
        <w:t>،و المصدر المذکور من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عن سماعة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السحت أنواع کثیرة،منها کسب الحجّام إذا شارط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بمحمد بن أحمد الجامورانی،و مثلها روایة اخری لسماعة إلاّ أنه لیست فیها جملة شرطیة،و لکنها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5:3/127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السحت کسب الحجّام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أَکّالُونَ لِلسُّحْتِ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الرجل یقضی لأخیه الحاجة ثم یقبل هدیته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تعرّض صاحب الوسائل لأسانید الروایة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لکن أکثرها من المجاهیل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أَکّالُونَ لِلسُّحْتِ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اجرة المعلّمین الذین یشارطون فی تعلیم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نهایة 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السحت کما یطلق علی الحرام یطلق علی المکروه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لسان العرب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السحت یرد فی الکلام علی المکروه مرّة و علی الحرام اخری،و یستدل علیه بالقرائن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الروایات المجوّزة لبیع جلود النمر و السباع کما سیأتی التعرّض لها فی بیع المسوخ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موثّقة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کسب الحجّام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مکروه له أن یشارط،و لا بأس علیک أن تشارطه و تماکسه،و إنما یکره له،و لا بأس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5:4/116</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6:1011/355</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أنّ ظهور الروایة فی الکراهة الاصطلاحیة مما لا ینکر،و إن کانت هی فی الأخبار أعم منها و من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حنّان بن سدیر،و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احتجم و أعطی الأجر،و لو کان حراما ما أعطاه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قریب منها روایة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أیضا ضعیفة بعمرو بن 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الأبواب المذکورة من الکتب المزبورة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البخاری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خراج الحجّام من الإجارات،و سنن البیهقی </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أعطی الحجّام أجره و لو علم کراهیة لم یعطه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احتجم وسط رأسه،حجمه أبو طیبة،و أعطاه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صاعا من 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طیبة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بالحسین بن علوان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100:1/59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یجوز بیع سباع البهائم،و عند الحنفیة یصح بیع الأسد و الفیل و سائر الحیوانات سوی الخنزیر،و فی الفقه علی المذاهب الأربعة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 أجر الحجّام إذا اشترط،و 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الحنابلة کراهة اجرة الحجّام،و فی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المتأخرین من الحنفیة أجازوا أخذ الاجرة علی تعلیم القرآن،و فی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المالکیة یجوز أخذ الاجرة علی تعلیم القرآن إذا عرف المعلّم المتعلّم،و فی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الشافعیة تصح الإجارة علی تعلیم القرآن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المنتهی </w:t>
      </w:r>
      <w:r>
        <w:rPr>
          <w:rFonts w:eastAsia="IRNazanin" w:cs="IRNazanin"/>
          <w:b w:val="false"/>
          <w:bCs w:val="false"/>
          <w:i w:val="false"/>
          <w:iCs w:val="false"/>
          <w:color w:val="333333"/>
          <w:sz w:val="20"/>
          <w:szCs w:val="20"/>
        </w:rPr>
        <w:t>2:1008</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19:265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اشیر إلیه فی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الکتاب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کان لا یری بأسا أن یطرح فی المزارع العذرة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بأبی البختری وهب بن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معجم رجال الحدیث </w:t>
      </w:r>
      <w:r>
        <w:rPr>
          <w:rFonts w:eastAsia="IRNazanin" w:cs="IRNazanin"/>
          <w:b w:val="false"/>
          <w:bCs w:val="false"/>
          <w:i w:val="false"/>
          <w:iCs w:val="false"/>
          <w:color w:val="333333"/>
          <w:sz w:val="20"/>
          <w:szCs w:val="20"/>
        </w:rPr>
        <w:t>18:11826/275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الکتاب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المتقدمتین 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تاج العروس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الروثة واحدة الروث و الأرواث،و قد راث الفرس و غیره،و فی المثل أحشک و تروثنی،قال ابن سیده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الروث رجیع ذی الحافر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لکل ذی حافر قد رأث یروث روثا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راث الفرس یروث روثا من باب قال،و الخارج روث،و منه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الروث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رجیع ذات الحافر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 حَرَّمَ رَبِّیَ الْفَواحِشَ</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علی المذاهب الأربعة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بن أبی جحیفة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ثمن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 سنن البیهقی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موکل الربا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أوّل الکتاب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الواسطی رفعه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بالقصّابین فنهاهم عن بیع سبعة أشیاء من الشاة،نهاهم عن بیع الدم،و الغدد،و آذان الفؤاد،و الطحال،و النخاع،و الخصی و القضیب،فقال له بعض القصّابین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 المؤمنین ما الکبد و الطحال إلاّ سواء،فقال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یالکع،ائتونی بتورین من ماء انبئک بخلاف ما بینهما،فاتی بکبد و طحال و تورین من ماء،فقال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شقّوا الطحال من وسطه و شقّوا الکبد من وسطه،ثم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فمرسا فی الماء جمیعا،فابیضّت الکبد و لم ینقص شیء منها،و لم یبیضّ الطحال و خرج ما فیه کلّه و صار دما کلّه حتّی بقی جلد الطحال و عرقه،فقال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خلاف ما بینهما،هذا لحم و هذا 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مرفوعة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6:2/253</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19:2/111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النخاع 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الخیط الأبیض فی جوف الفقار،ینحدر من الدماغ و تتشعّب منه شعب فی الجسم کما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الخصی کمدی جمع خصیة کمدیة،الغدد کغرف جمع غدّة کغرفة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 أسود یستصحب الشحم،اللکع بضمّ اللام و فتح الکاف اللئیم و الأحمق،و التور إناء یشرب فیه،و مرس الشیء فی الماء إنقاعه فیه و تلیینه بالید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دَماً مَسْفُوحاً الأنعام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مرار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یؤکل ممّا یکون فی الإبل،إلی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الطحال لأنّه 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باسماعیل بن مرار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المذکورة عند ذکر روایة الواسطی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حَرَّمَ عَلَیْکُمُ الْمَیْتَةَ وَ الدَّمَ البقرة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عَلَیْکُمُ الْمَیْتَةُ وَ الدَّمُ المائدة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الأبواب المتقدّمة من الوسائل و الوافی و الکافی و التهذیب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2:301/110</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المنی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أمنی الرجل إمناء أراق منیه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المجمع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تعالی مِنْ نُطْفَةٍ إِذا تُمْنی قیل أی تدفق فی الرحم،یقال أمنی الرجل یمنی إذا أنزل المنی،و منی کإلی موضع بمکّة،فقیل سمّی به لما یمنی من الدماء أی یراق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تاج العروس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استمنی طلب خروجه و استدعاه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تاج العروس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،مادّة عسب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العسب ضراب الفحل و طرقه،أو العسب ماؤه أی الفحل،فرسا کان أو بعیرا،أو نسله،یقال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اللّه عسبه أی ماءه و نسله،و العسب الولد،و العسب إعطاء الکراء علی الضراب،و هو أیضا اسم للکراء الذی یؤخذ علی ضرب الفحل،و الفعل کضرب،یقال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 الفحل الناقة یعسبها عسبا إذا طرقها،و عسب فحله یعسبه إذا أکراه،و هو منهی عنه فی الحدیث،أو أنّ الذی فی الحدیث بحذف مضاف،تقدیره نهی عن کراء عسب الفحل،و إنّما نهی عنه للجهالة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،مادّة عسب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عسیب الفحل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اجرة ضرابه،و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الشافعیة قالوا بطهارة منی الآدمی حیّا و میتا إن خرج بعد استکمال السن تسع سنین،و لو</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الثانی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 الإماء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الخلاف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مالک یجوز و لم یکرهه،و قال أبو حنیفة و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الإجارة فاسدة،و الاجرة محظورة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الفقه علی المذاهب الأربعة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الأعیان التی لا یصح استئجارها باتّفاق فمنها نزو الذکور من الحیوانات علی إناثها،فلا یحل لأحد أن یؤجر ثوره لیحبل بقرة غیره،و لا یؤجر حماره لیحبل حمارة الغیر،و هکذا،لأنّ إحبال الحیوان غیر مقدور علیه،فلا یصح تأجیره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الأشیاء التی لا تصح إجارتها ذکور الحیوانات التی تستأجر لإحبال إنثاها،فلا یحل استئجار ثور لیحبل بقرة و لا جمل لیحبل ناقة،و هکذا،لأنّ المقصود من ذلک إنّما هو منیّه،و هو محرّم لا قیمة له،فلا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خصال 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عسیب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کسب الفحل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خاتم الذهب،و عن لبوس ثیاب القسی و هی ثیاب تنسج بالشام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بأبی الخطّاب راشد المنقری و أبی عروبة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100:8/43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عسیب الفحل،و هو أجر الضراب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17:11/194</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السحت ثمن اللقاح و جلود السباع و عسب الفحل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المصدر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عسب الفحل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رواه عبد اللّه 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الغسل فی أربعة عشر موطنا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المیّت،و غسل الجنب،و غسل من غسّل المیّت،و غسل الجمعة و العیدین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فتح القدیر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عن بیع جلود المیتة قبل أن تدبغ لأنها غیر منتفع بها و تمسّک فی ذلک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تنتفعوا من المیتة باهاب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سبل السّلام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 الأکثر أنه لا ینتفع من المیتة بشیء إلاّ بجلدها إذا دبغ،ثمّ حکم بحرمة بیعها لتحریمها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أعمل أغماد السیوف من جلود الحمر المیتة فیصیب ثیابی،فاصلّی فیها؟فکتب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 ثوبا لصلاتک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فکتبت إلی أبی جعفر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إلخ،فکتب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 ما تعمل وحشیا ذکیّا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بالقاسم و معلّی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3:16/407</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6:16/206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الوشاء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فداک،إنّ أهل الجبل تثقل عندهم ألیات الغنم فیقطعونها،فقال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هی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فداک،فنصطبح بها؟فقال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علمت أنّه یصیب الید و الثوب و هو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بالمعلّی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بالحرام الأول هو الحرام الاصطلاحی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5:3/255</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19:3/107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رجل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کنت عنده یوما عن قطع ألیات الغنم،إلی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 کتاب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ما قطع منها میّت لا ینتفع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بسهل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967/209</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9:330/78</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6:1/254</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19:1/107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فداک،المیتة ینتفع منها بشیء؟فقال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3:6/398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6:7/259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19:101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إلیه أسأله عن جلود المیتة التی یؤکل لحمها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جلود السباع أینتفع بها؟فقال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رمیت و سمّیت فانتفع بجلده،و أمّا المیتة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9:339/79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أبواب الأطعمة و الأشربة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تنتفعوا من المیتة باهاب و لا 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ینتفع من المیتة باهاب و لا عظم و لا عصب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تنتفعوا من المیتة باهاب و لا 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تستمتعوا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السنن الکبری للبیهقی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أیضا أحادیث اخر تدلّ علی جواز الانتفاع بجلود المیتة بعد الدبغ،و ذلک لذهابهم إلی طهارتها 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کتبوا إلی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 اللّه فداک،إنّا قوم نعمل السیوف و لیست لنا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إدریس فی آخر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جامع البزنطی صاحب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الرجل تکون له الغنم یقطع من ألیاتها و هی أحیاء،أیصلح له أن ینتفع بما قطع؟قال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یذیبها و یسرج بها،و لا یأکلها و لا یبیعها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الصلاة فی الفراء،فقال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صردا لا تدفئه فراء الحجاز لأنّ دباغتها بالقرظ فکان یبعث إلی العراق فیؤتی ممّا قبلهم بالفرو فیلبسه،فإذا حضرت الصلاة ألقاه و ألقی القمیص الذی تحته الذی یلیه،فکان یسأل عن ذلک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أهل العراق یستحلّون لباس الجلود المیتة،و یزعمون أنّ دباغه ذکاته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بمحمد بن سلیمان الدیلمی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جلد المیتة المملوح و هو الکیمخت،فرخّص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19:16/105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9:333/78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فتح القدیر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مصدرها أوّل الکتاب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الکتاب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النوفلی عن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السحت ثمن المیتة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بالنوفلی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100:1/42</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5:2/126</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 المیتة 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باسناده عن جعفر بن محمد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وصیّة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من السحت ثمن المیتة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المحدّث النوری فی المستدرک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سند هذه الوصیة مجاهیل،لا طریق إلی الحکم بصحّتها و اعتبارها من جهته،راجع الباب المتقدّم من الوسائل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3:435/105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4:824/262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السحت ثمن المیتة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،ثم الظاهر أنّ هذه الروایات الأربع کلّها روایات واحدة مرویة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بطرق متعدّدة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الماشیة تکون للرجل فیموت بعضها،یصلح له بیع جلودها و دباغها و لبسها؟قال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 لو لبسها فلا یصلّ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بعبد اللّه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الباب المتقدّم من الوسائل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البیهقی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،و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باب بیع المیتة عن جابر سمع رسول اللّه یقول عام الفتح و هو بمکّة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 رسوله حرّم بیع الخمر و المیتة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البیهقی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جلد المیتة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دباغه قد ذهب بخبثه أو رجسه أو نجسه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دباغها طهورها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أحادیث 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فدبغوه فانتفعوا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بجلد المیتة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مات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تاج العروس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المیتة ما لم تدرک تذکیته،و قال النووی فی تهذیب الأسماء و اللغات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أهل اللغة و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المیتة ما فارقته الروح بغیر ذکاة و 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بالمیتة فی عرف الشرع ما مات حتف أنفه،أو قتل علی هیئة غیر مشروعه،إمّا فی الفاعل أو فی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المیتة من الحیوان ما زال روحه بغیر تذکیة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سئل عن شاة مسلوخة و اخری مذبوحة عن عمی علی الراعی أو علی صاحبها فلا یدری الذکیة من المیتة،قال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یرمی بهما جمیعا إلی الکلاب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بن آدم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قطرة خمر أو نبیذ مسکر قطرت فی قدر فیه لحم کثیر و مرق کثیر،قال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یهراق المرق أو یطعمه أهل الذمّة أو الکلاب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مهملة بالحسن بن المبارک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1:820/279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20:1/685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رواه الحلبی،قال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اختلط الذکی و المیتة باعه ممّن یستحل المیتة و یأکل ثمنه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سئل عن رجل کانت له غنم و بقر و کان یدرک الذکی منها فیعزله،و یعزل المیتة،ثم إنّ المیتة و الذکی اختلطا،کیف یصنع؟قال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یبیعه ممّن یستحلّ المیتة و یأکل ثمنه فإنّه 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بإبراهیم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19:2/89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6:2/260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9:199/48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بروایتی الطائفة الثانیة المذکورتین فی الهامش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روایة البزنطی المتقدّمة فی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ضریس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یحبّ إبراد الکبد الحرّی،و من سقی کبدا حرّی من بهیمة أو غیرها أظلّه اللّه یوم لا ظلّ إلاّ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القاموس مادّة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الحرّان العطشان،و الانثی الحرّی مثل عطشی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مسمع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الصدقة إبراد کبد حری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اخری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بسقی نصرانی من قبیلة الفراسین عند ضعفه من العطش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4:6/58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إسحاق بن عمّار عن جعفر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تصدّقوا بشیء من نسککم إلاّ علی المسلمین،و تصدّقوا بما سواه غیر الزکاة علی أهل الذمّة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موثّقة،راجع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عمر عن شعیب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رجل دخل قریة فأصاب بها لحما،لم یدر أذکی هو أم میت،قال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یطرحه علی النار،فکلّ ما انقبض فهو ذکی،و کلّ ما انبسط فهو 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19:3/90</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9:200/48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الباب من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الحسین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وجدت لحما و لم تعلم أذکی هو أم میتة فألق قطعة منه علی النار،فإن انقبض فهو ذکی و إن استرخی علی النار فهو 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الشافعیة قالوا بنجاسة میتة ما لا نفس له سائلة إلاّ میتة الجراد،و فی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کل نجس لا یصح بیعه،فلا یصح بیعها عندهم،و أمّا غیر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الکتاب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و أنا عنده عن جلود الخزّ،فقال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بها بأس،فقال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فداک،إنّها فی بلادی،و إنّما هی کلاب تخرج من الماء،فقال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خرجت من الماء تعیش خارجة من الماء؟فقال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6:3/451</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20:21/725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ساء خلقه،و التهریش التحریش بین الکلاب و الإفساد بین الناس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المالکیة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 بیع الکلب مع کونه طاهرا سواء کان کلب صید أو حراسة أو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الحنابلة لا یصح بیعه مطلقا،و کذلک عن الشافعیة،و أمّا 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یصح بیع کلب الصید و الحراسة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المالکیة یکره أکل الکلب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الکافی و التهذیب عن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السحت ثمن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آخر البیوع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ثمن الکلب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سنن البیهقی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ثمن الکلب إلاّ کلب صید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المذاهب الأربعة إجماعهم علی بطلان بیع الخنزیر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فتح القدیر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الخنزیر فاسد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جعفر عن أخیه،قال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رجلین نصرانیین باع أحدهما خمرا أو خنزیرا إلی أجل،فأسلما قبل أن یقبضا الثمن،هل یحل لهما ثمنه بعد الإسلام؟قال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له الثمن،فلا بأس أن یأخذه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بعبد اللّه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علی بن جعفر فی کتابه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 فهی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باب ما یکتسب به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1065/267</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100:1/72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الدعائم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سعید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نصرانی أسلم و عنده خمر و خنازیر و علیه دین،هل یبیع خمره و خنازیره فیقضی دینه؟فقال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 روایة ابن أبی عمیر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مرار عن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مجوسی باع خمرا أو خنازیر إلی أجل مسمّی،ثمّ أسلم قبل أن یحلّ المال،قال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دراهمه،و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أسلم رجل و له خمر و خنازیر ثم مات و هی فی ملکه و علیه دین،قال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یبیع دیّانه أو ولی له غیر مسلم خمره و خنازیره و یقضی دینه و لیس له أن یبیعه و هو حی و لا یمسکه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5:5/231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7:612/138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حرّم بیع الخنزیر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هریرة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حرّم الخنزیر و ثمنه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باب بیع المیتة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الکافی 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رجل کانت له علی رجل دراهم،فباع خمرا أو خنازیر و هو ینظر فقضاه،فقال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به،أمّا للمقتضی فحلال،و أمّا للبائع فحرام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بإبراهیم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Pr>
        <w:t>6:429/195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قالوا کل حی طاهر العین و لو کلبا أو خنزیرا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معه نقل فی الفقه علی المذاهب الأربعة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المالکیة حرمة بیع النجس و مثله بالخمر و الخنزیر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التهذیب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رجلا من موالیک یعمل الحمائل بشعر الخنزیر،قال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فرغ فلیغسل 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برد الإسکاف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شعر الخنزیر یعمل به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منه فاغسله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بالماء حتّی یذهب ثلث الماء و یبقی ثلثاه،ثم اجعله فی فخارة جدیدة لیلة باردة،فان جمد فلا تعمل به،و إن لم یجمد فلیس له دسم فاعمل به،و اغسل یدک إذا مسسته عند کل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الفخارة کجبانة الجرّة،الجمع الفخار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برد الإسکاف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رجل خزاز،و لا یستقیم عملنا إلاّ بشعر الخنزیر،نخرز به؟قال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منه و برة فاجعلها فی فخارة ثم أوقد تحتها حتی یذهب دسمها،ثم اعمل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6:1129/382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عند الخاصّة فواضح،و أمّا عند العامة ففی الفقه علی المذاهب الأربعة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ما خامر العقل أی خالطه فأسکره و غیّبه،فکل ما غیّب العقل من الخمر و النبیذ و غیرهما من أقسام المسکرات فهو حرام،سواء کان مأخوذا من العنب أو التمر أو العسل أو الحنطة أو الشعیر،بل و لو من اللبن و الطعام أو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الأعیان النجسة المسکر المائع،سواء کان مأخوذا من عصیر العنب أو کان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تاج العروس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فی وجه تسمیته،فقیل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تخمر العقل و تستره،أو لأنّها تخامر العقل أی تخالطه کما فی الحدیث،و 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 اسم لکل مسکر خامر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فی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خامر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تتمّة تعریف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الخمر سمّیت لکونها خامرة لمقرّ العقل،و هو عند بعض الناس اسم لکل مسکر،و عند بعضهم اسم للمتّخذ من العنب و التمر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أسکر من عصیر العنب خاصّة،أو عام أی ما أسکر من عصیر کل شیء،و العموم أصح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ضعیفة بعبد الرحمن بن زید،و أبیه،و أحمد بن الحسن المیثمی،و عطاء بن یسار راجع الکافی </w:t>
      </w:r>
      <w:r>
        <w:rPr>
          <w:rFonts w:eastAsia="IRNazanin" w:cs="IRNazanin"/>
          <w:b w:val="false"/>
          <w:bCs w:val="false"/>
          <w:i w:val="false"/>
          <w:iCs w:val="false"/>
          <w:color w:val="333333"/>
          <w:sz w:val="20"/>
          <w:szCs w:val="20"/>
        </w:rPr>
        <w:t>6:3/408</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9:482/111</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20:3/624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الغلول،قال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غل من الإمام فهو سحت،و السحت أنواع کثیرة،منها ثمن النبیذ المسکر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بسهل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السحت أنواع کثیرة،منها ثمن النبیذ و المسکر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بإبراهیم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الشیخ یرویها فی التهذیب بسنده عن الحسن بن محبوب و سنده هذا صحیح لا یشتمل علی إبراهیم 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5:1/126</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6:1062/368</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17:14/280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أیضا الباب المتقدّم فی الوسائل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 و علی بن حدید عن جمیل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لی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المالکیة لا یصح بیع المتنجّس الذی لا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الکتاب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الحنابلة یجوز بیع سباع البهائم کالفیل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مسمع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القرد أن تشتری أو تباع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بسهل و محمّد بن الحسن بن شمون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الأبواب المتقدّمة من الکتب المذکورة،و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السحت ثمن القرد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موثّقة سماعة المتقدّمة فی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رواه عیص بن القاسم،قال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الفهود و سباع الطیر هل یلتمس التجارة فیها؟قال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الأبواب المزبورة من الکافی و التهذیب و الوافی و الوسائل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موثّقة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بثمن الهر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سنذکرها فی بیع کلاب الصید 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رواه أبو مخلد السرّاج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 رجلان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رجل سرّاج أبیع جلود النمر،فقال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مدبوغة هی؟قال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به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بأبی مخلد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الأبواب المذکورة من التهذیب و الکافی و الوافی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جعفر فی کتابه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أخیه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جلود السباع و بیعها و رکوبها أیصلح ذلک؟قال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ما لم یسجد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السحت ثمن جلود السباع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السحت ثمن جلود السباع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باب ما جاء فی ثمن السنور،و فی الفقه علی المذاهب الأربعة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یصح بیع الهر؟خلاف،و المختار أنّه لا یجوز</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الکتاب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رواه إبراهیم بن عبد الحمید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شراء الرومیات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اشترهنّ و بعهنّ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إسماعیل بن الفضل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شراء مملوکی أهل الذمّة إذا أقرّوا لهم بذلک،فقال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أقرّوا لهم بذلک فاشتر و انکح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رفاعة النخاس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الروم یغیرون علی الصقالبة فیسرقون أولادهم من الجواری و الغلمان،فیعمدون إلی الغلمان فیخصونهم ثم یبعثون بهم إلی بغداد إلی التجّار،فما تری فی شرائهم و نحن نعلم أنّهم قد سرقوا و إنّما أغاروا علیهم من غیر حرب کانت بینهم؟فقال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بأس،إنّما أخرجوهم من الشرک إلی دار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بسهل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الصقالبة بالسین و الصاد جیل من الناس حمر الألوان کانوا بین بلغر و قسطنطنیة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زکریا بن آدم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قوم من العدو،إلی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سألته عن سبی الدیلم یسرق بعضهم من بعض و یغیر المسلمون علیهم بلا إمام،أیحلّ شراؤهم؟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أقرّوا بالعبودیة فلا بأس بشرائهم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بمحمد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مفتاح الکرامة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البیهقی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ثمن الکلب و السنور إلاّ کلب الصید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الصفحة الآتیة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3:435/105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الکافی عن أبی عبد اللّه العامری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ثمن الکلب الذی لا یصید،فقال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سحت،فأمّا الصیود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بالقاسم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عن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الرحمن بن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 الکلب الذی لا یصید سحت،ثم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بأس بثمن الهر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موثّقة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سیأتی فی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عنها بالصحیحة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لیث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الکلب الصیود،یباع؟فقال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 یؤکل ثمنه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فی سندها أبو جمیلة المفضّل بن صالح و لم یوثّقه فی المعجم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بصیر،قال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ثمن کلب الصید،قال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بثمنه،و الآخر لا یحلّ ثمنه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ثمن الکلب الذی لیس بکلب الصید 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6:1016/356</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17:8/279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3:435/105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بثمن کلب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ثمن الکلب سحت إلاّ کلب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الکتاب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الإجارة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مفتاح الکرامة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المتقدّم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المتقدّم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اغسل ثوبک من أبوال ما لا یؤکل 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بإبراهیم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1:770/264</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6:2/193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یطیر فلا بأس ببوله و خرئه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حسنة بإبراهیم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الأبواب المذکورة من الکافی و التهذیب و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أنّهما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تغسل ثوبک من بول شیء یؤکل 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بإبراهیم ابن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6:1/193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 عن الماء تبول فیه الدواب و تلغ فیه الکلاب و یغتسل فیه الجنب،قال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الماء قدر کر لم ینجّسه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1:651/226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أبواب أحکام الدواب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اقتنی کلبا إلاّ کلب ماشیة أو صید أو زرع فقد انتقص من أجره کل یوم قیراط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عَلَّمْتُمْ مِنَ الْجَوارِحِ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رخّص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اقتناء کلب الصید و کل کلب فیه منفعة مثل کلب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قیس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خیر فی الکلاب إلاّ کلب صید أو کلب ماشیة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20:4/869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أبواب أحکام الدواب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شرب العصیر؟قال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تشرب ما لم یغل فإذا غلی فلا تشربه،قلت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شیء الغلیان؟قال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إفاضة القدیر فی أحکام العصیر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مصدرها فی أول الکتاب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ثمن العصیر قبل أن یغلی لمن یبتاعه لیطبخه أو یجعله خمرا؟قال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بعته قبل أن یکون خمرا و هو حلال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بالقاسم ابن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المزبورة من الکتب المتقدّمة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المحقّق الکرکی و آثاره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إرشاد الأذهان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یجوز أن یبیع دهنا متنجّسا لیستعمله فی الدبغ و الاستضاءة به فی غیر المسجد،و فی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المالکیة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 بیع المتنجّس الذی لا یمکن تطهیره،کسمن وقعت فیه نجاسة علی المشهور،و ذهب بعضهم إلی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الدهن الذی سقطت فیه نجاسة فإنه لا یحل بیعه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هامش 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قواعد ابن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اختلفوا فی الزیت النجس و نحوه بعد اتّفاقهم علی تحریم أکله،فمنعه مالک و الشافعی،و جوّزه أبو حنیفة و ابن وهب إذا بیّن،و فی نوادر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الصحابة علی جواز بیع زیت و نحوه تنجّس بموت شیء فیه إذا بیّن ذلک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باب من أباح الاستصباح به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سنن البیهقی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القاسم و سالما عن الزیت تموت فیه الفارة أفنبیعه؟قال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عمران قالا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أشیر إلی ذلک فی موارد منها ما فی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جرذ مات فی زیت ما تقول فی بیع ذلک؟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بعه و بیّنه لمن اشتراه لیستصبح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 بالحسن بن محمد 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الفأرة تقع فی السمن أو فی الزیت فتموت فیه،فقال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جامدا فتطرحها و ما حولها و یؤکل ما بقی،و إن کان ذائبا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سئل عن الزیت یقع فیه شیء له دم فیموت،قال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الزیت خاصة یبیعه لمن یعمله صابونا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الراوندی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أشرنا مرارا عدیدة إلی وثاقة کتاب الأشعثیات المسمّی بالجعفریات،و لکن تبیّن أخیرا لسیدنا الاستاذ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أدام اللّه أیّام إفاضاته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الوجوه التی استند إلیها القائلون باعتبار الکتاب لا تخرجه عن الجهالة،فإنّ من جملة رواته موسی بن إسماعیل،و هو مجهول الحال فی کتب الرجال،و مهما بالغ المحدّث النوری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اعتباره و توثیق رواته،إلاّ أنّ ما أفاده لا یرجع إلی معنی محصّل ترکن إلیه النفس،و یطمئن به القلب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جعفر عن أخیه،قال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حب دهن ماتت فیه فارة،قال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تدهن به،و لا تبعه من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بعبد اللّه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الخلاف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السابع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المتقدّمتین فی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الخامس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هامش سنن البیهقی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عمران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القاسم و سالما عن الزیت تموت فیه الفارة أفنبیعه؟قال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 فی التهذیب </w:t>
      </w:r>
      <w:r>
        <w:rPr>
          <w:rFonts w:eastAsia="IRNazanin" w:cs="IRNazanin"/>
          <w:b w:val="false"/>
          <w:bCs w:val="false"/>
          <w:i w:val="false"/>
          <w:iCs w:val="false"/>
          <w:color w:val="333333"/>
          <w:sz w:val="20"/>
          <w:szCs w:val="20"/>
        </w:rPr>
        <w:t>8:164/51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قیس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رجل تزوّج امرأة و شرط لها إن هو تزوّج علیها امرأة أو هجرها أو اتّخذ علیها سریة فهی طالق،فقضی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شرط اللّه قبل شرطکم،فإن شاء وفی لها بالشرط،و إن شاء أمسکها و اتّخذ علیها و نکح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 بعلی بن الحسن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عبیدة الحذاء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أفتی الناس بغیر علم و لا هدی لعنته ملائکة الرحمة و ملائکة العذاب،و لحقه وزر من عمل بفتیاه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6:531/223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سنن البیهقی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علیّ ما لم أقل فلیتبوّأ بیتا فی جهنّم،و من أفتی بغیر علم کان إثمه علی من أفتاه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تواترت الروایات من الفریقین علی ذلک،و لکن خالفها أهل السنّة فی اصولهم و فروعهم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ففی البحار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الغارات باسناده عن کتاب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محمد بن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یا محمد صلاتک کیف تصلّیها لوقتها،فإنّه لیس من إمام یصلّی بقوم فیکون فی صلاته نقص إلاّ کانت علیه،و لا ینقص ذلک من صلاتهم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روایة 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یا محمّد صلاتک کیف تصلّیها،فإنّما أنت إمام،ینبغی لک أن تتمّها و أن تخفّفها و أن تصلّیها لوقتها،فإنّه لیس من إمام یصلّی بقوم فیکون فی صلاته و صلاتهم نقص إلاّ کان إثم ذلک علیه،و لا ینقص ذلک من صلاتهم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فی تحف العقول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انظر صلاتک کیف هی،فإنّک إمام و لیس من إمام یصلّی بقوم فیکون فی صلاتهم تقصیر إلاّ کان علیه أوزارهم،و لا ینقص من صلاتهم شیء،و لا یتمّها إلاّ کان له مثل اجورهم،و لا ینقص من اجورهم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بالحسن بن إبراهیم و عبایة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85:58/92</w:t>
      </w:r>
      <w:r>
        <w:rPr>
          <w:rFonts w:ascii="IRNazanin" w:hAnsi="IRNazanin" w:eastAsia="IRNazanin"/>
          <w:b w:val="false"/>
          <w:b w:val="false"/>
          <w:bCs w:val="false"/>
          <w:i w:val="false"/>
          <w:i w:val="false"/>
          <w:iCs w:val="false"/>
          <w:color w:val="333333"/>
          <w:sz w:val="20"/>
          <w:sz w:val="20"/>
          <w:szCs w:val="20"/>
          <w:rtl w:val="true"/>
        </w:rPr>
        <w:t xml:space="preserve">،و شرح النهج لابن أبی الحدید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یظهر ذلک من جملة من روایات العامة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 الناس فأصاب الوقت و أتم الصلاة فله و لهم،و من نقص من ذلک شیئا فعلیه و لا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الکافی و التهذیب عن غیاث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 أن تسقی الدواب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 بغیاث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التهذیب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البهیمة البقرة و غیرها تسقی أو تطعم ما لا یحل للمسلم أکله أو شربه،أیکره ذلک؟قال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یکره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بالحسن بن علی بن أبی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9:496/114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أعار رجلا ثوبا فصلّی فیه،و هو لا یصلّی فیه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یعلمه،قلت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أعلمه؟قال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 بعبد اللّه بن بکیر الفطحی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أنّ ذیل الروایة محمول علی الإعلام قبل الصلاة،جمعا بینها و بین ما دلّ علی عدم وجوب الإعادة فیما إذا کان بعد الصلاة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الرجل یری فی ثوب أخیه دما و هو یصلّی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یؤذنه حتّی ینصرف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3:8/406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اغتسل أبی من الجنابة فقیل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أبقیت لمعة فی ظهرک لم یصبها الماء،فقال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علیک لو سکت،ثم مسح اللمعة بیده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3:15/45</w:t>
      </w:r>
      <w:r>
        <w:rPr>
          <w:rFonts w:ascii="IRNazanin" w:hAnsi="IRNazanin" w:eastAsia="IRNazanin"/>
          <w:b w:val="false"/>
          <w:b w:val="false"/>
          <w:bCs w:val="false"/>
          <w:i w:val="false"/>
          <w:i w:val="false"/>
          <w:iCs w:val="false"/>
          <w:color w:val="333333"/>
          <w:sz w:val="20"/>
          <w:sz w:val="20"/>
          <w:szCs w:val="20"/>
          <w:rtl w:val="true"/>
        </w:rPr>
        <w:t xml:space="preserve">،و الباب المتقدّم من الوسائل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w:t>
      </w:r>
      <w:r>
        <w:rPr>
          <w:rFonts w:eastAsia="IRNazanin" w:cs="IRNazanin"/>
          <w:b w:val="false"/>
          <w:bCs w:val="false"/>
          <w:i w:val="false"/>
          <w:iCs w:val="false"/>
          <w:color w:val="333333"/>
          <w:sz w:val="20"/>
          <w:szCs w:val="20"/>
        </w:rPr>
        <w:t>9:237</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8:349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ذکرها فی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فیجوز أن یبیع دهنا متنجّسا لیستعمله فی الدبغ و دهن عدد الآلات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الماکینات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1033/261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مجمع البیان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الأرض و جمیع ما فیها نعم من اللّه تعالی مخلوقة لکم إمّا دینیة فتستدلون بها علی معرفته،و إمّا دنیاویة فتنتفعون بها بضروب النفع عاجلا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عبد الملک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فضل الهرّة و الشاة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أترک شیئا إلاّ سألت عنه؟فقال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به،حتّی انتهیت إلی الکلب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 نجس،لا تتوضّأ بفضله،و اصبب ذلک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1:646/225</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6:9/73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 أی خبیث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 الشیء القذر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رجس و رجال أرجاس،و الرجس علی أربعة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حیث الطبع،و إمّا من جهة العقل،و إمّا من جهة الشرع،و إمّا من کل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الرجس بالکسر القذر،و المأثم،و کل ما استقذر من العمل،و العمل المؤدّی إلی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 رجاسة عمل عملا قبیحا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مجمع البیان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الشیطان إیقاع العداوة بینکم بالإغواء المزیّن لکم ذلک حتی إذا سکرتم زالت عقولکم،و أقدمتم علی القبائح علی ما یمنعه منه عقولکم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الرجل کان یقامر فی ماله و أهله فیقمر،و یبقی حزینا سلیبا فیکسبه ذلک العداوة و البغضاء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الرجز</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 قدر طبخت و إذا فی القدر فأرة؟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یهراق مرقها،و یغسل اللحم و یؤکل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بالنوفلی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9:365/86</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19:11/118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وقعت الفارة فی السمن فماتت فیه،فإن کان جامدا فألقها و ما یلیها،و کل ما بقی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الخبر،و هی حسنة بإبراهیم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6:1/261</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9:360/85</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19:9/118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خشن یجعل علی قوائم السیوف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الجرب و هو داء یحدث فی الجلد بثورا صغارا لها حکّة شدیدة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قطرة خمر أو نبیذ مسکر قطرت فی قدر فیه لحم کثیر و مرق کثیر،قال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یهراق المرق،أو یطعمه أهل الذمّة أو الکلب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مهملة بالحسن بن المبارک،و ضعیفة بمحمد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6:1/422</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512/119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20:1/685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معه إناءان فیهما ماء،وقع فی أحدهما قذر،و لا یدری أیّهما،و لیس یقدر علی ماء غیرهما،قال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یهریقهما جمیعا و یتیمّم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بعثمان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 روایة عمّار الساباطی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لکنّها موثّقة لأجله و لمصدّق بن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1:662/229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6:17/60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الجنب یجعل الرکوة أو التور فیدخل إصبعه فیه؟قال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کانت یده قذرة فأهرقه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المتقدّمة من التهذیب و الوسائل و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 یشرب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موثّقة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أدخلت یدک فی الإناء و فیها شیء من ذلک فأهرق ذلک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موثّقة اخری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أصاب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یده فأدخل یده فی الماء قبل أن یفرغ علی کفّیه فلیهرق الماء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الباب المتقدّم من الوسائل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6:26/64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صحیحة البقباق المتقدّمة فی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سؤر الکلب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اصبب ذلک الماء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6:1/261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9:358/85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غیرهما،و الوافی </w:t>
      </w:r>
      <w:r>
        <w:rPr>
          <w:rFonts w:eastAsia="IRNazanin" w:cs="IRNazanin"/>
          <w:b w:val="false"/>
          <w:bCs w:val="false"/>
          <w:i w:val="false"/>
          <w:iCs w:val="false"/>
          <w:color w:val="333333"/>
          <w:sz w:val="20"/>
          <w:szCs w:val="20"/>
        </w:rPr>
        <w:t>19:9/118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البیهقی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الفأرة تقع فی السمن أو الزیت؟قال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استصبحوا به و لا تأکلوه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 من الأحادیث</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علی بن جعفر عن أخیه،إلی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سألته عن فأرة أو کلب شربا من زیت أو سمن،قال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جرّة أو نحوها فلا تأکله،و لکن ینتفع به بسراج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بعبد اللّه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 الزیت یقع فیه شیء له دم فیموت،قال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الزیت خاصة یبیعه لمن یعمله صابونا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بموسی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فی دعائم الإسلام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،و 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المحدّث النوری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اللّه مرقده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الفائدة الثانیة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النوادر،هو تألیف السید الإمام الکبیر ضیاء الدین أبی الرضا فضل اللّه بن علی الراوندی الکاشانی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حفید الحسن المثنّی بن الحسن المجتبی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وصفه العلاّمة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البیهقی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جملة من الأحادیث سئل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الفأرة تقع فی السمن،فقال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اطرحوها و ما حولها إن کان جامدا،فقالوا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 مائعا؟قال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فانتفعوا به و لا تأکلوه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یصح الانتفاع بالدهن النجس فی أی شیء من الأشیاء،و 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یحل الانتفاع بدهن المیتة،لأنه جزء منها،و قد حرّمها الشرع فلا تکون 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فتح القدیر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بحرمة الانتفاع بالمیتة،ثم جعل بطلان البیع دائرا مدار حرمة الانتفاع،و هی عدم المالیة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الفقه علی المذاهب الأربعة فی الموضع المتقدّم نقل اتّفاق المذاهب علی حرمة بیع النجس،و قد عرفت من شرح فتح القدیر الملازمة بین بطلان البیع و حرمة الانتفاع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فتح القدیر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محمد أنّه لو وقع شعر الخنزیر فی ماء قلیل لا یفسده،لأنّ حلّ الانتفاع به دلیل طهارته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الفقه علی المذاهب الأربعة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الحنفیة لا ینعقد بیع کل ما لا یباح الانتفاع به شرعا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فتح القدیر </w:t>
      </w:r>
      <w:r>
        <w:rPr>
          <w:rFonts w:eastAsia="IRNazanin" w:cs="IRNazanin"/>
          <w:b w:val="false"/>
          <w:bCs w:val="false"/>
          <w:i w:val="false"/>
          <w:iCs w:val="false"/>
          <w:color w:val="333333"/>
          <w:sz w:val="20"/>
          <w:szCs w:val="20"/>
        </w:rPr>
        <w:t>8:486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بعضهم حرمة الانتفاع بالنجس و نقضه بجواز الانتفاع بالسرقین،فإنه مع القول بنجاسته یجوز بیعه و الانتفاع به بخلاف العذرة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2:301/110</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لدینا نسخة منه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باب الخمر تجعل خلا،و التهذیب </w:t>
      </w:r>
      <w:r>
        <w:rPr>
          <w:rFonts w:eastAsia="IRNazanin" w:cs="IRNazanin"/>
          <w:b w:val="false"/>
          <w:bCs w:val="false"/>
          <w:i w:val="false"/>
          <w:iCs w:val="false"/>
          <w:color w:val="333333"/>
          <w:sz w:val="20"/>
          <w:szCs w:val="20"/>
        </w:rPr>
        <w:t>9:504/117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و الوافی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العروة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w:t>
      </w:r>
      <w:r>
        <w:rPr>
          <w:rFonts w:eastAsia="IRNazanin" w:cs="IRNazanin"/>
          <w:b w:val="false"/>
          <w:bCs w:val="false"/>
          <w:i w:val="false"/>
          <w:iCs w:val="false"/>
          <w:color w:val="333333"/>
          <w:sz w:val="20"/>
          <w:szCs w:val="20"/>
        </w:rPr>
        <w:t>2:351/559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محمد بن جعفر الأسدی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فیما ورد علیّ من الشیخ أبی جعفر محمد بن عثمان العمری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جواب مسائل إلی صاحب الزمان،إلی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سألت عنه عن أمر الضیاع التی لناحیتنا هل یجوز القیام بعمارتها و أداء الخراج منها و صرف ما یفضل من دخلها إلی الناحیة احتسابا للأجر و تقرّبا إلیکم،فلا یحل لأحد أن یتصرّف فی مال غیره بغیر إذنه،فکیف یحل ذلک فی مالنا،من فعل ذلک بغیر أمرنا فقد استحل منّا ما حرم علیه،و من أکل من أموالنا شیئا فإنّما یأکل فی بطنه نارا،و سیصلی سعیرا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البیهقی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أسمر بن مضرس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فبایعته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سبق إلی ما لم یسبقه إلیه مسلم فهو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الناس یتعادون یتخاطون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أول إحیاء الموات من المبسوط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لشیخ الطائفة،و فی 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إحیاء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سبق إلی ما لا یسبقه إلیه المسلم فهو أحقّ به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باب فی إحیاء أرض الموات،و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باب أحکام الأرضین،و الوافی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باب إحیاء الأرض الموات،و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کتاب إحیاء الموات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کتاب إحیاء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البیهقی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باب من أحیا أرضا مواتا عن عائشة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عمر أرضا لیست لأحد فهو أحق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 من أحادیثهم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سبل السّلام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علّة تحریم بیع الأصنام فقیل لأنّها لا منفعة فیها مباحة،و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بحیث إذا کسرت انتفع باکسارها جاز بیعها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 بیعها و هی أصنام للنهی،و یجوز بیع کسرها،إذ هی لیست بأصنام،و لا وجه لمنع بیع الأکسار أصلا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فی الهیکل أنه بیت للصنم کما نصّ علیه الجوهری و غیره و أمّا إطلاقه علی نفس الصنم فلعلّه من باب المجاز،إطلاقا لاسم المحل علی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تاج العروس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هیکل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الضخم من کل شیء،و الهیکل بیت للنصاری فیه صنم علی صورة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یزعمون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 النصاری حول بیت الهیکل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فی المحکم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صورة مریم و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یسمّی دیرهم هیکلا،و الهیکل البناء المشرف،قیل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الأصل،ثم سمّی به بیوت الأصنام مجازا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تاج العروس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الأنصاب و هی حجارة کانت حول الکعبة تنصب فیهل علیها و یذبح لغیر اللّه تعالی،قاله ابن سیده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واحدها نصب کعنق و أعناق،أو نصب بالضم کقفل و أقفال،قال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الْأَنْصابُ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ذُبِحَ عَلَی النُّصُبِ الأنصاب الأوثان،و قال القتیبی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 صنم أو حجر،و کانت الجاهلیة تنصبه تذبح عنده فیحمر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النصیب الحجارة تنصب علی الشیء،و جمعه نصائب و نصب،و کان للعرب حجارة تعبدها،و تذبح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أبی الجارود فی تفسیر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الأنصاب الأوثان التی یعبدها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التعرّض لهذا الحدیث فی البحث عن بیع آلات القمار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2:301/110</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دعائم الإسلام </w:t>
      </w:r>
      <w:r>
        <w:rPr>
          <w:rFonts w:eastAsia="IRNazanin" w:cs="IRNazanin"/>
          <w:b w:val="false"/>
          <w:bCs w:val="false"/>
          <w:i w:val="false"/>
          <w:iCs w:val="false"/>
          <w:color w:val="333333"/>
          <w:sz w:val="20"/>
          <w:szCs w:val="20"/>
        </w:rPr>
        <w:t>2:22/18</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اذینة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أسأله عن رجل له خشب فباعه ممّن یتّخذه صلبانا؟قال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بإبراهیم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عمرو بن حریث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التوت أبیعه یصنع به الصلیب و الصنم؟قال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حریز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فالروایة ضعیفة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المشهور هو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ذکر فی بعض نسخ الوسائل أبان بن عیسی فی سند الروایة بدل أبان عن عیسی،و هو من سهو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5:2/226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6:1082/373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البیهقی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مکّة یوم الفتح و حول البیت ثلاثمائة و ستّون نصبا،فجعل یطعنها بعود بیده 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الحق و ما یبدئ الباطل و ما یعید جاءَ الْحَقُّ وَ زَهَقَ الْباطِلُ إِنَّ الْباطِلَ کانَ زَهُوقاً و رواه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صحیحه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صحیحه </w:t>
      </w:r>
      <w:r>
        <w:rPr>
          <w:rFonts w:eastAsia="IRNazanin" w:cs="IRNazanin"/>
          <w:b w:val="false"/>
          <w:bCs w:val="false"/>
          <w:i w:val="false"/>
          <w:iCs w:val="false"/>
          <w:color w:val="333333"/>
          <w:sz w:val="20"/>
          <w:szCs w:val="20"/>
        </w:rPr>
        <w:t>3:87/1408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Pr>
        <w:t>76/38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جابر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دخلنا مع النبی مکة و فی البیت و حوله ثلاثمائة و ستّون صنما،فأمر بها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فألقیت کلّها لوجوهها،و کان علی البیت صنم طویل یقال له هبل،فنظر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علی 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ترکب علیّ أو أرکب علیک لالقی هبل عن ظهر الکعبة؟قلت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بل ترکبنی،فلمّا جلس علی ظهری لم أستطع حمله لثقل الرسالة،قلت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بل أرکبک،فضحک و نزل و طأطأ لی ظهره و استویت علیه،فو الذی فلق الحبّة و برأ النسمة لو أردت أن امسک السماء لمسکتها بیدی،فألقیت هبل عن ظهر الکعبة،فأنزل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جاءَ الْحَقُّ وَ زَهَقَ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أحمد بن حنبل و أبی بکر الخطیب فی کتابیهما ما یقرب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أحمد بن حنبل و أبی یعلی الموصلی فی مسندیهما و أبی بکر الخطیب فی تاریخه،و محمد ابن الصباح الزعفرانی فی الفضائل،و الخطیب الخوارزمی فی أربعینه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رَفَعْناهُ مَکاناً عَلِیًّا أنه نزل فی صعود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ظهر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لقلع الصنم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 کلام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الخامس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أراد مثل العنب و الخشب و السلاح</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76:1/228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الْخَمْرُ وَ الْمَیْسِرُ الخ،أمّا الخمر فکل مسکر من الشراب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المیسر فالنرد و الشطرنج،و کل قمار میسر،و أمّا الأنصاب فالأوثان التی کانت تعبدها المشرکون،و أمّا الأزلام فالأقداح التی کانت تستقسم بها المشرکون من العرب فی الجاهلیة،کل هذا بیعه و شراؤه و الانتفاع بشیء من هذا حرام من اللّه محرّم،و هو رجس من عمل الشیطان،و قرن اللّه الخمر و المیسر مع الأوثان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بأبی الجارود و هو زیاد بن منذر،یکنّی بأبی النجم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رجال المامقانی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أبی بصیر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الکذّابین و المکذّبین و الکفّار،ثم لعن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زیدی المذهب،و کان أعمی القلب و البصر و یسمّی سرحوب و هو اسم الشیطان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إدریس فی آخر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الصدوق باسناده عن الحسین بن زید عن الصادق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المناهی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بیع النرد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Pr>
        <w:t>100:9/44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حرمة بیع الشطرنج،أضاف إلیه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 من الخاتمة فی شرح مشیخة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فالخبر ضعیف علی المشهور،لجهالة بعض رواته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تلوح من متنه آثار الصدق،و لیس فیه من آثار الوضع علامة،و اللّه العالم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باب کراهة اللعب بالنرد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،مادّة قمر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فتح القدیر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أحد العوضین أو کلاهما محرّما فالبیع فاسد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الفقه علی المذاهب الأربعة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شرائط المعقود علیه أن یکون منتفعا به شرعا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ینعقد بیع کل ما لا یباح الانتفاع به شرعا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المالکیة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شرائط المعقود علیه أن یکون منتفعا به شرعا،فلا یصح بیع آلة اللهو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إجارة آلات الطرب و 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شبهة فی ظهور کلمات هؤلاء،بل صراحة بعضها فی حرمة بیع آلات الملاهی،فإنّ الانتفاع بها حرام فی الشریعة المقدّسة بالاتّفاق،و لا ینافی ذلک ما سیأتی فی البحث عن حرمة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ذهاب العامّة إلی جواز الغناء فی نفسه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سنتعرّض لهذه الأخبار المنقولة من الفریقین فی البحث عن حرمة الغناء فی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أبی الفتوح فی تفسیره عن أبی امامة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بعثنی هدی و رحمة للعالمین،و أمرنی أن أمحو المزامیر و المعازف و الأوتار و الأوثان و امور الجاهلیة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آلات المزامیر شراؤها و بیعها و ثمنها و التجارة بها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 فی أواخر 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 الأکل و الشرب فی آنیة من ذهب أو فضّة إجماعا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 النهج کثیر من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الفقه علی المذاهب الأربعة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فیحرم اتّخاذ الآنیة من الذهب و الفضّة،فلا یحل لرجل أو امرأة أن یأکل أو یشرب فیها،و کذلک لا یحل التطیّب منها أو الإدهان أو غیر ذلک و کما یحرم استعمالها یحرم اقتناؤها بدون استعمال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 من کلمات العامّة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باب الأکل و الشرب فی آنیة الذهب و الفضّة،و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نهی عن استعمال أوانی الذهب و الفضّة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التهذیب </w:t>
      </w:r>
      <w:r>
        <w:rPr>
          <w:rFonts w:eastAsia="IRNazanin" w:cs="IRNazanin"/>
          <w:b w:val="false"/>
          <w:bCs w:val="false"/>
          <w:i w:val="false"/>
          <w:iCs w:val="false"/>
          <w:color w:val="333333"/>
          <w:sz w:val="20"/>
          <w:szCs w:val="20"/>
        </w:rPr>
        <w:t>7:466/109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18:8/647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أبواب الصرف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الجعفی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فالقی بین یدیه دراهم،فألقی إلیّ درهما منها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أیش هذا؟فقلت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ستوق،فقال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الستوق؟فقلت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طبقتین فضة و طبقة من نحاس و طبقة من فضّة،فقال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اکسرها،فإنه لا یحل بیع هذا و لا إنفاقه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بعلی بن الحسن الصیرفی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الستوق بالضم و الفتح معا،و تشدید التاء،و تستوق بضم 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الزیف البهرج الملبّس بالفضة،طبقتین 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 طبقة من فضة،و کأنّه ممّا صحّفه النسّاخ،و حمل منع انفاقه فی التهذیبین علی ما إذا لم یبیّن أنه کذلک،فیظن الآخذ أنه جید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5:3/160</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7:50/12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17:3/466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بکر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کنّا عند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دنانیر مصبوبة بین یدیه،فنظر إلی دینار فأخذه بیده ثم قطعه بنصفین ثم 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ألقه فی البالوعة حتی لا یباع شیء فیه 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بالإرسال،و بالحسن ابن علی بن أبی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لقبه سجادة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أبواب الصرف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2:59/29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الستوق و هو المطبق علیه الفضة و داخله 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یقطع و لا یحل أن ینفق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التهذیب </w:t>
      </w:r>
      <w:r>
        <w:rPr>
          <w:rFonts w:eastAsia="IRNazanin" w:cs="IRNazanin"/>
          <w:b w:val="false"/>
          <w:bCs w:val="false"/>
          <w:i w:val="false"/>
          <w:iCs w:val="false"/>
          <w:color w:val="333333"/>
          <w:sz w:val="20"/>
          <w:szCs w:val="20"/>
        </w:rPr>
        <w:t>7:467/109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18:2/645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أبواب الصرف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یعمل الدراهم،یحمل علیها النحاس أو غیره ثم یبیعها؟قال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بیّن ذلک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7:476/110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عمیر عن عبد الرحمن بن الحجّاج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اشتری الشیء بالدراهم فاعطی الناقص الحبّة و الحبّتین؟قال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لا،حتی تبیّنه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المحدّث النوری فی المستدرک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الفائدة السادسة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التعرّض لمشیخة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 محمّد بن أبی عمیر ثلاث طرق حسنات فی المشیخة و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فالروایة المذکورة حسنة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یشیر إلی ما یذکره فی الجزء السابع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السابع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قالوا بحرمة بیع الدکّان لیباع فیه الخمر و نحوها ممّا یفسد العقل،أو یتّخذ بیوتا للدعارة،أو محلا للفسق،أو نحو ذلک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السابع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الثانی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المبسوط للسرخسی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تجوز الإجارة علی شیء من الغناء و النوح و المزامیر و الطبل و شیء من اللهو،لأنّه معصیة،و الاستئجار علی المعاصی باطل،فإنّ بعقد الإجارة یستحق تسلیم المعقود علیه شرعا،و لا یجوز أن یستحق علی المرء فعل به یکون عاصیا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الفقه علی المذاهب الأربعة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جملة الإجارات الممتنعة الإجارة علی تعلیم الغناء،فإنّها لا تصح،و کل ما لا یباح لا یصح تأجیره،و من ذلک اجرة آلات الطرب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 الاستئجار علی المعاصی مثل الغناء و النوح و الملاهی،کاستئجار بعض الفارغین من الشبّان لیقوموا بأناشید سخیفة و یتبادلون فی مجلسهم الخمور و المحرّمات فإنّ استئجارهم کبیرة لا یحل لمسلم أن یفعلها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الهدایة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الاستئجار علی الغناء و النوح و کذا سائر الملاهی،لأنه استئجار علی المعصیة،و المعصیة لا تستحق بالعقد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أحکام القرآن للجصّاص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تسمیة اللّه المهر أجرا دلیل علی صحة قول أبی حنیفة فی من استأجر امرأة فزنا بها أنّه لا حدّ علیه،لأنّ اللّه تعالی قد سمّی المهر أجرا،فهو کمن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أمهرک کذا،و قد روی نحوه عن عمر بن الخطّاب،و مثل هذا یکون نکاحا فاسدا،لأنّه بغیر شهود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المبسوط للسرخسی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استأجر الذمّی من المسلم بیتا لیبیع فیه الخمر لم یجز لأنه معصیة،فلا ینعقد العقد علیه و لا أجر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أبی حنیفة و الشافعی یجوز هذا العقد لعدم ورود العقد علی بیع الخمر،بل علی منفعة البیت،فله أن یبیع فیه شیئا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الفقه علی المذاهب الأربعة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إجارة الدکّان لیباع فیه الخمر و نحوها ممّا یفسد العقل أو یضرّ بالبدن فإنّها لا تصح،و کذلک إجارة المنازل للدعارة و 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فتح القدیر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محمد فی الجامع الصغیر بأنه لا بأس عند أبی حنیفة أن تؤاجر بیتک لیتّخذ فیه بیت نار أو کنیسة أو بیعة أو یباع الخمر فیه بالسواد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التهذیب صابر بدل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الرجل یؤاجر بیته فیباع فیه الخمر،قال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أجره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نسخة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أسأله عن الرجل یؤاجر سفینته و دابته ممّن یحمل علیها أو فیها الخمر و الخنازیر؟قال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بإبراهیم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فی روایة جابر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اکتری دابة أو سفینة فحمل علیها المکتری خمرا أو خنازیر أو ما یحرم لم یکن علی صاحب الدابة شیء،و إن تعاقدا علی حمل ذلک فالعقد فاسد،و الکراء علی ذلک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دعائم الإسلام </w:t>
      </w:r>
      <w:r>
        <w:rPr>
          <w:rFonts w:eastAsia="IRNazanin" w:cs="IRNazanin"/>
          <w:b w:val="false"/>
          <w:bCs w:val="false"/>
          <w:i w:val="false"/>
          <w:iCs w:val="false"/>
          <w:color w:val="333333"/>
          <w:sz w:val="20"/>
          <w:szCs w:val="20"/>
        </w:rPr>
        <w:t>2:229/78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57:5/299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الوشاء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أبو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شراء المغنّیة،فقال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تکون للرجل الجاریة تلهیه،و ما ثمنها إلاّ ثمن کلب،و ثمن الکلب سحت،و السحت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بسهل بن زیاد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الطاهری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 رجل عن بیع الجواری المغنّیات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شراؤهنّ و بیعهنّ حرام،و تعلیمهنّ کفر،و استماعهنّ 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بالطاهری و سهل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إبراهیم بن أبی البلاد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أوصی إسحاق بن عمر عند وفاته بجوار له مغنّیات أن نبیعهنّ و نحمل ثمنهنّ إلی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فبعت الجواری بثلاثمائة ألف درهم و حملت الثمن إلیه،فقلت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مولی لک یقال له إسحاق بن عمر قد أوصی عند موته ببیع جوار له مغنّیات و حمل الثمن إلیک،و قد بعتهنّ و هذا الثمن ثلاثمائة ألف درهم،فقال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حاجة لی فیه،إنّ هذا سحت،و تعلیمهنّ کفر،و الاستماع منهنّ نفاق،و ثمنهنّ 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5:4/120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6:1019/357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17:4/207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المذکور من الوسائل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76:10/242</w:t>
      </w:r>
      <w:r>
        <w:rPr>
          <w:rFonts w:ascii="IRNazanin" w:hAnsi="IRNazanin" w:eastAsia="IRNazanin"/>
          <w:b w:val="false"/>
          <w:b w:val="false"/>
          <w:bCs w:val="false"/>
          <w:i w:val="false"/>
          <w:i w:val="false"/>
          <w:iCs w:val="false"/>
          <w:color w:val="333333"/>
          <w:sz w:val="20"/>
          <w:sz w:val="20"/>
          <w:szCs w:val="20"/>
          <w:rtl w:val="true"/>
        </w:rPr>
        <w:t>عن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إبراهیم بن أبی البلاد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الحسن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فداک،إنّ رجلا من موالیک عنده جوار مغنّیات،قیمتهنّ أربعة عشر ألف دینار،و قد جعل لک ثلثها،فقال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حاجة لی فیها،إنّ ثمن الکلب و المغنّیة 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هذا الباب من الوسائل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یعقوب فی التوقیعات،إلی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ثمن المغنّیة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بمحمد بن عصام الکلینی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البیهقی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تبتاعوا المغنّیات و لا تشتروهنّ،و لا تعلّموهنّ،و لا خیر فی تجارة فیهنّ،و ثمنهنّ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مثل هذا الحدیث نزلت وَ مِنَ النّاسِ مَنْ یَشْتَرِی لَهْوَ الْحَدِیثِ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فی تفسیر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اشتراؤه المغنّی و المغنّیة بالمال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الاستماع إلیه و إلی مثله من الباطل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التهذیب </w:t>
      </w:r>
      <w:r>
        <w:rPr>
          <w:rFonts w:eastAsia="IRNazanin" w:cs="IRNazanin"/>
          <w:b w:val="false"/>
          <w:bCs w:val="false"/>
          <w:i w:val="false"/>
          <w:iCs w:val="false"/>
          <w:color w:val="333333"/>
          <w:sz w:val="20"/>
          <w:szCs w:val="20"/>
        </w:rPr>
        <w:t>6:1151/387</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17:34/217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الحسن الدینوری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فداک،فأشتری المغنّیة أو الجاریة تحسن أن تغنّی،ارید بها الرزق،لا سوی ذلک؟قال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 و 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رجال المامقانی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2:6810/177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فیه إلاّ علی روایة الشیخ فی باب المکاسب من التهذیب عن البرقی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المذکور من الوسائل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رجل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شراء جاریة لها صوت،فقال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علیک لو اشتریتها فذکّرتک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کسب المغنّیات؟فقال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یدخل علیها الرجال حرام،و التی تدعی إلی الأعراس لیس به بأس،و هو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یَشْتَرِی لَهْوَ الْحَدِیثِ لِیُضِلَّ عَنْ سَبِیلِ اللّهِ و هی ضعیفة بعلی بن أبی حمزة بن سالم البطائنی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المغنّیة التی تزفّ العرائس لا بأس بکسبها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بحکم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 المغنّیة التی تزفّ العرائس لیس به بأس و لیست بالتی یدخل علیها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بن قابوس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المغنّیة ملعونة،ملعون من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البیهقی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أفتی بکراهة بیع العصیر ممّن یعصر الخمر و السیف ممّن یعصی اللّه عزّ و جلّ،و فی المبسوط للسرخسی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ببیع العصیر ممّن یجعله خمرا،لأنّ العصیر مشروب طاهر حلال فیجوز بیعه و أکل ثمنه،و لا فساد فی قصد البائع،إنّما الفساد فی قصد المشتری،و لا تزر وازرة وزر اخری،و کره ذلک أبو یوسف و محمد استحسانا،لکونه إعانة علی المعصیة،و ذلک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فتح القدیر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ببیع العصیر ممّن یعلم أنه یتّخذه خمرا،لأنّ المعصیة لا تقام بعینه بل بعد تغییره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الفقه علی المذاهب الأربعة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أفضی إلی محرّم فهو حرام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قد تقدّم فی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فی البحث عن حرمة بیع هیاکل العبادة المبتدعة فی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أبی بصیر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ثمن العصیر قبل أن یغلی لمن یبتاعه لیطبخه أو یجعله خمرا؟قال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بعته قبل أن یکون خمرا و هو حلال،فلا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بالقاسم بن محمد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الحلبی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بیع عصیر العنب ممّن یجعله حراما؟فقال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به،تبیعه حلالا فیجعله حراما،أبعده اللّه و أسحقه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اذینة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 أبی عبد اللّه أسأله عن رجل له کرم،أیبیع العنب و التمر ممّن یعلم أنه یجعله خمرا أو سکرا؟فقال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باعه حلالا فی الأبان الذی یحل شربه أو أکله،فلا بأس ببیعه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بإبراهیم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الخمر و نبیذ یتّخذ من التمر،و فیه أیضا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إبان الشیء بالکسر و 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حینه أو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التشدید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فی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الروایة إلی رفاعة من سهو القلم،بل هی صحیحة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اذینة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أسأله عن رجل له خشب فباعه ممّن یتّخذ منه برابط،فقال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رجل له خشب فباعه ممّن یتخذه صلبانا،فقال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قد ذکرنا مصدرها فی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بأس ببیع الخشب ممّن یتخذه برابط،و لا یجوز بیعه لمن یتخذه صلبانا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المحقّق الکرکی و آثاره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شرح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المحقّق النراقی،راجع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اسْتَعِینُوا بِالصَّبْرِ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اخری یعنی الصیام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6:8/266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9:376/89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19:6/133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غیرها،و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أکل الطین فمات فقد أعان علی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بالنوفلی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أکلته و مت کنت قد أعنت علی نفسک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سنن البیهقی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انهمک فی أکل الطین فقد أعان علی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حدیث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أکل الطین فکأنّما أعان علی قتل نفسه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أباه قال لجماعة من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إنّی لاحب ریحکم و أرواحکم فأعینوا علی ذلک بورع و 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ابن أبی یعفور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فأعینوا علی ما أنتم علیه بالورع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w:t>
      </w:r>
      <w:r>
        <w:rPr>
          <w:rFonts w:eastAsia="IRNazanin" w:cs="IRNazanin"/>
          <w:b w:val="false"/>
          <w:bCs w:val="false"/>
          <w:i w:val="false"/>
          <w:iCs w:val="false"/>
          <w:color w:val="333333"/>
          <w:sz w:val="20"/>
          <w:szCs w:val="20"/>
        </w:rPr>
        <w:t>5:5/650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میسر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فأعینوا بورع و اجتهاد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أبواب القصاص فی النفس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أعان علی قتل مؤمن بشطر کلمة لقی اللّه و بین عینیه مکتوب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آیس من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5:3/707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المبسوط للسرخسی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یوسف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بیع العصیر و العنب ممّن یتّخذه خمرا إعانة علی المعصیة و تمکین منها،و ذلک حرام،و إذا امتنع البائع من البیع یتعذّر علی المشتری اتّخاذ الخمر،فکان فی البیع منه تهیج الفتنة،و فی الامتناع تسکینها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الفقه علی المذاهب الأربعة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أفضی إلی محرّم فهو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الهدایة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یکره بیع السلاح فی أیّام الفتنة،لأنه تسبیب إلی المعصیة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ضعیفة بإبراهیم بن إسحاق الأحمری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10:863/219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أبواب القصاص فی النفس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ثلاثة نفر رفعوا إلی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منهم أمسک رجلا،و أقبل الآخر فقتله،و الآخر یراهم،فقضی فی الرؤیة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 الربیئة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تسمل عیناه،و فی الذی أمسک أن یسجن حتی یموت کما أمسکه،و قضی فی الذی قتل أن یقتل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بالنوفلی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موثّقة ضریس المتقدّمة فی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تقدّمت روایتان علی جواز بیع الخشب ممّن یجعله برابط فی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الحکیم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التجرید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الواجب واجب،و کذا النهی عن المنکر،و بالمندوب مندوب سمعا،و إلاّ لزم ما هو خلاف الواقع،و الإخلال بحکمته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تبعه فی هذا الرأی شرّاح التجرید کالعلاّمة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القوشجی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 تجرید العقائد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الهدایة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یکره بیع السلاح فی أیّام الفتنة ممّن یعرف أنه من أهل الفتنة،لأنه تسبیب إلی المعصیة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ینبغی أن یباع السلاح من أهل الحرب و لا یجهّز إلیهم،لأنّ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بیع السلاح من أهل الحرب و حمله إلیهم و لأنّ فیه تقویتهم علی قتال المسلمین فیمنع من ذلک،و کذا الکراع لما بیّنا،و کذلک الحدید لأنه أصل السلاح،و کذا بعد الموادعة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سنن البیهقی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حصین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بیع السلاح فی الفتنة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5:1/122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6:1005/354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باب بیع السلاح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الحضرمی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دخلنا 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حکم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 فیما یحمل إلی الشام من السروج و أداتها؟فقال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بأس،أنتم الیوم بمنزلة أصحاب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6:1128/382</w:t>
      </w:r>
      <w:r>
        <w:rPr>
          <w:rFonts w:ascii="IRNazanin" w:hAnsi="IRNazanin" w:eastAsia="IRNazanin"/>
          <w:b w:val="false"/>
          <w:b w:val="false"/>
          <w:bCs w:val="false"/>
          <w:i w:val="false"/>
          <w:i w:val="false"/>
          <w:iCs w:val="false"/>
          <w:color w:val="333333"/>
          <w:sz w:val="20"/>
          <w:sz w:val="20"/>
          <w:szCs w:val="20"/>
          <w:rtl w:val="true"/>
        </w:rPr>
        <w:t xml:space="preserve">،و الباب المتقدّم من الوافی و الوسائل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الصیقل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رجل صیقل أشتری السیوف و أبیعها من السلطان،أجائز لی بیعها؟فکتب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بأبی القاسم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Pr>
        <w:t>100:1/61</w:t>
      </w:r>
      <w:r>
        <w:rPr>
          <w:rFonts w:ascii="IRNazanin" w:hAnsi="IRNazanin" w:eastAsia="IRNazanin"/>
          <w:b w:val="false"/>
          <w:b w:val="false"/>
          <w:bCs w:val="false"/>
          <w:i w:val="false"/>
          <w:i w:val="false"/>
          <w:iCs w:val="false"/>
          <w:color w:val="333333"/>
          <w:sz w:val="20"/>
          <w:sz w:val="20"/>
          <w:szCs w:val="20"/>
          <w:rtl w:val="true"/>
        </w:rPr>
        <w:t xml:space="preserve">،و الباب المتقدّم من الوسائل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جعفر فی کتابه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أخیه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حمل المسلمین إلی المشرکین التجارة،قال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یحملوا سلاحا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4:821/257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أوصی به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کفر باللّه العظیم من هذه الامة عشرة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الساحر،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الدیوث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ناکح المرأة حراما فی دبرها،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ناکح البهیمة،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نکح ذات محرم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الساعی فی الفتنة،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بائع السلاح من أهل الحرب،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مانع الزکاة،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وجد سعة فمات و لم یحجّ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بحماد بن عمرو،و أنس بن محمد،و أبیه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أَعِدُّوا لَهُمْ مَا اسْتَطَعْتُمْ مِنْ قُوَّةٍ وَ مِنْ رِباطِ الْخَیْلِ تُرْهِبُونَ بِهِ عَدُوَّ اللّهِ وَ عَدُوَّکُمْ وَ آخَرِینَ مِنْ دُونِهِمْ لا تَعْلَمُونَهُمُ اللّهُ یَعْلَمُهُمْ الأنفال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هند السراج المتقدّمة فی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تاج العروس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السلاح بالکسر و السلح کعنب و السلحان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الحرب،و 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یقاتل به فی الحرب و یدافع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حدیدتها،أی ما کان من الحدید،کذا خصّه بعضهم،یذکّر و یؤنّث،و التذکیر أعلی،لأنه یجمع علی أسلحة،و هو جمع المذکّر،مثل حمار و أحمرة،و رداء و أردیة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السلاح القوس بلا وتر،و العصا تسمّی سلاحا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،مادّة سلح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 الَّذِینَ کَفَرُوا لَوْ تَغْفُلُونَ عَنْ أَسْلِحَتِکُمْ هی جمع سلاح بالکسر،و هو ما یقاتل به فی الحرب و یدافع،و التذکیر فیه أغلب من التأنیث،و یجمع فی التذکیر علی أسلحة،و علی التأنیث سلاحات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المجن و المجنة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الترس،و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وقی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المغفر کمنبر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 من الدرع یلبس تحت القلنسوة أو حلق یتقنّع بها المتسلّح</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تاج العروس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وقاء کل شیء و ستره،و کن أمره عنه أخفاه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أکن الشیء ستره،و فی التنزیل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أَکْنَنْتُمْ فِی أَنْفُسِکُمْ أی أخفیتم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المتقدّمتین فی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5:3/113</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6:1006/354</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الفئتین تلتقیان من أهل الباطل،أبیعهما السلاح؟فقال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بعهما ما یکنهما الدرع</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البغاث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البغاث مثلّثة طائر أغبر،جمع کغزلان و شرار الطیور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الرخم طائر من الجوارح الکبیرة الجثّة الوحشیة الطباع،الواحدة رخمة الجمع رخم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القاموس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الرخم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 بیع الحشرات و الهوام کالحیات و العقارب إذا کان ینتفع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الحنابلة لا یصح بیع الحشرات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لم یکن من شأنه الانتفاع به کحبّة من الحنطة فلا یجوز بیعه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باعه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شراه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شریت بمعنی بعت أکثر،و ابتعت بمعنی اشتریت 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شَرَوْهُ بِثَمَنٍ بَخْسٍ أی باعوه،و کذلک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یَشْرُونَ الْحَیاةَ الدُّنْیا بِالْآخِرَةِ و تجوّز بالشراء و الاشتراء فی کل ما یحصل به شیء،نحو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یَشْتَرُونَ بِعَهْدِ اللّهِ لا یَشْتَرُونَ بِآیاتِ اللّهِ اِشْتَرَوُا الْحَیاةَ الدُّنْیا اِشْتَرَوُا الضَّلالَةَ إِنَّ اللّهَ اشْتَری مِنَ الْمُؤْمِنِینَ وَ مِنَ النّاسِ مَنْ یَشْرِی نَفْسَهُ ابْتِغاءَ مَرْضاتِ اللّهِ فمعنی یشری یبیع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الروایة 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رأی رجلا یحمل هرّة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أبیعها،فلا حاجة لی بها،قال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تصدّق بثمنها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 بیع الحیوانات بأجمعها سوی الخنزیر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الحنابلة أنه هل یصح بیع الهر؟خلاف،و المختار أنه لا 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القائلین بحرمة بیع الهر قد استندوا إلی جملة من الأحادیث المرویة عن النبی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أبواب الودیعة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کنز العمال للمتّقی الهندی </w:t>
      </w:r>
      <w:r>
        <w:rPr>
          <w:rFonts w:eastAsia="IRNazanin" w:cs="IRNazanin"/>
          <w:b w:val="false"/>
          <w:bCs w:val="false"/>
          <w:i w:val="false"/>
          <w:iCs w:val="false"/>
          <w:color w:val="333333"/>
          <w:sz w:val="20"/>
          <w:szCs w:val="20"/>
        </w:rPr>
        <w:t>10:29811/360</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5:19582/632</w:t>
      </w:r>
      <w:r>
        <w:rPr>
          <w:rFonts w:ascii="IRNazanin" w:hAnsi="IRNazanin" w:eastAsia="IRNazanin"/>
          <w:b w:val="false"/>
          <w:b w:val="false"/>
          <w:bCs w:val="false"/>
          <w:i w:val="false"/>
          <w:i w:val="false"/>
          <w:iCs w:val="false"/>
          <w:color w:val="333333"/>
          <w:sz w:val="20"/>
          <w:sz w:val="20"/>
          <w:szCs w:val="20"/>
          <w:rtl w:val="true"/>
        </w:rPr>
        <w:t xml:space="preserve">،و سنن أبی داود السجستانی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3561/296</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،و نیل الأوطار للشوکانی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سمرة بن جندب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الید ما أخذت حتّی تؤدّی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النهج لابن أبی الحدید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سمرة هو الذی کان یحرّض الناس لحرب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نائبا عن ابن زیاد فی البصرة عند مجیئه إلی الکوفة،و هو صاحب النخلة فی بستان الأنصاری،و من المنحرفین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الکرکی فی جامع المقاصد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2:301/110</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فتح القدیر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عن وصل شعر الإنسان بشعر المرأة،لحدیث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الواصلة و المستوصلة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الفقه علی المذاهب الأربعة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البیوع الباطلة بیع شعر الإنسان،لأنّه لا یجوز الانتفاع به،لحدیث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 قد رخّص فی الشعر المأخوذ من الوبر لیزید فی ضفائر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سنن البیهقی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من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الواصلة و المستوصلة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5:1/118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6:1035/360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باب کسب الماشطة و الخافضة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ام حبیب الخافضة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کانت لام حبیب اخت یقال لها ام عطیة،و کانت مقینة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ماشطة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انصرفت ام حبیب إلی اختها فأخبرتها بما قال لها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فأقبلت ام عطیة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فأخبرته بما قالت لها اختها،فقال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ادنی منّی یا ام عطیة،إذا أنت قینت الجاریة فلا تغسلی وجهها بالخرقة،فإنّ الخرقة تذهب بماء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تشرب ماء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تقیین الجواری تزیینها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اقتان الرجل إذا حسن،و اقتانت الروضة أخذت زخرفها،و منه قیل للماشطة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مقینة،و قد قیّنت العروس تقیینا زیّنتها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اقتان النبت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عمیر عن رجل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ماشطة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ترکت عملک أو أقمت علیه؟فقالت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أعمله إلاّ أن تنهانی عنه فأنتهی عنه،فقال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افعلی،فإذا مشطت فلا تجلی الوجه بالخرقة،فإنه یذهب بماء الوجه،و لا تصلی الشعر بالشعر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بابن أشیم و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شعر المعز فلا بأس بأن یوصل بشعر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سهو القلم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3:378/98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بکسب الماشطة ما لم تشارط و قبلت ما تعطی و لا تصل شعر المرأة بشعر امرأة غیرها،و أمّا شعر المعز فلا بأس بأن توصله بشعر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صحیحة سلیمان بن جعفر الجعفری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 علی غلمانه یضربهم بالسوط لعدم مقاطعتهم علی اجرة الأجیر قبل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مسعدة بن صدقة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الآخر فلا یستعملن أجیرا حتی یعلمه ما أجره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بمسعدة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7:932/212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کتاب الإجارة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علی بن غراب عن جعفر بن محمد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النامصة و المنتمصة و الواشرة و الموتشرة و الواصلة و المستوصلة و الواشمة و المستوشمة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بعلی بن غراب و غیره من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بن غراب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النامصة التی تنتف الشعر،و المنتمصة التی یفعل ذلک بها و الواشمة التی تشم وشما فی ید المرأة و فی شیء من بدنها،و هو أن تغرز یدیها أو ظهر کفّیها أو شیئا من بدنها بابرة حتی تؤثّر فیه ثم تحشوه بالکحل أو بالنورة فتخضر،و المستوشمة التی یفعل ذلک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الواشرة التی تشر أسنان المرأة و تفلجها و تحدّدها،و الموتشرة التی یفعل ذلک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الواصلة التی تصل شعر المرأة بشعر امرأة غیرها،و المستوصلة التی یفعل ذلک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اللعن أیضا من طرق العامّة علی الواصلة و المستوصلة،و الواشمة و المستوشمة و الواشرة و الموتشرة،و النامصة و المنتمصة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باب ما لا یجوز للمرأة أن تتزیّن به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قصّة النواصی ترید المرأة الزینة لزوجها،و عن الحفّ و القرامل و الصوف و ما أشبه ذلک؟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بذلک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مرسلة،راجع مکارم الأخلاق </w:t>
      </w:r>
      <w:r>
        <w:rPr>
          <w:rFonts w:eastAsia="IRNazanin" w:cs="IRNazanin"/>
          <w:b w:val="false"/>
          <w:bCs w:val="false"/>
          <w:i w:val="false"/>
          <w:iCs w:val="false"/>
          <w:color w:val="333333"/>
          <w:sz w:val="20"/>
          <w:szCs w:val="20"/>
        </w:rPr>
        <w:t>1:576/194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باسناده عن جعفر بن محمد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وصیة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لعن اللّه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آکل زاده وحده،و راکب الفلاة وحده،و النائم فی بیت وحده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74:3/51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الاحتجاج </w:t>
      </w:r>
      <w:r>
        <w:rPr>
          <w:rFonts w:eastAsia="IRNazanin" w:cs="IRNazanin"/>
          <w:b w:val="false"/>
          <w:bCs w:val="false"/>
          <w:i w:val="false"/>
          <w:iCs w:val="false"/>
          <w:color w:val="333333"/>
          <w:sz w:val="20"/>
          <w:szCs w:val="20"/>
        </w:rPr>
        <w:t>2:350/557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علی بن جعفر أنه سأل أخاه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المرأة التی تحف الشعر من وجهها؟قال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مثلها و لکنّه صحیح</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5:13/559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22:9/858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التدلیس کتمان عیب السلعة عن المشتری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دلّس البائع کتم عیب ما یبیعه عن المشتری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علی الرجال لباس الحریر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یجوز للرجال أن یجلسوا علی الحریر و لا أن یسندوا إلیه من غیر حائل،و یحرم ستر الجدران به فی أیام الفرح و الزینة إلاّ لعذر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الحنابلة قالوا بحرمة استعمال الحریر مطلقا و لو کان بطانة لغیره،و مثل الرجل الخنثی،و کذلک الصبی و المجنون،فیحرم إلباسهما الحریر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علی الرجال لبس الحریر إلاّ لضرورة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علی الذکور البالغین لبس الحریر،و فی الصغار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علی الرجل و المرأة استعمال الذهب و الفضّة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3:10/399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باب لبس الحریر،</w:t>
      </w:r>
      <w:r>
        <w:rPr>
          <w:rFonts w:eastAsia="IRNazanin" w:cs="IRNazanin"/>
          <w:b w:val="false"/>
          <w:bCs w:val="false"/>
          <w:i w:val="false"/>
          <w:iCs w:val="false"/>
          <w:color w:val="333333"/>
          <w:sz w:val="20"/>
          <w:szCs w:val="20"/>
        </w:rPr>
        <w:t>5/468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20:5/762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من الأحادیث،و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باب نهی الرجال عن ثیاب الحریر،و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باب نهی الرجال عن لبس الذهب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بغالب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المتقدّمة من الکافی و الوافی و الوسائل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مرسلة،راجع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المتشبّهین من الرجال بالنساء و المشتبّهات من النساء بالرجال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الطبرسی فی مجمع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امامة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لعنهم اللّه من فوق عرشه و أمّنت علیه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یتشبّه بالنساء و قد خلقه اللّه ذکرا،و المرأة تتشبّه بالرجال و قد خلقها اللّه انثی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عن جابر بن یزید الجعفی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 للمرأة أن تتشبّه بالرجال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بجعفر بن محمد بن عمارة و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المفید عن عروة بن عبید اللّه بن بشیر الجعفی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فاطمة بنت علی بن أبی طالب و هی عجوزة کبیرة و فی عنقها خرز،و فی یدها مسکتان،فقالت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یکره للنساء أن یتشبّهن بالرجال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مجهول بعروة و 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2:580/162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النساء أن یکنّ متعطّلات من الحلی،أن یتشبهنّ بالرجال و لعن من فعل ذلک منهنّ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لعن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المتشبّه من النساء بالرجال و الرجال بالنساء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أبواب النکاح المحرّم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فی العلل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زید بن علی عن آبائه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رأی رجلا به تأنیث فی مسجد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من مسجد رسول اللّه یا من لعنه رسول اللّه،ثم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المتشبّهین من الرجال بالنساء،و المتشبّهات من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البیهقی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 بمخنّث قد خضب یدیه و رجلیه بالحناء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 هذا؟فقیل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یتشبّه بالنساء،فأمر به فنفی إلی النقیع</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الطبرسی فی 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1:767/256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سماعة عن أبی عبد اللّه و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الرجل یجر ثیابه؟قال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لأکره أن یتشبّه بالنساء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عبد اللّه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یزجر الرجل أن یتشبّه بالنساء،و ینهی المرأة أن تتشبّه بالرجال فی لباسها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حکم بإباحة الغناء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یحل التغنّی بالألفاظ التی تشتمل علی وصف امرأة معیّنة باقیة علی قید الحیاة،لأنّ ذلک یهیج الشهوة إلیها و یبعث علی الافتتان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 فی ذلک الغلام الأمرد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الشافعی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 أحدا من علماء الحجاز کره السماع إلاّ ما کان فی الأوصاف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التغنّی المحرّم ما کان مشتملا علی ألفاظ لا تحل کوصف الغلمان و المرأة المعیّنة التی علی قید الحیاة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5:12/559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22:3/859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خالد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سهم من سهام إبلیس مسموم،و کم من نظرة أورثت حسرة طویلة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نجران عمّن ذکره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یزید بن حمّاد و غیره عن أبی جمیلة عن أبی جعفر 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أحد إلاّ و هو یصیب حظا من الزنا،فزنا العینین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 الأول مرسل،و الثانی ضعیف بأبی جمیلة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المزبورة فی خبر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البابین المذکورین من الوافی و الوسائل 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عقبة بن خالد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سهم من سهام إبلیس مسموم،من ترکها للّه لا لغیره أعقبه اللّه إیمانا یجد طعمه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الکاهلی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النظرة بعد النظرة تزرع فی القلب الشهوة و کفی بها لصاحبها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من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إیّاکم و النظر فإنه سهم من سهام إبلیس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عن 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إیّاکم و النظر إلی المحذورات فإنه بذر الشهوات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القطب الراوندی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إلی محاسن النساء سهم من سهام إبلیس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مرسلة،إلی غیر ذلک من الأخبار الکثیرة الدالّة علی حرمة النظر إلی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5:6/519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22:1/855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أخذ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البیعة علی النساء أن لا یحتبین و لا یقعدن مع الرجال فی الخلاء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بسهل،و محمد بن الحسن بن شمون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الاحتباء الجمع بین الظهر و الساقین بعمامة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المزبور من الوسائل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موسی بن إبراهیم عن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الآخر فلا یبیت فی موضع یسمع نفس امرأة لیست له بمحرم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بموسی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الحسن الطبرسی فی 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1:1726/497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باب لا یخلو رجل بامرأة أجنبیة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أبواب النکاح المحرّم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7:1/181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المجردین وجدا فی لحاف واحد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5:38/564</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22:7/872</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3:1716/361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جلست المرأة مجلسا فقامت عنه فلا یجلس فی مجلسها رجل حتی 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بالنوفلی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أنّ الصدوق رواها فی الفقیه مرسلة مع اختلاف فی ألفاظها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5:5/519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22:11/816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البختری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ینبغی للمرأة أن تنکشف بین یدی الیهودیة و النصرانیة،فإنّهن یصفن ذلک لأزواجهنّ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الصبی یحجم المرأة؟قال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یحسن یصف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بالنوفلی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البحث</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تشبیب الشاعر بفلانة قال فیها النسیب و وصف محاسنها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المالکیة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یحرم التصویر بشروط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تکون الصورة 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تکون مجسّدة،و قیّدها بعضهم بکونها من مادّة تبقی،و إلاّ فلا تحرم،و فی غیر المجسّدة خلاف،فذهب بعضهم إلی الإباحة مطلقا و بعضهم یری إباحتها إذا کانت علی الثیاب و البسط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تکون کاملة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لها 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الشافعیة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 تصویر غیر الحیوان،و أمّا الحیوان فإنّه لا یحل تصویره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التصویر إن کانت الصورة مجسّدة فلا یحل التفرّج علیها إلاّ إذا کانت ناقصة،و غیر المجسّدة لا یحل التفرّج علیها إذا کان مرفوعا علی الجدار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یجوز التفرّج علی خیال الظل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یستثنی من المذکورات لعب البنات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 تصویر غیر الحیوان،و أمّا تصویر الحیوان فإنه لا یحل إلاّ إذا کان موضوعا علی ثوب یفرش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 غیر الحیوان جائز،أمّا تصویر الحیوان فإنه لا یحل إلاّ إذا کان علی بساط مفروش أو کانت الصورة ناقصة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إیّاکم و عمل الصور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بالقاسم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الحضرمی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من أکل السحت تصویر التماثیل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بعبد اللّه بن طلحة،و لأنّ کتاب الحضرمی لم یثبت اعتباره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القطب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صور التماثیل فقد ضاد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الشهید فی المنیة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الناس عذابا یوم القیامة مصوّر یصوّر التماثیل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Pr>
        <w:t>6:1/526</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20:1/797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أبواب أحکام المساکن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أتانی جبرئیل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 إنّ ربّک یقرئک السلام و ینهی عن تزویق البیوت،قال أبو بصیر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تزویق البیوت؟فقال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تصاویر التماثیل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بالقاسم بن محمد الجوهری،و علی بن أبی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التزیین و التحسین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Pr>
        <w:t>1:1497/459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25:37/534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أبواب أحکام المساکن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جدّد قبرا أو مثّل مثالا فقد خرج عن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بأبی الجارود،إلی غیر ذلک من المطلقات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التهذیب 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اختلف أصحابنا فی روایة هذا الخبر و تأویله علی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محمد بن الحسن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جدّد بالجیم،لا غیر،فمعناه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یجوز تجدید القبر بعد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6:11/528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الباب المتقدّم من الوسائل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20:800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76:3/286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میمون الأسود القدّاح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بعثنی رسول اللّه فی هدم القبور و کسر الصور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أرسلنی الخ و لیس فی سندها فی المصدر المذکور سهل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 الشیء صوره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صوّره تصویرا جعل له صورة و شکلا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هکذا فی 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6:4/527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20:7/799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المزبور من الوسائل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عمیر عن رجل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غیره،و 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Pr>
        <w:t>48:17/41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یقطین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استدعی الرشید رجلا یبطل به أمر أبی الحسن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یقطعه و یخجله فی المجلس،فانتدب له رجل معزم فلمّا احضرت المائدة عمل ناموسا علی الخبز فکان کلّما رام خادم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رغیفا من الخبز طار من بین یدیه،و استفز هارون الفرح و الضحک لذلک،فلم یلبث أبو الحسن أن رفع رأسه إلی أسد مصوّر علی بعض الستور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أسد اللّه خذ عدو اللّه فوثبت تلک الصورة کأعظم ما یکون من السباع فافترست ذلک المعزم،فخرّ هارون و ندماؤه علی وجوههم مغشیا علیهم،و طارت عقولهم خوفا من هول ما رأوه،الخبر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أبواب أحکام المساکن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20:13/801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6:8/527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بأن یکون التماثیل فی البیوت إذا غیّرت رؤوسها منها و ترک ما سوی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بإبراهیم بن هاشم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6:9/527</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7:21/463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الدار و الحجرة فیها التماثیل،أیصلّی فیها؟فقال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فیها و فیها شیء یستقبلک،إلاّ أن لا تجد بدّا فتقطع رؤوسها،و إلاّ فلا تصلّ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المزبور من الوسائل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جعفر عن أخیه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مسجد یکون فیه تصاویر و تماثیل،یصلّی فیه؟فقال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تکسر رؤوس التماثیل،و تلطّخ رؤوس التصاویر،و یصلّی فیه و 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بعبد اللّه بن الحسن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قد تقدّم فی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الجواهر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القواعد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أبواب أحکام المساکن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أبواب أحکام المساکن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مثنی رفعه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التماثیل لا یصلح أن یلعب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مرسلة،و مرفوعة،و مجهولة بالمثنّی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عن أخیه موسی ابن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التماثیل هل یصلح أن یلعب بها؟قال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بعبد اللّه بن الحسن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الفرزان بضم الفاء و سکون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الملکة فی لعبة الشطرنج،الجمع فرازین بفتح الفاء و الکلمة من الدخیل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 بضم الراء المهملة و الخاء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وهمی کبیر،الواحدة رخة،قطعة من قطع الشطرنج،الجمع رخاخ و رخخة بکسر الراء</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البیذق بفتح الباء و سکون الیاء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الماشی راجلا،و منه بیذق الشطرنج،الجمع بیاذق</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عبّر عنها بالموثّقة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بعبد اللّه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692/186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أبواب أحکام المساکن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حاتم بن إسماعیل عن جعفر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علیا کان یکره الصورة فی البیوت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بحاتم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5:7/188</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7:412/96</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18:19/583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صحیحة أبی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یکن علی یکره الحلال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أبواب أحکام المساکن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الطبرسی فی مکارم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اهدیت إلیّ طنفسة من الشام فیها تماثیل طائر فأمرت به فغیّر رأسه فجعل کهیئة الشجر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 بالمثلّثة فی الطاء و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البساط و الحصیر و الثوب،الجمع طنافس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الکلمة من الدخیل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6:2/526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2:1570/377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مروان عن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التبیان للشیخ الطوسی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المقلّل حقّ صاحبه بنقصانه عن الحق فی کیل أو وزن،و التطفیف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التنقیص علی وجه الخیانة فی الکیل أو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طفّف الکیل قلّل نصیب المکیل له فی إیفائه و استیفائه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،مادّة الطفیف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طفّفه فهو مطفّف،إذا کال أو وزن و لم یوف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،مادّة بخس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 الشیء علی سبیل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البخس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 و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،مادّة بخس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بخسه بخسا نقصه و ظلمه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تفسیر التبیان </w:t>
      </w:r>
      <w:r>
        <w:rPr>
          <w:rFonts w:eastAsia="IRNazanin" w:cs="IRNazanin"/>
          <w:b w:val="false"/>
          <w:bCs w:val="false"/>
          <w:i w:val="false"/>
          <w:iCs w:val="false"/>
          <w:color w:val="333333"/>
          <w:sz w:val="20"/>
          <w:szCs w:val="20"/>
        </w:rPr>
        <w:t>10:295</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قدم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المدینة کانوا من أخبث الناس کیلا،فأنزل اللّه وَیْلٌ لِلْمُطَفِّفِینَ فأحسنوا الکیل بعد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تفاوت یسیر عمّا فی تفسیر التبیان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الشعراء </w:t>
      </w:r>
      <w:r>
        <w:rPr>
          <w:rFonts w:eastAsia="IRNazanin" w:cs="IRNazanin"/>
          <w:b w:val="false"/>
          <w:bCs w:val="false"/>
          <w:i w:val="false"/>
          <w:iCs w:val="false"/>
          <w:color w:val="333333"/>
          <w:sz w:val="20"/>
          <w:szCs w:val="20"/>
        </w:rPr>
        <w:t>26:183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5:1/150</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7:16/6</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17:1/435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علی المنبر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معشر التجّار الفقه ثم المتجر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التاجر فاجر،و الفاجر فی النار،إلاّ من أخذ الحق و أعطی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بأبی الجارود و عثمان ابن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غیر ذلک من الروایات المذکورة فی المصادر المزبورة،و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البخس فی المکیال و المیزان من 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الاولی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ذلک طریقه إلی الفضل ابن شاذان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کتابه إلی المأمون،و قد رواه فی عیون الأخبار بالسند الأول و الثانی جمیعا،و رواه أیضا عن حمزة بن محمد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الطریق الأول فهو مجهول بعبد الواحد بن محمد بن عبدوس النیسابوری،و علی بن قتیبة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الثانی فهو مجهول بالحاکم أبی محمد جعفر بن نعیم،و أمّا الثالث فهو مجهول بحمزة بن محمد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الکوفی فی کتاب الأخلاق عن أبی جعفر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ظهر الزنا فی امّتی کثر موت الفجأة فیهم،و إذا طفّفت المکیال أخذهم بالسنین و النقص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وجدنا فی کتاب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فتح القدیر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الإشارة و التسمیة إذا اجتمعا و المشار إلیه من خلاف جنس المسمّی فالعبرة للتسمیة،لأنّها تعرف الماهیة و الإشارة تعرف الصورة،فکان اعتبار التسمیة أولی،لأنّ المعانی أحق بالاعتبار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المشار إلیه من جنس المسمّی إلاّ أنّهما اختلفا وصفا فالعبرة للإشارة،لأنّ المسمّی موجود فی المشار إلیه ذاتا و الوصف یتبعه 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الشأن فی التخریج علی هذا الأصل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من التفعیل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 النجوم و راقبها لیعلم منها أحوال العالم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4:2/187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الحدیقة الهلالیة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الأمر الثانی فی المقدّمة الأولی فی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الحدید فی شرح نهج البلاغة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المعلوم ضرورة من الدین إبطال حکم النجوم،و تحریم الاعتقاد بها،و الزجر عن تصدیق المنجّمین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سنن البیهقی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زید الجهنی قال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مطرنا بنوء کذا علی ما کان بعض أهل الشرک یعنون من إضافة المطر إلی أن أمطره نوء کذا،فذلک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الموضع المزبور عن الجهنی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 من عبادی مؤمن و کافر،فأمّا من قال مطرنا بفضل اللّه و رحمته فذلک مؤمن بی کافر بالکوکب و أمّا من قال مطرنا بنوء کذا و کذا فذلک کافر بی مؤمن بالکوکب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فی التذکرة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صلاة الاستسقاء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صاحب الوسائل أیضا مرسلا 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نوأ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الأنواء ثمانیة و عشرون نجما معروفة المطالع فی أزمنة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العرب فی الجاهلیة إذا سقط منها نجم و طلع آخر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 من أن یکون عند ذلک مطر أو ریاح،فینسبون کل غیث یکون عند ذلک إلی ذلک النجم فیقولون مطرنا بنوء الثریا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سمّی نوءا لأنه إذا سقط الساقط منها بالمغرب ناء الطالع بالمشرق،أی نهض و طلع</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26:480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الحدیقة الهلالیة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الحدیقة الهلالیة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 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أبواب ما یکتسب به ذیل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فی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26:464</w:t>
      </w:r>
      <w:r>
        <w:rPr>
          <w:rFonts w:ascii="IRNazanin" w:hAnsi="IRNazanin" w:eastAsia="IRNazanin"/>
          <w:b w:val="false"/>
          <w:b w:val="false"/>
          <w:bCs w:val="false"/>
          <w:i w:val="false"/>
          <w:i w:val="false"/>
          <w:iCs w:val="false"/>
          <w:color w:val="333333"/>
          <w:sz w:val="20"/>
          <w:sz w:val="20"/>
          <w:szCs w:val="20"/>
          <w:rtl w:val="true"/>
        </w:rPr>
        <w:t>عن عبد اللّه بن عوف بن الأحمر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أراد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المسیر إلی النهروان أتاه منجّم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 المؤمنین لا تسر فی هذه الساعة،و سر فی ثلاث ساعات یمضین من النهار،فقال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ذاک؟قال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لأنّک إن سرت فی هذه الساعة أصابک و أصاب أصحابک أذی و ضرّ شدید،و إن سرت فی الساعة التی أمرتک ظفرت و ظهرت و أصبت کل ما طلبت،فقال له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 ما فی بطن هذه الدابة أذکر أم انثی؟قال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حسبت علمت،قال له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صدّقک علی هذا القول کذّب بالقرآن إِنَّ اللّهَ عِنْدَهُ عِلْمُ السّاعَةِ وَ یُنَزِّلُ الْغَیْثَ وَ یَعْلَمُ ما فِی الْأَرْحامِ وَ ما تَدْرِی نَفْسٌ ما ذا تَکْسِبُ غَداً وَ ما تَدْرِی نَفْسٌ بِأَیِّ أَرْضٍ تَمُوتُ إِنَّ اللّهَ عَلِیمٌ خَبِیرٌ ما کان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یدّعی ما ادّعیت،أتزعم أنّک تهتدی إلی الساعة التی من سار فیها حاق به الضر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صدّق بهذا استغنی بقولک عن الاستعانة باللّه فی ذلک الوجه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مرآة العقول </w:t>
      </w:r>
      <w:r>
        <w:rPr>
          <w:rFonts w:eastAsia="IRNazanin" w:cs="IRNazanin"/>
          <w:b w:val="false"/>
          <w:bCs w:val="false"/>
          <w:i w:val="false"/>
          <w:iCs w:val="false"/>
          <w:color w:val="333333"/>
          <w:sz w:val="20"/>
          <w:szCs w:val="20"/>
        </w:rPr>
        <w:t>26:466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قیس بن سعد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کنت کثیرا اسایر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سار إلی وجه من الوجوه،فلمّا قصد النهروان و صرنا بالمدائن و کنت یومئذ مسایرا له إذ خرج إلیه قوم من أهل المدائن،إلی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فی من تلقّاه دهقان،و کانت الفرس تحکم برأیه فی النجوم،فجری بینه و بین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الأسئلة،فقال الدهقان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أدری،ثم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علمت ذلک لعلمت أنّک تحصی عقود القصب فی هذه الأجمة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مضی أمیر المؤمنین فهزم أهل النهروان فقتلهم و عاد بالغنیمة و الظفر فقال الدهقان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هذا العلم بما فی أیدی أهل زماننا،هذا علم مادّته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بأبی الجارود زیاد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الاحتجاج </w:t>
      </w:r>
      <w:r>
        <w:rPr>
          <w:rFonts w:eastAsia="IRNazanin" w:cs="IRNazanin"/>
          <w:b w:val="false"/>
          <w:bCs w:val="false"/>
          <w:i w:val="false"/>
          <w:iCs w:val="false"/>
          <w:color w:val="333333"/>
          <w:sz w:val="20"/>
          <w:szCs w:val="20"/>
        </w:rPr>
        <w:t>2:224/250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الموضع المذکور من 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دخل علیه رجل من أهل الیمن،إلی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صناعتک یا سعد؟فقال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 أنا من أهل بیت ننظر فی النجوم لا یقال إنّ بالیمن أحدا أعلم بالنجوم منّا،إلی أن ذکر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امورا فقال له الیمانی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ظننت أنّ أحدا یعلم هذا و ما یدری ما کنهه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Pr>
        <w:t>8:549/351</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26:2/516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الخفّاف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بصرک بالنجوم؟قال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خلّفت بالعراق أبصر بالنجوم منّی،إلی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التهذیب </w:t>
      </w:r>
      <w:r>
        <w:rPr>
          <w:rFonts w:eastAsia="IRNazanin" w:cs="IRNazanin"/>
          <w:b w:val="false"/>
          <w:bCs w:val="false"/>
          <w:i w:val="false"/>
          <w:iCs w:val="false"/>
          <w:color w:val="333333"/>
          <w:sz w:val="20"/>
          <w:szCs w:val="20"/>
        </w:rPr>
        <w:t>7:1844/461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حمران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تزوّج امرأة و القمر فی العقرب لم یر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أنه یکره التزویج فی محاق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2:778/174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سافر أو تزوّج و القمر فی العقرب لم یر الحسنی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مرآة العقول </w:t>
      </w:r>
      <w:r>
        <w:rPr>
          <w:rFonts w:eastAsia="IRNazanin" w:cs="IRNazanin"/>
          <w:b w:val="false"/>
          <w:bCs w:val="false"/>
          <w:i w:val="false"/>
          <w:iCs w:val="false"/>
          <w:color w:val="333333"/>
          <w:sz w:val="20"/>
          <w:szCs w:val="20"/>
        </w:rPr>
        <w:t>26:478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أنظر فی النجوم و أعرفها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المذکورة و البحار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باب علم النجوم و العمل به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باب ما جاء فی کراهة اقتباس علم النجوم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الموضع المزبور من التبیان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الحنفیة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حلق لحیة الرجل،و یسنّ ألاّ تزید فی طولها علی القبضة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المالکیة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حلق اللحیة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الحنابلة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حلق اللحیة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اللحیة فإنّه یکره حلقها و المبالغة فی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التبیان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لَآمُرَنَّهُمْ فَلَیُغَیِّرُنَّ خَلْقَ اللّهِ اختلفوا فی معناه فعن ابن عباس فلیغیّرن دین اللّه،و روی ذلک عن أبی جعفر 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 عکرمة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الإخصاء،و إنّما هو تغییر دین اللّه الذی فطر الناس علیه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اللّهِ الَّتِی فَطَرَ النّاسَ عَلَیْها لا تَبْدِیلَ لِخَلْقِ اللّهِ ذلِکَ الدِّینُ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الوشم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الواشمات و الموتشمات و المتفلّجات المغیرات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أقوی الأقوال قول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فَلَیُغَیِّرُنَّ خَلْقَ اللّهِ بمعنی دین اللّه،بدلالة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اللّهِ الآیة،و یدخل فی ذلک جمیع ما قاله المفسّرون،لأنه إذا کان ذلک خلاف الدین فالآیة تتناوله انتهی کلامه بأدنی تفاوت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6:8/657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جزّ اللحیة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الصدوق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حفّوا الشوارب و اعفوا اللحی،و لا تتشبّهوا بالیهود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المجوس جزّوا لحاهم،و وفّروا شواربهم و أمّا نحن نجزّ الشوارب و نعفی اللحی،و هی الفطرة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الباب المزبور من الوسائل عن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علی بن غراب عن جعفر بن محمد عن أبیه عن جدّه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حفّوا الشوارب و اعفوا اللحی،و لا تشبهوا بالمجوس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بالحسین بن إبراهیم،و موسی ابن عمران النخعی،و الحسین بن یزید،و علی بن غراب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1047/258</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 اللحیة من المثلة و من مثّل فعلیه لعنة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بموسی بن إسماعیل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أبواب أحکام المساکن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أوحی اللّه إلی نبی من أنبیائه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للمؤمنین لا تلبسوا لباس أعدائی،و لا تطعموا مطاعم أعدائی،و لا تسلکوا مسالک أعدائی،فتکونوا أعدائی کما هم أعدائی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بالنوفلی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1:3/346</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3/143/2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حبّابة الوالبیة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شرطة الخمیس و معه درّة لها سبّابتان یضرب بها بیّاعی الجری و المارماهی و الزمّار و یقول لهم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إدریس فی آخر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جامع البزنطی صاحب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سألته عن الرجل هل یصلح له أن یأخذ من لحیته؟قال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من عارضیه فلا بأس،و أمّا من مقدّمها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رواها علی بن جعفر فی کتابه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قال فی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یأخذ</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المحقّق الکرکی و آثاره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إرشاد الأذهان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،مادّة رشا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الراشی و المرتشی و الرائش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المعطی للرشوة و الآخذ لها و الساعی بینهما یزید لهذا و ینقص لهذا،و هو الرائش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الرشوة بالکسر ما یعطیه الشخص الحاکم و غیره لیحکم له أو یحمله علی ما 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قلّما تستعمل إلاّ فیما یتوصّل به إلی إبطال حقّ أو تمشیة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ما عن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،مادّة الرشوة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الرشوة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الجعل،الجمع رشی بالفتح،و رشی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،مادّة رشا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یعطی لإبطال حقّ أو إحقاق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راشاه مراشاة صانعه،و الرشوة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یعطی لإبطال حقّ أو إحقاق باطل،و ما یعطی للتملّق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الرشوة الوصلة إلی الحاجة بالمصانعة،فالراشی من یعطی الذی یعینه،فأمّا ما یعطی توصّلا إلی أخذ حقّ أو دفع ظلم فغیر داخل فیه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البیهقی </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الراشی و المرتشی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حدیث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السحت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فتح القدیر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قبول الهدیة عند الخصومة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تفسیر التبیان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تُدْلُوا بِها إِلَی الْحُکّامِ و قیل فی معناه قولان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عبّاس و الحسن و قتادة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الودیعة و ما تقوم به بیّنة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الجبائی فی مال الیتیم الذی فی ید الأوصیاء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،مادّة 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تُدْلُوا بِها إِلَی الْحُکّامِ یعنی الرشوة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البیهقی </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جملة من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الرشا فی الحکم هو الکفر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ذیل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المستأکل بعلمه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حمران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استأکل بعلمه افتقر،قلت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 شیعتک قوما یتحمّلون علومکم و یبثّونها فی شیعتکم فلا یعدمون منهم البرّ و الصلة و الإکرام؟فقال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اولئک بمستأکلین،إنّما ذلک الذی یفتی بغیر علم و لا هدی من اللّه لیبطل به الحقوق طمعا فی حطام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بمحمّد بن سنان،و تمیم بن بهلول،و أبیه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احتاج الناس إلیه لفقهه فسألهم الرشوة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بعبد الرحمن،و یوسف بن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أبواب آداب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6:534/224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العهد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کتبه للأشتر النخعی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1:4/541</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10:1/293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أبواب آداب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بعض أصحابنا عن العبد الصالح،إلی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بعد ذلک أرزاق أعوانه علی دین اللّه،و فی مصلحة ما ینوبه من تقویة الإسلام و تقویة الدین فی وجوه الجهاد،و غیر ذلک ممّا فیه مصلحة العامّة،لیس لنفسه من ذلک قلیل و لا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7:1/409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16:5/908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أبواب آداب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أیّما وال احتجب عن حوائج الناس احتجب اللّه عنه یوم القیامة و عن حوائجه و إن أخذ هدیة کان غلولا،و إن أخذ الاجرة فهو مشرک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بأبی الجارود و سعد الإسکاف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حکم بن حکیم الصیرفی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سأله حفص الأعور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السلطان یشترون منّا القرب و الأداوی فیوکلون الوکیل حتی یستوفیه منّا و نرشوه حتّی لا یظلمنا،فقال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ما تصلح به مالک،ثم سکت ساعة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 إذا أنت رشوته یأخذ أقل من الشرط؟قال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فسدت رشوتک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بإسماعیل بن أبی سمّاک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17:21/86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 بکسر القاف جمع القربة،و هی ما یستقی فیه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الأداوی جمع الإداوة،و هی إناء صغیر من جلد،و تسمّی المطهرة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نقل المصنّف الروایة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الأداوة بدل الأداوی،و کلاهما من سهو القلم،و لعلّه تبع فی ذلک صاحب الوسائل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الموضع المزبور من الوافی عن محمد بن مسلم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الرجل یرشو الرشوة علی أن یتحوّله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منزله فیسکنه؟قال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الجواهر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الجزء الثالث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السابع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کتاب الودیعة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ینقضی العجب من الغزالی حیث جوّز لعن الروافض کتجویزه لعن الیهود و المجوس و الخوارج،و منع عن لعن یزید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باب السباب،</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5:3/949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الحجّاج البجلی عن أبی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باب شهادة أهل العصبیة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هریرة عن رسول اللّه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فتح القدیر </w:t>
      </w:r>
      <w:r>
        <w:rPr>
          <w:rFonts w:eastAsia="IRNazanin" w:cs="IRNazanin"/>
          <w:b w:val="false"/>
          <w:bCs w:val="false"/>
          <w:i w:val="false"/>
          <w:iCs w:val="false"/>
          <w:color w:val="333333"/>
          <w:sz w:val="20"/>
          <w:szCs w:val="20"/>
        </w:rPr>
        <w:t>6:486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عداد من لا تقبل شهادته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من یظهر سبّ السلف کالصحابة و التابعین و منهم أبو حنیفة و کذا العلماء</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العقول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،مادّة 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 أی عیّر بالبخل،و السبّ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1:5/245</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سرحان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رأیتم أهل الریب و البدع من بعدی فأظهروا البراءة منهم،و أکثروا من سبّهم،و القول فیهم و الوقیعة،و باهتوهم،کی لا یطمعوا فی الفساد فی الإسلام و یحذرهم الناس و لا یتعلّمون من بدعهم،یکتب اللّه لکم بذلک الحسنات،و یرفع لکم به الدرجات فی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صحیحة،و غیر ذلک من الروایات المذکورة فی الأبواب المزبورة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26:465</w:t>
      </w:r>
      <w:r>
        <w:rPr>
          <w:rFonts w:ascii="IRNazanin" w:hAnsi="IRNazanin" w:eastAsia="IRNazanin"/>
          <w:b w:val="false"/>
          <w:b w:val="false"/>
          <w:bCs w:val="false"/>
          <w:i w:val="false"/>
          <w:i w:val="false"/>
          <w:iCs w:val="false"/>
          <w:color w:val="333333"/>
          <w:sz w:val="20"/>
          <w:sz w:val="20"/>
          <w:szCs w:val="20"/>
          <w:rtl w:val="true"/>
        </w:rPr>
        <w:t>فی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المنجّم کالکاهن،و الکاهن کالساحر،و الساحر کالکافر و الکافر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26:471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فی روایة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الساحر 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بالحسن بن علی الکوفی و إسحاق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المنجّم کالکاهن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ما تقدّم من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Pr>
        <w:t>7:1/260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أبواب بقیة الحدود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15:2/477</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10:583/147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ساحر المسلمین یقتل و ساحر الکفّار لا یقتل،قیل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لم لا یقتل ساحر الکفّار؟فقال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الکفر أعظم من السحر،و لأنّ السحر و الشرک مقرونان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بالنوفلی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أبواب بقیة الحدود و التعزیرات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مجهول بموسی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المصادر المتقدّمة من الکافی و التهذیب و الوافی و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الشحّام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الساحر یضرب بالسیف ضربة واحدة علی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بحبیب بن الحسن،و بشّار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السحر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کتاب العین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من کلام الطبرسی،راجع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60:14/21</w:t>
      </w:r>
      <w:r>
        <w:rPr>
          <w:rFonts w:ascii="IRNazanin" w:hAnsi="IRNazanin" w:eastAsia="IRNazanin"/>
          <w:b w:val="false"/>
          <w:b w:val="false"/>
          <w:bCs w:val="false"/>
          <w:i w:val="false"/>
          <w:i w:val="false"/>
          <w:iCs w:val="false"/>
          <w:color w:val="333333"/>
          <w:sz w:val="20"/>
          <w:sz w:val="20"/>
          <w:szCs w:val="20"/>
          <w:rtl w:val="true"/>
        </w:rPr>
        <w:t>فی احتجاج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الزندیق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أفیقدر الساحر أن یجعل الإنسان بسحره فی صورة الکلب أو الحمار أو غیر ذلک؟قال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أعجز من ذلک،و أضعف من أن یغیّر خلق اللّه،إنّ من أبطل ما رکّبه اللّه و صوّره و غیّره فهو شریک اللّه فی خلقه،تعالی اللّه عن ذلک علوّا کبیرا لو قدر الساحر علی ما وصفت لدفع عن نفسه الهرم و الآفة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مرسل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قَوْمٌ مَسْحُورُونَ أی مصروفون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،مادّة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فَأَنّی تُسْحَرُونَ أی تصرفون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تَتَّبِعُونَ إِلاّ رَجُلاً مَسْحُوراً أی مصروفا عن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 من الموارد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،مادّة 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 البیان فی فطنة،کما جاء فی الحدیث 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البیان لسحرا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المعنی أنّه یبلغ من ثنائه أنّه یمدح الإنسان فیصدق فیه حتّی یصرف القلوب إلی قوله،ثم یذمّه فیصدق فیه حتّی یصرف القلوب إلی قوله الآخر،فکأنّه قد سحر السامعین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Pr>
        <w:t>56:278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الحدیث ثم قال 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البیان سحرا لوجهین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لدقّته و لطفه یستمیل القلوب إلی المتکلّم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56:278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فی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بعضها فی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لکن روایة إسحاق بن عمّار حسنة کما تقدّم،لاحظ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یدخل فیه النیرنجات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الوجه الثانی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السیّد عبد اللّه حفید السیّد نعمة اللّه الجزائری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 الشرح</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الصدوق باسناده عن إسماعیل بن مسلم عن جعفر بن محمد عن أبیه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لامرأة سألته إنّ لی زوجا و به علیّ غلظة،و إنّی صنعت شیئا لأعطفه علیّ،فقال لها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 لک،کدّرت البحار،و کدّرت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1043/364</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5:7/115</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عن أبیه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شیخ من أصحابنا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عیسی بن سیفی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ساحرا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یأتیه الناس و یأخذ علی ذلک الأجر و سأله عن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و لا تعقد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الروایة أنّ الحل و العقد کلیهما بالسحر،فحمل الحل علی ما کان بغیر السحر من الأدعیة و نحوها بعید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Pr>
        <w:t>60:14/21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قصّة الملکین ما یدلّ علی جواز دفع ضرر السحر بالسحر،و لکن الروایة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العیون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روایة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لکنّها مجهولة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علی بن الجهم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هاروت و ماروت فکانا ملکین،علّما الناس السحر لیحترزوا به سحر السحرة و یبطلوا به کیدهم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المصدر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أُنْزِلَ عَلَی الْمَلَکَیْنِ بِبابِلَ هارُوتَ وَ مارُوتَ وَ ما یُعَلِّمانِ مِنْ أَحَدٍ حَتّی یَقُولا إِنَّما نَحْنُ فِتْنَةٌ فَلا تَکْفُرْ البقرة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،مادّة شعذ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الشعوذة خفّة فی الید و أخذ کالسحر یری الشیء بغیر ما علیه أصله فی رأی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الشعوذة السرعة،و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الخفّة فی کل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شعوذ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شعوذ الرجل شعوذة،و منهم من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شعبذه شعبذة و هو بالذال معجمة،و لیس من کلام أهل البادیة،و هی لعب یری الإنسان ما لیس له حقیقة کالسحر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الشعبذة کشعوذة زنة و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الشعوذة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خفّة فی الید و أخذ کالسحر،تری الشیء فی رأی العین بغیر ما علیه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شعبذ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الشعبذة کشعوذة زنة و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شعوذ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الشعوذة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خفّة فی الید و أعمال کالسحر،تری الشیء فی العین بغیر ما هو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،مادّة شعبذ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الشعبذة هی الحرکة الخفیفة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الفقه علی المذاهب الأربعة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الغشّ و التدلیس و مدح السلعة بما لیس فیها،و کتم ما بها من عیب و نحو ذلک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باب الغشّ،و التهذیب </w:t>
      </w:r>
      <w:r>
        <w:rPr>
          <w:rFonts w:eastAsia="IRNazanin" w:cs="IRNazanin"/>
          <w:b w:val="false"/>
          <w:bCs w:val="false"/>
          <w:i w:val="false"/>
          <w:iCs w:val="false"/>
          <w:color w:val="333333"/>
          <w:sz w:val="20"/>
          <w:szCs w:val="20"/>
        </w:rPr>
        <w:t>7:48/12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منّا من غشّنا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یبیع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فلان أما علمت أنّه لیس من المسلمین من غشّهم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رجل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علیه رجل یبیع الدقیق،فقال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و الغش،فإنّ من غشّ غشّ فی ماله،فإن لم یکن له مال غشّ فی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 یشاب اللبن بالماء للبیع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بالنوفلی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هشام بن الحکم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أبیع السابری فی الظلال،فمرّ بی أبو الحسن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باب ما جاء فی التدلیس و کتمان العیب بالمبیع</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،مادّة غشش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نقیض النصح،و هو مأخوذ من الغشش المشرب الکدر،أنشد ابن الأعرابی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منهل تروی به غیر غشش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غیر کدر و لا قلیل،قال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هذا الغشّ فی البیاعات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،مادّة غشش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المغشوش غیر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غشّه أظهر له خلاف ما أضمره،و خدعه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من الغش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المغشوش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الخالص</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المصادر المتقدّمة من الکافی و الوافی و الوسائل و التهذیب عن محمد بن مسلم 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سئل عن الطعام یخلط بعضه ببعض و بعضه أجود من بعض؟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رؤیا جمیعا فلا بأس ما لم یغط الجیّد الردیء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ذلک من بعض الروایات المتقدّمة الدالّة علی حرمة الغشّ</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فالتغنّی من حیث کونه تردید الصوت بالألحان مباح لا شیء فیه،و لکن قد یعرض له ما یجعله حراما أو مکروها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 المنهج تفصیل المذاهب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عن أبی حنیفة من أنّه یکره الغناء و یجعل سماعه من الذنوب فهو محمول علی النوع المحرّم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الغزالی فی الإحیاء عن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 أحدا من علماء الحجاز کره السماع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استدلّ الغزالی علی الجواز برقص الحبشة و الزنوج فی المسجد النبوی یوم عید،و أقرّهم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14:134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17:218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4:139/42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سنشیر إلی مصادرها فی البحث عن مستثنیات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تعرّضنا لهاتین الروایتین فی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1158/294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219/156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15:136</w:t>
      </w:r>
      <w:r>
        <w:rPr>
          <w:rFonts w:ascii="IRNazanin" w:hAnsi="IRNazanin" w:eastAsia="IRNazanin"/>
          <w:b w:val="false"/>
          <w:b w:val="false"/>
          <w:bCs w:val="false"/>
          <w:i w:val="false"/>
          <w:i w:val="false"/>
          <w:iCs w:val="false"/>
          <w:color w:val="333333"/>
          <w:sz w:val="20"/>
          <w:sz w:val="20"/>
          <w:szCs w:val="20"/>
          <w:rtl w:val="true"/>
        </w:rPr>
        <w:t>،مادّة غنا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 رفع صوته و ولاه فصوته عند العرب</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2:10/616</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9:8/1741</w:t>
      </w:r>
      <w:r>
        <w:rPr>
          <w:rFonts w:ascii="IRNazanin" w:hAnsi="IRNazanin" w:eastAsia="IRNazanin"/>
          <w:b w:val="false"/>
          <w:b w:val="false"/>
          <w:bCs w:val="false"/>
          <w:i w:val="false"/>
          <w:i w:val="false"/>
          <w:iCs w:val="false"/>
          <w:color w:val="333333"/>
          <w:sz w:val="20"/>
          <w:sz w:val="20"/>
          <w:szCs w:val="20"/>
          <w:rtl w:val="true"/>
        </w:rPr>
        <w:t>،و هی مرسلة،و ضعیفة بسهل و موسی بن عمر الصیقل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6:3/614</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9:12/1742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اقرأوا القرآن بألحان العرب و أصواتها،و إیّاکم و لحون أهل الفسق و أهل الکبائر،فإنّه سیجیء بعدی أقوام یرجّعون القرآن ترجیع الغناء و النوح و الرهبانیة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بإبراهیم الأحمر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6:12/433</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17:21/213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الغناء و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یزعمون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رخّص فی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جئناکم،إلی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مجهول بعبد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الإنکار فی هذه الروایة إشارة إلی ما فی مصابیح السنّة للبغوی </w:t>
      </w:r>
      <w:r>
        <w:rPr>
          <w:rFonts w:eastAsia="IRNazanin" w:cs="IRNazanin"/>
          <w:b w:val="false"/>
          <w:bCs w:val="false"/>
          <w:i w:val="false"/>
          <w:iCs w:val="false"/>
          <w:color w:val="333333"/>
          <w:sz w:val="20"/>
          <w:szCs w:val="20"/>
        </w:rPr>
        <w:t>2:2346/418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إعلان النکاح و الخطبة عن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جاریة من الأنصار زوّجت،فقال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أرسلتم معهم من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أتیناکم أتیناکم فحیّانا و حیّاکم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أتیناکم أتیناکم فحیّونا نحییکم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 الحبّة السمراء لم نحلل بوادیکم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2:13/616</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9:3/1740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أبواب قراءة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بعدها،حیث ذکرت المرجّحات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باب الغیبة و البهت،و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72:220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الغیبة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إحیاء العلوم للغزالی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المتقدّم من المستدرک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القطب الراوندی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المتقدّم من المستدرک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أبی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أنّ غیبتکم لأخیکم المؤمن من شیعة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فی التحریم من المیتة،قال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یَغْتَبْ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یثبت لنا اعتبار هذا التفسیر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مرسلة،و رواها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أمالیه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بطریق آخر،و لکنّها مجهولة بمحمد بن 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توجد الروایة فی الکافی </w:t>
      </w:r>
      <w:r>
        <w:rPr>
          <w:rFonts w:eastAsia="IRNazanin" w:cs="IRNazanin"/>
          <w:b w:val="false"/>
          <w:bCs w:val="false"/>
          <w:i w:val="false"/>
          <w:iCs w:val="false"/>
          <w:color w:val="333333"/>
          <w:sz w:val="20"/>
          <w:szCs w:val="20"/>
        </w:rPr>
        <w:t>2:2/357</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5:2/977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باب الکبائر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17:381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المفضل،و رجاء بن یحیی،و محمد بن الحسن بن میمون،و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مکارم الأخلاق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26:198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 </w:t>
      </w:r>
      <w:r>
        <w:rPr>
          <w:rFonts w:eastAsia="IRNazanin" w:cs="IRNazanin"/>
          <w:b w:val="false"/>
          <w:bCs w:val="false"/>
          <w:i w:val="false"/>
          <w:iCs w:val="false"/>
          <w:color w:val="333333"/>
          <w:sz w:val="20"/>
          <w:szCs w:val="20"/>
        </w:rPr>
        <w:t>26:198</w:t>
      </w:r>
      <w:r>
        <w:rPr>
          <w:rFonts w:ascii="IRNazanin" w:hAnsi="IRNazanin" w:eastAsia="IRNazanin"/>
          <w:b w:val="false"/>
          <w:b w:val="false"/>
          <w:bCs w:val="false"/>
          <w:i w:val="false"/>
          <w:i w:val="false"/>
          <w:iCs w:val="false"/>
          <w:color w:val="333333"/>
          <w:sz w:val="20"/>
          <w:sz w:val="20"/>
          <w:szCs w:val="20"/>
          <w:rtl w:val="true"/>
        </w:rPr>
        <w:t xml:space="preserve">،و مکارم الأخلاق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وصیته لأبی ذرّ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ذرّ إیّاک و الغیبة،فإنّ الغیبة أشدّ من الزنا،قلت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و لم ذاک بأبی أنت و امّی؟قال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الرجل یزنی فیتوب إلی اللّه فیتوب اللّه علیه،و الغیبة لا تغفر حتّی یغفرها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بأبی المفضل،و رجاء،و ابن میمون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الروایة و إن نقلها غیر واحد من حملة الحدیث مسندا و مرسلا،و لکنّ الظاهر أنّها روایة واحدة مأخوذة من وصیة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لأبی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 الروایة الغزالی فی الإحیاء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المتقدّم من المستدرک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ورّام عن أنس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 الربا و عظّم شأنه،إلی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أربی الربا عرض الرجل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الغزالی فی الإحیاء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سنن البیهقی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أربی الربا الاستطالة فی عرض المسلم بغیر حقّ</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 و الرأی و المقاییس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باب البدع و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البحث هنا عنوان المخالفین،و من الواضح أنّ ترتّب الأحکام المذکورة علیه لا یرتبط بالأشخاص علی ما ذکره الغزالی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إحیاء العلوم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جوّز لعن الروافض کتجویزه لعن الیهود و النصاری و الخوارج و القدریة بزعم أنه علی الوصف الأعم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ذلک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الأخلاق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26:198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10:408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ذرّ فی وصیة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فی وصیة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و ما الغیبة؟قال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ذکرک أخاک بما یکره،قلت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فإن کان فیه ذاک الذی یذکر به؟قال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أنّک إذا ذکرته بما هو فیه فقد اغتبته،و إذا ذکرته بما لیس فیه فقد بهته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بأبی المفضل،و ابن میمون أو شمون،و رجاء بن یحیی،و غیرهم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سنن البیهقی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أتدرون ما الغیبة؟قالوا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 رسوله أعلم،قال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ذکرک أخاک بما یکره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إحیاء العلوم للغزالی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غیب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سیابة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أن تقول فی أخیک ما ستره اللّه علیه،و أمّا الأمر الظاهر فیه مثل الحدة و العجلة فلا،و البهتان أن تقول فیه ما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داود بن سرحان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الغیبة،قال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تقول لأخیک فی دینه ما لم یفعل،و تثبت علیه أمرا قد ستره اللّه علیه لم یقم علیه فیه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بمعلّی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2:7/358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5:5/978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،مادّة غیب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سنن البیهقی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ستره اللّه علیه فأمره إلی اللّه،إن شاء عذّبه،و إن شاء غفر له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المتقدّم من لسان العرب،تاج العروس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غاب</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ذکر رجلا من خلفه بما هو فیه ممّا عرفه الناس لم یغتبه،و من ذکره من خلفه بما هو فیه ممّا لا یعرفه الناس اغتابه،و من ذکره بما لیس فیه فقد بهته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بیحیی الأزرق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2:6/358</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إحیاء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باب الغیبة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الأبواب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المصدر المتقدّم من المستدرک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 من زعم أنه ولد من حلال و هو یأکل لحوم الناس بالغیبة،اجتنبوا الغیبة فإنّها إدام کلاب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بالحسین بن محمد بن علی السیرافی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باب الاعتراف بالحقوق و الخروج عن المظالم،و کشف الریبة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10:433</w:t>
      </w:r>
      <w:r>
        <w:rPr>
          <w:rFonts w:ascii="IRNazanin" w:hAnsi="IRNazanin" w:eastAsia="IRNazanin"/>
          <w:b w:val="false"/>
          <w:b w:val="false"/>
          <w:bCs w:val="false"/>
          <w:i w:val="false"/>
          <w:i w:val="false"/>
          <w:iCs w:val="false"/>
          <w:color w:val="333333"/>
          <w:sz w:val="20"/>
          <w:sz w:val="20"/>
          <w:szCs w:val="20"/>
          <w:rtl w:val="true"/>
        </w:rPr>
        <w:t xml:space="preserve">،و إحیاء العلوم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إحیاء العلوم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مرسلة،راجع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المصدر المتقدّم من المستدرک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عدم دلالتها علی المطلوب</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 أیّما عبد من عبیدک أدرکه منّی درک أو مسّه من ناحیتی أذی أو لحقه بی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بحفص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2:4/357</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5:7/979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نسب المصنّف هذه الروایة إلی السکونی،و هو من سهو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10:431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بالنوفلی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2:20/334</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5:21/970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ظلم أحدا فعابه فلیستغفر اللّه له کما ذکره،فإنّه کفّارة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بموسی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المامقانی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10:432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فأیّما عبد من عبیدک أو أمة من إمائک کانت له قبلی مظلمة ظلمتها إیّاه فی نفسه أو فی عرضه أو فی ماله أو فی أهله و ولده أو غیبة اغتبته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فقصرت یدی و ضاق و سعی عن ردّها إلیه و التحلّل منه فأسألک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ترضیه عنّی بما شئت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فی سورة الفرقان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ورد فی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إحیاء العلوم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بأحمد بن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72:32/253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إحیاء العلوم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لیس لهم 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هوی مبتدع،و الإمام الجائر و الفاسق المعلن بالفسق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بأبی البختری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رواها الغزالی فی إحیاء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القطب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غیبة 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جائر،و فاسق معلن،و صاحب 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السیّد فضل اللّه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لیس غیبتهم 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 المعلن بفسقه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غیبة لفاسق أو فی 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بعثمان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مرآة العقول </w:t>
      </w:r>
      <w:r>
        <w:rPr>
          <w:rFonts w:eastAsia="IRNazanin" w:cs="IRNazanin"/>
          <w:b w:val="false"/>
          <w:bCs w:val="false"/>
          <w:i w:val="false"/>
          <w:iCs w:val="false"/>
          <w:color w:val="333333"/>
          <w:sz w:val="20"/>
          <w:szCs w:val="20"/>
        </w:rPr>
        <w:t>9:28/273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5:4/569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المتقدّم من الوسائل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بصالح بن عقبة و علقمة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کتاب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بمحمد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الباب المتقدّم من الوسائل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6:596/241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 فی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إحیاء العلوم للغزالی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یُحِبُّ اللّهُ الخ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الضیف ینزل بالرجل فلا یحسن ضیافته،فلا جناح علیه فی أن یذکره بسوء ما 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بموسی بن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مرآة العقول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باب ما جاء فی التقاضی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باب الوکالة فی قضاء الدین عن أبی هریرة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أعرابیا تقاضی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 کان له علیه فأغلظ له،فهمّ به أصحاب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دعوه،فإنّ لصاحب الحقّ مقالا،ثم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اقضوه،فقالوا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نجد إلاّ سنّا أفضل من سنّه،قال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اشتروه و اعطوه،فإنّ خیرکم أحسنکم قضاء</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سنن البیهقی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الواجد یحل عرضه و عقوبته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أحادیث 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الواجد یحلّ عقوبته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5:1/100</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18:7/801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أبواب الدین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باب آداب اقتضاء الدین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ذکره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عنده قوم یحدّثهم إذ ذکر رجل منهم رجلا فوقع فیه و شکاه،فقال له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أنّی لک بأخیک کلّه،و أی الرجال 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5:10/574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الوافی </w:t>
      </w:r>
      <w:r>
        <w:rPr>
          <w:rFonts w:eastAsia="IRNazanin" w:cs="IRNazanin"/>
          <w:b w:val="false"/>
          <w:bCs w:val="false"/>
          <w:i w:val="false"/>
          <w:iCs w:val="false"/>
          <w:color w:val="333333"/>
          <w:sz w:val="20"/>
          <w:szCs w:val="20"/>
        </w:rPr>
        <w:t>5:8/560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أبی المأمون الحارثی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حقّ المؤمن علی المؤمن أن لا یخونه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بالحارثی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المزبور من الوسائل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5:5/548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المعزا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 أخو المسلم،لا یظلمه و لا یخذله و لا یخونه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الموضع المتقدّم من الوسائل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5:7/553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عقبة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المؤمن أخو المؤمن،عینه و دلیله،لا یخونه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الحارث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 أخو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بسهل،و مجهولة بالمثنّی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غیر ذلک من الروایات الکثیرة المذکورة فی المصادر المزبورة و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الوافی </w:t>
      </w:r>
      <w:r>
        <w:rPr>
          <w:rFonts w:eastAsia="IRNazanin" w:cs="IRNazanin"/>
          <w:b w:val="false"/>
          <w:bCs w:val="false"/>
          <w:i w:val="false"/>
          <w:iCs w:val="false"/>
          <w:color w:val="333333"/>
          <w:sz w:val="20"/>
          <w:szCs w:val="20"/>
        </w:rPr>
        <w:t>5:4/335</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2:2/163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أبواب فعل المعروف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أنسک الناس نسکا أنصحهم جیبا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بالنوفلی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w:t>
      </w:r>
      <w:r>
        <w:rPr>
          <w:rFonts w:eastAsia="IRNazanin" w:cs="IRNazanin"/>
          <w:b w:val="false"/>
          <w:bCs w:val="false"/>
          <w:i w:val="false"/>
          <w:iCs w:val="false"/>
          <w:color w:val="333333"/>
          <w:sz w:val="20"/>
          <w:szCs w:val="20"/>
        </w:rPr>
        <w:t>5:1/681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أبواب فعل المعروف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2:1/208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 للمؤمن علی المؤمن أن یناصحه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وهب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 للمؤمن علی المؤمن النصیحة له فی المشهد و المغیب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غیر ذلک من الروایات المذکورة فی المصادر المتقدّمة،و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مناصحة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المصدر المتقدّم من الوسائل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باب من لم یناصح أخاه المؤمن،و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أبواب فعل المعروف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بالحسین بن حازم،و الحسین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بعبد اللّه بن سلیمان النوفلی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بیحیی،و مالک،و عبایة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الباب المذکور من المستدرک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مصادقة الإخوان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من الأبواب،و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أبواب أحکام العشرة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إحیاء العلوم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قال لهند بنت عتبة امرأة أبی سفیان حین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 سفیان رجل شحیح لا یعطینی و ولدی ما یکفینی،فقال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خذی لک و لولدک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الفقیه </w:t>
      </w:r>
      <w:r>
        <w:rPr>
          <w:rFonts w:eastAsia="IRNazanin" w:cs="IRNazanin"/>
          <w:b w:val="false"/>
          <w:bCs w:val="false"/>
          <w:i w:val="false"/>
          <w:iCs w:val="false"/>
          <w:color w:val="333333"/>
          <w:sz w:val="20"/>
          <w:szCs w:val="20"/>
        </w:rPr>
        <w:t>4:184/51</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15:15/551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رجل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امّی لا تدفع ید لامس،قال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فاحبسها،قال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فعلت،قال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فامنع من یدخل علیها،قال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فعلت،قال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فقیّدها،فإنّک لا تبرّها بشیء أفضل من أن تمنعها من محارم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8:4671/237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ذکرها المصنّف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المکاسب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عبد الملک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الناس إلیّ أحیاء و أمواتا أربعة،فذکر منهم الأحوال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إحیاء العلوم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الروضة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کفر،و المستمع لها و الراضی بها مشرک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الشیخ أبی 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السامع للغیبة أحد المغتابین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إحیاء العلوم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المستمع أحد المغتابین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من الأحادیث</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مکارم الأخلاق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من اغتیب عنده أخوه المسلم فاستطاع نصره فلم ینصره خذله اللّه فی الدنیا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سند هذه الوصیة مجاهیل،لا طریق إلی الحکم بصحتها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الورد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اغتیب عنده أخوه المؤمن فنصره و أعانه نصره اللّه و أعانه فی الدنیا و الآخرة،و من لم ینصره و لم یعنه و لم یدفع عنه و هو یقدر علی نصرته و عونه إلاّ خفضه اللّه فی الدنیا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بأبی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 فی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الأمر بالمعروف و النهی عن المنکر،و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شرح النهج لمحمد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الراضی بفعل قوم کالداخل فیه معهم،و علی کل داخل فی باطل إثمان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 العمل به،و إثم الرضا به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نَزَّلَ عَلَیْکُمْ فِی الْکِتابِ أَنْ إِذا سَمِعْتُمْ آیاتِ اللّهِ یُکْفَرُ بِها وَ یُسْتَهْزَأُ بِها فَلا تَقْعُدُوا مَعَهُمْ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مخالفة السرّ و العلن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اغتاب مؤمنا بما فیه لم یجمع اللّه بینهما فی الجنّة أبدا،و من اغتاب مؤمنا بما لیس فیه فقد انقطعت العصمة بینهما،و کان المغتاب فی النار خالدا فیها و بئس المصیر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ضعیف بعلقمة بن محمد،و صالح بن عقبة،و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مصادقة الإخوان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باب حقّ المؤمن علی أخیه،و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الاخوة،ب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الأخ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221/71</w:t>
      </w:r>
      <w:r>
        <w:rPr>
          <w:rFonts w:ascii="IRNazanin" w:hAnsi="IRNazanin" w:eastAsia="IRNazanin"/>
          <w:b w:val="false"/>
          <w:b w:val="false"/>
          <w:bCs w:val="false"/>
          <w:i w:val="false"/>
          <w:i w:val="false"/>
          <w:iCs w:val="false"/>
          <w:color w:val="333333"/>
          <w:sz w:val="20"/>
          <w:sz w:val="20"/>
          <w:szCs w:val="20"/>
          <w:rtl w:val="true"/>
        </w:rPr>
        <w:t xml:space="preserve">باب حقوق الإخوان و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غیر ذلک من الأبواب من الکتب المذکورة و غیرها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المتقدّم من الوسائل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الوافی </w:t>
      </w:r>
      <w:r>
        <w:rPr>
          <w:rFonts w:eastAsia="IRNazanin" w:cs="IRNazanin"/>
          <w:b w:val="false"/>
          <w:bCs w:val="false"/>
          <w:i w:val="false"/>
          <w:iCs w:val="false"/>
          <w:color w:val="333333"/>
          <w:sz w:val="20"/>
          <w:szCs w:val="20"/>
        </w:rPr>
        <w:t>5:5/569</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2:3/193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مریم الأنصاری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رجل بالبصرة إلی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 المؤمنین أخبرنا عن الإخوان؟فقال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الإخوان صنفان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 الثقة،و إخوان المکاشرة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إخوان الثقة فهم الکفّ و الجناح و الأهل و المال فإذا کنت من أخیک علی حدّ الثقة فابذل له مالک و بدنک،و صاف من صافاه و عاد من عاداه،و اکتم سرّه و عیبه،و أظهر منه الحسن،و اعلم أیّها السائل أنّهم أقل من الکبریت 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إخوان المکاشرة فإنّک تصیب لذّتک منهم،فلا تقطعنّ ذلک منهم،و لا تطلبنّ ما وراء ذلک عن ضمیرهم،و ابذل لهم ما بذلوا لک من طلاقة الوجه و حلاوة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تکون الصداقة إلاّ بحدودها،فمن کانت فیه هذه الحدود أو شیء منها فانسبه إلی الصداقة،و من لم یکن فیه شیء منها فلا تنسبه إلی شیء من الصداقة فأوّلها أن تکون سریرته و علانیته لک واحدة،و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یری زینک زینه و شینک شینه و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تغیّره علیک ولایة و لا مال،و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یمنعک شیئا تناله مقدرته و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تجمع هذه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یسلمک عند النکبات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بعبید اللّه الدهقان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الخذلان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5:8/573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الْمُؤْمِنُونَ إِخْوَةٌ الحجرات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النهج لمحمد عبده </w:t>
      </w:r>
      <w:r>
        <w:rPr>
          <w:rFonts w:eastAsia="IRNazanin" w:cs="IRNazanin"/>
          <w:b w:val="false"/>
          <w:bCs w:val="false"/>
          <w:i w:val="false"/>
          <w:iCs w:val="false"/>
          <w:color w:val="333333"/>
          <w:sz w:val="20"/>
          <w:szCs w:val="20"/>
        </w:rPr>
        <w:t>135/689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 الصدیق صدیقا حتّی یحفظ أخاه فی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نکبته،و غیبته،و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مصادقة الإخوان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باب مواساة الإخوان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عقبة عن الوصافی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إسماعیل أ رأیت من قبلکم إذا کان الرجل لیس له رداء و عند بعض إخوانه فضل رداء یطرح علیه حتّی یصیب رداء؟قال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کان لیس عنده إزار یوصل إلیه بعض إخوانه فضل إزار حتّی یصیب إزارا؟قلت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لا،فضرب بیده علی فخذه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هؤلاء باخوة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خلاّد السندی رفعه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أبطأ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أبطأ بک؟فقال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العری یا رسول اللّه،فقال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کان لک جار له ثوبان یعیرک أحدهما؟قال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 لک بأخ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مرفوعة،و مجهولة بخلاّد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الوافی </w:t>
      </w:r>
      <w:r>
        <w:rPr>
          <w:rFonts w:eastAsia="IRNazanin" w:cs="IRNazanin"/>
          <w:b w:val="false"/>
          <w:bCs w:val="false"/>
          <w:i w:val="false"/>
          <w:iCs w:val="false"/>
          <w:color w:val="333333"/>
          <w:sz w:val="20"/>
          <w:szCs w:val="20"/>
        </w:rPr>
        <w:t>5:9/574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ابن عمر و یونس بن ظبیان،قالا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اختبروا إخوانکم بخصلتین،فإن کانتا فیهم و إلاّ فاعزب ثم اعزب ثمّ اعزب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المحافظة علی الصلاة فی مواقیتها و البرّ بالإخوان فی العسر و الیسر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بعمر بن عبد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العزوب بالعین المهملة و الزاء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 و الغیبة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مجالسة العلماء و صحبتهم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نهت الشریعة نهیا شدیدا عن المیسر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فحرّمته بجمیع أنواعه،و سدّت فی وجه المسلمین سبله و نوافذه،و حذّرتهم من الدنوّ من أی ناحیة من نواحیه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إِنَّمَا الْخَمْرُ وَ الْمَیْسِرُ وَ الْأَنْصابُ وَ الْأَزْلامُ رِجْسٌ مِنْ عَمَلِ الشَّیْطانِ فَاجْتَنِبُوهُ لَعَلَّکُمْ تُفْلِحُونَ المائدة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باب القمار،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باب النرد و الشطرنج،و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Pr>
        <w:t>9:354/83</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19:2/93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عبد العظیم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تَسْتَقْسِمُوا بِالْأَزْلامِ ذلِکُمْ فِسْقٌ یعنی حراما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باب ما یدلّ علی ردّ شهادة من قامر بالحمام أو بالشطرنج أو غیرهما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14:105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المالکیة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اللعب بالنرد و الشطرنج و لو بغیر عوض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الشافعیة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یحلّ اللعب بالشطرنج و الکرة و حمل الأثقال و المشابکة بالأصابع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 المسابقة بدون عوض فی کل ما ذکر عند الشافعیة إلاّ الشطرنج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یکره اللعب بالشطرنج،و کل ما أفضی إلی محرّم فهو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فتح القدیر </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بحرمة اللعب بالشطرنج،ثمّ حکی عن بعض الناس إباحة ذلک،لما فیه من تشحیذ الخواطر،و هو محکی عن الشافعی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مرسلة و ضعیفة بأبی الجارود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بابن الصلت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أمالی الطوسی </w:t>
      </w:r>
      <w:r>
        <w:rPr>
          <w:rFonts w:eastAsia="IRNazanin" w:cs="IRNazanin"/>
          <w:b w:val="false"/>
          <w:bCs w:val="false"/>
          <w:i w:val="false"/>
          <w:iCs w:val="false"/>
          <w:color w:val="333333"/>
          <w:sz w:val="20"/>
          <w:szCs w:val="20"/>
        </w:rPr>
        <w:t>681/336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کتاب السبق و الرمایة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5:13/50</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بسهل،و مجهولة بابن المختار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،مادّة القمرة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،مادّة 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تقمره راهنه فغلبه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القمار بالکسر اللعب بالآلات المعدّة له علی اختلاف أنواعها،و أصل القمار الرهن علی اللعب بالشیء من هذه الأشیاء،و ربما أطلق علی اللعب بالخاتم و الجوز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الرجل قمرا راهن و لعب بالقمار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قمرا راهن و لعب فی القمار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مادّة الیسر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 فی مادّة 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المیسر کمنزل و مجلس اللعب بالقداح،أو هو الجزور التی کانوا یتقامرون علیها،و کانوا إذا أرادوا أن ییسروا اشتروا جزورا نسیئة،و نحروه قبل أن ییسروا،و قسّموه ثمانیة و عشرین قسما،أو عشرة أقسام،فإذا خرج واحد واحد باسم رجل رجل ظهر فوز من خرج لهم ذوات الانصباء و غرم من خرج له الغفل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هو النرد،أو کل 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زلم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بها فی المشهور و دلالة الروایة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الأزلام القداح العشرة المعروفة فیما بینهم فی الجاهلیة،و القصّة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کان یجتمع العشرة من الرجال،فیشترون بعیرا،و ینحرونه،و یقسّمونه عشرة أجزاء،و کان لهم عشرة قداح لها أسماء،و هی الفذّ،له سهم،و التوأم،و له سهمان،و الرقیب،و له ثلاثة و الحلس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الحاء و سکون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أربعة،و النافس،و له خمسة،و المسبل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ستّة،و المعلی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المیم و سکون العین و فتح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سبعة،و ثلاثة لا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22:109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 الشطرنج و النرد؟فقال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تقربوهما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بأبی الربیع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تصحّ المسابقة بجعل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 الخیل و الجمال و الرمی إلاّ عن الشافعیة،فإنّهم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 المسابقة بالرهان أیضا علی البغال و الحمیر و الفیلة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22:109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مخطوط،لم نقف علیه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5:1/554</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15:4/149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کتاب السبق و الرمایة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شیء تحضره الملائکة إلاّ الرهان و ملاعبة الرجل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بسعدان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w:t>
      </w:r>
      <w:r>
        <w:rPr>
          <w:rFonts w:eastAsia="IRNazanin" w:cs="IRNazanin"/>
          <w:b w:val="false"/>
          <w:bCs w:val="false"/>
          <w:i w:val="false"/>
          <w:iCs w:val="false"/>
          <w:color w:val="333333"/>
          <w:sz w:val="20"/>
          <w:szCs w:val="20"/>
        </w:rPr>
        <w:t>15:5/149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کتاب السبق و الرمایة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الملائکة لتنفر عند الرهان و تلعن صاحبه ما خلا الحافر و الخفّ و الریش و النصل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کتاب السبق و الرمایة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العلاء بن سیابة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الملائکة تحضر الرهان فی الخفّ و الحافر و الریش،و ما سوی ذلک فهو قمار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بابن سیابة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کتاب السبق و الرمایة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زید النرسی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الرهان،و إیّاکم و الرهان إلاّ رهان الخفّ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بالنرسی بل ربما یناقش فی انتساب الأصل المعروف إلیه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یاسر الخادم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المیسر،قال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 من کل شیء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الثقل ما یخرج بین المتراهنین من الدراهم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بیاسر،علی أنّ التفسیر المزبور لم یثبت اعتباره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w:t>
      </w:r>
      <w:r>
        <w:rPr>
          <w:rFonts w:eastAsia="IRNazanin" w:cs="IRNazanin"/>
          <w:b w:val="false"/>
          <w:bCs w:val="false"/>
          <w:i w:val="false"/>
          <w:iCs w:val="false"/>
          <w:color w:val="333333"/>
          <w:sz w:val="20"/>
          <w:szCs w:val="20"/>
        </w:rPr>
        <w:t>1:187/341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الباب المذکور من الوسائل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6:1/435</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خلاّد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النرد و الشطرنج و الأربعة عشر بمنزلة واحدة،و کل ما قومر علیه فهو میسر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Pr>
        <w:t>5:2/122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17:2/225</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6:1075/371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أنزل اللّه علی رسوله إِنَّمَا الْخَمْرُ وَ الْمَیْسِرُ إلخ،قیل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ما المیسر؟فقال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تقومر به حتّی الکعاب و الجوز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ذلک،و لکنّه ضعیف</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فی الکافی </w:t>
      </w:r>
      <w:r>
        <w:rPr>
          <w:rFonts w:eastAsia="IRNazanin" w:cs="IRNazanin"/>
          <w:b w:val="false"/>
          <w:bCs w:val="false"/>
          <w:i w:val="false"/>
          <w:iCs w:val="false"/>
          <w:color w:val="333333"/>
          <w:sz w:val="20"/>
          <w:szCs w:val="20"/>
        </w:rPr>
        <w:t>5:10/124</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17:4/226</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6:1069/370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الصبیان یلعبون بالجوز و البیض و یقامرون،فقال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تأکل منه فإنّه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جملة رجال السند فی هذه الروایة محمد بن أحمد النهدی،و قد رماه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بالاضطراب،و ضعّفه ابن الغضائری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حکاه عنه العلاّمة فی 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فلا بدّ من التوقّف کما علیه العلاّمة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7:11/428</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6:803/290</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16:47/1120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قیس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رجل آکل و أصحاب له شاة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أکلتموها فهی لکم،و إن لم تأکلوها فعلیکم کذا و کذا،فقضی فیه أنّ ذلک باطل،لا شیء فی المؤاکلة من الطعام ما قلّ منه و ما کثر،و منع غرامة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5:3/123</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17:6/227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الحمید بن سعید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غلاما یشتری له بیضا فأخذ الغلام بیضة أو بیضتین فقامر بها،فلمّا أتی به أکله،فقال له مولی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فیه من القمار،قال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بطشت فتقیّأ فقاءه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بعبد الحمید،و ضعیفة بسهل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ذکر فی الکافی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ذکر فی الکافی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المذاهب الأربعة جواز المسابقة بدون رهن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5:6/48</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15:12/152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کتاب السبق و الرمایة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سبق إلاّ فی خفّ أو حافر أو نصل،یعنی النضال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بمعلّی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ذکرت هذه الروایة فی جملة من أحادیث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کتاب السبق و الرمایة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سبق إلاّ فی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خفّ أو حافر أو نصل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 البدایة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الجناح</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عدّ الشطرنج فی الأخیر من اللعب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قود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یعثر علیها فی تنبیه الخواطر للشیخ ورّام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أبواب حدّ السحق و القیادة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أبواب النکاح المحرّم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زیاد الکرخی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الواصلة و المستوصلة،یعنی الزانیة و القوّادة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قاد بین امرأة و رجل حراما حرّم اللّه علیه الجنّة،و مأواه جهنّم و ساءت مصیرا،و لم یزل فی سخط اللّه حتّی یموت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تاج العروس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القائف من یعرف الآثار،الجمع 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القائف الذی یتبع الآثار،و یعرفها،و یعرف شبه الرجل بأخیه و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محرزا کان قائفا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المنتهی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إکمال المعلّم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 العمل بالقافة الشافعی،و نفاه أبو حنیفة،و المشهور عن مالک فی الإماء دون الحرائر،و روی عنه ابن وهب إثباته فی الحرائر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خلاف عند القائلین بالقافة أنّها إنّما تکون فیما أشکل من فراشین ثابتین،کأمة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البحث عن حرمة الرشوة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عن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علیها و هو مسرور تبرق أساریر وجهه،فقال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تسمعی ما قال مجزّز المدلجی و رأی اسامة و زیدا نائمین و قد خرجت أقدامهما،فقال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الأقدام بعضها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الدعوی و البیّنات،و 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آخر کتاب 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2:39/1082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النسائی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کتاب اللعان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الترمذی مع شرح ابن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آخر باب الولاء و الهبة و الوصایا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الخطوط التی تکون بالجبهة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الساری فی شرح البخاری </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مجزّز بضمّ المیم و فتح الجیم و کسر الزاء الاولی المشدّدة و آخره زاء معجمة،سمّی بذلک لأنّه کان یجزّ ناصیة الأسیر فی الجاهلیة و یطلقه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العسقلانی فی فتح الباری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لکنّی لم أر من ذکر اسمه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فالقیافة؟قال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أحبّ أن تأتیهم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القیافة فضلة من النبوّة ذهبت فی الناس حین بعث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إخوة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 فقالوا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فینا إمام قطّ حائل اللون،فقال لهم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ابنی،قالوا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قضی بالقافة،فبیننا و بینک القافة،قال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ابعثوا أنتم إلیهم،و أمّا أنا فلا،و لا تعلموهم لما دعوتموهم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جاؤوا بأبی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ألحقوا هذا الغلام بأبیه،فقالوا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ههنا أب،و لکن هذا عمّ أبیه و هذا عمّه و هذا عمّه و هذه عمّته،و إن یکن له ههنا أب فهو صاحب البستان،فإنّ قدمیه و قدمیه واحدة،فلمّا رجع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بزکریا بن یحیی</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باب الکذب،و الوافی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إحیاء العلوم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روایة العیون فلما تقدّم فی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روایة الأعمش فبأحمد بن یحیی بن زکریا و غیره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بعثمان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2:3/338</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5:3/927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69:48/263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27:107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ذلک فی مظان کتبهما،نعم ذکر فی قواعد الأحکام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الکبیرة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توعّد اللّه تعالی فیها بالنار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26:198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بأبی المفضل،و رجاء،و ابن میمون أو شمّون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5:12/1056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w:t>
      </w:r>
      <w:r>
        <w:rPr>
          <w:rFonts w:eastAsia="IRNazanin" w:cs="IRNazanin"/>
          <w:b w:val="false"/>
          <w:bCs w:val="false"/>
          <w:i w:val="false"/>
          <w:iCs w:val="false"/>
          <w:color w:val="333333"/>
          <w:sz w:val="20"/>
          <w:szCs w:val="20"/>
        </w:rPr>
        <w:t>5:9/929</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2:5/239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أبی خدیجة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الکذب علی اللّه و علی رسوله من الکبائر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3:1756/372</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من الوسائل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من الوسائل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2:2/338</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5:2/927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الکذّاب هو الذی یکذب فی الشیء؟قال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لا،ما من أحد إلاّ یکون ذلک منه،و لکن المطبوع علی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بإبراهیم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2:12/340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علی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المجبول علیه،بحیث صار عادة له،و من لا یکون کذلک لا یصدق علیه الکذّاب،الذی هو من صیغ المبالغة،و هو واضح</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یصلح من الکذب جدّ و هزل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بأبی وکیع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بالقاسم بن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2:11/340</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5:1/927</w:t>
      </w:r>
      <w:r>
        <w:rPr>
          <w:rFonts w:ascii="IRNazanin" w:hAnsi="IRNazanin" w:eastAsia="IRNazanin"/>
          <w:b w:val="false"/>
          <w:b w:val="false"/>
          <w:bCs w:val="false"/>
          <w:i w:val="false"/>
          <w:i w:val="false"/>
          <w:iCs w:val="false"/>
          <w:color w:val="333333"/>
          <w:sz w:val="20"/>
          <w:sz w:val="20"/>
          <w:szCs w:val="20"/>
          <w:rtl w:val="true"/>
        </w:rPr>
        <w:t xml:space="preserve">،و الباب المتقدّم من الوسائل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زعیم بیت فی ربض الجنّة و بیت فی وسط الجنّة و بیت فی أعلی الجنّة لمن ترک المراء و إن کان محقّا،و لمن ترک الکذب و إن کان هازلا،و لمن حسن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الخصال </w:t>
      </w:r>
      <w:r>
        <w:rPr>
          <w:rFonts w:eastAsia="IRNazanin" w:cs="IRNazanin"/>
          <w:b w:val="false"/>
          <w:bCs w:val="false"/>
          <w:i w:val="false"/>
          <w:iCs w:val="false"/>
          <w:color w:val="333333"/>
          <w:sz w:val="20"/>
          <w:szCs w:val="20"/>
        </w:rPr>
        <w:t>1:170/144</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69:32/261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14:430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2:1/363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5:6/924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 فی تعلیق الاستغفار بسبعین مرّة المبالغة،لا العدد المخصوص و المراد بذلک نفی الغفران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العرب تبالغ بالسبعة و السبعین،و لهذا قیل للأسد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السبع،لأنّهم تأوّلوا فیه لقوّته أنّها ضوعفت له سبع مرّات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کذب</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وریت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توریة إذا سترته و أظهرت غیره،حیث یکون للفظ معنیان،أحدهما أشیع من الآخر و تنطق به و ترید الخفی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و ملاذ المجتهدین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مرسلة و ضعیفة بسوید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باب الحیل آخر الطلاق،و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باب الحیل آخر الطلاق</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2:17/341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5:20/934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الصیقل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قد روینا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أَیَّتُهَا الْعِیرُ إِنَّکُمْ لَسارِقُونَ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سرقوا و ما 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فَعَلَهُ کَبِیرُهُمْ هذا فَسْئَلُوهُمْ إِنْ کانُوا یَنْطِقُونَ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فعلوا و ما 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فَعَلَهُ کَبِیرُهُمْ هذا إرادة الإصلاح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إرادة الإصلاح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بالحسن الصیقل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عطاء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کذب علی مصلح،ثمّ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أَیَّتُهَا الْعِیرُ،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سرقوا و ما کذب،ثمّ تلا بَلْ فَعَلَهُ الخ،ثمّ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10:198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الاحتجاج </w:t>
      </w:r>
      <w:r>
        <w:rPr>
          <w:rFonts w:eastAsia="IRNazanin" w:cs="IRNazanin"/>
          <w:b w:val="false"/>
          <w:bCs w:val="false"/>
          <w:i w:val="false"/>
          <w:iCs w:val="false"/>
          <w:color w:val="333333"/>
          <w:sz w:val="20"/>
          <w:szCs w:val="20"/>
        </w:rPr>
        <w:t>2:228/256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راد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إحیاء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بیان ما رخّص فیه من الکذب</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16:106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کتاب الأیمان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رجل أحلفه السلطان بالطلاق أو غیر ذلک فحلف؟قال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جناح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رجل یخاف علی ماله من السلطان فیحلف لینجو به منه؟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جناح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سألته هل یحلف الرجل علی مال أخیه کما یحلف علی ماله؟قال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السکونی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احلف باللّه کاذبا و نجّ أخاک من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بالنوفلی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الصدوق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الیمین علی وجهین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الذی یؤجر علیها الرجل إذا حلف کاذبا و لم تلزمه الکفّارة فهو أن یحلف الرجل فی خلاص امرئ مسلم،أو خلاص ماله من متعدّ یتعدّی علیه من لص أو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نمر علی هؤلاء القوم فیستحلفونا علی أموالنا و قد أدّینا زکاتها،فقال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زرارة إذا خفت فاحلف لهم ما شاؤوا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 بابن بکیر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فی کتاب مصادقة الإخوان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الرجل یکذب علی أخیه یرید به نفعه فیکون عند اللّه صادقا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کتاب الأیمان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حلف الرجل تقیّة لم یضرّه إذا هو اکره و اضطرّ إلیه،و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شیء ممّا حرّم اللّه إلاّ و قد أحلّه لمن اضطرّ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المذکور فی موثّقة ابن بکیر 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زرارة إذا خفت فاحلف لهم ما شاؤوا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 من الروایات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کره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5:4/123</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17:1/233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إحیاء العلوم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ما رخّص فیه من الکذب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البحث عن جواز الکذب لدفع الضرورة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أفکار المتقدّمین و المتأخرین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16:105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7:6/89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2:16/341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5:17/931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صدق،و کذب،و إصلاح بین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مرسل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بمحمد بن 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کهن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 له قضی بالغیب،و فی التوشیح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الکهانة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یجوز 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ادّعاء علم الغیب،قال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الکاهن الذی یتعاطی الخبر عن الکائنات فی مستقبل الزمان،و یدّعی معرفة الأسرار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من یزعم أنّ له تابعا من الجنّ و رئیا یلقی إلیه الأخبار،و منهم من کان یزعم أنّه یعرف الامور بمقدّمات و أسباب یستدلّ بها علی مواقعها،و هذا یخصّونه باسم العرّاف،کالذی یدّعی معرفة الشیء المسروق و مکان الضالّة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کهن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الکهانة کانت فی العرب قبل البعث،فلمّا بعث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حرست السماء و بطلت الکهانة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 الکهانة قریب من السحر أو أخصّ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6:193</w:t>
      </w:r>
      <w:r>
        <w:rPr>
          <w:rFonts w:ascii="IRNazanin" w:hAnsi="IRNazanin" w:eastAsia="IRNazanin"/>
          <w:b w:val="false"/>
          <w:b w:val="false"/>
          <w:bCs w:val="false"/>
          <w:i w:val="false"/>
          <w:i w:val="false"/>
          <w:iCs w:val="false"/>
          <w:color w:val="333333"/>
          <w:sz w:val="20"/>
          <w:sz w:val="20"/>
          <w:szCs w:val="20"/>
          <w:rtl w:val="true"/>
        </w:rPr>
        <w:t>،مادّة 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العرّاف کشدّاد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الکاهن،قال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العرّاف المنجّم،أو الذی یدّعی علم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العرّاف کالکاهن،إلاّ أنّ العرّاف یختصّ بمن یخبر بالأحوال المستقبلة،و الکاهن بمن یخبر بالأحوال الماضیة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احتجّ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الزندیق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مرسل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المناهی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إتیان العرّاف،و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أتاه و صدّقه فقد برئ ممّا أنزل اللّه علی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بشعیب بن واقد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تکهّن أو تکهّن له فقد برئ من دین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بعلی بن أبی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غیر ذلک من الروایات المذکورة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Pr>
        <w:t>5:2/126</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17:12/280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من السحت أجر الکاهن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بالنوفلی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لا یدخلون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بأبی سعید هاشم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باب ما جاء فی النهی عن الکهانة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الاحتجاج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احتجّ به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الزندیق</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بتفاوت یسیر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9:408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علی المذاهب الأربعة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سفره باطلا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3:537/217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بعده،و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الجواهر </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ببکر بن عبد اللّه بن 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مجهولة بأحمد بن یحیی بن زکریا القطّان،و غیره من رجال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الاشتغال بالملاهی یمکن أن یکون الاشتغال بآلة اللهو،و من أظهر مصادیقه الغناء فی آلة اللهو</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ضعیفة کما تقدّم فی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المصدر المزبور من الوسائل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تقدّما فی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نقل الأول عن أمالی الطوسی،و أمّا خبر العیاشی فغیره،راجع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أبواب ما یکتسب 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إلی مصادرها فی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محمّد بن أبی عبّاد و کان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البحرین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لغا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الذنوب التی تهتک العصم شرب الخمر،و اللعب بالقمار،و تعاطی ما یضحک الناس من اللغو و المزاح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بأحمد بن الحسن القطّان و أحمد بن یحیی،و ضعیفة ببکر بن عبد اللّه بن حبیب</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ذرّ و أنّ الرجل یتکلّم بالکلمة فی المجلس لیضحکهم بها فیهوی فی جهنّم ما بین السماء 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ضعیفة،لما تقدّم فی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26:198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الشَّیْطانُ أَنْ یُوقِعَ بَیْنَکُمُ الْعَداوَةَ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تقدّمت فی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12:144</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بموسی بن عمران النخعی النوفلی،و عمّه الحسین بن یزید،و مبشّر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أبی عائشة،و یزید بن عمر و غیرهم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بشعیب بن واقد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5:8/1073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الحفف 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الضیق و قلّة المعیشة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الاعتناء بالشیء و مدحه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التضعضع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الخضوع</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2:2/326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ذلک فی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سنن البیهقی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عن الإعانة علی ظلم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5:5/106</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17:5/154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أعمالهم؟ 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محمّد لا،و لا مدّة بقلم،إنّ أحدکم لا یصیب من دنیاهم شیئا إلاّ أصابوا من دینه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بإبراهیم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البابین المذکورین من الوافی 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6:913/329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بنت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سوّد اسمه فی دیوان ولد سابع حشره اللّه یوم القیامة خنزیرا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بابن بنت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الباب المتقدّم من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حمزة عن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إیّاکم و صحبة العاصین و معونة الظالمین،و مجاورة الفاسقین،احذروا فتنتهم،و تباعدوا عن ساحتهم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غیر ذلک من الروایات الکثیرة المذکورة فی المصادر المتقدّمة،و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5:17/969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2:16/333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الوسائل و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عذر ظالما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طلحة عن أبی</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5:1/105</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17:1/151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المتقدّمة فی الحاشیة السابقة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1:110/238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موثّقة بالسکونی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إلی ابن أبی عمیر ثلاثة طرق حسنات فی المشیخة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التهذیب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الباب المتقدّم فی الوسائل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6:941/338</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البیوع المنهی عنها نهیا لا یستلزم بطلانها بیع النجش،و هو حرام نهی عنه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فتح القدیر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سنن البیهقی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جملة من الأحادیث نهی عن النجش و التناجش</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النجش أن تواطئ رجلا إذا أراد بیعا أن تمدحه،أو هو أن یرید الإنسان أن یبیع بیاعة فتساومه فیها بثمن کثیر لینظر إلیک ناظر فیقع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النجش فی البیع أن یزید الرجل ثمن السلعة،و هو لا یرید شراءها،و لکن لیسمعه غیره فیزید بزیادته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شمیل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النجش أن تمدح سلعة غیرک لیبیعها،أو تذمّها لئلاّ تنفق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النجش أن تزاید فی المبیع لیقع غیرک،و لیس من حاجتک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إبراهیم الحربی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النجش أن تزید فی ثمن مبیع أو تمدحه فیری ذلک غیرک فیغترّ 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الأصل فیه إثارة الصید من مکان إلی مکان،أو البحث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نجش الرجل إذا زاد فی سلعة أکثر من ثمنها،و لیس قصده أن یشتریها،بل لیغرّ غیره فیوقعه فیه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البحث عن وصل شعر المرأة بشعر غیرها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مجهول بعلی بن عبد العزیز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النجش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مرسل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فسّروا النمیمة فی اللغة بأنّها نقل الحدیث من قوم إلی قوم علی وجهة الإفساد و الشرّ،بأن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فلان فیک بکذا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مأخوذة من نمّ الحدیث،بمعنی السعی لإیقاع الفتنة و إثارة الفساد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صحیحة عبد اللّه 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انبئکم بشرارکم؟قالوا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یا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المشّاؤون بالنمیمة المفرّقون بین الأحبّة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2:1/369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5:1/981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نصح المستشیر من مستثنیات الغیبة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الزعفرانی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اصیب بمصیبته فجاء عند تلک المصیبة بنائحة فقد کفرها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بسلمة 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60/226</w:t>
      </w:r>
      <w:r>
        <w:rPr>
          <w:rFonts w:ascii="IRNazanin" w:hAnsi="IRNazanin" w:eastAsia="IRNazanin"/>
          <w:b w:val="false"/>
          <w:b w:val="false"/>
          <w:bCs w:val="false"/>
          <w:i w:val="false"/>
          <w:i w:val="false"/>
          <w:iCs w:val="false"/>
          <w:color w:val="333333"/>
          <w:sz w:val="20"/>
          <w:sz w:val="20"/>
          <w:szCs w:val="20"/>
          <w:rtl w:val="true"/>
        </w:rPr>
        <w:t>،و فی سندها سلیمان بن حفص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النائحة إذا لم تتب قبل موتها تقوم یوم القیامة و علیها سربال من قطران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مجهولة بسلیمان بن جعفر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المناهی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النیاحة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بشعیب بن واقد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رسول اللّه النائحة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سنن البیهقی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کفر النیاحة علی المیّت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کصحیحة یونس بن یعقوب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جعفر أوقف لی</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المزبورین من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بکسب النائحة إذا قالت صدقا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مرسل</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الأبواب المذکورة من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کسب المغنّیة و النائحة،فکرهه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بعثمان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المزبور من الوسائل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جعفر عن أخیه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النوح علی المیّت أیصلح؟قال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موثّقة بحنّان بن سدیر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المزبورة من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6:1026/358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17:3/199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باب عمل السلطان و جوائزهم،التهذیب </w:t>
      </w:r>
      <w:r>
        <w:rPr>
          <w:rFonts w:eastAsia="IRNazanin" w:cs="IRNazanin"/>
          <w:b w:val="false"/>
          <w:bCs w:val="false"/>
          <w:i w:val="false"/>
          <w:iCs w:val="false"/>
          <w:color w:val="333333"/>
          <w:sz w:val="20"/>
          <w:szCs w:val="20"/>
        </w:rPr>
        <w:t>6:917/330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الوافی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باب عمل السلطان و جوائزهم،الوسائل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وطؤه برجله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یقطین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مع السلطان أولیاء یدفع بهم عن أولیائه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خبر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 عتقاء اللّه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 من الروایات الکثیرة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6:916/330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باب شرط من اذن له فی أعمالهم و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22:159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التهذیب </w:t>
      </w:r>
      <w:r>
        <w:rPr>
          <w:rFonts w:eastAsia="IRNazanin" w:cs="IRNazanin"/>
          <w:b w:val="false"/>
          <w:bCs w:val="false"/>
          <w:i w:val="false"/>
          <w:iCs w:val="false"/>
          <w:color w:val="333333"/>
          <w:sz w:val="20"/>
          <w:szCs w:val="20"/>
        </w:rPr>
        <w:t>6:944/338</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17:24/162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مسلم و هو فی دیوان هؤلاء،و هو یحبّ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یخرج مع هؤلاء فیقتل تحت رایتهم؟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یبعثه اللّه علی نیّته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 واحد من الروایات ما یدلّ علی إباحة الولایة عن الجائر مع المواساة و الإحسان إلی الإخوان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w:t>
      </w:r>
      <w:r>
        <w:rPr>
          <w:rFonts w:eastAsia="IRNazanin" w:cs="IRNazanin"/>
          <w:b w:val="false"/>
          <w:bCs w:val="false"/>
          <w:i w:val="false"/>
          <w:iCs w:val="false"/>
          <w:color w:val="333333"/>
          <w:sz w:val="20"/>
          <w:szCs w:val="20"/>
        </w:rPr>
        <w:t>5:5/111</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6:929/336</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17:5/167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مهران بن محمد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نصر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Pr>
        <w:t>72:58/350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 بعض أصحابنا عن ابن الولید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محمد بن إسماعیل بن بزیع قال أبو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تعالی بأبواب الظالمین من نوّره اللّه و أخذ له البرهان،و مکّن له فی البلاد لیدفع بهم عن أولیائه،و یصلح به امور المسلمین،إلیهم یلجأ المؤمن من الضرّ،و إلیهم یفزع ذو الحاجة من شیعتنا،و بهم یؤمن اللّه روعة المؤمن فی دار الظلمة،اولئک المؤمنون حقّا اولئک امناء اللّه فی أرضه،اولئک نور اللّه فی رعیّتهم یوم القیامة،و یزهر نورهم لأهل السماوات کما تزهر الکواکب الدرّیة لأهل الأرض،اولئک من نورهم 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القیامة تضیء منهم القیامة،خلقوا و اللّه للجنّة،و خلقت الجنّة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مرسل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المرویتین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مع ولاة الجور أولیاء یدفع بهم عن أولیائه،اولئک هم المؤمنون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المفضّل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سلطان إلاّ و معه من یدفع اللّه به عن المؤمنین،اولئک أوفر حظّا فی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مرسل،و غیر ذلک من الأحادیث</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22:164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3:453/108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ضعیفة بزیاد بن أبی سلمة،و صالح بن أبی حمّاد،و مجهولة بالحسین بن الحسن الهاشمی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المصدر المزبور من الوسائل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5:1/109</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924/333</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17:1/165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16:106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باب شرط من اذن له فی أعمالهم،و التهذیب </w:t>
      </w:r>
      <w:r>
        <w:rPr>
          <w:rFonts w:eastAsia="IRNazanin" w:cs="IRNazanin"/>
          <w:b w:val="false"/>
          <w:bCs w:val="false"/>
          <w:i w:val="false"/>
          <w:iCs w:val="false"/>
          <w:color w:val="333333"/>
          <w:sz w:val="20"/>
          <w:szCs w:val="20"/>
        </w:rPr>
        <w:t>6:928/335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و الوافی </w:t>
      </w:r>
      <w:r>
        <w:rPr>
          <w:rFonts w:eastAsia="IRNazanin" w:cs="IRNazanin"/>
          <w:b w:val="false"/>
          <w:bCs w:val="false"/>
          <w:i w:val="false"/>
          <w:iCs w:val="false"/>
          <w:color w:val="333333"/>
          <w:sz w:val="20"/>
          <w:szCs w:val="20"/>
        </w:rPr>
        <w:t>17:10/157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جعلت التقیّة لیحقن بها الدم،فإذا بلغ الدم فلیس 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الثمالی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جعلت التقیة لیحقن بها الدم،فإذا بلغت التقیّة الدم فلا 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 بابن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5:23/695</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2:16/220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72:36/399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فی الهدایة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التقیّة فی کل شیء حتّی یبلغ الدم،فإذا بلغ الدم فلا تقیّة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کره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إلی مصادرها فی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إلیها و إلی مصادرها فی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2:7/272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وقی</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الروایة فی البحث عن الإضرار بالناس مع الإکراه علیه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فی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الکبری المنطبقة علی المثال فی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کَتَبْنا عَلَیْهِمْ فِیها أَنَّ النَّفْسَ بِالنَّفْسِ المائدة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أبواب القصاص فی النفس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قُتِلَ مَظْلُوماً فَقَدْ جَعَلْنا لِوَلِیِّهِ سُلْطاناً الإسراء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هجا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یحلّ التغنّی بالألفاظ الدالّة علی هجاء الناس مسلمین کانوا أو ذمّیین</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غیره،و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من الأبواب</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لِکُلِّ هُمَزَةٍ لُمَزَةٍ الهمزة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علیه فی مظانه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البحث عن اشتراط الإیمان فی حرمة الغیبة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هذه الروایة فی البحث عن حرمة سبّ المؤمن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،و فی البحث عن جواز الاغتیاب لحسم مادّة الفساد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8:431/285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10:5/331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تحلیل الخمس للشیعة من أبواب الخمس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بعض أصحابنا یفترون و یقذفون من خالفهم،فقال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 عنهم أجمل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بالحسن ابن عبد الرحمن،و ضعیفة بعلی بن العبّاس</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السفه و البذاء</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 الاستئجار علی کل طاعة یختصّ بها المسلم،و لکن المتأخّرین منهم جوّزوا أخذ الاجرة علی الأذان و تعلیم القرآن و الإمامة و الوعظ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المالکیة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 الاستئجار علی طاعة مطلوبة من الأجیر طلب عین إذا لم تقبل النیابة کالصلاة و إلاّ فیصحّ،و أمّا الأعمال المطلوبة کفایة فتجوز الإجارة علیها بلا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التزموا بجواز أخذ الاجرة علی الإمامة مع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تصحّ الإجارة علی الطاعات،و قد استثنی منها الإجارة علی بعض الامور المستحبّة،کالإمامة و التدریس و الأذان و تعلیم القرآن و الفقه و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تصحّ الإجارة علی فعل قربی کالصلاة و الأذان و غیرهما،نعم یصحّ أخذ الجعل علیها بعنوان الجعالة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العروة الوثقی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،نعم ذکره مفصّلا فی بحث الوضوء فی الشرح المذکور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العقول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67:234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حسنة بإبراهیم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4:4/366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البحار </w:t>
      </w:r>
      <w:r>
        <w:rPr>
          <w:rFonts w:eastAsia="IRNazanin" w:cs="IRNazanin"/>
          <w:b w:val="false"/>
          <w:bCs w:val="false"/>
          <w:i w:val="false"/>
          <w:iCs w:val="false"/>
          <w:color w:val="333333"/>
          <w:sz w:val="20"/>
          <w:szCs w:val="20"/>
        </w:rPr>
        <w:t>67:234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الفخر الرازی فی تفسیره الکبیر أنّه نقل اتّفاق المتکلّمین علی أنّ من عبد اللّه لأجل الخوف من العقاب أو الطمع فی الثواب لم تصح عبادته،أورده عند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رَبَّکُمْ تَضَرُّعاً وَ خُفْیَةً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المحقّق البهائی أنّه ذهب کثیر من العلماء الخاصّة و العامّة إلی بطلان العبادة إذا قصد بفعلها تحصیل الثواب أو الخلاص من العقاب و قالوا إنّ هذا مناف للإخلاص</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الإصفهانی فی کتاب الإجارة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الإصفهانی فی کتاب الإجارة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القواعد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الإصفهانی فی کتاب الإجارة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حکایته عنه المحقّق الإصفهانی فی المصدر المتقدّم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القضاء عن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الإصفهانی فی کتاب الإجارة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المالکیة جوّزوا أخذ الاجرة علی بعض الامور المستحبّة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 الإجارة علی کل مسنون کالأذان و الإقامة و علی ذکر اللّه کالتهالیل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تصحّ الإجارة علی کل فعل 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رأی الحنفیة فی الإجارة علی الطاعة فی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،و نهایة المحتاج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هیثم التمیمی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کانت معه صاحبته،لا تستطیع القیام علی رجلها،فحملها زوجها فی محمل فطاف بها طواف الفریضة بالبیت و بالصفا و المروة،أیجزیه ذلک الطواف عن نفسه طوافه بها؟قال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اللّه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بإبراهیم ابن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 و اللّه یکون ذا،فالهاء عوض عن واو القسم،کما ذکره جمع من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حفص بن البختری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المرأة تطوف بالصبی و تسعی به،هل یجزی ذلک عنها و عن الصبی؟قال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حسنة بإبراهیم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خلو سند الکلینی فی الأولی و الشیخ فی الثانیة من علی بن إبراهیم،فلاحظ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13:1/897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إلی آرائهم فی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السکونی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تتّخذنّ مؤذّنا یأخذ علی أذانه أجرا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بالنوفلی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حسنة 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فی فساد الدنیا و اضمحلال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رأیت الأذان بالأجر و الصلاة بالأجر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علی عن أبیه عن آبائه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أتاه رجل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 المؤمنین و اللّه إنّی احبّک للّه،فقال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لکنّی أبغضک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لأنّک تبغی فی الأذان و تأخذ علی تعلیم القرآن أجرا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بعبد اللّه بن منبه،و الحسین بن علوان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رواها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3:461/109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إلاّ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تبتغی فی الأذان کسبا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کتاب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خلف من یبغی علی الأذان و الصلاة بالناس أجرا،و لا تقبل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یَأْبَ الشُّهَداءُ إِذا ما دُعُوا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تَکْتُمُوا الشَّهادَةَ وَ مَنْ یَکْتُمْها فَإِنَّهُ آثِمٌ قَلْبُهُ البقرة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کتاب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باب کسب المعلّم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17:1/237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حسّان المعلّم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تأخذ علی التعلیم أجرا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بحسّان و فضل 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الفضل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هؤلاء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کسب المعلّم سحت؟فقال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کذبوا أعداء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ضعیف بفضل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تقدّمت الروایة فی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المزبور من الوسائل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3:461/109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أخذ علی تعلیم القرآن أجرا کان حظّه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حرمة الأجرة علی تعلیم القرآن،و لکنّه ضعیف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البیهقی فی سننه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تدلّ علی جواز أخذ المعلّم الاجرة للتعلیم و أحادیث اخری تدلّ علی کراهة أخذها لتعلیم القرآن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إلی آرائهم فی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صحیحة عمّار بن مروان جعل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السحت اجور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جعل من السحت أجر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حسنة ابن سنان بابن هاشم سئل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قاض بین قریتین یأخذ من السلطان علی القضاء الرزق؟فقال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تقدّمت الإشارة إلی مصادرها فی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22:126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الکافی عن عبد الرحمن بن سلیمان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المصاحف لن تشتری،فإذا اشتریت فقل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أشتری منک الورق و ما فیه من الأدم و حلیته و ما فیه من عمل یدک بکذا و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سماعة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بیع المصاحف و شرائها،قال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تشتر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اشتر الحدید و الورق و الدفّتین و 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اشتریت منک هذا بکذا و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بعثمان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رواها الشیخ فی التهذیب بأدنی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عن جرّاح المدائنی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بیع المصاحف،قال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تبع الکتاب،و لا تشتره،و بع الأدیم و الورق و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بالقاسم بن سلیمان و جراح</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الکافی عن عنبسة الورّاق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رجل أبیع المصاحف،فإن نهیتنی لم أبعها؟فقال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لست تشتری ورقا و تکتب فیه؟قلت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و اعالجها،قال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بعنبسة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و التهذیب عن روح بن عبد الرحیم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شراء المصاحف و بیعها،قال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کان یوضع الورق عند المنبر،و کان ما بین المنبر و الحائط قدر ما تمرّ الشاة أو رجل منحرف،قال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الرجل یأتی فیکتب من ذلک،ثمّ إنّهم اشتروا بعد ذلک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تری فی ذلک؟قال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أشتری أحبّ إلیّ من أن أبیعه،قلت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تری أن أعطی علی کتابه أجرا؟قال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بأس،و لکن کذلک کانوا یصنعون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بغالب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عن أبی بصیر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عن بیع المصاحف و شرائها،فقال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کان یوضع عند القامة و المنبر،إلی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أشتریه أحب إلیّ من أن أبیعه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22:126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باب ما یرث الکبیر من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25:1/725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أبواب میراث الأبوین و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قال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یشیر إلی ما یذکر فی الجزء السابع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فی شرائط المتعاقدین،راجع الجزء الخامس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فی کنز العمال </w:t>
      </w:r>
      <w:r>
        <w:rPr>
          <w:rFonts w:eastAsia="IRNazanin" w:cs="IRNazanin"/>
          <w:b w:val="false"/>
          <w:bCs w:val="false"/>
          <w:i w:val="false"/>
          <w:iCs w:val="false"/>
          <w:color w:val="333333"/>
          <w:sz w:val="20"/>
          <w:szCs w:val="20"/>
        </w:rPr>
        <w:t>1:246/66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الدارقطنی و البیهقی و الضیاء عن عائذ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التهذیب عن أبی ولاّد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تری فی رجل یلی أعمال السلطان لیس له مکسب إلاّ من أعمالهم،و أنا أمرّ به فأنزل علیه فیضیّفنی و یحسن إلیّ و ربما أمر لی بالدراهم و الکسوة،و قد ضاق صدری من ذلک؟فقال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 خذ منه فلک المهنا،و علیه الوزر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المعزا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رجل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عنده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أصلحک اللّه،أمرّ بالعامل فیجیزنی بالدراهم،آخذها؟قال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أحجّ بها؟قال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یحیی بن أبی العلاء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کانا یقبلان جوائز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مسلم و زرارة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جوائز العمّال لیس بها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مضمرة و مجهولة بعلی بن السندی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 من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6:940/338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17:21/161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الحمیری أنّه کتب إلی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یسأله عن الرجل من وکلاء الوقف مستحلا لما فی یده،و لا یرع عن أخذ ماله،ربما نزلت فی قریة و هو فیها،أو أدخل منزله و قد حضر طعامه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لهذا الرجل مال أو معاش غیر ما فی یده فکل طعامه و اقبل برّه،و إلاّ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کتاب الاحتجاج للطبرسی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الأمر الثالث</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أحادیث الباب</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 بمحمّد بن الحسن المدنی و عبد اللّه بن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18:261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2:1025</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صحیحة علی بن مهزیار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إلیه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قرأت أنا کتابه إلیه فی طریق مکّة،إلی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أَنَّما غَنِمْتُمْ الآیة،و الغنائم و الفوائد یرحمک اللّه فهی الغنیمة یغنمها المرء،و الفائدة یفیدها،و الجائزة من الإنسان للإنسان التی لها 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الباب المذکور من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Pr>
        <w:t>1:12/545</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10:2/309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لک الفداء،تعلمنی ما الفائدة،و ما حدّها؟رأیک؟أبقاک اللّه أن تمنّ علیّ ببیان ذلک لکی لا أکون مقیما علی حرام لا صلاة لی و لا صوم،فکتب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ممّا یفید إلیک فی تجارة من ربحها،و حرث بعد الغرام،أو جائزة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بیزید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17:12/171</w:t>
      </w:r>
      <w:r>
        <w:rPr>
          <w:rFonts w:ascii="IRNazanin" w:hAnsi="IRNazanin" w:eastAsia="IRNazanin"/>
          <w:b w:val="false"/>
          <w:b w:val="false"/>
          <w:bCs w:val="false"/>
          <w:i w:val="false"/>
          <w:i w:val="false"/>
          <w:iCs w:val="false"/>
          <w:color w:val="333333"/>
          <w:sz w:val="20"/>
          <w:sz w:val="20"/>
          <w:szCs w:val="20"/>
          <w:rtl w:val="true"/>
        </w:rPr>
        <w:t>عن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سئل عن عمل السلطان یخرج فیه الرجل؟قال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إلاّ أن لا یقدر علی شیء و لا یأکل و لا یشرب و لا یقدر علی حیلة،فإن فعل فصار فی یده شیء فلیبعث بخمسه إلی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 بعمّار و مصدّق و غیرهما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کانوا جلوسا،وسطهم کیس فیه ألف درهم،فسأل بعضهم بعضا ألکم هذا الکیس؟فقالوا کلّهم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 قال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لی،فلمن هو؟قال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للذی ادّعاه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أبواب کیفیة الحکم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 رواها الشیخ فی التهذیب </w:t>
      </w:r>
      <w:r>
        <w:rPr>
          <w:rFonts w:eastAsia="IRNazanin" w:cs="IRNazanin"/>
          <w:b w:val="false"/>
          <w:bCs w:val="false"/>
          <w:i w:val="false"/>
          <w:iCs w:val="false"/>
          <w:color w:val="333333"/>
          <w:sz w:val="20"/>
          <w:szCs w:val="20"/>
        </w:rPr>
        <w:t>6:810/292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ذکره أیضا صاحب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17:6/377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البابین المتقدّمین من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9:336/79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2:12/272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البحث عن أخذ المال من الجائر مع الشک فی وجود الحرام فی أمواله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الرجل یشتری من العامل و هو یظلم،قال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یشتری منه ما لم یعلم أنّه ظلم فیه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 بإسحاق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إلی مصادرها فی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الروایتان فی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هذه الروایة فی البحث عن حرمة سبّ المؤمن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یَأْمُرُکُمْ أَنْ تُؤَدُّوا الْأَماناتِ إِلی أَهْلِها النساء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روی فی الکافی و التهذیب عن علی بن أبی حمزة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لی صدیق من کتّاب بنی امیّة،فقال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استأذن لی علی أبی عبد اللّه،فاستأذنت له علیه فأذن له،فلمّا أن دخل سلّم و جلس،ثمّ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فداک،إنّی کنت فی دیوان هؤلاء القوم فأصبت من دنیاهم مالا کثیرا و أغمضت فی مطالبه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فداک،فهل لی مخرج منه؟قال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قلت لک تفعل؟قال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فاخرج من جمیع ما اکتسبت فی دیوانهم،فمن عرفت منهم رددت علیه ماله،و من لم تعرف تصدّقت له،و أنا أضمن لک علی اللّه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ضعیف بإبراهیم بن إسحاق،و علی بن أبی حمزة البطائنی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17:4/153</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5:4/106</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6:920/331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کتاب اللقطة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6:1191/396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غیاث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من المسلمین أودعه رجل من اللصوص دراهم أو متاعا،و اللص مسلم،هل یرد علیه؟فقال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یردّه،فإن أمکنه أن یردّه علی أصحابه فعل،و إلاّ کان فی یده بمنزلة اللقطة یصیبها فیعرّفها حولا،فإن أصاب صاحبها ردّها علیه،و إلاّ تصدّق بها،فإن جاء طالبها بعد ذلک خیّره بین الأجر و الغرم،فإن اختار الأجر فله الأجر،و إن اختار الغرم غرم له،و کان الأجر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ضعیفة بقاسم بن محمد و حفص بن غیاث</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هشام بن سالم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حفص الأعور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عنده جالس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لأبی أجیر کان یقوم فی رحاه،و له عندنا دراهم،و لیس له وارث،فقال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تطلب له وارثا فإن وجدت له وارثا،و إلاّ فهو کسبیل مالک،ثم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عسی أن یصنع بها؟ثمّ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 بها،فإن جاء لها طالب،و إلاّ فهی کسبیل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 بابن سماعة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غیر ذلک من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17:12/364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أبواب الدین و القرض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أبواب میراث الخنثی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باب اللقطة و الضالّة و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کتاب اللقطة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باب اللقطة و الضالّة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أبواب میراث الخنثی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صحیحة،و فی الوافی 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 صحیح مثلها علی اختلاف فی بعض ألفاظها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کتاب اللقطة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17:10/363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6:1189/395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27:125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الروایة و الجواب عن الاستدلال بها فی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کتاب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کروایة أبان بن تغلب،و لکنّها ضعیفة السند بمحمد بن موسی الهمدانی،راجع الوافی </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کتاب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کتاب الغصب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 الغصب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الدار رهن علی خرابها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مرسلة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17:8/337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کتاب اللقطة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14:168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الإیروانی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کتاب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کتاب اللقطة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17:10/338</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کتاب اللقطة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الکافی عن یونس عن نصر بن حبیب صاحب الخان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 عبد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وقعت عندی مائتا درهم و أربعة دراهم،و أنا صاحب فندق،و مات صاحبها و لم أعرف له ورثة،فرأیک فی إعلامی حالها و ما أصنع بها فقد ضقت بها ذرعا؟فکتب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 فیها و أخرجها صدقة قلیلا قلیلا حتّی تخرج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 بنصر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7:3/153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17:3/360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أبواب میراث الخنثی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المذکورة عن الهیثم أبی روح صاحب الخان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 عبد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أتقبّل الفنادق،فینزل عندی رجل فیموت فجأة،لا أعرفه و لا أعرف بلاده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إلی مصادرها فی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لعلّه أشار إلی ما فی الجواهر </w:t>
      </w:r>
      <w:r>
        <w:rPr>
          <w:rFonts w:eastAsia="IRNazanin" w:cs="IRNazanin"/>
          <w:b w:val="false"/>
          <w:bCs w:val="false"/>
          <w:i w:val="false"/>
          <w:iCs w:val="false"/>
          <w:color w:val="333333"/>
          <w:sz w:val="20"/>
          <w:szCs w:val="20"/>
        </w:rPr>
        <w:t>16:177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فی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کتاب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فی قصّة الفتی الذی کان من کتّاب بنی امیّة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کتاب اللقطة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کتاب الصلح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6:978/347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الأحادیث</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الکافی عن یعقوب بن شعیب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العشور التی تؤخذ من الرجل،أیحتسب بها من زکاته؟قال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إن 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عیص بن قاسم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الزکاة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أخذوا منکم بنو امیّة فاحتسبوا به،و لا تعطوهم شیئا ما استطعتم،فإنّ المال لا یبقی علی هذا أن یزکّیه مرّتین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صحیحة،و غیر ذلک من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3:2/543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10:3/144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البابین المزبورین من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یذکر إیرادا ثانیا،نعم لعلّه أراد ذلک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تنظیر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الخراجیات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1094/375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التعرّض لها 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 هذه الروایة فی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الخراجیات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 إسماعیل ابنه،فقال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یمنع ابن أبی</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قاطعة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قبالة الأرضین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یستأجر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أرض الخراج و أرض أهل الذمّة،و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إلیها فی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مجهولة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5:3/110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 الأولی فی 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،و متن الثانیة فی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5:4/539</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10:1/295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الجلاّب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الجور أغلب من الحقّ لم یحل لأحد أن یظنّ بأحد خیرا حتّی یعرف ذلک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ضعیف بسهل،و محمّد بن الحسن بن شمّون،و مجهول بالجلاّب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5:2/298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کتاب الودیعة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کتاب إحیاء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المستند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سمّاه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غزا قوم بغیر إذن الإمام فغنموا کانت الغنیمة کلّها للإمام،و إذا غزوا بأمر الإمام فغنموا کان للإمام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إلیها فی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سألته عن سیرة الإمام فی الأرض التی فتحت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سار فی أهل العراق بسیرة،فهی إمام لسائر الأرضین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10:13/353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 یهودی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منصرفه عن وقعة نهروان،فسأله عن المواطن الممتحن بها بعد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فیها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الرابعة یا أخا الیهود فإنّ القائم بعد صاحبه کان یشاورنی فی موارد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کتاب إحیاء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image" Target="media/image2.jpeg"/><Relationship Id="rId851" Type="http://schemas.openxmlformats.org/officeDocument/2006/relationships/image" Target="media/image2.jpeg"/><Relationship Id="rId852" Type="http://schemas.openxmlformats.org/officeDocument/2006/relationships/footer" Target="footer845.xml"/><Relationship Id="rId853" Type="http://schemas.openxmlformats.org/officeDocument/2006/relationships/footnotes" Target="footnotes.xml"/><Relationship Id="rId854" Type="http://schemas.openxmlformats.org/officeDocument/2006/relationships/numbering" Target="numbering.xml"/><Relationship Id="rId855" Type="http://schemas.openxmlformats.org/officeDocument/2006/relationships/fontTable" Target="fontTable.xml"/><Relationship Id="rId856" Type="http://schemas.openxmlformats.org/officeDocument/2006/relationships/settings" Target="settings.xml"/><Relationship Id="rId8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856</Pages>
  <Words>74550</Words>
  <Characters>344306</Characters>
  <CharactersWithSpaces>416275</CharactersWithSpaces>
  <Paragraphs>2582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2026-08-18T22:50:46Z</dcterms:created>
  <dc:creator>ghaemiyeh.com</dc:creator>
  <dc:description/>
  <dc:language>en-US</dc:language>
  <cp:lastModifiedBy/>
  <dcterms:modified xsi:type="dcterms:W3CDTF">2026-08-19T02:21:09Z</dcterms:modified>
  <cp:revision>1</cp:revision>
  <dc:subject/>
  <dc:title>مصباح الفقاهة فی المعاملات تقریرا لابحاث ابوالقاسم الموسوی الخوئی</dc:title>
</cp:coreProperties>
</file>

<file path=docProps/custom.xml><?xml version="1.0" encoding="utf-8"?>
<Properties xmlns="http://schemas.openxmlformats.org/officeDocument/2006/custom-properties" xmlns:vt="http://schemas.openxmlformats.org/officeDocument/2006/docPropsVTypes"/>
</file>