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1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theme/theme1.xml" ContentType="application/vnd.openxmlformats-officedocument.theme+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Zawahir al-Qur an The Authority of the Book s Literal Meanings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604392_2281741623">
            <w:r>
              <w:rPr>
                <w:webHidden/>
                <w:rStyle w:val="IndexLink"/>
              </w:rPr>
              <w:t>BOOK ID</w:t>
              <w:tab/>
              <w:t>4</w:t>
            </w:r>
          </w:hyperlink>
        </w:p>
        <w:p>
          <w:pPr>
            <w:pStyle w:val="Contents2"/>
            <w:tabs>
              <w:tab w:val="clear" w:pos="8743"/>
              <w:tab w:val="right" w:pos="9026" w:leader="dot"/>
            </w:tabs>
            <w:bidi w:val="0"/>
            <w:rPr/>
          </w:pPr>
          <w:hyperlink w:anchor="__RefHeading___Toc604394_2281741623">
            <w:r>
              <w:rPr>
                <w:webHidden/>
                <w:rStyle w:val="IndexLink"/>
              </w:rPr>
              <w:t>point</w:t>
              <w:tab/>
              <w:t>4</w:t>
            </w:r>
          </w:hyperlink>
        </w:p>
        <w:p>
          <w:pPr>
            <w:pStyle w:val="Contents2"/>
            <w:tabs>
              <w:tab w:val="clear" w:pos="8743"/>
              <w:tab w:val="right" w:pos="9026" w:leader="dot"/>
            </w:tabs>
            <w:bidi w:val="0"/>
            <w:rPr/>
          </w:pPr>
          <w:hyperlink w:anchor="__RefHeading___Toc604396_2281741623">
            <w:r>
              <w:rPr>
                <w:webHidden/>
                <w:rStyle w:val="IndexLink"/>
              </w:rPr>
              <w:t>Zawahir al-Qur'an: The Authority of the Book's Literal Meanings</w:t>
              <w:tab/>
              <w:t>4</w:t>
            </w:r>
          </w:hyperlink>
        </w:p>
        <w:p>
          <w:pPr>
            <w:pStyle w:val="Contents3"/>
            <w:tabs>
              <w:tab w:val="clear" w:pos="8459"/>
              <w:tab w:val="right" w:pos="9026" w:leader="dot"/>
            </w:tabs>
            <w:bidi w:val="0"/>
            <w:rPr/>
          </w:pPr>
          <w:hyperlink w:anchor="__RefHeading___Toc604398_2281741623">
            <w:r>
              <w:rPr>
                <w:webHidden/>
                <w:rStyle w:val="IndexLink"/>
              </w:rPr>
              <w:t>point</w:t>
              <w:tab/>
              <w:t>4</w:t>
            </w:r>
          </w:hyperlink>
        </w:p>
        <w:p>
          <w:pPr>
            <w:pStyle w:val="Contents3"/>
            <w:tabs>
              <w:tab w:val="clear" w:pos="8459"/>
              <w:tab w:val="right" w:pos="9026" w:leader="dot"/>
            </w:tabs>
            <w:bidi w:val="0"/>
            <w:rPr/>
          </w:pPr>
          <w:hyperlink w:anchor="__RefHeading___Toc604400_2281741623">
            <w:r>
              <w:rPr>
                <w:webHidden/>
                <w:rStyle w:val="IndexLink"/>
              </w:rPr>
              <w:t>Arguments against the authority of the Zawahir</w:t>
              <w:tab/>
              <w:t>9</w:t>
            </w:r>
          </w:hyperlink>
        </w:p>
        <w:p>
          <w:pPr>
            <w:pStyle w:val="Contents4"/>
            <w:tabs>
              <w:tab w:val="clear" w:pos="8176"/>
              <w:tab w:val="right" w:pos="9026" w:leader="dot"/>
            </w:tabs>
            <w:bidi w:val="0"/>
            <w:rPr/>
          </w:pPr>
          <w:hyperlink w:anchor="__RefHeading___Toc604402_2281741623">
            <w:r>
              <w:rPr>
                <w:webHidden/>
                <w:rStyle w:val="IndexLink"/>
              </w:rPr>
              <w:t>point</w:t>
              <w:tab/>
              <w:t>9</w:t>
            </w:r>
          </w:hyperlink>
        </w:p>
        <w:p>
          <w:pPr>
            <w:pStyle w:val="Contents4"/>
            <w:tabs>
              <w:tab w:val="clear" w:pos="8176"/>
              <w:tab w:val="right" w:pos="9026" w:leader="dot"/>
            </w:tabs>
            <w:bidi w:val="0"/>
            <w:rPr/>
          </w:pPr>
          <w:hyperlink w:anchor="__RefHeading___Toc604404_2281741623">
            <w:r>
              <w:rPr>
                <w:webHidden/>
                <w:rStyle w:val="IndexLink"/>
              </w:rPr>
              <w:t>1. The understanding of the Qur'an is limited to a selected few</w:t>
              <w:tab/>
              <w:t>9</w:t>
            </w:r>
          </w:hyperlink>
        </w:p>
        <w:p>
          <w:pPr>
            <w:pStyle w:val="Contents4"/>
            <w:tabs>
              <w:tab w:val="clear" w:pos="8176"/>
              <w:tab w:val="right" w:pos="9026" w:leader="dot"/>
            </w:tabs>
            <w:bidi w:val="0"/>
            <w:rPr/>
          </w:pPr>
          <w:hyperlink w:anchor="__RefHeading___Toc604406_2281741623">
            <w:r>
              <w:rPr>
                <w:webHidden/>
                <w:rStyle w:val="IndexLink"/>
              </w:rPr>
              <w:t>2. The prohibition of tafsir bi al-ray</w:t>
              <w:tab/>
              <w:t>12</w:t>
            </w:r>
          </w:hyperlink>
        </w:p>
        <w:p>
          <w:pPr>
            <w:pStyle w:val="Contents4"/>
            <w:tabs>
              <w:tab w:val="clear" w:pos="8176"/>
              <w:tab w:val="right" w:pos="9026" w:leader="dot"/>
            </w:tabs>
            <w:bidi w:val="0"/>
            <w:rPr/>
          </w:pPr>
          <w:hyperlink w:anchor="__RefHeading___Toc604408_2281741623">
            <w:r>
              <w:rPr>
                <w:webHidden/>
                <w:rStyle w:val="IndexLink"/>
              </w:rPr>
              <w:t>3. The mystery of the meanings of the Qur'an</w:t>
              <w:tab/>
              <w:t>14</w:t>
            </w:r>
          </w:hyperlink>
        </w:p>
        <w:p>
          <w:pPr>
            <w:pStyle w:val="Contents4"/>
            <w:tabs>
              <w:tab w:val="clear" w:pos="8176"/>
              <w:tab w:val="right" w:pos="9026" w:leader="dot"/>
            </w:tabs>
            <w:bidi w:val="0"/>
            <w:rPr/>
          </w:pPr>
          <w:hyperlink w:anchor="__RefHeading___Toc604410_2281741623">
            <w:r>
              <w:rPr>
                <w:webHidden/>
                <w:rStyle w:val="IndexLink"/>
              </w:rPr>
              <w:t>4. The knowledge that the literal meaning is not intended</w:t>
              <w:tab/>
              <w:t>14</w:t>
            </w:r>
          </w:hyperlink>
        </w:p>
        <w:p>
          <w:pPr>
            <w:pStyle w:val="Contents4"/>
            <w:tabs>
              <w:tab w:val="clear" w:pos="8176"/>
              <w:tab w:val="right" w:pos="9026" w:leader="dot"/>
            </w:tabs>
            <w:bidi w:val="0"/>
            <w:rPr/>
          </w:pPr>
          <w:hyperlink w:anchor="__RefHeading___Toc604412_2281741623">
            <w:r>
              <w:rPr>
                <w:webHidden/>
                <w:rStyle w:val="IndexLink"/>
              </w:rPr>
              <w:t>5. The prohibition of following the mutashabihat</w:t>
              <w:tab/>
              <w:t>17</w:t>
            </w:r>
          </w:hyperlink>
        </w:p>
        <w:p>
          <w:pPr>
            <w:pStyle w:val="Contents4"/>
            <w:tabs>
              <w:tab w:val="clear" w:pos="8176"/>
              <w:tab w:val="right" w:pos="9026" w:leader="dot"/>
            </w:tabs>
            <w:bidi w:val="0"/>
            <w:rPr/>
          </w:pPr>
          <w:hyperlink w:anchor="__RefHeading___Toc604414_2281741623">
            <w:r>
              <w:rPr>
                <w:webHidden/>
                <w:rStyle w:val="IndexLink"/>
              </w:rPr>
              <w:t>6. The occurrence of tahrif in the Qur'an</w:t>
              <w:tab/>
              <w:t>18</w:t>
            </w:r>
          </w:hyperlink>
        </w:p>
        <w:p>
          <w:pPr>
            <w:pStyle w:val="Contents3"/>
            <w:tabs>
              <w:tab w:val="clear" w:pos="8459"/>
              <w:tab w:val="right" w:pos="9026" w:leader="dot"/>
            </w:tabs>
            <w:bidi w:val="0"/>
            <w:rPr/>
          </w:pPr>
          <w:hyperlink w:anchor="__RefHeading___Toc604416_2281741623">
            <w:r>
              <w:rPr>
                <w:webHidden/>
                <w:rStyle w:val="IndexLink"/>
              </w:rPr>
              <w:t>The Methodology of Tafsir</w:t>
              <w:tab/>
              <w:t>19</w:t>
            </w:r>
          </w:hyperlink>
        </w:p>
        <w:p>
          <w:pPr>
            <w:pStyle w:val="Contents3"/>
            <w:tabs>
              <w:tab w:val="clear" w:pos="8459"/>
              <w:tab w:val="right" w:pos="9026" w:leader="dot"/>
            </w:tabs>
            <w:bidi w:val="0"/>
            <w:rPr/>
          </w:pPr>
          <w:hyperlink w:anchor="__RefHeading___Toc604418_2281741623">
            <w:r>
              <w:rPr>
                <w:webHidden/>
                <w:rStyle w:val="IndexLink"/>
              </w:rPr>
              <w:t>The Sources of Tafsir</w:t>
              <w:tab/>
              <w:t>19</w:t>
            </w:r>
          </w:hyperlink>
        </w:p>
        <w:p>
          <w:pPr>
            <w:pStyle w:val="Contents3"/>
            <w:tabs>
              <w:tab w:val="clear" w:pos="8459"/>
              <w:tab w:val="right" w:pos="9026" w:leader="dot"/>
            </w:tabs>
            <w:bidi w:val="0"/>
            <w:rPr/>
          </w:pPr>
          <w:hyperlink w:anchor="__RefHeading___Toc604420_2281741623">
            <w:r>
              <w:rPr>
                <w:webHidden/>
                <w:rStyle w:val="IndexLink"/>
              </w:rPr>
              <w:t>Limiting the Jurisdiction of the Qur'an by Khabar al-Wahid</w:t>
              <w:tab/>
              <w:t>23</w:t>
            </w:r>
          </w:hyperlink>
        </w:p>
        <w:p>
          <w:pPr>
            <w:pStyle w:val="Contents4"/>
            <w:tabs>
              <w:tab w:val="clear" w:pos="8176"/>
              <w:tab w:val="right" w:pos="9026" w:leader="dot"/>
            </w:tabs>
            <w:bidi w:val="0"/>
            <w:rPr/>
          </w:pPr>
          <w:hyperlink w:anchor="__RefHeading___Toc604422_2281741623">
            <w:r>
              <w:rPr>
                <w:webHidden/>
                <w:rStyle w:val="IndexLink"/>
              </w:rPr>
              <w:t>Point</w:t>
              <w:tab/>
              <w:t>23</w:t>
            </w:r>
          </w:hyperlink>
        </w:p>
        <w:p>
          <w:pPr>
            <w:pStyle w:val="Contents4"/>
            <w:tabs>
              <w:tab w:val="clear" w:pos="8176"/>
              <w:tab w:val="right" w:pos="9026" w:leader="dot"/>
            </w:tabs>
            <w:bidi w:val="0"/>
            <w:rPr/>
          </w:pPr>
          <w:hyperlink w:anchor="__RefHeading___Toc604424_2281741623">
            <w:r>
              <w:rPr>
                <w:webHidden/>
                <w:rStyle w:val="IndexLink"/>
              </w:rPr>
              <w:t>Doubts and Opinions</w:t>
              <w:tab/>
              <w:t>24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707_45436"/>
      <w:bookmarkStart w:id="1" w:name="pg3707_45436"/>
      <w:bookmarkEnd w:id="1"/>
    </w:p>
    <w:p>
      <w:pPr>
        <w:pStyle w:val="Heading2"/>
        <w:numPr>
          <w:ilvl w:val="1"/>
          <w:numId w:val="1"/>
        </w:numPr>
        <w:bidi w:val="0"/>
        <w:jc w:val="left"/>
        <w:rPr/>
      </w:pPr>
      <w:bookmarkStart w:id="2" w:name="pg3707_45436"/>
      <w:bookmarkStart w:id="3" w:name="__RefHeading___Toc604392_228174162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Authors(s): Ayatullah Sayyid Abulqasim al-Khui</w:t>
      </w:r>
    </w:p>
    <w:p>
      <w:pPr>
        <w:pStyle w:val="BookText"/>
        <w:bidi w:val="0"/>
        <w:jc w:val="both"/>
        <w:rPr/>
      </w:pPr>
      <w:r>
        <w:rPr>
          <w:rFonts w:eastAsia="Times New Roman" w:cs="Times New Roman" w:ascii="Times New Roman" w:hAnsi="Times New Roman"/>
          <w:color w:val="111111"/>
          <w:sz w:val="28"/>
          <w:szCs w:val="28"/>
          <w:lang w:val="en-US"/>
        </w:rPr>
        <w:t>Translator(s): Mujahid Husayn</w:t>
      </w:r>
    </w:p>
    <w:p>
      <w:pPr>
        <w:pStyle w:val="BookText"/>
        <w:bidi w:val="0"/>
        <w:jc w:val="both"/>
        <w:rPr/>
      </w:pPr>
      <w:r>
        <w:rPr>
          <w:rFonts w:eastAsia="Times New Roman" w:cs="Times New Roman" w:ascii="Times New Roman" w:hAnsi="Times New Roman"/>
          <w:color w:val="111111"/>
          <w:sz w:val="28"/>
          <w:szCs w:val="28"/>
          <w:lang w:val="en-US"/>
        </w:rPr>
        <w:t>Category: Qur’an Commentaries</w:t>
      </w:r>
    </w:p>
    <w:p>
      <w:pPr>
        <w:pStyle w:val="BookText"/>
        <w:bidi w:val="0"/>
        <w:jc w:val="both"/>
        <w:rPr/>
      </w:pPr>
      <w:r>
        <w:rPr>
          <w:rFonts w:eastAsia="Times New Roman" w:cs="Times New Roman" w:ascii="Times New Roman" w:hAnsi="Times New Roman"/>
          <w:color w:val="111111"/>
          <w:sz w:val="28"/>
          <w:szCs w:val="28"/>
          <w:lang w:val="en-US"/>
        </w:rPr>
        <w:t>Journal: General (Al Tawhid)</w:t>
      </w:r>
    </w:p>
    <w:p>
      <w:pPr>
        <w:pStyle w:val="Heading2"/>
        <w:numPr>
          <w:ilvl w:val="1"/>
          <w:numId w:val="1"/>
        </w:numPr>
        <w:bidi w:val="0"/>
        <w:jc w:val="left"/>
        <w:rPr/>
      </w:pPr>
      <w:bookmarkStart w:id="5" w:name="__RefHeading___Toc604394_228174162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Language</w:t>
      </w:r>
    </w:p>
    <w:p>
      <w:pPr>
        <w:pStyle w:val="BookText"/>
        <w:bidi w:val="0"/>
        <w:jc w:val="both"/>
        <w:rPr/>
      </w:pPr>
      <w:r>
        <w:rPr>
          <w:rFonts w:eastAsia="Times New Roman" w:cs="Times New Roman" w:ascii="Times New Roman" w:hAnsi="Times New Roman"/>
          <w:color w:val="111111"/>
          <w:sz w:val="28"/>
          <w:szCs w:val="28"/>
          <w:lang w:val="en-US"/>
        </w:rPr>
        <w:t>English</w:t>
      </w:r>
    </w:p>
    <w:p>
      <w:pPr>
        <w:pStyle w:val="BookText"/>
        <w:bidi w:val="0"/>
        <w:jc w:val="both"/>
        <w:rPr/>
      </w:pPr>
      <w:r>
        <w:rPr>
          <w:rFonts w:eastAsia="Times New Roman" w:cs="Times New Roman" w:ascii="Times New Roman" w:hAnsi="Times New Roman"/>
          <w:color w:val="111111"/>
          <w:sz w:val="28"/>
          <w:szCs w:val="28"/>
          <w:lang w:val="en-US"/>
        </w:rPr>
        <w:t>Importance of the literal meanings of the Qur'an and examples of its use by the Ahlul Bayt (a). Arguments against the literal meanings. Methodology and sources of tafsir.</w:t>
      </w:r>
    </w:p>
    <w:p>
      <w:pPr>
        <w:pStyle w:val="Heading2"/>
        <w:numPr>
          <w:ilvl w:val="1"/>
          <w:numId w:val="1"/>
        </w:numPr>
        <w:bidi w:val="0"/>
        <w:jc w:val="left"/>
        <w:rPr/>
      </w:pPr>
      <w:bookmarkStart w:id="7" w:name="__RefHeading___Toc604396_2281741623"/>
      <w:bookmarkStart w:id="8" w:name="_Toc3"/>
      <w:bookmarkEnd w:id="7"/>
      <w:r>
        <w:rPr/>
        <w:t>Zawahir al-Qur'an: The Authority of the Book's Literal Meanings</w:t>
      </w:r>
      <w:bookmarkEnd w:id="8"/>
    </w:p>
    <w:p>
      <w:pPr>
        <w:pStyle w:val="Heading3"/>
        <w:numPr>
          <w:ilvl w:val="2"/>
          <w:numId w:val="1"/>
        </w:numPr>
        <w:bidi w:val="0"/>
        <w:jc w:val="left"/>
        <w:rPr/>
      </w:pPr>
      <w:bookmarkStart w:id="9" w:name="__RefHeading___Toc604398_2281741623"/>
      <w:bookmarkStart w:id="10" w:name="_Toc4"/>
      <w:bookmarkEnd w:id="9"/>
      <w:r>
        <w:rPr/>
        <w:t>point</w:t>
      </w:r>
      <w:bookmarkEnd w:id="10"/>
    </w:p>
    <w:p>
      <w:pPr>
        <w:pStyle w:val="BookText"/>
        <w:bidi w:val="0"/>
        <w:jc w:val="both"/>
        <w:rPr/>
      </w:pPr>
      <w:r>
        <w:rPr>
          <w:rFonts w:eastAsia="Times New Roman" w:cs="Times New Roman" w:ascii="Times New Roman" w:hAnsi="Times New Roman"/>
          <w:color w:val="111111"/>
          <w:sz w:val="28"/>
          <w:szCs w:val="28"/>
          <w:lang w:val="en-US"/>
        </w:rPr>
        <w:t>by Ayatullah al-`Uzma al-Sayyid Abu al-Qasim al-Khu'i</w:t>
      </w:r>
    </w:p>
    <w:p>
      <w:pPr>
        <w:pStyle w:val="BookText"/>
        <w:bidi w:val="0"/>
        <w:jc w:val="both"/>
        <w:rPr/>
      </w:pPr>
      <w:r>
        <w:rPr>
          <w:rFonts w:eastAsia="Times New Roman" w:cs="Times New Roman" w:ascii="Times New Roman" w:hAnsi="Times New Roman"/>
          <w:color w:val="111111"/>
          <w:sz w:val="28"/>
          <w:szCs w:val="28"/>
          <w:lang w:val="en-US"/>
        </w:rPr>
        <w:t>Translated from the Arabic by Mujahid Husayn</w:t>
      </w:r>
    </w:p>
    <w:p>
      <w:pPr>
        <w:pStyle w:val="BookText"/>
        <w:bidi w:val="0"/>
        <w:jc w:val="both"/>
        <w:rPr/>
      </w:pPr>
      <w:r>
        <w:rPr>
          <w:rFonts w:eastAsia="Times New Roman" w:cs="Times New Roman" w:ascii="Times New Roman" w:hAnsi="Times New Roman"/>
          <w:color w:val="111111"/>
          <w:sz w:val="28"/>
          <w:szCs w:val="28"/>
          <w:lang w:val="en-US"/>
        </w:rPr>
        <w:t>The author is one of the maraji (legal authorities) of the Shi'i world and one of the most eminent figures in the world of contemporary Islamic scholarship. The translation given here is that of two chapters from his work on Qur'anic exegesis, al-Bayan fi tafsir al-Qur'an : “hujjiyat zawahir al-Qur'an,” (the authority of the Qur'anic zawahir), and “usul al-tafsir” (the principles of exegesis).</w:t>
      </w:r>
    </w:p>
    <w:p>
      <w:pPr>
        <w:pStyle w:val="BookText"/>
        <w:bidi w:val="0"/>
        <w:jc w:val="both"/>
        <w:rPr/>
      </w:pPr>
      <w:r>
        <w:rPr>
          <w:rFonts w:eastAsia="Times New Roman" w:cs="Times New Roman" w:ascii="Times New Roman" w:hAnsi="Times New Roman"/>
          <w:color w:val="111111"/>
          <w:sz w:val="28"/>
          <w:szCs w:val="28"/>
          <w:lang w:val="en-US"/>
        </w:rPr>
        <w:t>Two terms need to be understood in regard to the Qur'anic meaning: nusus (sing, nass) and zawahir (sing. zahir). By nusus is meant those Quranic texts which are absolutely clear, being of a single meaning, about which there is no ambiguity whatsoever. The term zawahir refers to those meanings which are the most obvious, although the text may have another, less probable, meaning besides its apparent sense. Although zawahir has been translated here as 'literal meanings' which applies to nusus as well the difference between nusus and zawahir should be noted.</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the Prophet (S) did not innovate any special method for conveying his message; he spoke to the people by applying the modes of expression to which they were habit</w:t>
        <w:softHyphen/>
        <w:t>uated. He</w:t>
      </w:r>
    </w:p>
    <w:p>
      <w:pPr>
        <w:pStyle w:val="BookText"/>
        <w:bidi w:val="0"/>
        <w:rPr/>
      </w:pPr>
      <w:r>
        <w:rPr>
          <w:rFonts w:eastAsia="Times New Roman" w:cs="Times New Roman" w:ascii="Times New Roman" w:hAnsi="Times New Roman"/>
          <w:color w:val="111111"/>
          <w:sz w:val="28"/>
          <w:szCs w:val="28"/>
          <w:lang w:val="en-US"/>
        </w:rPr>
        <w:t>brought the Qur'an to them that they may understand it, contemplate over its verses, follow its commands and refrain from what it prohibits. This message often recurs in the verses of the Qur'an:</w:t>
      </w:r>
    </w:p>
    <w:p>
      <w:pPr>
        <w:pStyle w:val="BookText"/>
        <w:bidi w:val="0"/>
        <w:jc w:val="both"/>
        <w:rPr/>
      </w:pPr>
      <w:r>
        <w:rPr>
          <w:rFonts w:ascii="Amiri" w:hAnsi="Amiri" w:eastAsia="Amiri" w:cs="Amiri"/>
          <w:color w:val="111111"/>
          <w:sz w:val="28"/>
          <w:sz w:val="28"/>
          <w:szCs w:val="28"/>
          <w:rtl w:val="true"/>
          <w:lang w:bidi="ar-SA"/>
        </w:rPr>
        <w:t>أَفَلَا یَتَدَبَّرُونَ الْقُرْآنَ أَمْ عَلَیٰ قُلُوبٍ أَقْفَالُهَا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do they not contemplate over the Qur'an? Or is it that there are locks upon their hearts?” (47:24)</w:t>
      </w:r>
    </w:p>
    <w:p>
      <w:pPr>
        <w:pStyle w:val="BookText"/>
        <w:bidi w:val="0"/>
        <w:jc w:val="both"/>
        <w:rPr/>
      </w:pPr>
      <w:r>
        <w:rPr>
          <w:rFonts w:ascii="Amiri" w:hAnsi="Amiri" w:eastAsia="Amiri" w:cs="Amiri"/>
          <w:color w:val="111111"/>
          <w:sz w:val="28"/>
          <w:sz w:val="28"/>
          <w:szCs w:val="28"/>
          <w:rtl w:val="true"/>
          <w:lang w:bidi="ar-SA"/>
        </w:rPr>
        <w:t>وَلَقَدْ ضَرَبْنَا لِلنَّاسِ فِی هَٰذَا الْقُرْآنِ مِن کُلِّ مَثَلٍ لَّعَلَّهُمْ یَتَذَکَّرُونَ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we have struck for the people in this Qur'an every manner of simili</w:t>
        <w:softHyphen/>
        <w:t>tude; haply they will remember. “(39:27)</w:t>
      </w:r>
    </w:p>
    <w:p>
      <w:pPr>
        <w:pStyle w:val="BookText"/>
        <w:bidi w:val="0"/>
        <w:jc w:val="both"/>
        <w:rPr/>
      </w:pPr>
      <w:r>
        <w:rPr>
          <w:rFonts w:ascii="Amiri" w:hAnsi="Amiri" w:eastAsia="Amiri" w:cs="Amiri"/>
          <w:color w:val="111111"/>
          <w:sz w:val="28"/>
          <w:sz w:val="28"/>
          <w:szCs w:val="28"/>
          <w:rtl w:val="true"/>
          <w:lang w:bidi="ar-SA"/>
        </w:rPr>
        <w:t>وَإِنَّهُ لَتَنزِیلُ رَبِّ الْعَالَمِینَ نَزَلَ بِهِ الرُّوحُ الْأَمِینُ عَلَیٰ قَلْبِکَ لِتَکُونَ مِنَ الْمُنذِرِینَ بِلِسَانٍ عَرَبِیٍّ مُّبِینٍ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Truly it is the revelation of the Lord of all Being, brought down by the Trust</w:t>
        <w:softHyphen/>
        <w:t>worthy Spirit upon thy heart in a clear Arabic language, that thou mayest be one of the warners. “(26:192-195)</w:t>
      </w:r>
    </w:p>
    <w:p>
      <w:pPr>
        <w:pStyle w:val="BookText"/>
        <w:bidi w:val="0"/>
        <w:jc w:val="both"/>
        <w:rPr/>
      </w:pPr>
      <w:r>
        <w:rPr>
          <w:rFonts w:ascii="Amiri" w:hAnsi="Amiri" w:eastAsia="Amiri" w:cs="Amiri"/>
          <w:color w:val="111111"/>
          <w:sz w:val="28"/>
          <w:sz w:val="28"/>
          <w:szCs w:val="28"/>
          <w:rtl w:val="true"/>
          <w:lang w:bidi="ar-SA"/>
        </w:rPr>
        <w:t>هَٰذَا بَیَانٌ لِّلنَّاسِ وَهُدًی وَمَوْعِظَةٌ لِّلْمُتَّقِینَ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an exposition for mankind, and a guidance and admonition for the God-fearing. “(3:138)</w:t>
      </w:r>
    </w:p>
    <w:p>
      <w:pPr>
        <w:pStyle w:val="BookText"/>
        <w:bidi w:val="0"/>
        <w:jc w:val="both"/>
        <w:rPr/>
      </w:pPr>
      <w:r>
        <w:rPr>
          <w:rFonts w:ascii="Amiri" w:hAnsi="Amiri" w:eastAsia="Amiri" w:cs="Amiri"/>
          <w:color w:val="111111"/>
          <w:sz w:val="28"/>
          <w:sz w:val="28"/>
          <w:szCs w:val="28"/>
          <w:rtl w:val="true"/>
          <w:lang w:bidi="ar-SA"/>
        </w:rPr>
        <w:t>فَإِنَّمَا یَسَّرْنَاهُ بِلِسَانِکَ لَعَلَّهُمْ یَتَذَکَّرُونَ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Thus have We made it easy on your tongue, that haply they may remember. “(44:58)</w:t>
      </w:r>
    </w:p>
    <w:p>
      <w:pPr>
        <w:pStyle w:val="BookText"/>
        <w:bidi w:val="0"/>
        <w:jc w:val="both"/>
        <w:rPr/>
      </w:pPr>
      <w:r>
        <w:rPr>
          <w:rFonts w:ascii="Amiri" w:hAnsi="Amiri" w:eastAsia="Amiri" w:cs="Amiri"/>
          <w:color w:val="111111"/>
          <w:sz w:val="28"/>
          <w:sz w:val="28"/>
          <w:szCs w:val="28"/>
          <w:rtl w:val="true"/>
          <w:lang w:bidi="ar-SA"/>
        </w:rPr>
        <w:t>وَلَقَدْ یَسَّرْنَا الْقُرْآنَ لِلذِّکْرِ فَهَلْ مِن مُّدَّکِرٍ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have made the Qur'an easy for remembrance. Is there any one that will remember? “(54:17)</w:t>
      </w:r>
    </w:p>
    <w:p>
      <w:pPr>
        <w:pStyle w:val="BookText"/>
        <w:bidi w:val="0"/>
        <w:jc w:val="both"/>
        <w:rPr/>
      </w:pPr>
      <w:r>
        <w:rPr>
          <w:rFonts w:ascii="Amiri" w:hAnsi="Amiri" w:eastAsia="Amiri" w:cs="Amiri"/>
          <w:color w:val="111111"/>
          <w:sz w:val="28"/>
          <w:sz w:val="28"/>
          <w:szCs w:val="28"/>
          <w:rtl w:val="true"/>
          <w:lang w:bidi="ar-SA"/>
        </w:rPr>
        <w:t>أَفَلَا یَتَدَبَّرُونَ الْقُرْآنَ ۚ وَلَوْ کَانَ مِنْ عِندِ غَیْرِ اللَّهِ لَوَجَدُوا فِیهِ اخْتِلَافًا کَثِیرًا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what, do they not contemplate over the Qur'an? And had it been from someone other than God, they would have found in it much inconsistency.” (4:82)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these verses, there are other verses as well which prove the obligatoriness (wujub) of acting in accordance with</w:t>
      </w:r>
    </w:p>
    <w:p>
      <w:pPr>
        <w:pStyle w:val="BookText"/>
        <w:bidi w:val="0"/>
        <w:rPr/>
      </w:pPr>
      <w:r>
        <w:rPr>
          <w:rFonts w:eastAsia="Times New Roman" w:cs="Times New Roman" w:ascii="Times New Roman" w:hAnsi="Times New Roman"/>
          <w:color w:val="111111"/>
          <w:sz w:val="28"/>
          <w:szCs w:val="28"/>
          <w:lang w:val="en-US"/>
        </w:rPr>
        <w:t>the contents of the Qur'an and the necessity of accepting the literal meanings of its verses.</w:t>
      </w:r>
    </w:p>
    <w:p>
      <w:pPr>
        <w:pStyle w:val="BookText"/>
        <w:bidi w:val="0"/>
        <w:jc w:val="both"/>
        <w:rPr/>
      </w:pPr>
      <w:r>
        <w:rPr>
          <w:rFonts w:eastAsia="Times New Roman" w:cs="Times New Roman" w:ascii="Times New Roman" w:hAnsi="Times New Roman"/>
          <w:color w:val="111111"/>
          <w:sz w:val="28"/>
          <w:szCs w:val="28"/>
          <w:lang w:val="en-US"/>
        </w:rPr>
        <w:t>Following arguments prove the authoritativeness (hujjiyyah) of the literal meanings of the Qur'an as comprehended by the Arabs.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Qur'an's revelation as a proof of prophethood and the Prophet's (S) challenge to all mankind to bring a single surah of its kind, both imply that the Arabs used to understand the literal meaning of the Qur'an. Had the Qur'an spoken in riddles, it wouldn't have been correct to challenge them regarding it, nor its miraculous character would have been proved to them, because they could not have understood it. It would have also contradicted the purpose for which the Qur'an was revealed and its invitation to mankind to believe in it.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There are ample traditions commanding adherence to `the two Weighty Things' (al-Thaqalayn, which are the Qur'an and the Ahl al</w:t>
        <w:softHyphen/>
        <w:t xml:space="preserve"> Bayt,) that the Prophet (S) left behind for the Muslims. Here, evidently, the meaning of adhering to the Qur'an is to grasp its message and to act in accordance with it, and there is no other meaning apart from this.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mutawatir traditions (i.e. traditions narrated by so many different chains of transmission as to establish their authenticity beyond doubt) which order that traditions be checked against the Qur'an; those which contradict it should be rejected as invalid or false, as those whose acceptance is prohibited, because they are not the words of ( the Prophet [ S ] or) the Imams (A).</w:t>
      </w:r>
    </w:p>
    <w:p>
      <w:pPr>
        <w:pStyle w:val="BookText"/>
        <w:bidi w:val="0"/>
        <w:rPr/>
      </w:pPr>
      <w:r>
        <w:rPr>
          <w:rFonts w:eastAsia="Times New Roman" w:cs="Times New Roman" w:ascii="Times New Roman" w:hAnsi="Times New Roman"/>
          <w:color w:val="111111"/>
          <w:sz w:val="28"/>
          <w:szCs w:val="28"/>
          <w:lang w:val="en-US"/>
        </w:rPr>
        <w:t>These traditions categorically prove the canonical authority of the literal meanings of the Qur'an, i.e. the meanings as understood by the ordinary speakers of the language familiar with the literary (fasih) Arabic language. To this category also belong those traditions which order the correlation of contractual condi</w:t>
        <w:softHyphen/>
        <w:t>tions with the Qur'an and rejection of those opposing it.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arguments of the Imams (A) regarding some rules of the Shari'ah, as well as other things, in which they have argued by applying the verses of the Qur'an. Following are some examples.</w:t>
      </w:r>
    </w:p>
    <w:p>
      <w:pPr>
        <w:pStyle w:val="BookText"/>
        <w:bidi w:val="0"/>
        <w:jc w:val="both"/>
        <w:rPr/>
      </w:pPr>
      <w:r>
        <w:rPr>
          <w:rFonts w:eastAsia="Times New Roman" w:cs="Times New Roman" w:ascii="Times New Roman" w:hAnsi="Times New Roman"/>
          <w:color w:val="111111"/>
          <w:sz w:val="28"/>
          <w:szCs w:val="28"/>
          <w:lang w:val="en-US"/>
        </w:rPr>
        <w:t xml:space="preserve">a. There is the exposition of al-'Imam al-Sadiq (A) when Zurarah questioned him, “How do you understand that mash, (the ritual wiping, of the head or the feet during wudu') of (only) a part of the head is required?” The Imam (A) replied, “From the ba',” in the verse  . </w:t>
      </w:r>
      <w:r>
        <w:rPr>
          <w:rFonts w:ascii="IRNazanin" w:hAnsi="IRNazanin" w:eastAsia="IRNazanin"/>
          <w:color w:val="111111"/>
          <w:sz w:val="28"/>
          <w:sz w:val="28"/>
          <w:szCs w:val="28"/>
          <w:rtl w:val="true"/>
          <w:lang w:bidi="fa-IR"/>
        </w:rPr>
        <w:t>وامسحوا بروئسکم</w:t>
      </w:r>
    </w:p>
    <w:p>
      <w:pPr>
        <w:pStyle w:val="BookText"/>
        <w:bidi w:val="0"/>
        <w:jc w:val="both"/>
        <w:rPr/>
      </w:pPr>
      <w:r>
        <w:rPr>
          <w:rFonts w:eastAsia="Times New Roman" w:cs="Times New Roman" w:ascii="Times New Roman" w:hAnsi="Times New Roman"/>
          <w:color w:val="111111"/>
          <w:sz w:val="28"/>
          <w:szCs w:val="28"/>
          <w:lang w:val="en-US"/>
        </w:rPr>
        <w:t>b. Another example, is his prohibiting Hisham al-Dawaniqi from accepting a slanderer's report, because such a person is a fasiq (evildoer), and the Qur'an says:</w:t>
      </w:r>
    </w:p>
    <w:p>
      <w:pPr>
        <w:pStyle w:val="BookText"/>
        <w:bidi w:val="0"/>
        <w:jc w:val="both"/>
        <w:rPr/>
      </w:pPr>
      <w:r>
        <w:rPr>
          <w:rFonts w:ascii="Amiri" w:hAnsi="Amiri" w:eastAsia="Amiri" w:cs="Amiri"/>
          <w:color w:val="111111"/>
          <w:sz w:val="28"/>
          <w:sz w:val="28"/>
          <w:szCs w:val="28"/>
          <w:rtl w:val="true"/>
          <w:lang w:bidi="ar-SA"/>
        </w:rPr>
        <w:t>إِن جَاءَکُمْ فَاسِقٌ بِنَبَإٍ فَتَبَیَّنُوا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an ungodly (fasiq) person comes to you with a tiding, verify it ...” (49:6)</w:t>
      </w:r>
    </w:p>
    <w:p>
      <w:pPr>
        <w:pStyle w:val="BookText"/>
        <w:bidi w:val="0"/>
        <w:jc w:val="both"/>
        <w:rPr/>
      </w:pPr>
      <w:r>
        <w:rPr>
          <w:rFonts w:eastAsia="Times New Roman" w:cs="Times New Roman" w:ascii="Times New Roman" w:hAnsi="Times New Roman"/>
          <w:color w:val="111111"/>
          <w:sz w:val="28"/>
          <w:szCs w:val="28"/>
          <w:lang w:val="en-US"/>
        </w:rPr>
        <w:t>c. Among the arguments is his (A) warning a person who had prolonged his stay in the toilet to listen to prohibited music, on the excuse that he had not intentionally come for listening to it, by observ</w:t>
        <w:softHyphen/>
        <w:t>ing, “Have you not heard the words of God Almighty,</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إِنَّ السَّمْعَ وَالْبَصَرَ وَالْفُؤَادَ کُلُّ أُولَٰئِکَ کَانَ عَنْهُ مَسْئُولًا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hearing and sight and the heart will all be questioned?” (17:36)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 Another</w:t>
      </w:r>
    </w:p>
    <w:p>
      <w:pPr>
        <w:pStyle w:val="BookText"/>
        <w:bidi w:val="0"/>
        <w:rPr/>
      </w:pPr>
      <w:r>
        <w:rPr>
          <w:rFonts w:eastAsia="Times New Roman" w:cs="Times New Roman" w:ascii="Times New Roman" w:hAnsi="Times New Roman"/>
          <w:color w:val="111111"/>
          <w:sz w:val="28"/>
          <w:szCs w:val="28"/>
          <w:lang w:val="en-US"/>
        </w:rPr>
        <w:t>instance is the Imam's telling his (A) son, Isma'il, “When believers give evidence before you, endorse its verity,” quoting as a proof the verse:</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یُؤْمِنُ بِاللَّهِ وَیُؤْمِنُ لِلْمُؤْمِنِینَ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(the Prophet (S) believes in God and believes the believers. “(9:61)</w:t>
      </w:r>
    </w:p>
    <w:p>
      <w:pPr>
        <w:pStyle w:val="BookText"/>
        <w:bidi w:val="0"/>
        <w:jc w:val="both"/>
        <w:rPr/>
      </w:pPr>
      <w:r>
        <w:rPr>
          <w:rFonts w:eastAsia="Times New Roman" w:cs="Times New Roman" w:ascii="Times New Roman" w:hAnsi="Times New Roman"/>
          <w:color w:val="111111"/>
          <w:sz w:val="28"/>
          <w:szCs w:val="28"/>
          <w:lang w:val="en-US"/>
        </w:rPr>
        <w:t>e. Concerning the validity of a slave being a muhallil for a woman divorced thrice, he (A) observes: “He is considered (fit to be) a husband, and God Almighty says in the Qur'an: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حَتَّیٰ تَنکِحَ زَوْجًا غَیْرَهُ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Unless she marries another husband ....” (2:230)</w:t>
      </w:r>
    </w:p>
    <w:p>
      <w:pPr>
        <w:pStyle w:val="BookText"/>
        <w:bidi w:val="0"/>
        <w:jc w:val="both"/>
        <w:rPr/>
      </w:pPr>
      <w:r>
        <w:rPr>
          <w:rFonts w:eastAsia="Times New Roman" w:cs="Times New Roman" w:ascii="Times New Roman" w:hAnsi="Times New Roman"/>
          <w:color w:val="111111"/>
          <w:sz w:val="28"/>
          <w:szCs w:val="28"/>
          <w:lang w:val="en-US"/>
        </w:rPr>
        <w:t>f. Another such argument is where the Imam (A) observes that a triple divorcee will not become halal again (for the husband who di</w:t>
        <w:softHyphen/>
        <w:t>vorces her) through a temporary marriage (mut`ah), because God Almighty says:</w:t>
      </w:r>
    </w:p>
    <w:p>
      <w:pPr>
        <w:pStyle w:val="BookText"/>
        <w:bidi w:val="0"/>
        <w:jc w:val="both"/>
        <w:rPr/>
      </w:pPr>
      <w:r>
        <w:rPr>
          <w:rFonts w:ascii="Amiri" w:hAnsi="Amiri" w:eastAsia="Amiri" w:cs="Amiri"/>
          <w:color w:val="111111"/>
          <w:sz w:val="28"/>
          <w:sz w:val="28"/>
          <w:szCs w:val="28"/>
          <w:rtl w:val="true"/>
          <w:lang w:bidi="ar-SA"/>
        </w:rPr>
        <w:t>فَإِن طَلَّقَهَا فَلَا جُنَاحَ عَلَیْهِمَا أَن یَتَرَاجَعَا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Thus if he divorces her, there is no blame on the two if they reunite.” (2:230)</w:t>
      </w:r>
    </w:p>
    <w:p>
      <w:pPr>
        <w:pStyle w:val="BookText"/>
        <w:bidi w:val="0"/>
        <w:jc w:val="both"/>
        <w:rPr/>
      </w:pPr>
      <w:r>
        <w:rPr>
          <w:rFonts w:eastAsia="Times New Roman" w:cs="Times New Roman" w:ascii="Times New Roman" w:hAnsi="Times New Roman"/>
          <w:color w:val="111111"/>
          <w:sz w:val="28"/>
          <w:szCs w:val="28"/>
          <w:lang w:val="en-US"/>
        </w:rPr>
        <w:t>And there is no divorce in mut`ah</w:t>
      </w:r>
    </w:p>
    <w:p>
      <w:pPr>
        <w:pStyle w:val="BookText"/>
        <w:bidi w:val="0"/>
        <w:jc w:val="both"/>
        <w:rPr/>
      </w:pPr>
      <w:r>
        <w:rPr>
          <w:rFonts w:eastAsia="Times New Roman" w:cs="Times New Roman" w:ascii="Times New Roman" w:hAnsi="Times New Roman"/>
          <w:color w:val="111111"/>
          <w:sz w:val="28"/>
          <w:szCs w:val="28"/>
          <w:lang w:val="en-US"/>
        </w:rPr>
        <w:t>g. Similarly, concerning a person who had tripped and lost a nail and then bandaged the toe, he (A) said: “A person's duty in this and other similar instances is known from the Qur'an, which declares:</w:t>
      </w:r>
    </w:p>
    <w:p>
      <w:pPr>
        <w:pStyle w:val="BookText"/>
        <w:bidi w:val="0"/>
        <w:jc w:val="both"/>
        <w:rPr/>
      </w:pPr>
      <w:r>
        <w:rPr>
          <w:rFonts w:ascii="Amiri" w:hAnsi="Amiri" w:eastAsia="Amiri" w:cs="Amiri"/>
          <w:color w:val="111111"/>
          <w:sz w:val="28"/>
          <w:sz w:val="28"/>
          <w:szCs w:val="28"/>
          <w:rtl w:val="true"/>
          <w:lang w:bidi="ar-SA"/>
        </w:rPr>
        <w:t>وَمَا جَعَلَ عَلَیْکُمْ فِی الدِّینِ مِنْ حَرَجٍ</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has not ordained any hardship for you in the religion.” (22:78)</w:t>
      </w:r>
    </w:p>
    <w:p>
      <w:pPr>
        <w:pStyle w:val="BookText"/>
        <w:bidi w:val="0"/>
        <w:jc w:val="both"/>
        <w:rPr/>
      </w:pPr>
      <w:r>
        <w:rPr>
          <w:rFonts w:eastAsia="Times New Roman" w:cs="Times New Roman" w:ascii="Times New Roman" w:hAnsi="Times New Roman"/>
          <w:color w:val="111111"/>
          <w:sz w:val="28"/>
          <w:szCs w:val="28"/>
          <w:lang w:val="en-US"/>
        </w:rPr>
        <w:t>Then he (A) said: “Perform the mash over it” (the bandage).</w:t>
      </w:r>
    </w:p>
    <w:p>
      <w:pPr>
        <w:pStyle w:val="BookText"/>
        <w:bidi w:val="0"/>
        <w:jc w:val="both"/>
        <w:rPr/>
      </w:pPr>
      <w:r>
        <w:rPr>
          <w:rFonts w:eastAsia="Times New Roman" w:cs="Times New Roman" w:ascii="Times New Roman" w:hAnsi="Times New Roman"/>
          <w:color w:val="111111"/>
          <w:sz w:val="28"/>
          <w:szCs w:val="28"/>
          <w:lang w:val="en-US"/>
        </w:rPr>
        <w:t>h. The Imam (A) brings proof regarding the permissibility of marriage with a certain woman by quoting this verse from the Qur'an:</w:t>
      </w:r>
    </w:p>
    <w:p>
      <w:pPr>
        <w:pStyle w:val="BookText"/>
        <w:bidi w:val="0"/>
        <w:jc w:val="both"/>
        <w:rPr/>
      </w:pPr>
      <w:r>
        <w:rPr>
          <w:rFonts w:ascii="Amiri" w:hAnsi="Amiri" w:eastAsia="Amiri" w:cs="Amiri"/>
          <w:color w:val="111111"/>
          <w:sz w:val="28"/>
          <w:sz w:val="28"/>
          <w:szCs w:val="28"/>
          <w:rtl w:val="true"/>
          <w:lang w:bidi="ar-SA"/>
        </w:rPr>
        <w:t>وَأُحِلَّ لَکُم مَّا وَرَاءَ ذَٰلِکُمْ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other than those mentioned (as prohibited) have been made halal for you.” (4:24)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Of such arguments is the one of the Imam (A)</w:t>
      </w:r>
      <w:bookmarkStart w:id="11" w:name="pg3707_45441"/>
    </w:p>
    <w:p>
      <w:pPr>
        <w:pStyle w:val="BookText"/>
        <w:bidi w:val="0"/>
        <w:rPr/>
      </w:pPr>
      <w:bookmarkEnd w:id="11"/>
      <w:r>
        <w:rPr>
          <w:rFonts w:eastAsia="Times New Roman" w:cs="Times New Roman" w:ascii="Times New Roman" w:hAnsi="Times New Roman"/>
          <w:color w:val="111111"/>
          <w:sz w:val="28"/>
          <w:szCs w:val="28"/>
          <w:lang w:val="en-US"/>
        </w:rPr>
        <w:t>concerning the invalidity of a slave's marriage, because the Qur'an says:</w:t>
      </w:r>
    </w:p>
    <w:p>
      <w:pPr>
        <w:pStyle w:val="BookText"/>
        <w:bidi w:val="0"/>
        <w:jc w:val="both"/>
        <w:rPr/>
      </w:pPr>
      <w:r>
        <w:rPr>
          <w:rFonts w:ascii="Amiri" w:hAnsi="Amiri" w:eastAsia="Amiri" w:cs="Amiri"/>
          <w:color w:val="111111"/>
          <w:sz w:val="28"/>
          <w:sz w:val="28"/>
          <w:szCs w:val="28"/>
          <w:rtl w:val="true"/>
          <w:lang w:bidi="ar-SA"/>
        </w:rPr>
        <w:t>عَبْدًا مَّمْلُوکًا لَّا یَقْدِرُ عَلَیٰ شَیْءٍ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 owned slave having no authority over anything ....” (16:75)</w:t>
      </w:r>
    </w:p>
    <w:p>
      <w:pPr>
        <w:pStyle w:val="BookText"/>
        <w:bidi w:val="0"/>
        <w:jc w:val="both"/>
        <w:rPr/>
      </w:pPr>
      <w:r>
        <w:rPr>
          <w:rFonts w:eastAsia="Times New Roman" w:cs="Times New Roman" w:ascii="Times New Roman" w:hAnsi="Times New Roman"/>
          <w:color w:val="111111"/>
          <w:sz w:val="28"/>
          <w:szCs w:val="28"/>
          <w:lang w:val="en-US"/>
        </w:rPr>
        <w:t>j. The Imam (A) cites the following verse from the Qur'an as a proof of the permissibility of (eating the flesh of) certain species of animals:</w:t>
      </w:r>
    </w:p>
    <w:p>
      <w:pPr>
        <w:pStyle w:val="BookText"/>
        <w:bidi w:val="0"/>
        <w:jc w:val="both"/>
        <w:rPr/>
      </w:pPr>
      <w:r>
        <w:rPr>
          <w:rFonts w:ascii="Amiri" w:hAnsi="Amiri" w:eastAsia="Amiri" w:cs="Amiri"/>
          <w:color w:val="111111"/>
          <w:sz w:val="28"/>
          <w:sz w:val="28"/>
          <w:szCs w:val="28"/>
          <w:rtl w:val="true"/>
          <w:lang w:bidi="ar-SA"/>
        </w:rPr>
        <w:t>قُل لَّا أَجِدُ فِی مَا أُوحِیَ إِلَیَّ مُحَرَّمًا عَلَیٰ طَاعِمٍ یَطْعَمُهُ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 do not end in that which has been revealed to me anything forbidden for an eater to eat ....” (6:145)</w:t>
      </w:r>
    </w:p>
    <w:p>
      <w:pPr>
        <w:pStyle w:val="BookText"/>
        <w:bidi w:val="0"/>
        <w:jc w:val="both"/>
        <w:rPr/>
      </w:pPr>
      <w:r>
        <w:rPr>
          <w:rFonts w:eastAsia="Times New Roman" w:cs="Times New Roman" w:ascii="Times New Roman" w:hAnsi="Times New Roman"/>
          <w:color w:val="111111"/>
          <w:sz w:val="28"/>
          <w:szCs w:val="28"/>
          <w:lang w:val="en-US"/>
        </w:rPr>
        <w:t>There are many other similar arguments of the Imams (A) that are based on Qur'anic verses, and these are scattered through the different chapters of fiqh and other subjects.</w:t>
      </w:r>
    </w:p>
    <w:p>
      <w:pPr>
        <w:pStyle w:val="Heading3"/>
        <w:numPr>
          <w:ilvl w:val="2"/>
          <w:numId w:val="1"/>
        </w:numPr>
        <w:bidi w:val="0"/>
        <w:jc w:val="left"/>
        <w:rPr/>
      </w:pPr>
      <w:bookmarkStart w:id="12" w:name="__RefHeading___Toc604400_2281741623"/>
      <w:bookmarkStart w:id="13" w:name="_Toc5"/>
      <w:bookmarkEnd w:id="12"/>
      <w:r>
        <w:rPr/>
        <w:t>Arguments against the authority of the Zawahir</w:t>
      </w:r>
      <w:bookmarkEnd w:id="13"/>
    </w:p>
    <w:p>
      <w:pPr>
        <w:pStyle w:val="Heading4"/>
        <w:numPr>
          <w:ilvl w:val="3"/>
          <w:numId w:val="1"/>
        </w:numPr>
        <w:bidi w:val="0"/>
        <w:jc w:val="left"/>
        <w:rPr/>
      </w:pPr>
      <w:bookmarkStart w:id="14" w:name="__RefHeading___Toc604402_2281741623"/>
      <w:bookmarkStart w:id="15" w:name="_Toc6"/>
      <w:bookmarkEnd w:id="14"/>
      <w:r>
        <w:rPr/>
        <w:t>point</w:t>
      </w:r>
      <w:bookmarkEnd w:id="15"/>
    </w:p>
    <w:p>
      <w:pPr>
        <w:pStyle w:val="BookText"/>
        <w:bidi w:val="0"/>
        <w:jc w:val="both"/>
        <w:rPr/>
      </w:pPr>
      <w:r>
        <w:rPr>
          <w:rFonts w:eastAsia="Times New Roman" w:cs="Times New Roman" w:ascii="Times New Roman" w:hAnsi="Times New Roman"/>
          <w:color w:val="111111"/>
          <w:sz w:val="28"/>
          <w:szCs w:val="28"/>
          <w:lang w:val="en-US"/>
        </w:rPr>
        <w:t>A group of traditionists have rejected the authority of the literal meanings of the Qur'an, refusing to act on them for following reasons.</w:t>
      </w:r>
    </w:p>
    <w:p>
      <w:pPr>
        <w:pStyle w:val="Heading4"/>
        <w:numPr>
          <w:ilvl w:val="3"/>
          <w:numId w:val="1"/>
        </w:numPr>
        <w:bidi w:val="0"/>
        <w:jc w:val="left"/>
        <w:rPr/>
      </w:pPr>
      <w:bookmarkStart w:id="16" w:name="__RefHeading___Toc604404_2281741623"/>
      <w:bookmarkStart w:id="17" w:name="_Toc7"/>
      <w:bookmarkEnd w:id="16"/>
      <w:r>
        <w:rPr/>
        <w:t>1. The understanding of the Qur'an is limited to a selected few</w:t>
      </w:r>
      <w:bookmarkEnd w:id="17"/>
    </w:p>
    <w:p>
      <w:pPr>
        <w:pStyle w:val="BookText"/>
        <w:bidi w:val="0"/>
        <w:jc w:val="both"/>
        <w:rPr/>
      </w:pPr>
      <w:r>
        <w:rPr>
          <w:rFonts w:eastAsia="Times New Roman" w:cs="Times New Roman" w:ascii="Times New Roman" w:hAnsi="Times New Roman"/>
          <w:color w:val="111111"/>
          <w:sz w:val="28"/>
          <w:szCs w:val="28"/>
          <w:lang w:val="en-US"/>
        </w:rPr>
        <w:t>They argue that the ability to understand the Qur'an is limited to those who have been addressed by it. The protagonists of this view rely as their proof on a number of traditions concerning this issue, such as the mursal tradition of Shu`ayb ibn Anas narrated from al-'Imam al</w:t>
        <w:softHyphen/>
        <w:t xml:space="preserve"> Sadiq (A), reporting that the Imam (A) said to Abu Hanifah:</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أنت فقیه أهل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شئ تفتیهم؟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 الله وسنة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یا أبا حنیفة تعرف کتاب الله حق معرفته، وتعرف الناسخ من المنسوخ؟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حنیفة لقد ادعیت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الله ذلک إلا عند أهل الکتاب الذین أنزل علیهم، ویلک ما</w:t>
      </w:r>
    </w:p>
    <w:p>
      <w:pPr>
        <w:pStyle w:val="BookText"/>
        <w:bidi w:val="0"/>
        <w:rPr/>
      </w:pPr>
      <w:r>
        <w:rPr>
          <w:rFonts w:ascii="IRNazanin" w:hAnsi="IRNazanin" w:eastAsia="IRNazanin"/>
          <w:color w:val="111111"/>
          <w:sz w:val="28"/>
          <w:sz w:val="28"/>
          <w:szCs w:val="28"/>
          <w:rtl w:val="true"/>
          <w:lang w:bidi="fa-IR"/>
        </w:rPr>
        <w:t>هو إلا عند الخاص من ذریة نبینا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ورثک الله تعالی من کتابه حرفا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you the faqih of the people of Iraq?” He replied: “Yes, I am.” The Imam (A) said: “On what basis do you pronounce your fatwa for them?” He replied: “On the basis of the Book of Allah and the Sunnah of His Prophet.” The Imam said: “O Abu Hanifah, do you comprehend the Qur'an the way it should be comprehended, and do you recognize the nasikh and the mansukh?” He replied, “Yes.”</w:t>
      </w:r>
    </w:p>
    <w:p>
      <w:pPr>
        <w:pStyle w:val="BookText"/>
        <w:bidi w:val="0"/>
        <w:jc w:val="both"/>
        <w:rPr/>
      </w:pPr>
      <w:r>
        <w:rPr>
          <w:rFonts w:eastAsia="Times New Roman" w:cs="Times New Roman" w:ascii="Times New Roman" w:hAnsi="Times New Roman"/>
          <w:color w:val="111111"/>
          <w:sz w:val="28"/>
          <w:szCs w:val="28"/>
          <w:lang w:val="en-US"/>
        </w:rPr>
        <w:t>The Imam (A) said: “O Abu Hanifah, you certainly profess having knowledge! Woe to you! God has not kept this knowledge except with the people of the Book and they on whom it has been sent down (i.e. the Ahl al-Bayt). Woe to you! This knowledge is with none except the chosen of our Prophet's (S) progeny, and God has not bequeathed a word to you from His Book.”</w:t>
      </w:r>
    </w:p>
    <w:p>
      <w:pPr>
        <w:pStyle w:val="BookText"/>
        <w:bidi w:val="0"/>
        <w:jc w:val="both"/>
        <w:rPr/>
      </w:pPr>
      <w:r>
        <w:rPr>
          <w:rFonts w:eastAsia="Times New Roman" w:cs="Times New Roman" w:ascii="Times New Roman" w:hAnsi="Times New Roman"/>
          <w:color w:val="111111"/>
          <w:sz w:val="28"/>
          <w:szCs w:val="28"/>
          <w:lang w:val="en-US"/>
        </w:rPr>
        <w:t>The following tradition is narrated by Zayd al-Shahham in this relation:</w:t>
      </w:r>
    </w:p>
    <w:p>
      <w:pPr>
        <w:pStyle w:val="BookText"/>
        <w:bidi w:val="0"/>
        <w:jc w:val="both"/>
        <w:rPr/>
      </w:pPr>
      <w:r>
        <w:rPr>
          <w:rFonts w:ascii="IRNazanin" w:hAnsi="IRNazanin" w:eastAsia="IRNazanin"/>
          <w:color w:val="111111"/>
          <w:sz w:val="28"/>
          <w:sz w:val="28"/>
          <w:szCs w:val="28"/>
          <w:rtl w:val="true"/>
          <w:lang w:bidi="fa-IR"/>
        </w:rPr>
        <w:t>وفی روایة زید الشحام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دخل قتادة علی أبی جعفر،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فقیه أهل البصرة؟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یزعمون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بلغنی أنک تفسر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یا قتادة إن کنت قد فسرت القرآن من تلقاء نفسک فقد هلکت وأهلکت، وإن کنت قد فسرته من الرجال فقد هلکت وأهلکت، یا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یعرف القرآن من خوطب به</w:t>
      </w:r>
      <w:r>
        <w:rPr>
          <w:rFonts w:eastAsia="IRNazanin" w:cs="IRNazanin"/>
          <w:color w:val="111111"/>
          <w:sz w:val="28"/>
          <w:szCs w:val="28"/>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Qatadah visited Abu Ja'far (A) and the Imam (A) asked him: “Are you the faqih of the people of</w:t>
      </w:r>
    </w:p>
    <w:p>
      <w:pPr>
        <w:pStyle w:val="BookText"/>
        <w:bidi w:val="0"/>
        <w:rPr/>
      </w:pPr>
      <w:r>
        <w:rPr>
          <w:rFonts w:eastAsia="Times New Roman" w:cs="Times New Roman" w:ascii="Times New Roman" w:hAnsi="Times New Roman"/>
          <w:color w:val="111111"/>
          <w:sz w:val="28"/>
          <w:szCs w:val="28"/>
          <w:lang w:val="en-US"/>
        </w:rPr>
        <w:t>Basrah?” He replied: “This is what they think.” The Imam (A) then said: “I have come to know that you expound (tufassiru) the Qur'an.” He replied: “Yes, I do.”</w:t>
      </w:r>
    </w:p>
    <w:p>
      <w:pPr>
        <w:pStyle w:val="BookText"/>
        <w:bidi w:val="0"/>
        <w:jc w:val="both"/>
        <w:rPr/>
      </w:pPr>
      <w:r>
        <w:rPr>
          <w:rFonts w:eastAsia="Times New Roman" w:cs="Times New Roman" w:ascii="Times New Roman" w:hAnsi="Times New Roman"/>
          <w:color w:val="111111"/>
          <w:sz w:val="28"/>
          <w:szCs w:val="28"/>
          <w:lang w:val="en-US"/>
        </w:rPr>
        <w:t>(The tradition continues until where) the Imam (A) said:”O Qatadah, if you have expounded the Qur'an in accordance with your own views, then you have certainly perished and have also caused others to perish, and if you have expounded it in accordance with the views of others, then you have perished and have caused others to perish. Woe to you! No one knows the Qur'an except those who have been addressed by it.”</w:t>
      </w:r>
    </w:p>
    <w:p>
      <w:pPr>
        <w:pStyle w:val="BookText"/>
        <w:bidi w:val="0"/>
        <w:jc w:val="both"/>
        <w:rPr/>
      </w:pPr>
      <w:r>
        <w:rPr>
          <w:rFonts w:eastAsia="Times New Roman" w:cs="Times New Roman" w:ascii="Times New Roman" w:hAnsi="Times New Roman"/>
          <w:color w:val="111111"/>
          <w:sz w:val="28"/>
          <w:szCs w:val="28"/>
          <w:lang w:val="en-US"/>
        </w:rPr>
        <w:t>Answer: The meaning of these and similar traditions is that the comprehension of the Qur'an mentioned in them implies comprehend</w:t>
        <w:softHyphen/>
        <w:t>ing it completely, knowing both its literal and hidden meanings, along with its nasikh and mansukh, and this is limited to those who have been addressed by it. The first tradition explicitly conveys this meaning. Thus the question asked in this tradition was about the full comprehen</w:t>
        <w:softHyphen/>
        <w:t>sion of the Qur'an and about differentiating between the nasikh and the mansukh.</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Imam's (A) censure of Abu Hanifah was due to his claim of possessing that knowledge. As to the second tradition, it contains the word </w:t>
      </w:r>
      <w:r>
        <w:rPr>
          <w:rFonts w:eastAsia="Consolas" w:cs="Consolas" w:ascii="Consolas" w:hAnsi="Consolas"/>
          <w:color w:val="111111"/>
          <w:sz w:val="28"/>
          <w:szCs w:val="28"/>
          <w:lang w:val="en-US"/>
        </w:rPr>
        <w:t xml:space="preserve">tafsir' which means </w:t>
      </w:r>
      <w:r>
        <w:rPr>
          <w:rFonts w:eastAsia="Times New Roman" w:cs="Times New Roman" w:ascii="Times New Roman" w:hAnsi="Times New Roman"/>
          <w:color w:val="111111"/>
          <w:sz w:val="28"/>
          <w:szCs w:val="28"/>
          <w:lang w:val="en-US"/>
        </w:rPr>
        <w:t>unveiling' (kashf al-qina'), and therefore it does not include the acceptance of literal meanings, because they are not concealed so as to require unveiling. This is also borne out by the explicit traditions mentioned earlier that understanding of the Qur'an is not limited</w:t>
      </w:r>
      <w:bookmarkStart w:id="18" w:name="pg3707_45444"/>
    </w:p>
    <w:p>
      <w:pPr>
        <w:pStyle w:val="BookText"/>
        <w:bidi w:val="0"/>
        <w:rPr/>
      </w:pPr>
      <w:bookmarkEnd w:id="18"/>
      <w:r>
        <w:rPr>
          <w:rFonts w:eastAsia="Times New Roman" w:cs="Times New Roman" w:ascii="Times New Roman" w:hAnsi="Times New Roman"/>
          <w:color w:val="111111"/>
          <w:sz w:val="28"/>
          <w:szCs w:val="28"/>
          <w:lang w:val="en-US"/>
        </w:rPr>
        <w:t>to the Infallible Imams (A). Moreover the Imam's statement in the mursal tradition (of Shu'ayb ibn Anas) in which he says:</w:t>
      </w:r>
    </w:p>
    <w:p>
      <w:pPr>
        <w:pStyle w:val="BookText"/>
        <w:bidi w:val="0"/>
        <w:jc w:val="both"/>
        <w:rPr/>
      </w:pPr>
      <w:r>
        <w:rPr>
          <w:rFonts w:ascii="IRNazanin" w:hAnsi="IRNazanin" w:eastAsia="IRNazanin"/>
          <w:color w:val="111111"/>
          <w:sz w:val="28"/>
          <w:sz w:val="28"/>
          <w:szCs w:val="28"/>
          <w:rtl w:val="true"/>
          <w:lang w:bidi="fa-IR"/>
        </w:rPr>
        <w:t>وما ورثک الله تعالی من کتبه حرفا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God Almighty has not bequeathed to you a word from His Book,</w:t>
      </w:r>
    </w:p>
    <w:p>
      <w:pPr>
        <w:pStyle w:val="BookText"/>
        <w:bidi w:val="0"/>
        <w:jc w:val="both"/>
        <w:rPr/>
      </w:pPr>
      <w:r>
        <w:rPr>
          <w:rFonts w:eastAsia="Times New Roman" w:cs="Times New Roman" w:ascii="Times New Roman" w:hAnsi="Times New Roman"/>
          <w:color w:val="111111"/>
          <w:sz w:val="28"/>
          <w:szCs w:val="28"/>
          <w:lang w:val="en-US"/>
        </w:rPr>
        <w:t>also proves the same, for it means that God has chosen the Awsiya' (A) of His prophet (S) for inheriting the Qur'an, and this is the meaning of the verse.</w:t>
      </w:r>
    </w:p>
    <w:p>
      <w:pPr>
        <w:pStyle w:val="BookText"/>
        <w:bidi w:val="0"/>
        <w:jc w:val="both"/>
        <w:rPr/>
      </w:pPr>
      <w:r>
        <w:rPr>
          <w:rFonts w:ascii="Amiri" w:hAnsi="Amiri" w:eastAsia="Amiri" w:cs="Amiri"/>
          <w:color w:val="111111"/>
          <w:sz w:val="28"/>
          <w:sz w:val="28"/>
          <w:szCs w:val="28"/>
          <w:rtl w:val="true"/>
          <w:lang w:bidi="ar-SA"/>
        </w:rPr>
        <w:t>ثُمَّ أَوْرَثْنَا الْکِتَابَ الَّذِینَ اصْطَفَیْنَا مِنْ عِبَادِنَا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We bequeathed the Book on those of Our servants We chose ....” (35:32)</w:t>
      </w:r>
    </w:p>
    <w:p>
      <w:pPr>
        <w:pStyle w:val="BookText"/>
        <w:bidi w:val="0"/>
        <w:jc w:val="both"/>
        <w:rPr/>
      </w:pPr>
      <w:r>
        <w:rPr>
          <w:rFonts w:eastAsia="Times New Roman" w:cs="Times New Roman" w:ascii="Times New Roman" w:hAnsi="Times New Roman"/>
          <w:color w:val="111111"/>
          <w:sz w:val="28"/>
          <w:szCs w:val="28"/>
          <w:lang w:val="en-US"/>
        </w:rPr>
        <w:t>Therefore, the knowledge of the Qur'an's reality is exclusively with the Imams (A) and others do not have a share in it. This is the meaning of the mursal tradition (of Shu'ayb ibn Anas); otherwise, would it be reasonable to think that Abu Hanifah did not comprehend anything of the Qur'an including and other similar other verses which are explicit in their meaning? There is really a very large number of traditions which prove that such complete knowledge is particular to the Imams (A), and some of them have been mentioned earlier.</w:t>
      </w:r>
    </w:p>
    <w:p>
      <w:pPr>
        <w:pStyle w:val="Heading4"/>
        <w:numPr>
          <w:ilvl w:val="3"/>
          <w:numId w:val="1"/>
        </w:numPr>
        <w:bidi w:val="0"/>
        <w:jc w:val="left"/>
        <w:rPr/>
      </w:pPr>
      <w:bookmarkStart w:id="19" w:name="__RefHeading___Toc604406_2281741623"/>
      <w:bookmarkStart w:id="20" w:name="_Toc8"/>
      <w:bookmarkEnd w:id="19"/>
      <w:r>
        <w:rPr/>
        <w:t>2. The prohibition of tafsir bi al-ray</w:t>
      </w:r>
      <w:bookmarkEnd w:id="20"/>
    </w:p>
    <w:p>
      <w:pPr>
        <w:pStyle w:val="BookText"/>
        <w:bidi w:val="0"/>
        <w:jc w:val="both"/>
        <w:rPr/>
      </w:pPr>
      <w:r>
        <w:rPr>
          <w:rFonts w:eastAsia="Times New Roman" w:cs="Times New Roman" w:ascii="Times New Roman" w:hAnsi="Times New Roman"/>
          <w:color w:val="111111"/>
          <w:sz w:val="28"/>
          <w:szCs w:val="28"/>
          <w:lang w:val="en-US"/>
        </w:rPr>
        <w:t>It is argued that the acceptance of the Qur'an's meanings is tanta</w:t>
        <w:softHyphen/>
        <w:t>mount to tafsir bi al-ray (interpreting the Qur'an according to subjec</w:t>
        <w:softHyphen/>
        <w:t>tive opinion), and there are mutawattir traditions, narrated both by Sunnis and Shi'ah, which forbid such a practice.</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As said, `tafsir' implies unveiling, and this does not include the taking of literal meanings of the verses, because such a meaning is not something hidden that has to be uncovered. Moreover, even of</w:t>
      </w:r>
    </w:p>
    <w:p>
      <w:pPr>
        <w:pStyle w:val="BookText"/>
        <w:bidi w:val="0"/>
        <w:rPr/>
      </w:pPr>
      <w:r>
        <w:rPr>
          <w:rFonts w:eastAsia="Times New Roman" w:cs="Times New Roman" w:ascii="Times New Roman" w:hAnsi="Times New Roman"/>
          <w:color w:val="111111"/>
          <w:sz w:val="28"/>
          <w:szCs w:val="28"/>
          <w:lang w:val="en-US"/>
        </w:rPr>
        <w:t>we should consider this as tafsir, it is not tafsir bi al-ray for it to come in the purview of the mutawatir traditions forbidding it. On the contrary, it is a tafsir in accordance with the common usage of words.</w:t>
      </w:r>
    </w:p>
    <w:p>
      <w:pPr>
        <w:pStyle w:val="BookText"/>
        <w:bidi w:val="0"/>
        <w:jc w:val="both"/>
        <w:rPr/>
      </w:pPr>
      <w:r>
        <w:rPr>
          <w:rFonts w:eastAsia="Times New Roman" w:cs="Times New Roman" w:ascii="Times New Roman" w:hAnsi="Times New Roman"/>
          <w:color w:val="111111"/>
          <w:sz w:val="28"/>
          <w:szCs w:val="28"/>
          <w:lang w:val="en-US"/>
        </w:rPr>
        <w:t>Therefore, one who, for example, translates a sermon of Nahj al-balaghah in accor</w:t>
        <w:softHyphen/>
        <w:t>dance with the ordinarily understood meanings of its words and by using the indications available in the sermon and outside it, his doing so will not be considered tafsir bi al-ray, and al-'Imam al-Sadiq (A) points this out when he says: “People have solely perished on account of the mutashabih, because they could not comprehend its meaning and reality, interpreting its meaning in accordance with their views and seeking thereby to relieve themselves of the need to ask the Awsiya', who could have informed them.”</w:t>
      </w:r>
    </w:p>
    <w:p>
      <w:pPr>
        <w:pStyle w:val="BookText"/>
        <w:bidi w:val="0"/>
        <w:jc w:val="both"/>
        <w:rPr/>
      </w:pPr>
      <w:r>
        <w:rPr>
          <w:rFonts w:eastAsia="Times New Roman" w:cs="Times New Roman" w:ascii="Times New Roman" w:hAnsi="Times New Roman"/>
          <w:color w:val="111111"/>
          <w:sz w:val="28"/>
          <w:szCs w:val="28"/>
          <w:lang w:val="en-US"/>
        </w:rPr>
        <w:t>It is probable that the meaning of tafsir bi al-ray is independence from referring to the Imams (A) in giving fatwa, although they are companions to the Qur'an in regard to the obligation of adherence to the two and as the ultimate authority.</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if a person acts in accordance with the general state</w:t>
        <w:softHyphen/>
        <w:t>ments (al-`umum) of the Qur'an without accepting the views of the Imams (A) in determining and limiting (taqyid and takhsis) the jurisdic</w:t>
        <w:softHyphen/>
        <w:t>tion of these statements, it will be considered as tafsir bi al-ra'y. On the whole, the adoption of literal meanings after a due search for internal and external indications (qara'in) present in the Qur'an and the tradi</w:t>
        <w:softHyphen/>
        <w:t>tions, or for a</w:t>
      </w:r>
      <w:bookmarkStart w:id="21" w:name="pg3707_45446"/>
    </w:p>
    <w:p>
      <w:pPr>
        <w:pStyle w:val="BookText"/>
        <w:bidi w:val="0"/>
        <w:rPr/>
      </w:pPr>
      <w:bookmarkEnd w:id="21"/>
      <w:r>
        <w:rPr>
          <w:rFonts w:eastAsia="Times New Roman" w:cs="Times New Roman" w:ascii="Times New Roman" w:hAnsi="Times New Roman"/>
          <w:color w:val="111111"/>
          <w:sz w:val="28"/>
          <w:szCs w:val="28"/>
          <w:lang w:val="en-US"/>
        </w:rPr>
        <w:t xml:space="preserve">rational proof, can not only be not considered tafsir bi al </w:t>
        <w:softHyphen/>
        <w:t>ra'y, it cannot be considered `tafsir' as such.</w:t>
      </w:r>
    </w:p>
    <w:p>
      <w:pPr>
        <w:pStyle w:val="BookText"/>
        <w:bidi w:val="0"/>
        <w:jc w:val="both"/>
        <w:rPr/>
      </w:pPr>
      <w:r>
        <w:rPr>
          <w:rFonts w:eastAsia="Times New Roman" w:cs="Times New Roman" w:ascii="Times New Roman" w:hAnsi="Times New Roman"/>
          <w:color w:val="111111"/>
          <w:sz w:val="28"/>
          <w:szCs w:val="28"/>
          <w:lang w:val="en-US"/>
        </w:rPr>
        <w:t>As mentioned earlier, the aforementioned traditions indicate that the Qur'an should be referred to and acted upon, and it is evident that such reference implies the acceptance of its literal meanings. Accordingly, when the relevant traditions are reconciled, tafsir bi al-ray ought to be understood as implying something other than acting in accordance with the literal meanings.</w:t>
      </w:r>
    </w:p>
    <w:p>
      <w:pPr>
        <w:pStyle w:val="Heading4"/>
        <w:numPr>
          <w:ilvl w:val="3"/>
          <w:numId w:val="1"/>
        </w:numPr>
        <w:bidi w:val="0"/>
        <w:jc w:val="left"/>
        <w:rPr/>
      </w:pPr>
      <w:bookmarkStart w:id="22" w:name="__RefHeading___Toc604408_2281741623"/>
      <w:bookmarkStart w:id="23" w:name="_Toc9"/>
      <w:bookmarkEnd w:id="22"/>
      <w:r>
        <w:rPr/>
        <w:t>3. The mystery of the meanings of the Qur'an</w:t>
      </w:r>
      <w:bookmarkEnd w:id="23"/>
    </w:p>
    <w:p>
      <w:pPr>
        <w:pStyle w:val="BookText"/>
        <w:bidi w:val="0"/>
        <w:jc w:val="both"/>
        <w:rPr/>
      </w:pPr>
      <w:r>
        <w:rPr>
          <w:rFonts w:eastAsia="Times New Roman" w:cs="Times New Roman" w:ascii="Times New Roman" w:hAnsi="Times New Roman"/>
          <w:color w:val="111111"/>
          <w:sz w:val="28"/>
          <w:szCs w:val="28"/>
          <w:lang w:val="en-US"/>
        </w:rPr>
        <w:t>It is said that the Qur'an contains sublime and mysterious mean</w:t>
        <w:softHyphen/>
        <w:t>ings and this quality of it is a hurdle in comprehending its meanings and fully grasping its import. To be certain, there are some books of the ancients whose meanings cannot be comprehended except by knowl</w:t>
        <w:softHyphen/>
        <w:t>edgeable experts; accordingly, how could the Qur'an, which contains all the knowledge regarding both the past and the future, be understood?</w:t>
      </w:r>
    </w:p>
    <w:p>
      <w:pPr>
        <w:pStyle w:val="BookText"/>
        <w:bidi w:val="0"/>
        <w:jc w:val="both"/>
        <w:rPr/>
      </w:pPr>
      <w:r>
        <w:rPr>
          <w:rFonts w:eastAsia="Times New Roman" w:cs="Times New Roman" w:ascii="Times New Roman" w:hAnsi="Times New Roman"/>
          <w:color w:val="111111"/>
          <w:sz w:val="28"/>
          <w:szCs w:val="28"/>
          <w:lang w:val="en-US"/>
        </w:rPr>
        <w:t>Answer: It is true that the Qur'an certainly contains the knowledge of the past and the future, and comprehending it from the Qur'an is doubt</w:t>
        <w:softHyphen/>
        <w:t>lessly restricted to the Ahl al-Bayt (A). However, this does not contra</w:t>
        <w:softHyphen/>
        <w:t>vene the fact that the Qur'an has literal meanings understandable by anyone acquainted with the Arabic language and its rules, which one may act upon once they become clear after due research for supporting indications.</w:t>
      </w:r>
    </w:p>
    <w:p>
      <w:pPr>
        <w:pStyle w:val="Heading4"/>
        <w:numPr>
          <w:ilvl w:val="3"/>
          <w:numId w:val="1"/>
        </w:numPr>
        <w:bidi w:val="0"/>
        <w:jc w:val="left"/>
        <w:rPr/>
      </w:pPr>
      <w:bookmarkStart w:id="24" w:name="__RefHeading___Toc604410_2281741623"/>
      <w:bookmarkStart w:id="25" w:name="_Toc10"/>
      <w:bookmarkEnd w:id="24"/>
      <w:r>
        <w:rPr/>
        <w:t>4. The knowledge that the literal meaning is not intended</w:t>
      </w:r>
      <w:bookmarkEnd w:id="2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be said that we know in a mujmal way (i.e. without know</w:t>
        <w:softHyphen/>
        <w:t>ing all the specific details) that there exist restrictive proofs (mukhassisat and muqayyidat) which limit the application of the general statements (`umumat and itlaqat) of the Qur'an. This</w:t>
      </w:r>
    </w:p>
    <w:p>
      <w:pPr>
        <w:pStyle w:val="BookText"/>
        <w:bidi w:val="0"/>
        <w:rPr/>
      </w:pPr>
      <w:r>
        <w:rPr>
          <w:rFonts w:eastAsia="Times New Roman" w:cs="Times New Roman" w:ascii="Times New Roman" w:hAnsi="Times New Roman"/>
          <w:color w:val="111111"/>
          <w:sz w:val="28"/>
          <w:szCs w:val="28"/>
          <w:lang w:val="en-US"/>
        </w:rPr>
        <w:t>means that some of its literal meanings are certainly not what are intended, for such general state</w:t>
        <w:softHyphen/>
        <w:t>ments have been restricted in their jurisdiction.</w:t>
      </w:r>
    </w:p>
    <w:p>
      <w:pPr>
        <w:pStyle w:val="BookText"/>
        <w:bidi w:val="0"/>
        <w:jc w:val="both"/>
        <w:rPr/>
      </w:pPr>
      <w:r>
        <w:rPr>
          <w:rFonts w:eastAsia="Times New Roman" w:cs="Times New Roman" w:ascii="Times New Roman" w:hAnsi="Times New Roman"/>
          <w:color w:val="111111"/>
          <w:sz w:val="28"/>
          <w:szCs w:val="28"/>
          <w:lang w:val="en-US"/>
        </w:rPr>
        <w:t>However, those literal meanings which are not intended are not specifically known so as to enable us to confine us to those particular instances. As a result of this, all the literal meanings of the Qur'an and all its general statements become indistinct (mujmal) incidentally, though they are not in fact such essential. Consequently, it is not valid to act according to them, as a measure of caution against acting in violation of the real (commands of God).</w:t>
      </w:r>
    </w:p>
    <w:p>
      <w:pPr>
        <w:pStyle w:val="BookText"/>
        <w:bidi w:val="0"/>
        <w:jc w:val="both"/>
        <w:rPr/>
      </w:pPr>
      <w:r>
        <w:rPr>
          <w:rFonts w:eastAsia="Times New Roman" w:cs="Times New Roman" w:ascii="Times New Roman" w:hAnsi="Times New Roman"/>
          <w:color w:val="111111"/>
          <w:sz w:val="28"/>
          <w:szCs w:val="28"/>
          <w:lang w:val="en-US"/>
        </w:rPr>
        <w:t>Answer: This mujmal knowledge (that there are some general statements whose literal meaning is not the intended one) can act as a hindrance to accepting all the literal meanings when one resolves to act in accordance with them without a due investigation regarding their real import.</w:t>
      </w:r>
    </w:p>
    <w:p>
      <w:pPr>
        <w:pStyle w:val="BookText"/>
        <w:bidi w:val="0"/>
        <w:jc w:val="both"/>
        <w:rPr/>
      </w:pPr>
      <w:r>
        <w:rPr>
          <w:rFonts w:eastAsia="Times New Roman" w:cs="Times New Roman" w:ascii="Times New Roman" w:hAnsi="Times New Roman"/>
          <w:color w:val="111111"/>
          <w:sz w:val="28"/>
          <w:szCs w:val="28"/>
          <w:lang w:val="en-US"/>
        </w:rPr>
        <w:t>But after the mukallaf (a person responsible for his religious duties) investi</w:t>
        <w:softHyphen/>
        <w:t>gates and discovers such instances to the extent of gaining a mujmal knowledge of their presence in the Qur'an, the hindrance posed by the prior mujmal knowledge is removed, and it fails to have any effect. Thereupon, there remains no hindrance to acting upon the literal mean</w:t>
        <w:softHyphen/>
        <w:t>ings.</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thing is true of the Sunnah, where we also know that there are proofs which limit the jurisdiction of its general statements. Hence, had the mujmal knowledge (regarding the zawahir of the Qur'an) been a hindrance in the way of accepting its literal meanings</w:t>
      </w:r>
    </w:p>
    <w:p>
      <w:pPr>
        <w:pStyle w:val="BookText"/>
        <w:bidi w:val="0"/>
        <w:rPr/>
      </w:pPr>
      <w:r>
        <w:rPr>
          <w:rFonts w:eastAsia="Times New Roman" w:cs="Times New Roman" w:ascii="Times New Roman" w:hAnsi="Times New Roman"/>
          <w:color w:val="111111"/>
          <w:sz w:val="28"/>
          <w:szCs w:val="28"/>
          <w:lang w:val="en-US"/>
        </w:rPr>
        <w:t>even after such knowledge is rendered ineffective, it would also be a hindrance in accepting the literal meanings of traditions.</w:t>
      </w:r>
    </w:p>
    <w:p>
      <w:pPr>
        <w:pStyle w:val="BookText"/>
        <w:bidi w:val="0"/>
        <w:jc w:val="both"/>
        <w:rPr/>
      </w:pPr>
      <w:r>
        <w:rPr>
          <w:rFonts w:eastAsia="Times New Roman" w:cs="Times New Roman" w:ascii="Times New Roman" w:hAnsi="Times New Roman"/>
          <w:color w:val="111111"/>
          <w:sz w:val="28"/>
          <w:szCs w:val="28"/>
          <w:lang w:val="en-US"/>
        </w:rPr>
        <w:t>Not only that, it would stop us from applying the Rule of Bara'ah (the presumption of absence of duty) in situations where doubts concerning the presence of a duty (al-shubuhat al-hukmiyyah) arise in the obligatoriness (wujub) or imper</w:t>
        <w:softHyphen/>
        <w:t>amissibility (hurmah) of something. This because every mukallaf knows is a mujmal way the presence of compulsory duties in the Shari'ah, and this mujmal knowledge (in accordance with the reasoning of the oppo</w:t>
        <w:softHyphen/>
        <w:t>nents of zawahir) could result in applying caution (ihtiyat) in all doubt</w:t>
        <w:softHyphen/>
        <w:t>ful cases of duties pertaining to obligations and prohibitions. However, we know for certain that caution is not wajib in them.</w:t>
      </w:r>
    </w:p>
    <w:p>
      <w:pPr>
        <w:pStyle w:val="BookText"/>
        <w:bidi w:val="0"/>
        <w:jc w:val="both"/>
        <w:rPr/>
      </w:pPr>
      <w:r>
        <w:rPr>
          <w:rFonts w:eastAsia="Times New Roman" w:cs="Times New Roman" w:ascii="Times New Roman" w:hAnsi="Times New Roman"/>
          <w:color w:val="111111"/>
          <w:sz w:val="28"/>
          <w:szCs w:val="28"/>
          <w:lang w:val="en-US"/>
        </w:rPr>
        <w:t xml:space="preserve">It is true that age group of traditionists have considered caution wajib in cases of doubts concerning the presence of prohibition (al-shubuhat al-tahrimiyyah) </w:t>
        <w:softHyphen/>
        <w:t>because they imagined that the traditions ordering restraint and caution prove restraint and caution in cases of al-shubuhat al-tahrimiy</w:t>
        <w:softHyphen/>
        <w:t>yah. But this opinion of theirs is not based on the mujmal knowledge warding the presence of compulsory duties in the Shari'ah, because if it were so they would have considered caution obligatory in case of doubt regarding the obligatoriness of something (al-shubuhat al-wujubiyyah) as well.</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as far as we know, no one has considered caution compulsory in such cases. The sole secret of caution not being wajib in these and other similar instances is that mujmal knowledge is at times `dissolved' as a result of success</w:t>
      </w:r>
      <w:bookmarkStart w:id="26" w:name="pg3707_45449"/>
    </w:p>
    <w:p>
      <w:pPr>
        <w:pStyle w:val="BookText"/>
        <w:bidi w:val="0"/>
        <w:rPr/>
      </w:pPr>
      <w:bookmarkEnd w:id="26"/>
      <w:r>
        <w:rPr>
          <w:rFonts w:eastAsia="Times New Roman" w:cs="Times New Roman" w:ascii="Times New Roman" w:hAnsi="Times New Roman"/>
          <w:color w:val="111111"/>
          <w:sz w:val="28"/>
          <w:szCs w:val="28"/>
          <w:lang w:val="en-US"/>
        </w:rPr>
        <w:t>in acquiring the knowledge (of specifics), and the dissolution of the mujmal knowledge renders it ineffective. For a further explanation, the reader should refer to our book ajwad al-taqrirat.</w:t>
      </w:r>
    </w:p>
    <w:p>
      <w:pPr>
        <w:pStyle w:val="Heading4"/>
        <w:numPr>
          <w:ilvl w:val="3"/>
          <w:numId w:val="1"/>
        </w:numPr>
        <w:bidi w:val="0"/>
        <w:jc w:val="left"/>
        <w:rPr/>
      </w:pPr>
      <w:bookmarkStart w:id="27" w:name="__RefHeading___Toc604412_2281741623"/>
      <w:bookmarkStart w:id="28" w:name="_Toc11"/>
      <w:bookmarkEnd w:id="27"/>
      <w:r>
        <w:rPr/>
        <w:t>5. The prohibition of following the mutashabihat</w:t>
      </w:r>
      <w:bookmarkEnd w:id="28"/>
    </w:p>
    <w:p>
      <w:pPr>
        <w:pStyle w:val="BookText"/>
        <w:bidi w:val="0"/>
        <w:jc w:val="both"/>
        <w:rPr/>
      </w:pPr>
      <w:r>
        <w:rPr>
          <w:rFonts w:eastAsia="Times New Roman" w:cs="Times New Roman" w:ascii="Times New Roman" w:hAnsi="Times New Roman"/>
          <w:color w:val="111111"/>
          <w:sz w:val="28"/>
          <w:szCs w:val="28"/>
          <w:lang w:val="en-US"/>
        </w:rPr>
        <w:t>The opponents of acting on the zawahir point out that the Qur'anic `verses forbid the following of the mutashabihat. God Almighty says:</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مِنْهُ آیَاتٌ مُّحْکَمَاتٌ هُنَّ أُمُّ الْکِتَابِ وَأُخَرُ مُتَشَابِهَاتٌ ۖ فَأَمَّا الَّذِینَ فِی قُلُوبِهِمْ زَیْغٌ فَیَتَّبِعُونَ مَا تَشَابَهَ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it are muhkam (clear) verses which are the foundation of the Book, and other verses which are mutashabih. As for those in whose hearts is deviation, they follow its mutashabih (ambiguous) verses ....”  (3:7)</w:t>
      </w:r>
    </w:p>
    <w:p>
      <w:pPr>
        <w:pStyle w:val="BookText"/>
        <w:bidi w:val="0"/>
        <w:jc w:val="both"/>
        <w:rPr/>
      </w:pPr>
      <w:r>
        <w:rPr>
          <w:rFonts w:eastAsia="Times New Roman" w:cs="Times New Roman" w:ascii="Times New Roman" w:hAnsi="Times New Roman"/>
          <w:color w:val="111111"/>
          <w:sz w:val="28"/>
          <w:szCs w:val="28"/>
          <w:lang w:val="en-US"/>
        </w:rPr>
        <w:t>The term mutashabih also includes literal meanings or, at least, the possibility of its including literal meanings makes them incapable of being accepted as authority.</w:t>
      </w:r>
    </w:p>
    <w:p>
      <w:pPr>
        <w:pStyle w:val="BookText"/>
        <w:bidi w:val="0"/>
        <w:jc w:val="both"/>
        <w:rPr/>
      </w:pPr>
      <w:r>
        <w:rPr>
          <w:rFonts w:eastAsia="Times New Roman" w:cs="Times New Roman" w:ascii="Times New Roman" w:hAnsi="Times New Roman"/>
          <w:color w:val="111111"/>
          <w:sz w:val="28"/>
          <w:szCs w:val="28"/>
          <w:lang w:val="en-US"/>
        </w:rPr>
        <w:t>Answer: The word mutashabih has a perspicuous meaning, and there is no ambiguity or vagueness in it. It means a word having two or more meanings that stand in the same degree of nearness in relation to that word. Thus when such a word is used in a verse, the possibility arises that any one of these meanings may be actually intended.</w:t>
      </w:r>
    </w:p>
    <w:p>
      <w:pPr>
        <w:pStyle w:val="BookText"/>
        <w:bidi w:val="0"/>
        <w:jc w:val="both"/>
        <w:rPr/>
      </w:pPr>
      <w:r>
        <w:rPr>
          <w:rFonts w:eastAsia="Times New Roman" w:cs="Times New Roman" w:ascii="Times New Roman" w:hAnsi="Times New Roman"/>
          <w:color w:val="111111"/>
          <w:sz w:val="28"/>
          <w:szCs w:val="28"/>
          <w:lang w:val="en-US"/>
        </w:rPr>
        <w:t>For this reason, it is wajib to observe restraint in giving a judgement in favour of any of the meanings unless there is an indication to specify it. Accordingly, a word having a single literal meaning is not considered mutashabih.</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condescend to accept that the word mutashabih is itself ambiguous, and that there exists a possibility of its including literal meanings, our</w:t>
      </w:r>
      <w:bookmarkStart w:id="29" w:name="pg3707_45450"/>
    </w:p>
    <w:p>
      <w:pPr>
        <w:pStyle w:val="BookText"/>
        <w:bidi w:val="0"/>
        <w:rPr/>
      </w:pPr>
      <w:bookmarkEnd w:id="29"/>
      <w:r>
        <w:rPr>
          <w:rFonts w:eastAsia="Times New Roman" w:cs="Times New Roman" w:ascii="Times New Roman" w:hAnsi="Times New Roman"/>
          <w:color w:val="111111"/>
          <w:sz w:val="28"/>
          <w:szCs w:val="28"/>
          <w:lang w:val="en-US"/>
        </w:rPr>
        <w:t>doing so does not prevent us from acting in accordance with the literal meanings. This is after the practice of rational persons (sirat al-`uqala) which sanctions the acceptance of the literal meaning of a speech or writing. Therefore, a sole possibility is incapable of pre</w:t>
        <w:softHyphen/>
        <w:t>venting this practice from being acted upon, for it requires a categorical proof in order to do so.</w:t>
      </w:r>
    </w:p>
    <w:p>
      <w:pPr>
        <w:pStyle w:val="BookText"/>
        <w:bidi w:val="0"/>
        <w:jc w:val="both"/>
        <w:rPr/>
      </w:pPr>
      <w:r>
        <w:rPr>
          <w:rFonts w:eastAsia="Times New Roman" w:cs="Times New Roman" w:ascii="Times New Roman" w:hAnsi="Times New Roman"/>
          <w:color w:val="111111"/>
          <w:sz w:val="28"/>
          <w:szCs w:val="28"/>
          <w:lang w:val="en-US"/>
        </w:rPr>
        <w:t>Otherwise, this practice will undoubtedly be followed. For this reason, a master is able to prove his servant's fault if the latter acts against the literal meanings of the former's speech, and it is valid for the master to punish him for the violation. Similarly, the servant may justify himself vis-à-vis his master if he has acted in accor</w:t>
        <w:softHyphen/>
        <w:t>dance with the literal meaning of his master's words where it is opposed to his real intent. On the whole, this practice is followed in accepting the literal meanings, unless there exists a categorical proof against it.</w:t>
      </w:r>
    </w:p>
    <w:p>
      <w:pPr>
        <w:pStyle w:val="Heading4"/>
        <w:numPr>
          <w:ilvl w:val="3"/>
          <w:numId w:val="1"/>
        </w:numPr>
        <w:bidi w:val="0"/>
        <w:jc w:val="left"/>
        <w:rPr/>
      </w:pPr>
      <w:bookmarkStart w:id="30" w:name="__RefHeading___Toc604414_2281741623"/>
      <w:bookmarkStart w:id="31" w:name="_Toc12"/>
      <w:bookmarkEnd w:id="30"/>
      <w:r>
        <w:rPr/>
        <w:t>6. The occurrence of tahrif in the Qur'an</w:t>
      </w:r>
      <w:bookmarkEnd w:id="31"/>
    </w:p>
    <w:p>
      <w:pPr>
        <w:pStyle w:val="BookText"/>
        <w:bidi w:val="0"/>
        <w:jc w:val="both"/>
        <w:rPr/>
      </w:pPr>
      <w:r>
        <w:rPr>
          <w:rFonts w:eastAsia="Times New Roman" w:cs="Times New Roman" w:ascii="Times New Roman" w:hAnsi="Times New Roman"/>
          <w:color w:val="111111"/>
          <w:sz w:val="28"/>
          <w:szCs w:val="28"/>
          <w:lang w:val="en-US"/>
        </w:rPr>
        <w:t>The occurrence of tahrif (textual corruption, or loss) in the Qur'an prevents us from accepting the literal meanings because a possibility of there being, alongside the literal meanings, helping indications determi</w:t>
        <w:softHyphen/>
        <w:t>ning their real intent exists, and these indications might have been lost due to tahrif</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Answer: We reject the claim of occurrence of tahrif in the Qur'an, and have earlier presented our argument concerning it. </w:t>
      </w:r>
      <w:r>
        <w:rPr>
          <w:rStyle w:val="FootnoteAnchor"/>
        </w:rPr>
        <w:footnoteReference w:id="2"/>
      </w:r>
      <w:r>
        <w:rPr>
          <w:rFonts w:eastAsia="Times New Roman" w:cs="Times New Roman" w:ascii="Times New Roman" w:hAnsi="Times New Roman"/>
          <w:color w:val="111111"/>
          <w:sz w:val="28"/>
          <w:szCs w:val="28"/>
          <w:lang w:val="en-US"/>
        </w:rPr>
        <w:t>There we said that the traditions commanding us to refer to the Qur'an are by themselves a proof negating tahrif. Even if we condescend to presume the occur</w:t>
        <w:softHyphen/>
        <w:t>rence of tahrif,</w:t>
      </w:r>
      <w:bookmarkStart w:id="32" w:name="pg3707_45451"/>
    </w:p>
    <w:p>
      <w:pPr>
        <w:pStyle w:val="BookText"/>
        <w:bidi w:val="0"/>
        <w:rPr/>
      </w:pPr>
      <w:bookmarkEnd w:id="32"/>
      <w:r>
        <w:rPr>
          <w:rFonts w:eastAsia="Times New Roman" w:cs="Times New Roman" w:ascii="Times New Roman" w:hAnsi="Times New Roman"/>
          <w:color w:val="111111"/>
          <w:sz w:val="28"/>
          <w:szCs w:val="28"/>
          <w:lang w:val="en-US"/>
        </w:rPr>
        <w:t>we are obliged by these traditions to act in accordance with the Qur'an even after the presumption of occurrence of tahrif.</w:t>
      </w:r>
    </w:p>
    <w:p>
      <w:pPr>
        <w:pStyle w:val="BookText"/>
        <w:bidi w:val="0"/>
        <w:jc w:val="both"/>
        <w:rPr/>
      </w:pPr>
      <w:r>
        <w:rPr>
          <w:rFonts w:eastAsia="Times New Roman" w:cs="Times New Roman" w:ascii="Times New Roman" w:hAnsi="Times New Roman"/>
          <w:color w:val="111111"/>
          <w:sz w:val="28"/>
          <w:szCs w:val="28"/>
          <w:lang w:val="en-US"/>
        </w:rPr>
        <w:t>The conclusion that follows from this discussion is that it is necessary to act on the literal meanings of the Qur'an; that the Qur'an is the basis of the Shari'ah; and that the narrated Sunnah will not be acted upon when it opposes the Qur'an.</w:t>
      </w:r>
    </w:p>
    <w:p>
      <w:pPr>
        <w:pStyle w:val="Heading3"/>
        <w:numPr>
          <w:ilvl w:val="2"/>
          <w:numId w:val="1"/>
        </w:numPr>
        <w:bidi w:val="0"/>
        <w:jc w:val="left"/>
        <w:rPr/>
      </w:pPr>
      <w:bookmarkStart w:id="33" w:name="__RefHeading___Toc604416_2281741623"/>
      <w:bookmarkStart w:id="34" w:name="_Toc13"/>
      <w:bookmarkEnd w:id="33"/>
      <w:r>
        <w:rPr/>
        <w:t>The Methodology of Tafsir</w:t>
      </w:r>
      <w:bookmarkEnd w:id="34"/>
    </w:p>
    <w:p>
      <w:pPr>
        <w:pStyle w:val="BookText"/>
        <w:bidi w:val="0"/>
        <w:jc w:val="both"/>
        <w:rPr/>
      </w:pPr>
      <w:r>
        <w:rPr>
          <w:rFonts w:eastAsia="Times New Roman" w:cs="Times New Roman" w:ascii="Times New Roman" w:hAnsi="Times New Roman"/>
          <w:color w:val="111111"/>
          <w:sz w:val="28"/>
          <w:szCs w:val="28"/>
          <w:lang w:val="en-US"/>
        </w:rPr>
        <w:t>`Tafsir' means the elucidation of the intent of God Almighty in the Holy Qur'an. Therefore, it is neither permissible in this regard to rely on conjectures (zunun) or on one's preferences (istihsan), nor on anything whose validity has not been established by reason or the Shari'ah. This is because following conjectures and attributing anything to God without His permission is forbidden. God Almighty says:</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قُلْ آللَّهُ أَذِنَ لَکُمْ ۖ أَمْ عَلَی اللَّهِ تَفْتَرُونَ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`Has God permitted you, or do you forge a lie against God?'” (10:59)</w:t>
      </w:r>
    </w:p>
    <w:p>
      <w:pPr>
        <w:pStyle w:val="BookText"/>
        <w:bidi w:val="0"/>
        <w:jc w:val="both"/>
        <w:rPr/>
      </w:pPr>
      <w:r>
        <w:rPr>
          <w:rFonts w:ascii="Amiri" w:hAnsi="Amiri" w:eastAsia="Amiri" w:cs="Amiri"/>
          <w:color w:val="111111"/>
          <w:sz w:val="28"/>
          <w:sz w:val="28"/>
          <w:szCs w:val="28"/>
          <w:rtl w:val="true"/>
          <w:lang w:bidi="ar-SA"/>
        </w:rPr>
        <w:t>وَلَا تَقْفُ مَا لَیْسَ لَکَ بِهِ عِلْمٌ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follow not that of which you have no knowledge.” (17:36)</w:t>
      </w:r>
    </w:p>
    <w:p>
      <w:pPr>
        <w:pStyle w:val="BookText"/>
        <w:bidi w:val="0"/>
        <w:jc w:val="both"/>
        <w:rPr/>
      </w:pPr>
      <w:r>
        <w:rPr>
          <w:rFonts w:eastAsia="Times New Roman" w:cs="Times New Roman" w:ascii="Times New Roman" w:hAnsi="Times New Roman"/>
          <w:color w:val="111111"/>
          <w:sz w:val="28"/>
          <w:szCs w:val="28"/>
          <w:lang w:val="en-US"/>
        </w:rPr>
        <w:t>There are other such verses and traditions that forbid acting with</w:t>
        <w:softHyphen/>
        <w:t>out knowledge, and there are a sufficiently large (mustafidah) number of traditions from both Sunni and Shi'ah sources forbidding tafsir bi al-ray.</w:t>
      </w:r>
    </w:p>
    <w:p>
      <w:pPr>
        <w:pStyle w:val="BookText"/>
        <w:bidi w:val="0"/>
        <w:jc w:val="both"/>
        <w:rPr/>
      </w:pPr>
      <w:r>
        <w:rPr>
          <w:rFonts w:eastAsia="Times New Roman" w:cs="Times New Roman" w:ascii="Times New Roman" w:hAnsi="Times New Roman"/>
          <w:color w:val="111111"/>
          <w:sz w:val="28"/>
          <w:szCs w:val="28"/>
          <w:lang w:val="en-US"/>
        </w:rPr>
        <w:t>This makes it clear that it is not valid to follow the tafsir of any exegete, irrespective of his being rightful in his creed or otherwise, because it amounts to following conjecture, and conjecture is not a substitute for knowledge.</w:t>
      </w:r>
    </w:p>
    <w:p>
      <w:pPr>
        <w:pStyle w:val="Heading3"/>
        <w:numPr>
          <w:ilvl w:val="2"/>
          <w:numId w:val="1"/>
        </w:numPr>
        <w:bidi w:val="0"/>
        <w:jc w:val="left"/>
        <w:rPr/>
      </w:pPr>
      <w:bookmarkStart w:id="35" w:name="__RefHeading___Toc604418_2281741623"/>
      <w:bookmarkStart w:id="36" w:name="_Toc14"/>
      <w:bookmarkEnd w:id="35"/>
      <w:r>
        <w:rPr/>
        <w:t>The Sources of Tafsir</w:t>
      </w:r>
      <w:bookmarkEnd w:id="3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necessary for an exegete to: follow the literal meanings as understood by a</w:t>
      </w:r>
    </w:p>
    <w:p>
      <w:pPr>
        <w:pStyle w:val="BookText"/>
        <w:bidi w:val="0"/>
        <w:rPr/>
      </w:pPr>
      <w:r>
        <w:rPr>
          <w:rFonts w:eastAsia="Times New Roman" w:cs="Times New Roman" w:ascii="Times New Roman" w:hAnsi="Times New Roman"/>
          <w:color w:val="111111"/>
          <w:sz w:val="28"/>
          <w:szCs w:val="28"/>
          <w:lang w:val="en-US"/>
        </w:rPr>
        <w:t>linguistically competent Arab (and we have already explained that literal meanings are authoritative), or follow the dictates of sound reason, for reason is an inward authority in the same way as the Prophet (S) is an outward authority (hujjah), or follow the traditions established to have been narrated from the Mu'sumun (the Prophet [S], Fatimah [A] , and the Imams [A] ), because they are the authorities to be referred to in the religion (al-maraji` fi al-Din). The Prophet (S) declared the duty of making recourse to them when he said.</w:t>
      </w:r>
    </w:p>
    <w:p>
      <w:pPr>
        <w:pStyle w:val="BookText"/>
        <w:bidi w:val="0"/>
        <w:jc w:val="both"/>
        <w:rPr/>
      </w:pPr>
      <w:r>
        <w:rPr>
          <w:rFonts w:ascii="IRNazanin" w:hAnsi="IRNazanin" w:eastAsia="IRNazanin"/>
          <w:color w:val="111111"/>
          <w:sz w:val="28"/>
          <w:sz w:val="28"/>
          <w:szCs w:val="28"/>
          <w:rtl w:val="true"/>
          <w:lang w:bidi="fa-IR"/>
        </w:rPr>
        <w:t>إنی تارق فیکم الثقلین کتاب الله وعترتی أهل بیتی، ما إن تمسکتم بهما لن تضلوا بعدی أبدا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Verily, I am leaving behind two weighty things amongst you: the Book of God and my Family, my Ahl al-Bayt. If you hold on to them, you will never go astray after me.</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There is no doubt that the statements of the Imams (A) are established when narrated through a definite chain of transmission free from doubt. Similarly, there is no doubt that they are not proved when narrated by a weak (daif) chain which does not possess the require</w:t>
        <w:softHyphen/>
        <w:t>ments of credibility. Are their (A) statements proven through a chain creating presumption (tariq zanni) when supported by a definite proof (dalil qati)? The scholars differ in this regard.</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doubt is raised here concerning the authority of khabar al </w:t>
        <w:softHyphen/>
        <w:t>wahid (a tradition which is not mutawatir) narrated by trustworthy narrators from the Ma'sumun (A) regarding the tafsir of the Qur'an. The reason offered is that the</w:t>
      </w:r>
    </w:p>
    <w:p>
      <w:pPr>
        <w:pStyle w:val="BookText"/>
        <w:bidi w:val="0"/>
        <w:rPr/>
      </w:pPr>
      <w:r>
        <w:rPr>
          <w:rFonts w:eastAsia="Times New Roman" w:cs="Times New Roman" w:ascii="Times New Roman" w:hAnsi="Times New Roman"/>
          <w:color w:val="111111"/>
          <w:sz w:val="28"/>
          <w:szCs w:val="28"/>
          <w:lang w:val="en-US"/>
        </w:rPr>
        <w:t>implication, of the authority of khabar al-wahid, or some other proof (dalil) leading to presumption (zann), is that it is obligatory to follow it in a case when one is ignorant about the actual law as if the law were known for certain.</w:t>
      </w:r>
    </w:p>
    <w:p>
      <w:pPr>
        <w:pStyle w:val="BookText"/>
        <w:bidi w:val="0"/>
        <w:jc w:val="both"/>
        <w:rPr/>
      </w:pPr>
      <w:r>
        <w:rPr>
          <w:rFonts w:eastAsia="Times New Roman" w:cs="Times New Roman" w:ascii="Times New Roman" w:hAnsi="Times New Roman"/>
          <w:color w:val="111111"/>
          <w:sz w:val="28"/>
          <w:szCs w:val="28"/>
          <w:lang w:val="en-US"/>
        </w:rPr>
        <w:t>Such an approach is applicable nowhere except in regard to a hadith concerning a law of the Shari'ah or a subject relating to such a law. This condition is at times not present in a khabar al-wahid narrated from the Ma'sumun (A) in regard to tafsir (for such traditions may relate to subjects having no relation whatsoever with the laws of the Shari'ah, such as doctrines, historical events, etc.).</w:t>
      </w:r>
    </w:p>
    <w:p>
      <w:pPr>
        <w:pStyle w:val="BookText"/>
        <w:bidi w:val="0"/>
        <w:jc w:val="both"/>
        <w:rPr/>
      </w:pPr>
      <w:r>
        <w:rPr>
          <w:rFonts w:eastAsia="Times New Roman" w:cs="Times New Roman" w:ascii="Times New Roman" w:hAnsi="Times New Roman"/>
          <w:color w:val="111111"/>
          <w:sz w:val="28"/>
          <w:szCs w:val="28"/>
          <w:lang w:val="en-US"/>
        </w:rPr>
        <w:t>This objection is contrary to fact. It has been explained in discus</w:t>
        <w:softHyphen/>
        <w:t>sions on usul al-fiqh that the meaning of the authority (hujjiyyah) of the proofs that bring only presumption (and not certainty) about the actual fact, is that such presumptive proofs have been made binding substitutes for definite proofs by the Lawgiver (this is called certainty through ta`abbud, i.e. in observance of Divine sanction).</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 channel whose credibility is approved by the Lawgiver's sanction is as good as a source resulting in certainty, despite the fact that it lacks the intrinsic capacity to produce certainty. Hence all the effects of certain knowledge will follow from this channel, and it will be as correct to report (regard</w:t>
        <w:softHyphen/>
        <w:t>ing non-legal matters) on its authority as it is correct to do so on the basis of actual knowledge; it will not be</w:t>
      </w:r>
    </w:p>
    <w:p>
      <w:pPr>
        <w:pStyle w:val="BookText"/>
        <w:bidi w:val="0"/>
        <w:rPr/>
      </w:pPr>
      <w:r>
        <w:rPr>
          <w:rFonts w:eastAsia="Times New Roman" w:cs="Times New Roman" w:ascii="Times New Roman" w:hAnsi="Times New Roman"/>
          <w:color w:val="111111"/>
          <w:sz w:val="28"/>
          <w:szCs w:val="28"/>
          <w:lang w:val="en-US"/>
        </w:rPr>
        <w:t>considered a statement without knowledge.</w:t>
      </w:r>
    </w:p>
    <w:p>
      <w:pPr>
        <w:pStyle w:val="BookText"/>
        <w:bidi w:val="0"/>
        <w:jc w:val="both"/>
        <w:rPr/>
      </w:pPr>
      <w:r>
        <w:rPr>
          <w:rFonts w:eastAsia="Times New Roman" w:cs="Times New Roman" w:ascii="Times New Roman" w:hAnsi="Times New Roman"/>
          <w:color w:val="111111"/>
          <w:sz w:val="28"/>
          <w:szCs w:val="28"/>
          <w:lang w:val="en-US"/>
        </w:rPr>
        <w:t>We are led to this conclusion by the practice prevalent among all reasonable persons (`uqala'). Such persons consider a channel of approved credibility similar to actual knowledge, without making any difference between the effects of the rule.</w:t>
      </w:r>
    </w:p>
    <w:p>
      <w:pPr>
        <w:pStyle w:val="BookText"/>
        <w:bidi w:val="0"/>
        <w:jc w:val="both"/>
        <w:rPr/>
      </w:pPr>
      <w:r>
        <w:rPr>
          <w:rFonts w:eastAsia="Times New Roman" w:cs="Times New Roman" w:ascii="Times New Roman" w:hAnsi="Times New Roman"/>
          <w:color w:val="111111"/>
          <w:sz w:val="28"/>
          <w:szCs w:val="28"/>
          <w:lang w:val="en-US"/>
        </w:rPr>
        <w:t>For instance, the possession, of a thing by someone is regarded as a proof of his ownership by the people, despite the fact that it can give rise only to presumption that the possessor is its owner, and they allow on its basis all the effects of ownership, and report without deserving any blame that he is the owner of that thing. And this common practice has not been disapproved by the Lawgiver.</w:t>
      </w:r>
    </w:p>
    <w:p>
      <w:pPr>
        <w:pStyle w:val="BookText"/>
        <w:bidi w:val="0"/>
        <w:jc w:val="both"/>
        <w:rPr/>
      </w:pPr>
      <w:r>
        <w:rPr>
          <w:rFonts w:eastAsia="Times New Roman" w:cs="Times New Roman" w:ascii="Times New Roman" w:hAnsi="Times New Roman"/>
          <w:color w:val="111111"/>
          <w:sz w:val="28"/>
          <w:szCs w:val="28"/>
          <w:lang w:val="en-US"/>
        </w:rPr>
        <w:t>Of course, it is true that a trustworthy tradition or any other credible channel should possess all the conditions of credibility. Among such conditions is that the tradition should not be of known falsity, because something known to be false cannot reasonably possess the marks of credibility or enjoy the Lawgiver's sanction.</w:t>
      </w:r>
    </w:p>
    <w:p>
      <w:pPr>
        <w:pStyle w:val="BookText"/>
        <w:bidi w:val="0"/>
        <w:jc w:val="both"/>
        <w:rPr/>
      </w:pPr>
      <w:r>
        <w:rPr>
          <w:rFonts w:eastAsia="Times New Roman" w:cs="Times New Roman" w:ascii="Times New Roman" w:hAnsi="Times New Roman"/>
          <w:color w:val="111111"/>
          <w:sz w:val="28"/>
          <w:szCs w:val="28"/>
          <w:lang w:val="en-US"/>
        </w:rPr>
        <w:t>Therefore, those traditions which are contrary to consensus or definite Sunnah, or the Qur'an, or the dictates of sound reason, will certainly not be consi</w:t>
        <w:softHyphen/>
        <w:t>dered credible, although they may possess other requirements of credi</w:t>
        <w:softHyphen/>
        <w:t>bility. There is also no difference here between traditions relating to a rule of the Shari'ah and those relating to non-legal subjects.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basis of this argument against the credibility of khabar al </w:t>
        <w:softHyphen/>
        <w:t>wahid is that however trustworthy a narrator may be, the tradition nar</w:t>
        <w:softHyphen/>
        <w:t>rated by him is not secure from being contrary</w:t>
      </w:r>
      <w:bookmarkStart w:id="37" w:name="pg3707_45455"/>
    </w:p>
    <w:p>
      <w:pPr>
        <w:pStyle w:val="BookText"/>
        <w:bidi w:val="0"/>
        <w:rPr/>
      </w:pPr>
      <w:bookmarkEnd w:id="37"/>
      <w:r>
        <w:rPr>
          <w:rFonts w:eastAsia="Times New Roman" w:cs="Times New Roman" w:ascii="Times New Roman" w:hAnsi="Times New Roman"/>
          <w:color w:val="111111"/>
          <w:sz w:val="28"/>
          <w:szCs w:val="28"/>
          <w:lang w:val="en-US"/>
        </w:rPr>
        <w:t>to the truth, because there is at least a possibility of his having made a mistake, especially where there are a large number of links in the chain of transmission. Hence, it is necessary to have some grounds establishing credibility that remove such a possibility, making it as if non-existent.</w:t>
      </w:r>
    </w:p>
    <w:p>
      <w:pPr>
        <w:pStyle w:val="BookText"/>
        <w:bidi w:val="0"/>
        <w:jc w:val="both"/>
        <w:rPr/>
      </w:pPr>
      <w:r>
        <w:rPr>
          <w:rFonts w:eastAsia="Times New Roman" w:cs="Times New Roman" w:ascii="Times New Roman" w:hAnsi="Times New Roman"/>
          <w:color w:val="111111"/>
          <w:sz w:val="28"/>
          <w:szCs w:val="28"/>
          <w:lang w:val="en-US"/>
        </w:rPr>
        <w:t>However, in the case of certainty about the falsity of a tradition, which is known to be contrary to the truth, such a certainty cannot be evaded on the basis of the Law</w:t>
        <w:softHyphen/>
        <w:t>giver's sanction (ta`abbud ), for the intrinsic quality of certainty is to reveal the truth and its validity is established as necessary by reason.</w:t>
      </w:r>
    </w:p>
    <w:p>
      <w:pPr>
        <w:pStyle w:val="BookText"/>
        <w:bidi w:val="0"/>
        <w:jc w:val="both"/>
        <w:rPr/>
      </w:pPr>
      <w:r>
        <w:rPr>
          <w:rFonts w:eastAsia="Times New Roman" w:cs="Times New Roman" w:ascii="Times New Roman" w:hAnsi="Times New Roman"/>
          <w:color w:val="111111"/>
          <w:sz w:val="28"/>
          <w:szCs w:val="28"/>
          <w:lang w:val="en-US"/>
        </w:rPr>
        <w:t>Therefore it is necessary to limit the grounds of the credibility of khabar al-wahid to those traditions which are not known to be false or contrary to the truth. The same rule applies to other reliable channels of information. This issue has a bearing upon many other issues of the kind, and on it are based replies to many doubts and criticisms. The reader should understand it well.</w:t>
      </w:r>
    </w:p>
    <w:p>
      <w:pPr>
        <w:pStyle w:val="Heading3"/>
        <w:numPr>
          <w:ilvl w:val="2"/>
          <w:numId w:val="1"/>
        </w:numPr>
        <w:bidi w:val="0"/>
        <w:jc w:val="left"/>
        <w:rPr/>
      </w:pPr>
      <w:bookmarkStart w:id="38" w:name="__RefHeading___Toc604420_2281741623"/>
      <w:bookmarkStart w:id="39" w:name="_Toc15"/>
      <w:bookmarkEnd w:id="38"/>
      <w:r>
        <w:rPr/>
        <w:t>Limiting the Jurisdiction of the Qur'an by Khabar al-Wahid</w:t>
      </w:r>
      <w:bookmarkEnd w:id="39"/>
    </w:p>
    <w:p>
      <w:pPr>
        <w:pStyle w:val="Heading4"/>
        <w:numPr>
          <w:ilvl w:val="3"/>
          <w:numId w:val="1"/>
        </w:numPr>
        <w:bidi w:val="0"/>
        <w:jc w:val="left"/>
        <w:rPr/>
      </w:pPr>
      <w:bookmarkStart w:id="40" w:name="__RefHeading___Toc604422_2281741623"/>
      <w:bookmarkStart w:id="41" w:name="_Toc16"/>
      <w:bookmarkEnd w:id="40"/>
      <w:r>
        <w:rPr/>
        <w:t>Point</w:t>
      </w:r>
      <w:bookmarkEnd w:id="41"/>
    </w:p>
    <w:p>
      <w:pPr>
        <w:pStyle w:val="BookText"/>
        <w:bidi w:val="0"/>
        <w:jc w:val="both"/>
        <w:rPr/>
      </w:pPr>
      <w:r>
        <w:rPr>
          <w:rFonts w:eastAsia="Times New Roman" w:cs="Times New Roman" w:ascii="Times New Roman" w:hAnsi="Times New Roman"/>
          <w:color w:val="111111"/>
          <w:sz w:val="28"/>
          <w:szCs w:val="28"/>
          <w:lang w:val="en-US"/>
        </w:rPr>
        <w:t>When the credibility of khabar al-wahid has been established by a definite proof (dalil qati), is it possible to limit the jurisdiction of the general statements of the Holy Qur'an by a khabar al-wahid? The pre</w:t>
        <w:softHyphen/>
        <w:t>valent (mashhur) view among the scholars considers it valid. A group of Sunni scholars opposes this view, and some of them reject it uncondi</w:t>
        <w:softHyphen/>
        <w:t>tionally.</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`Isa ibn Aban states: “If a general statement of the Qur'an has already been limited by a definite proof,</w:t>
      </w:r>
      <w:bookmarkStart w:id="42" w:name="pg3707_45456"/>
    </w:p>
    <w:p>
      <w:pPr>
        <w:pStyle w:val="BookText"/>
        <w:bidi w:val="0"/>
        <w:rPr/>
      </w:pPr>
      <w:bookmarkEnd w:id="42"/>
      <w:r>
        <w:rPr>
          <w:rFonts w:eastAsia="Times New Roman" w:cs="Times New Roman" w:ascii="Times New Roman" w:hAnsi="Times New Roman"/>
          <w:color w:val="111111"/>
          <w:sz w:val="28"/>
          <w:szCs w:val="28"/>
          <w:lang w:val="en-US"/>
        </w:rPr>
        <w:t>it is valid to further limit it by a khabar al-wahid; otherwise it is not valid.” Al-Karkhi states: “If the Book's general statement has been limited by a separate proof (dalil munfasil) it is valid to limit it further by a khabar al-wahid and not otherwise.” Al-Qadi Abu Bakr has refrained from giving an opinion in this regard.</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We accept the prevalent view, and the ground for doing so is, the khabar al-wahid as presumed enjoys definite credibility, and this implies that it is wajib to act according to it as long as there is no hindrance to doing so.</w:t>
      </w:r>
    </w:p>
    <w:p>
      <w:pPr>
        <w:pStyle w:val="Heading4"/>
        <w:numPr>
          <w:ilvl w:val="3"/>
          <w:numId w:val="1"/>
        </w:numPr>
        <w:bidi w:val="0"/>
        <w:jc w:val="left"/>
        <w:rPr/>
      </w:pPr>
      <w:bookmarkStart w:id="43" w:name="__RefHeading___Toc604424_2281741623"/>
      <w:bookmarkStart w:id="44" w:name="_Toc17"/>
      <w:bookmarkEnd w:id="43"/>
      <w:r>
        <w:rPr/>
        <w:t>Doubts and Opinions</w:t>
      </w:r>
      <w:bookmarkEnd w:id="44"/>
    </w:p>
    <w:p>
      <w:pPr>
        <w:pStyle w:val="BookText"/>
        <w:bidi w:val="0"/>
        <w:jc w:val="both"/>
        <w:rPr/>
      </w:pPr>
      <w:r>
        <w:rPr>
          <w:rFonts w:eastAsia="Times New Roman" w:cs="Times New Roman" w:ascii="Times New Roman" w:hAnsi="Times New Roman"/>
          <w:color w:val="111111"/>
          <w:sz w:val="28"/>
          <w:szCs w:val="28"/>
          <w:lang w:val="en-US"/>
        </w:rPr>
        <w:t>The imagined hindrance to acting in accordance with khabar al</w:t>
        <w:softHyphen/>
        <w:t xml:space="preserve"> wahid is not based on valid reasons. Some main objections and the replies to them are mentioned below.</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argued that the Holy Qur'an is the word of God Almighty which has been revealed to His Noble Prophet (S); this is a definite fact and beyond doubt. However, a khabar al-wahid has no certainty of being in accordance with the truth, nor is there a guarantee of its con</w:t>
        <w:softHyphen/>
        <w:t>tents being the authentic word of the Ma'sum, because there is at least a possibility of the narrator's mistake. In the light of this, it is not reasonable to abandon a thing which is certain for a proof containing a possibility of error.</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reply to this is that although the authenticity of the Qur'an is definite, it is not certain whether its general statements represent the actual law. It is obligatory to act</w:t>
      </w:r>
    </w:p>
    <w:p>
      <w:pPr>
        <w:pStyle w:val="BookText"/>
        <w:bidi w:val="0"/>
        <w:rPr/>
      </w:pPr>
      <w:r>
        <w:rPr>
          <w:rFonts w:eastAsia="Times New Roman" w:cs="Times New Roman" w:ascii="Times New Roman" w:hAnsi="Times New Roman"/>
          <w:color w:val="111111"/>
          <w:sz w:val="28"/>
          <w:szCs w:val="28"/>
          <w:lang w:val="en-US"/>
        </w:rPr>
        <w:t>in accordance with the general statements because they are the literal meanings, and it is accepted as a reasonable practice not disapproved by the Lawgiver to follow literal imports.</w:t>
      </w:r>
    </w:p>
    <w:p>
      <w:pPr>
        <w:pStyle w:val="BookText"/>
        <w:bidi w:val="0"/>
        <w:jc w:val="both"/>
        <w:rPr/>
      </w:pPr>
      <w:r>
        <w:rPr>
          <w:rFonts w:eastAsia="Times New Roman" w:cs="Times New Roman" w:ascii="Times New Roman" w:hAnsi="Times New Roman"/>
          <w:color w:val="111111"/>
          <w:sz w:val="28"/>
          <w:szCs w:val="28"/>
          <w:lang w:val="en-US"/>
        </w:rPr>
        <w:t>It is quite obvious that this common practice, which proves the authority of literal meanings, is limited to cases where there exists no indication (qarinah) contrary to the literal import, irrespective of whether the indication is attached (muttasil) to the general statement or is separate (munfasil) from it. Therefore, when there is an indication conflicting with the literal import, it is obligatory to forgo the literal meaning and to act in accordance with the indication.</w:t>
      </w:r>
    </w:p>
    <w:p>
      <w:pPr>
        <w:pStyle w:val="BookText"/>
        <w:bidi w:val="0"/>
        <w:jc w:val="both"/>
        <w:rPr/>
      </w:pPr>
      <w:r>
        <w:rPr>
          <w:rFonts w:eastAsia="Times New Roman" w:cs="Times New Roman" w:ascii="Times New Roman" w:hAnsi="Times New Roman"/>
          <w:color w:val="111111"/>
          <w:sz w:val="28"/>
          <w:szCs w:val="28"/>
          <w:lang w:val="en-US"/>
        </w:rPr>
        <w:t>Hence there is no other alternative to limiting the general statements of the Qur'an by khabar al-wahid after a definite proof of its credibility. It means that the khabar al-wahid has originated from the Ma'sum, though its authen</w:t>
        <w:softHyphen/>
        <w:t>ticity is based on ta`abbud and not on fact. In other words, we may say, though the authenticity of the Qur'an is certain, we have only pre</w:t>
        <w:softHyphen/>
        <w:t>sumption regarding its real intent, and there is no reasonable impedi</w:t>
        <w:softHyphen/>
        <w:t>ment to forgoing a proof which gives presumption for another similar proof whose credibility is known for certain.</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argued that authentic traditions of the Ma'sumeen (A) com</w:t>
        <w:softHyphen/>
        <w:t>mand us to compare the traditions with the Qur'an, and that those which oppose it should be discarded and not considered their word. A limiting tradition (al-khabar al-khass) conflicting with a general state</w:t>
        <w:softHyphen/>
        <w:t>ment of the Qur'an comes within the purview of such traditions; thus it</w:t>
      </w:r>
    </w:p>
    <w:p>
      <w:pPr>
        <w:pStyle w:val="BookText"/>
        <w:bidi w:val="0"/>
        <w:rPr/>
      </w:pPr>
      <w:r>
        <w:rPr>
          <w:rFonts w:eastAsia="Times New Roman" w:cs="Times New Roman" w:ascii="Times New Roman" w:hAnsi="Times New Roman"/>
          <w:color w:val="111111"/>
          <w:sz w:val="28"/>
          <w:szCs w:val="28"/>
          <w:lang w:val="en-US"/>
        </w:rPr>
        <w:t>becomes obligatory to discard it as unauthentic.</w:t>
      </w:r>
    </w:p>
    <w:p>
      <w:pPr>
        <w:pStyle w:val="BookText"/>
        <w:bidi w:val="0"/>
        <w:jc w:val="both"/>
        <w:rPr/>
      </w:pPr>
      <w:r>
        <w:rPr>
          <w:rFonts w:eastAsia="Times New Roman" w:cs="Times New Roman" w:ascii="Times New Roman" w:hAnsi="Times New Roman"/>
          <w:color w:val="111111"/>
          <w:sz w:val="28"/>
          <w:szCs w:val="28"/>
          <w:lang w:val="en-US"/>
        </w:rPr>
        <w:t xml:space="preserve">The reply to this is that, first, we should clarify the meaning of </w:t>
      </w:r>
      <w:r>
        <w:rPr>
          <w:rFonts w:eastAsia="Consolas" w:cs="Consolas" w:ascii="Consolas" w:hAnsi="Consolas"/>
          <w:color w:val="111111"/>
          <w:sz w:val="28"/>
          <w:szCs w:val="28"/>
          <w:lang w:val="en-US"/>
        </w:rPr>
        <w:t xml:space="preserve">contradiction' and </w:t>
      </w:r>
      <w:r>
        <w:rPr>
          <w:rFonts w:eastAsia="Times New Roman" w:cs="Times New Roman" w:ascii="Times New Roman" w:hAnsi="Times New Roman"/>
          <w:color w:val="111111"/>
          <w:sz w:val="28"/>
          <w:szCs w:val="28"/>
          <w:lang w:val="en-US"/>
        </w:rPr>
        <w:t xml:space="preserve">opposition.' Customary indications applied in comprehending the intent of the Qur'an are not considered by custom as opposing the Qur'an in any manner, and a limiting proof (al-dalil al </w:t>
        <w:softHyphen/>
        <w:t>khass) is an indication which elucidates the intent of a general proof.</w:t>
      </w:r>
    </w:p>
    <w:p>
      <w:pPr>
        <w:pStyle w:val="BookText"/>
        <w:bidi w:val="0"/>
        <w:jc w:val="both"/>
        <w:rPr/>
      </w:pPr>
      <w:r>
        <w:rPr>
          <w:rFonts w:eastAsia="Times New Roman" w:cs="Times New Roman" w:ascii="Times New Roman" w:hAnsi="Times New Roman"/>
          <w:color w:val="111111"/>
          <w:sz w:val="28"/>
          <w:szCs w:val="28"/>
          <w:lang w:val="en-US"/>
        </w:rPr>
        <w:t>Two statements contradict each other when people are unable to under</w:t>
        <w:softHyphen/>
        <w:t>stand from them the intent of their speaker if both the statements come from him. On this basis, a limiting khabar al-wahid cannot be considered as contradicting a general statement of the Qur'an; rather, it elucidates its intent.</w:t>
      </w:r>
    </w:p>
    <w:p>
      <w:pPr>
        <w:pStyle w:val="BookText"/>
        <w:bidi w:val="0"/>
        <w:jc w:val="both"/>
        <w:rPr/>
      </w:pPr>
      <w:r>
        <w:rPr>
          <w:rFonts w:eastAsia="Times New Roman" w:cs="Times New Roman" w:ascii="Times New Roman" w:hAnsi="Times New Roman"/>
          <w:color w:val="111111"/>
          <w:sz w:val="28"/>
          <w:szCs w:val="28"/>
          <w:lang w:val="en-US"/>
        </w:rPr>
        <w:t>This is also further confirmed by our knowledge that a large num</w:t>
        <w:softHyphen/>
        <w:t>ber of traditions have been issued by the Ma'sumun (A) that limit the general statements of the Qur'an. Now, should this limiting be considered as contradiction to the Qur'an, the following words of the Ma'sumun (A) will be incorrect:</w:t>
      </w:r>
    </w:p>
    <w:p>
      <w:pPr>
        <w:pStyle w:val="BookText"/>
        <w:bidi w:val="0"/>
        <w:jc w:val="both"/>
        <w:rPr/>
      </w:pPr>
      <w:r>
        <w:rPr>
          <w:rFonts w:ascii="IRNazanin" w:hAnsi="IRNazanin" w:eastAsia="IRNazanin"/>
          <w:color w:val="111111"/>
          <w:sz w:val="28"/>
          <w:sz w:val="28"/>
          <w:szCs w:val="28"/>
          <w:rtl w:val="true"/>
          <w:lang w:bidi="fa-IR"/>
        </w:rPr>
        <w:t>ما خالف قول ربنا لم نقله، أو هو زخرف، أو باطل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That which opposes the word of our Lord, has not been said by us. It is absurd or false.</w:t>
      </w:r>
    </w:p>
    <w:p>
      <w:pPr>
        <w:pStyle w:val="BookText"/>
        <w:bidi w:val="0"/>
        <w:jc w:val="both"/>
        <w:rPr/>
      </w:pPr>
      <w:r>
        <w:rPr>
          <w:rFonts w:eastAsia="Times New Roman" w:cs="Times New Roman" w:ascii="Times New Roman" w:hAnsi="Times New Roman"/>
          <w:color w:val="111111"/>
          <w:sz w:val="28"/>
          <w:szCs w:val="28"/>
          <w:lang w:val="en-US"/>
        </w:rPr>
        <w:t>This statement of them (A) proves that the limiting of the jurisdic</w:t>
        <w:softHyphen/>
        <w:t>tion of the general statements of the Qur'an does not involve any con</w:t>
        <w:softHyphen/>
        <w:t>tradiction.</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the Ma'sumun (A) have laid down agreement with the Qur'an of one of two contradicting traditions as a criterion for pre</w:t>
        <w:softHyphen/>
        <w:t>ferring one of them to the other. This implies, that a tradition which is not in consonance with the literal</w:t>
      </w:r>
    </w:p>
    <w:p>
      <w:pPr>
        <w:pStyle w:val="BookText"/>
        <w:bidi w:val="0"/>
        <w:rPr/>
      </w:pPr>
      <w:r>
        <w:rPr>
          <w:rFonts w:eastAsia="Times New Roman" w:cs="Times New Roman" w:ascii="Times New Roman" w:hAnsi="Times New Roman"/>
          <w:color w:val="111111"/>
          <w:sz w:val="28"/>
          <w:szCs w:val="28"/>
          <w:lang w:val="en-US"/>
        </w:rPr>
        <w:t>general statements of the Qur'an is creditable in itself, for it is obvious that if this tradition were opposed to the Qur'an in a manner that reconciliation were impossible, it would fail to be credible in itself, and thereby leave no room for conflict and preference.</w:t>
      </w:r>
    </w:p>
    <w:p>
      <w:pPr>
        <w:pStyle w:val="BookText"/>
        <w:bidi w:val="0"/>
        <w:jc w:val="both"/>
        <w:rPr/>
      </w:pPr>
      <w:r>
        <w:rPr>
          <w:rFonts w:eastAsia="Times New Roman" w:cs="Times New Roman" w:ascii="Times New Roman" w:hAnsi="Times New Roman"/>
          <w:color w:val="111111"/>
          <w:sz w:val="28"/>
          <w:szCs w:val="28"/>
          <w:lang w:val="en-US"/>
        </w:rPr>
        <w:t>Therefore, there is no alternative to accepting that the mean</w:t>
        <w:softHyphen/>
        <w:t>ing of a tradition's not being in consonance with the Qur'an is that it is possible to reconcile the two in an acceptable manner by limiting the general Qur'anic statements.</w:t>
      </w:r>
    </w:p>
    <w:p>
      <w:pPr>
        <w:pStyle w:val="BookText"/>
        <w:bidi w:val="0"/>
        <w:jc w:val="both"/>
        <w:rPr/>
      </w:pPr>
      <w:r>
        <w:rPr>
          <w:rFonts w:eastAsia="Times New Roman" w:cs="Times New Roman" w:ascii="Times New Roman" w:hAnsi="Times New Roman"/>
          <w:color w:val="111111"/>
          <w:sz w:val="28"/>
          <w:szCs w:val="28"/>
          <w:lang w:val="en-US"/>
        </w:rPr>
        <w:t>The conclusion is that a tradition limiting the general Qur'anic statements is in itself credible and it is necessary to act in accordance with it, except when it is faced with another tradition contradicting it.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It is argued that if it is valid to limit Qur'anic statements with khabar al-wahid, it will also be valid to abrogate the Qur'an with it. But since to do so is certainly not valid, it follows that limiting the Qur'anic statements with it is also invalid. The basis of such a logical linkage is that abrogation (as explained in the chapter on naskh) means limiting the Qur'anic statements with respect to a specific period of time, which ends with the arrival of the abrogating proof (al-dalil al </w:t>
        <w:softHyphen/>
        <w:t>nasikh).</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Consequently the abrogation of a Qur'anic statement does not mean its actual annulment, but only a formal extrinsic abolition. The limiting of the jurisdiction of general Qur'anic laws in regard to the instances of its application is similar to limiting it to</w:t>
      </w:r>
    </w:p>
    <w:p>
      <w:pPr>
        <w:pStyle w:val="BookText"/>
        <w:bidi w:val="0"/>
        <w:rPr/>
      </w:pPr>
      <w:r>
        <w:rPr>
          <w:rFonts w:eastAsia="Times New Roman" w:cs="Times New Roman" w:ascii="Times New Roman" w:hAnsi="Times New Roman"/>
          <w:color w:val="111111"/>
          <w:sz w:val="28"/>
          <w:szCs w:val="28"/>
          <w:lang w:val="en-US"/>
        </w:rPr>
        <w:t>a particular period, both being forms of limitation. Therefore, if the first is valid, the second, too, would be valid.</w:t>
      </w:r>
    </w:p>
    <w:p>
      <w:pPr>
        <w:pStyle w:val="BookText"/>
        <w:bidi w:val="0"/>
        <w:jc w:val="both"/>
        <w:rPr/>
      </w:pPr>
      <w:r>
        <w:rPr>
          <w:rFonts w:eastAsia="Times New Roman" w:cs="Times New Roman" w:ascii="Times New Roman" w:hAnsi="Times New Roman"/>
          <w:color w:val="111111"/>
          <w:sz w:val="28"/>
          <w:szCs w:val="28"/>
          <w:lang w:val="en-US"/>
        </w:rPr>
        <w:t>The reply to this is that the difference between the two forms of limitation is the presence of, a definite consensus (al-'ijma</w:t>
      </w:r>
      <w:r>
        <w:rPr>
          <w:rFonts w:eastAsia="Consolas" w:cs="Consolas" w:ascii="Consolas" w:hAnsi="Consolas"/>
          <w:color w:val="111111"/>
          <w:sz w:val="28"/>
          <w:szCs w:val="28"/>
          <w:lang w:val="en-US"/>
        </w:rPr>
        <w:t xml:space="preserve"> al-qati) pro</w:t>
        <w:softHyphen/>
        <w:t>hibiting the abrogation of general Qur'anic laws by khabar al-wahid and had it not been for this ijma</w:t>
      </w:r>
      <w:r>
        <w:rPr>
          <w:rFonts w:eastAsia="Times New Roman" w:cs="Times New Roman" w:ascii="Times New Roman" w:hAnsi="Times New Roman"/>
          <w:color w:val="111111"/>
          <w:sz w:val="28"/>
          <w:szCs w:val="28"/>
          <w:lang w:val="en-US"/>
        </w:rPr>
        <w:t>, the abrogation of Qur'anic statements by a trustworthy khabar al-wahid would have been as valid as the limiting of the general jurisdiction of Qur'anic statements. We have mentioned earlier that though the Qur'an enjoys definite authenticity of source (qati al-sanad), its actual import is not known for certain, and there is no impediment to forgoing it by accepting a khabar al-wahid whose credibility is definitely known.</w:t>
      </w:r>
    </w:p>
    <w:p>
      <w:pPr>
        <w:pStyle w:val="BookText"/>
        <w:bidi w:val="0"/>
        <w:jc w:val="both"/>
        <w:rPr/>
      </w:pPr>
      <w:r>
        <w:rPr>
          <w:rFonts w:eastAsia="Times New Roman" w:cs="Times New Roman" w:ascii="Times New Roman" w:hAnsi="Times New Roman"/>
          <w:color w:val="111111"/>
          <w:sz w:val="28"/>
          <w:szCs w:val="28"/>
          <w:lang w:val="en-US"/>
        </w:rPr>
        <w:t>It is to be noted that the above mentioned ijma</w:t>
      </w:r>
      <w:r>
        <w:rPr>
          <w:rFonts w:eastAsia="Consolas" w:cs="Consolas" w:ascii="Consolas" w:hAnsi="Consolas"/>
          <w:color w:val="111111"/>
          <w:sz w:val="28"/>
          <w:szCs w:val="28"/>
          <w:lang w:val="en-US"/>
        </w:rPr>
        <w:t xml:space="preserve"> is not based on mere ta</w:t>
      </w:r>
      <w:r>
        <w:rPr>
          <w:rFonts w:eastAsia="Times New Roman" w:cs="Times New Roman" w:ascii="Times New Roman" w:hAnsi="Times New Roman"/>
          <w:color w:val="111111"/>
          <w:sz w:val="28"/>
          <w:szCs w:val="28"/>
          <w:lang w:val="en-US"/>
        </w:rPr>
        <w:t>abbud, but rests on a rational basis. This is because some matters are such that should they be true in external reality, they are bound to be widely reported (mutawatir), and if a matter of great significance is reported only by some, it is evidence of the falsity or error of the report.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proofs in favour of the reliability of khabar al-wahid do not apply to such reports. It is on this basis that we said that a text is not proved to be a part of the Qur'an on the basis of khabar al-wahid. For there is no doubt that the abrogation of the Qur'an is not an</w:t>
      </w:r>
    </w:p>
    <w:p>
      <w:pPr>
        <w:pStyle w:val="BookText"/>
        <w:bidi w:val="0"/>
        <w:rPr/>
      </w:pPr>
      <w:r>
        <w:rPr>
          <w:rFonts w:eastAsia="Times New Roman" w:cs="Times New Roman" w:ascii="Times New Roman" w:hAnsi="Times New Roman"/>
          <w:color w:val="111111"/>
          <w:sz w:val="28"/>
          <w:szCs w:val="28"/>
          <w:lang w:val="en-US"/>
        </w:rPr>
        <w:t>affair limited to a particular group of Muslims to the exclusion of others.</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had abrogation occurred, a very large number of traditions (akhbar mutawatirah) would have narrated it. Now, if a single tradi</w:t>
        <w:softHyphen/>
        <w:t>tion reports it, it will be the proof of its falsity or error. With this exposition, the difference between the limitation of the Qur'anic state</w:t>
        <w:softHyphen/>
        <w:t>ments by khabar al-wahid and the abrogation of them by such tradi</w:t>
        <w:softHyphen/>
        <w:t>tions becomes obvious, and the logical linkage claimed between the two is thereby refuted.</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has discussed in detail the issue of tahrif in this book (al-Bayan fi tafsir al-Qur’an) in the chapter “siyanat al-Qur’an min al-tahrif” pp. 197-285.</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the Sunni sources containing Hadith al-Thaqalayn, see: Musnad Ahmad ibn Hanbal, part III, pp. 14, 17, 26, 59 from Abu Said al-Khudri; iv, pp. 366, 371 from Zayd ibn Arqam; v, pp. 182, 189 from Zayd ibn Thabit. See also al-Darimi, Sunan, “kitab fada'il al-Qur'an,” II, 431; al-Suyuti in al-Jami 'al-saghir, from al</w:t>
        <w:softHyphen/>
        <w:t xml:space="preserve"> Tabarani, from Zayd ibn Thabit, evaluates it as sahih ; al-Allamah al-Manawi, Sharh, II, p.15; al-Hakim, al-Mustadrak, III, 109, from Zayd ibn Arqam, evaluates it as sahih; al-Muttaqi al-Hindi, Kanz al-'ummal, “bab al-i'tisam bi al-Kitab wa al-Sunnah, “ Da'irat al-Ma'arif al-Uthmaniyyah, i, 253, 332. Others who have reported it are Muslim in his Sahih; Abu Ya'la, al-Hafiz Abd al-Aziz ibn al-'Akhdar, and many others. For a detailed study of its sources see Hamid Husayn al-Hindi, `Abaqat al </w:t>
        <w:softHyphen/>
        <w:t>anwar.</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Al-'Amidi, Usul al- 'ahkam, II,  472.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image" Target="media/image2.jpeg"/><Relationship Id="rId33" Type="http://schemas.openxmlformats.org/officeDocument/2006/relationships/image" Target="media/image2.jpeg"/><Relationship Id="rId34" Type="http://schemas.openxmlformats.org/officeDocument/2006/relationships/footer" Target="footer27.xml"/><Relationship Id="rId35" Type="http://schemas.openxmlformats.org/officeDocument/2006/relationships/footnotes" Target="footnotes.xml"/><Relationship Id="rId36" Type="http://schemas.openxmlformats.org/officeDocument/2006/relationships/numbering" Target="numbering.xml"/><Relationship Id="rId37" Type="http://schemas.openxmlformats.org/officeDocument/2006/relationships/fontTable" Target="fontTable.xml"/><Relationship Id="rId38" Type="http://schemas.openxmlformats.org/officeDocument/2006/relationships/settings" Target="settings.xml"/><Relationship Id="rId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Pages>
  <Words>6849</Words>
  <Characters>33532</Characters>
  <CharactersWithSpaces>40143</CharactersWithSpaces>
  <Paragraphs>257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2026-08-18T03:31:13Z</dcterms:created>
  <dc:creator>ghaemiyeh.com</dc:creator>
  <dc:description/>
  <dc:language>en-US</dc:language>
  <cp:lastModifiedBy/>
  <dcterms:modified xsi:type="dcterms:W3CDTF">2026-08-18T07:01:14Z</dcterms:modified>
  <cp:revision>1</cp:revision>
  <dc:subject/>
  <dc:title>Zawahir al-Qur an The Authority of the Book s Literal Meanings</dc:title>
</cp:coreProperties>
</file>

<file path=docProps/custom.xml><?xml version="1.0" encoding="utf-8"?>
<Properties xmlns="http://schemas.openxmlformats.org/officeDocument/2006/custom-properties" xmlns:vt="http://schemas.openxmlformats.org/officeDocument/2006/docPropsVTypes"/>
</file>