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Theocracy and Democracy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73778_2281741623">
            <w:r>
              <w:rPr>
                <w:webHidden/>
                <w:rStyle w:val="IndexLink"/>
              </w:rPr>
              <w:t>BOOK ID</w:t>
              <w:tab/>
              <w:t>4</w:t>
            </w:r>
          </w:hyperlink>
        </w:p>
        <w:p>
          <w:pPr>
            <w:pStyle w:val="Contents2"/>
            <w:tabs>
              <w:tab w:val="clear" w:pos="8743"/>
              <w:tab w:val="right" w:pos="9026" w:leader="dot"/>
            </w:tabs>
            <w:bidi w:val="0"/>
            <w:rPr/>
          </w:pPr>
          <w:hyperlink w:anchor="__RefHeading___Toc573780_2281741623">
            <w:r>
              <w:rPr>
                <w:webHidden/>
                <w:rStyle w:val="IndexLink"/>
              </w:rPr>
              <w:t>point</w:t>
              <w:tab/>
              <w:t>4</w:t>
            </w:r>
          </w:hyperlink>
        </w:p>
        <w:p>
          <w:pPr>
            <w:pStyle w:val="Contents2"/>
            <w:tabs>
              <w:tab w:val="clear" w:pos="8743"/>
              <w:tab w:val="right" w:pos="9026" w:leader="dot"/>
            </w:tabs>
            <w:bidi w:val="0"/>
            <w:rPr/>
          </w:pPr>
          <w:hyperlink w:anchor="__RefHeading___Toc573782_2281741623">
            <w:r>
              <w:rPr>
                <w:webHidden/>
                <w:rStyle w:val="IndexLink"/>
              </w:rPr>
              <w:t>Theocracy and Democracy</w:t>
              <w:tab/>
              <w:t>4</w:t>
            </w:r>
          </w:hyperlink>
        </w:p>
        <w:p>
          <w:pPr>
            <w:pStyle w:val="Contents3"/>
            <w:tabs>
              <w:tab w:val="clear" w:pos="8459"/>
              <w:tab w:val="right" w:pos="9026" w:leader="dot"/>
            </w:tabs>
            <w:bidi w:val="0"/>
            <w:rPr/>
          </w:pPr>
          <w:hyperlink w:anchor="__RefHeading___Toc573784_2281741623">
            <w:r>
              <w:rPr>
                <w:webHidden/>
                <w:rStyle w:val="IndexLink"/>
              </w:rPr>
              <w:t>The Meaning of Theocracy</w:t>
              <w:tab/>
              <w:t>4</w:t>
            </w:r>
          </w:hyperlink>
        </w:p>
        <w:p>
          <w:pPr>
            <w:pStyle w:val="Contents4"/>
            <w:tabs>
              <w:tab w:val="clear" w:pos="8176"/>
              <w:tab w:val="right" w:pos="9026" w:leader="dot"/>
            </w:tabs>
            <w:bidi w:val="0"/>
            <w:rPr/>
          </w:pPr>
          <w:hyperlink w:anchor="__RefHeading___Toc573786_2281741623">
            <w:r>
              <w:rPr>
                <w:webHidden/>
                <w:rStyle w:val="IndexLink"/>
              </w:rPr>
              <w:t>point</w:t>
              <w:tab/>
              <w:t>4</w:t>
            </w:r>
          </w:hyperlink>
        </w:p>
        <w:p>
          <w:pPr>
            <w:pStyle w:val="Contents4"/>
            <w:tabs>
              <w:tab w:val="clear" w:pos="8176"/>
              <w:tab w:val="right" w:pos="9026" w:leader="dot"/>
            </w:tabs>
            <w:bidi w:val="0"/>
            <w:rPr/>
          </w:pPr>
          <w:hyperlink w:anchor="__RefHeading___Toc573788_2281741623">
            <w:r>
              <w:rPr>
                <w:webHidden/>
                <w:rStyle w:val="IndexLink"/>
              </w:rPr>
              <w:t>1. God</w:t>
              <w:tab/>
              <w:t>4</w:t>
            </w:r>
          </w:hyperlink>
        </w:p>
        <w:p>
          <w:pPr>
            <w:pStyle w:val="Contents4"/>
            <w:tabs>
              <w:tab w:val="clear" w:pos="8176"/>
              <w:tab w:val="right" w:pos="9026" w:leader="dot"/>
            </w:tabs>
            <w:bidi w:val="0"/>
            <w:rPr/>
          </w:pPr>
          <w:hyperlink w:anchor="__RefHeading___Toc573790_2281741623">
            <w:r>
              <w:rPr>
                <w:webHidden/>
                <w:rStyle w:val="IndexLink"/>
              </w:rPr>
              <w:t>2. Sovereignty</w:t>
              <w:tab/>
              <w:t>8</w:t>
            </w:r>
          </w:hyperlink>
        </w:p>
        <w:p>
          <w:pPr>
            <w:pStyle w:val="Contents4"/>
            <w:tabs>
              <w:tab w:val="clear" w:pos="8176"/>
              <w:tab w:val="right" w:pos="9026" w:leader="dot"/>
            </w:tabs>
            <w:bidi w:val="0"/>
            <w:rPr/>
          </w:pPr>
          <w:hyperlink w:anchor="__RefHeading___Toc573792_2281741623">
            <w:r>
              <w:rPr>
                <w:webHidden/>
                <w:rStyle w:val="IndexLink"/>
              </w:rPr>
              <w:t>A Metaphor</w:t>
              <w:tab/>
              <w:t>17</w:t>
            </w:r>
          </w:hyperlink>
        </w:p>
        <w:p>
          <w:pPr>
            <w:pStyle w:val="Contents3"/>
            <w:tabs>
              <w:tab w:val="clear" w:pos="8459"/>
              <w:tab w:val="right" w:pos="9026" w:leader="dot"/>
            </w:tabs>
            <w:bidi w:val="0"/>
            <w:rPr/>
          </w:pPr>
          <w:hyperlink w:anchor="__RefHeading___Toc573794_2281741623">
            <w:r>
              <w:rPr>
                <w:webHidden/>
                <w:rStyle w:val="IndexLink"/>
              </w:rPr>
              <w:t>The Role of Consensus</w:t>
              <w:tab/>
              <w:t>20</w:t>
            </w:r>
          </w:hyperlink>
        </w:p>
        <w:p>
          <w:pPr>
            <w:pStyle w:val="Contents3"/>
            <w:tabs>
              <w:tab w:val="clear" w:pos="8459"/>
              <w:tab w:val="right" w:pos="9026" w:leader="dot"/>
            </w:tabs>
            <w:bidi w:val="0"/>
            <w:rPr/>
          </w:pPr>
          <w:hyperlink w:anchor="__RefHeading___Toc573796_2281741623">
            <w:r>
              <w:rPr>
                <w:webHidden/>
                <w:rStyle w:val="IndexLink"/>
              </w:rPr>
              <w:t>The Basis of Shura</w:t>
              <w:tab/>
              <w:t>26</w:t>
            </w:r>
          </w:hyperlink>
        </w:p>
        <w:p>
          <w:pPr>
            <w:pStyle w:val="Contents3"/>
            <w:tabs>
              <w:tab w:val="clear" w:pos="8459"/>
              <w:tab w:val="right" w:pos="9026" w:leader="dot"/>
            </w:tabs>
            <w:bidi w:val="0"/>
            <w:rPr/>
          </w:pPr>
          <w:hyperlink w:anchor="__RefHeading___Toc573798_2281741623">
            <w:r>
              <w:rPr>
                <w:webHidden/>
                <w:rStyle w:val="IndexLink"/>
              </w:rPr>
              <w:t>The Subject of Shura In Islam</w:t>
              <w:tab/>
              <w:t>30</w:t>
            </w:r>
          </w:hyperlink>
        </w:p>
        <w:p>
          <w:pPr>
            <w:pStyle w:val="Contents3"/>
            <w:tabs>
              <w:tab w:val="clear" w:pos="8459"/>
              <w:tab w:val="right" w:pos="9026" w:leader="dot"/>
            </w:tabs>
            <w:bidi w:val="0"/>
            <w:rPr/>
          </w:pPr>
          <w:hyperlink w:anchor="__RefHeading___Toc573800_2281741623">
            <w:r>
              <w:rPr>
                <w:webHidden/>
                <w:rStyle w:val="IndexLink"/>
              </w:rPr>
              <w:t>Hukm</w:t>
              <w:tab/>
              <w:t>30</w:t>
            </w:r>
          </w:hyperlink>
        </w:p>
        <w:p>
          <w:pPr>
            <w:pStyle w:val="Contents4"/>
            <w:tabs>
              <w:tab w:val="clear" w:pos="8176"/>
              <w:tab w:val="right" w:pos="9026" w:leader="dot"/>
            </w:tabs>
            <w:bidi w:val="0"/>
            <w:rPr/>
          </w:pPr>
          <w:hyperlink w:anchor="__RefHeading___Toc573802_2281741623">
            <w:r>
              <w:rPr>
                <w:webHidden/>
                <w:rStyle w:val="IndexLink"/>
              </w:rPr>
              <w:t>point</w:t>
              <w:tab/>
              <w:t>30</w:t>
            </w:r>
          </w:hyperlink>
        </w:p>
        <w:p>
          <w:pPr>
            <w:pStyle w:val="Contents4"/>
            <w:tabs>
              <w:tab w:val="clear" w:pos="8176"/>
              <w:tab w:val="right" w:pos="9026" w:leader="dot"/>
            </w:tabs>
            <w:bidi w:val="0"/>
            <w:rPr/>
          </w:pPr>
          <w:hyperlink w:anchor="__RefHeading___Toc573804_2281741623">
            <w:r>
              <w:rPr>
                <w:webHidden/>
                <w:rStyle w:val="IndexLink"/>
              </w:rPr>
              <w:t>The Primary Laws</w:t>
              <w:tab/>
              <w:t>31</w:t>
            </w:r>
          </w:hyperlink>
        </w:p>
        <w:p>
          <w:pPr>
            <w:pStyle w:val="Contents4"/>
            <w:tabs>
              <w:tab w:val="clear" w:pos="8176"/>
              <w:tab w:val="right" w:pos="9026" w:leader="dot"/>
            </w:tabs>
            <w:bidi w:val="0"/>
            <w:rPr/>
          </w:pPr>
          <w:hyperlink w:anchor="__RefHeading___Toc573806_2281741623">
            <w:r>
              <w:rPr>
                <w:webHidden/>
                <w:rStyle w:val="IndexLink"/>
              </w:rPr>
              <w:t>The Secondary Laws</w:t>
              <w:tab/>
              <w:t>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702_32096"/>
      <w:bookmarkStart w:id="1" w:name="pg3702_32096"/>
      <w:bookmarkEnd w:id="1"/>
    </w:p>
    <w:p>
      <w:pPr>
        <w:pStyle w:val="Heading2"/>
        <w:numPr>
          <w:ilvl w:val="1"/>
          <w:numId w:val="1"/>
        </w:numPr>
        <w:bidi w:val="0"/>
        <w:jc w:val="left"/>
        <w:rPr/>
      </w:pPr>
      <w:bookmarkStart w:id="2" w:name="pg3702_32096"/>
      <w:bookmarkStart w:id="3" w:name="__RefHeading___Toc573778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Muhammad Taqi Jafari</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Journal: Vol.1, N.1</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Topic Tags: Shura Theocracy Democracy Islam</w:t>
      </w:r>
    </w:p>
    <w:p>
      <w:pPr>
        <w:pStyle w:val="Heading2"/>
        <w:numPr>
          <w:ilvl w:val="1"/>
          <w:numId w:val="1"/>
        </w:numPr>
        <w:bidi w:val="0"/>
        <w:jc w:val="left"/>
        <w:rPr/>
      </w:pPr>
      <w:bookmarkStart w:id="5" w:name="__RefHeading___Toc573780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Theocracy and Democracy in Islam, includes discussion of Shura (Consensus)</w:t>
      </w:r>
    </w:p>
    <w:p>
      <w:pPr>
        <w:pStyle w:val="Heading2"/>
        <w:numPr>
          <w:ilvl w:val="1"/>
          <w:numId w:val="1"/>
        </w:numPr>
        <w:bidi w:val="0"/>
        <w:jc w:val="left"/>
        <w:rPr/>
      </w:pPr>
      <w:bookmarkStart w:id="7" w:name="__RefHeading___Toc573782_2281741623"/>
      <w:bookmarkStart w:id="8" w:name="_Toc3"/>
      <w:bookmarkEnd w:id="7"/>
      <w:r>
        <w:rPr/>
        <w:t>Theocracy and Democracy</w:t>
      </w:r>
      <w:bookmarkEnd w:id="8"/>
    </w:p>
    <w:p>
      <w:pPr>
        <w:pStyle w:val="Heading3"/>
        <w:numPr>
          <w:ilvl w:val="2"/>
          <w:numId w:val="1"/>
        </w:numPr>
        <w:bidi w:val="0"/>
        <w:jc w:val="left"/>
        <w:rPr/>
      </w:pPr>
      <w:bookmarkStart w:id="9" w:name="__RefHeading___Toc573784_2281741623"/>
      <w:bookmarkStart w:id="10" w:name="_Toc4"/>
      <w:bookmarkEnd w:id="9"/>
      <w:r>
        <w:rPr/>
        <w:t>The Meaning of Theocracy</w:t>
      </w:r>
      <w:bookmarkEnd w:id="10"/>
    </w:p>
    <w:p>
      <w:pPr>
        <w:pStyle w:val="Heading4"/>
        <w:numPr>
          <w:ilvl w:val="3"/>
          <w:numId w:val="1"/>
        </w:numPr>
        <w:bidi w:val="0"/>
        <w:jc w:val="left"/>
        <w:rPr/>
      </w:pPr>
      <w:bookmarkStart w:id="11" w:name="__RefHeading___Toc573786_2281741623"/>
      <w:bookmarkStart w:id="12" w:name="_Toc5"/>
      <w:bookmarkEnd w:id="11"/>
      <w:r>
        <w:rPr/>
        <w:t>point</w:t>
      </w:r>
      <w:bookmarkEnd w:id="12"/>
    </w:p>
    <w:p>
      <w:pPr>
        <w:pStyle w:val="BookText"/>
        <w:bidi w:val="0"/>
        <w:jc w:val="both"/>
        <w:rPr/>
      </w:pPr>
      <w:r>
        <w:rPr>
          <w:rFonts w:eastAsia="Times New Roman" w:cs="Times New Roman" w:ascii="Times New Roman" w:hAnsi="Times New Roman"/>
          <w:color w:val="111111"/>
          <w:sz w:val="28"/>
          <w:szCs w:val="28"/>
          <w:lang w:val="en-US"/>
        </w:rPr>
        <w:t>The concept of theocracy or the sovereignty of God, admittedly, would sound strange and remote in a society as today's. Centuries and ages have passed without such ideas and concepts making any impres</w:t>
        <w:softHyphen/>
        <w:t>sion on the minds of those who have ruled and administered human societies or there being any discussion about them.</w:t>
      </w:r>
    </w:p>
    <w:p>
      <w:pPr>
        <w:pStyle w:val="BookText"/>
        <w:bidi w:val="0"/>
        <w:jc w:val="both"/>
        <w:rPr/>
      </w:pPr>
      <w:r>
        <w:rPr>
          <w:rFonts w:eastAsia="Times New Roman" w:cs="Times New Roman" w:ascii="Times New Roman" w:hAnsi="Times New Roman"/>
          <w:color w:val="111111"/>
          <w:sz w:val="28"/>
          <w:szCs w:val="28"/>
          <w:lang w:val="en-US"/>
        </w:rPr>
        <w:t>Moreover, the intel</w:t>
        <w:softHyphen/>
        <w:t>lectual arena has been occupied by cults of sovereignty of kings or that of the people. That is why any scheme of deliverance of mankind from the bondage of egoism and self</w:t>
        <w:noBreakHyphen/>
        <w:t>alienation appears vainglorious and far</w:t>
        <w:softHyphen/>
        <w:t>fetched.</w:t>
      </w:r>
    </w:p>
    <w:p>
      <w:pPr>
        <w:pStyle w:val="BookText"/>
        <w:bidi w:val="0"/>
        <w:jc w:val="both"/>
        <w:rPr/>
      </w:pPr>
      <w:r>
        <w:rPr>
          <w:rFonts w:eastAsia="Times New Roman" w:cs="Times New Roman" w:ascii="Times New Roman" w:hAnsi="Times New Roman"/>
          <w:color w:val="111111"/>
          <w:sz w:val="28"/>
          <w:szCs w:val="28"/>
          <w:lang w:val="en-US"/>
        </w:rPr>
        <w:t>Henceforth, it is the demand of a humane and truth</w:t>
        <w:noBreakHyphen/>
        <w:t>seeking logic not to surrender our search in the despair and fear of an artificial intellectual atmosphere created by power</w:t>
        <w:noBreakHyphen/>
        <w:t>hungry and egocentric rulers. Undaunted by the fearsome gallery of idols, we should courageously examine every kind of beneficial and promising truth.</w:t>
      </w:r>
    </w:p>
    <w:p>
      <w:pPr>
        <w:pStyle w:val="BookText"/>
        <w:bidi w:val="0"/>
        <w:jc w:val="both"/>
        <w:rPr/>
      </w:pPr>
      <w:r>
        <w:rPr>
          <w:rFonts w:eastAsia="Times New Roman" w:cs="Times New Roman" w:ascii="Times New Roman" w:hAnsi="Times New Roman"/>
          <w:color w:val="111111"/>
          <w:sz w:val="28"/>
          <w:szCs w:val="28"/>
          <w:lang w:val="en-US"/>
        </w:rPr>
        <w:t>But before every</w:t>
        <w:softHyphen/>
        <w:t>thing, let us try to clear up the heavy mists that lurk around the concept of Divine sovereignty and dissociate it from the many layers of prejudice and ignorance that conceal its real face. There are two elements in the term theocracy: God (theos, god) and sovereignty (Kratein, to rule). We shall examine each of them beginning with God.</w:t>
      </w:r>
    </w:p>
    <w:p>
      <w:pPr>
        <w:pStyle w:val="Heading4"/>
        <w:numPr>
          <w:ilvl w:val="3"/>
          <w:numId w:val="1"/>
        </w:numPr>
        <w:bidi w:val="0"/>
        <w:jc w:val="left"/>
        <w:rPr/>
      </w:pPr>
      <w:bookmarkStart w:id="13" w:name="__RefHeading___Toc573788_2281741623"/>
      <w:bookmarkStart w:id="14" w:name="_Toc6"/>
      <w:bookmarkEnd w:id="13"/>
      <w:r>
        <w:rPr/>
        <w:t>1. God</w:t>
      </w:r>
      <w:bookmarkEnd w:id="1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 concepts forged in common minds about God, or the ideas</w:t>
      </w:r>
    </w:p>
    <w:p>
      <w:pPr>
        <w:pStyle w:val="BookText"/>
        <w:bidi w:val="0"/>
        <w:rPr/>
      </w:pPr>
      <w:r>
        <w:rPr>
          <w:rFonts w:eastAsia="Times New Roman" w:cs="Times New Roman" w:ascii="Times New Roman" w:hAnsi="Times New Roman"/>
          <w:color w:val="111111"/>
          <w:sz w:val="28"/>
          <w:szCs w:val="28"/>
          <w:lang w:val="en-US"/>
        </w:rPr>
        <w:t>of some suffering from some kind of allergy regarding that Supreme Being cannot be of much value for obtaining the know</w:t>
        <w:softHyphen/>
        <w:t>ledge of that Supreme Being.</w:t>
      </w:r>
    </w:p>
    <w:p>
      <w:pPr>
        <w:pStyle w:val="BookText"/>
        <w:bidi w:val="0"/>
        <w:jc w:val="both"/>
        <w:rPr/>
      </w:pPr>
      <w:r>
        <w:rPr>
          <w:rFonts w:eastAsia="Times New Roman" w:cs="Times New Roman" w:ascii="Times New Roman" w:hAnsi="Times New Roman"/>
          <w:color w:val="111111"/>
          <w:sz w:val="28"/>
          <w:szCs w:val="28"/>
          <w:lang w:val="en-US"/>
        </w:rPr>
        <w:t xml:space="preserve">The strangest of intellectual aberrations is observed in this regard: the necessity of differentiating between the crude and commonplace notions of a reality and the specialist's version of it, is acknowledged in every scientific discipline; nevertheless this rule is not observed in the case of God!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To illustrate what we have said, a botanist in his research about a certain kind of shrub or herb is not content to take the coarse opinions of a shepherd, who has never been out of his village or valley, as the last word about a variety of herb of that species common in his village.</w:t>
      </w:r>
    </w:p>
    <w:p>
      <w:pPr>
        <w:pStyle w:val="BookText"/>
        <w:bidi w:val="0"/>
        <w:jc w:val="both"/>
        <w:rPr/>
      </w:pPr>
      <w:r>
        <w:rPr>
          <w:rFonts w:eastAsia="Times New Roman" w:cs="Times New Roman" w:ascii="Times New Roman" w:hAnsi="Times New Roman"/>
          <w:color w:val="111111"/>
          <w:sz w:val="28"/>
          <w:szCs w:val="28"/>
          <w:lang w:val="en-US"/>
        </w:rPr>
        <w:t>However with regard to the meaning of the word “God,” it is consi</w:t>
        <w:softHyphen/>
        <w:t>dered sufficient to rely on the most rudimentary notions.</w:t>
      </w:r>
    </w:p>
    <w:p>
      <w:pPr>
        <w:pStyle w:val="BookText"/>
        <w:bidi w:val="0"/>
        <w:jc w:val="both"/>
        <w:rPr/>
      </w:pPr>
      <w:r>
        <w:rPr>
          <w:rFonts w:ascii="IRNazanin" w:hAnsi="IRNazanin" w:eastAsia="IRNazanin"/>
          <w:color w:val="111111"/>
          <w:sz w:val="28"/>
          <w:sz w:val="28"/>
          <w:szCs w:val="28"/>
          <w:rtl w:val="true"/>
          <w:lang w:bidi="fa-IR"/>
        </w:rPr>
        <w:t>هـســــــتـــــش خــدامثـــال یکـــی بادشای بیر         بـــــــالای آســمــــون تــــنــه وربایــــه بنــــدری</w:t>
      </w:r>
    </w:p>
    <w:p>
      <w:pPr>
        <w:pStyle w:val="BookText"/>
        <w:bidi w:val="0"/>
        <w:jc w:val="both"/>
        <w:rPr/>
      </w:pPr>
      <w:r>
        <w:rPr>
          <w:rFonts w:ascii="IRNazanin" w:hAnsi="IRNazanin" w:eastAsia="IRNazanin"/>
          <w:color w:val="111111"/>
          <w:sz w:val="28"/>
          <w:sz w:val="28"/>
          <w:szCs w:val="28"/>
          <w:rtl w:val="true"/>
          <w:lang w:bidi="fa-IR"/>
        </w:rPr>
        <w:t>هـرجـــا کــه رامــره ادامـــــاش باخـــودش مرن       دیـــوونخونــش جوحیــطه مصــفایه یندری</w:t>
      </w:r>
    </w:p>
    <w:p>
      <w:pPr>
        <w:pStyle w:val="BookText"/>
        <w:bidi w:val="0"/>
        <w:jc w:val="both"/>
        <w:rPr/>
      </w:pPr>
      <w:r>
        <w:rPr>
          <w:rFonts w:eastAsia="Times New Roman" w:cs="Times New Roman" w:ascii="Times New Roman" w:hAnsi="Times New Roman"/>
          <w:color w:val="111111"/>
          <w:sz w:val="28"/>
          <w:szCs w:val="28"/>
          <w:lang w:val="en-US"/>
        </w:rPr>
        <w:t>God: an old king in heaven,</w:t>
      </w:r>
    </w:p>
    <w:p>
      <w:pPr>
        <w:pStyle w:val="BookText"/>
        <w:bidi w:val="0"/>
        <w:jc w:val="both"/>
        <w:rPr/>
      </w:pPr>
      <w:r>
        <w:rPr>
          <w:rFonts w:eastAsia="Times New Roman" w:cs="Times New Roman" w:ascii="Times New Roman" w:hAnsi="Times New Roman"/>
          <w:color w:val="111111"/>
          <w:sz w:val="28"/>
          <w:szCs w:val="28"/>
          <w:lang w:val="en-US"/>
        </w:rPr>
        <w:t>Squatting on the roof of the great sky;</w:t>
      </w:r>
    </w:p>
    <w:p>
      <w:pPr>
        <w:pStyle w:val="BookText"/>
        <w:bidi w:val="0"/>
        <w:jc w:val="both"/>
        <w:rPr/>
      </w:pPr>
      <w:r>
        <w:rPr>
          <w:rFonts w:eastAsia="Times New Roman" w:cs="Times New Roman" w:ascii="Times New Roman" w:hAnsi="Times New Roman"/>
          <w:color w:val="111111"/>
          <w:sz w:val="28"/>
          <w:szCs w:val="28"/>
          <w:lang w:val="en-US"/>
        </w:rPr>
        <w:t>His courtroom, an impeccable magnificence;</w:t>
      </w:r>
    </w:p>
    <w:p>
      <w:pPr>
        <w:pStyle w:val="BookText"/>
        <w:bidi w:val="0"/>
        <w:jc w:val="both"/>
        <w:rPr/>
      </w:pPr>
      <w:r>
        <w:rPr>
          <w:rFonts w:eastAsia="Times New Roman" w:cs="Times New Roman" w:ascii="Times New Roman" w:hAnsi="Times New Roman"/>
          <w:color w:val="111111"/>
          <w:sz w:val="28"/>
          <w:szCs w:val="28"/>
          <w:lang w:val="en-US"/>
        </w:rPr>
        <w:t>Wherever he goes, his entourage follow him.</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don't know the God known by Ibrahim al</w:t>
        <w:noBreakHyphen/>
        <w:t>Khalil, Musa ibn Imran, ‘Isa ibn Maryam and Muhammad ibn ‘Abd Allah (S). They have not the remotest idea of what “God” meant for men like ‘Ali ibn Abi Talib. Further, on a level much lower than those great spiritual figures, they</w:t>
      </w:r>
    </w:p>
    <w:p>
      <w:pPr>
        <w:pStyle w:val="BookText"/>
        <w:bidi w:val="0"/>
        <w:rPr/>
      </w:pPr>
      <w:r>
        <w:rPr>
          <w:rFonts w:eastAsia="Times New Roman" w:cs="Times New Roman" w:ascii="Times New Roman" w:hAnsi="Times New Roman"/>
          <w:color w:val="111111"/>
          <w:sz w:val="28"/>
          <w:szCs w:val="28"/>
          <w:lang w:val="en-US"/>
        </w:rPr>
        <w:t>don't understand the discovery of Divine made by such persons as Ibn Sina, Suhrawardi, Shaykh Mahmud Shabistari, Jalal al</w:t>
        <w:noBreakHyphen/>
        <w:t>Din al</w:t>
        <w:noBreakHyphen/>
        <w:t>Rumi and Descartes, who said: “If someone were to allow himself to doubt the existence of God, I would consider him incapable of proving to me even the self</w:t>
        <w:noBreakHyphen/>
        <w:t>evident principles of Mathematics.”</w:t>
      </w:r>
    </w:p>
    <w:p>
      <w:pPr>
        <w:pStyle w:val="BookText"/>
        <w:bidi w:val="0"/>
        <w:jc w:val="both"/>
        <w:rPr/>
      </w:pPr>
      <w:r>
        <w:rPr>
          <w:rFonts w:eastAsia="Times New Roman" w:cs="Times New Roman" w:ascii="Times New Roman" w:hAnsi="Times New Roman"/>
          <w:color w:val="111111"/>
          <w:sz w:val="28"/>
          <w:szCs w:val="28"/>
          <w:lang w:val="en-US"/>
        </w:rPr>
        <w:t>When we speak of “the rule of God upon earth and upon men,” our conception of what we mean by “God” makes all the difference. Is it ‘an old man in heaven squatting on the roof of the world,' or is it the Being worshipped as their Lord by men such as ‘Ali ibn Abi</w:t>
        <w:noBreakHyphen/>
        <w:t>Talib, or Abu</w:t>
        <w:noBreakHyphen/>
        <w:t>Dharr, his pupil, and such others as the poet Rumi?</w:t>
      </w:r>
    </w:p>
    <w:p>
      <w:pPr>
        <w:pStyle w:val="BookText"/>
        <w:bidi w:val="0"/>
        <w:jc w:val="both"/>
        <w:rPr/>
      </w:pPr>
      <w:r>
        <w:rPr>
          <w:rFonts w:eastAsia="Times New Roman" w:cs="Times New Roman" w:ascii="Times New Roman" w:hAnsi="Times New Roman"/>
          <w:color w:val="111111"/>
          <w:sz w:val="28"/>
          <w:szCs w:val="28"/>
          <w:lang w:val="en-US"/>
        </w:rPr>
        <w:t>The Deity whose rule on earth and upon mankind is implicit in the concept of theocracy, is the Omnipotent Being the imprint of Whose Will is clearly manifested in the wonderful order of the universe. It is the All</w:t>
        <w:noBreakHyphen/>
        <w:t>powerful, All</w:t>
        <w:noBreakHyphen/>
        <w:t>knowing Being, Who, through His absolute power and wisdom, ‘reveals' human models for liberation from egoism and the worship of earthly pleasures.</w:t>
      </w:r>
    </w:p>
    <w:p>
      <w:pPr>
        <w:pStyle w:val="BookText"/>
        <w:bidi w:val="0"/>
        <w:jc w:val="both"/>
        <w:rPr/>
      </w:pPr>
      <w:r>
        <w:rPr>
          <w:rFonts w:eastAsia="Times New Roman" w:cs="Times New Roman" w:ascii="Times New Roman" w:hAnsi="Times New Roman"/>
          <w:color w:val="111111"/>
          <w:sz w:val="28"/>
          <w:szCs w:val="28"/>
          <w:lang w:val="en-US"/>
        </w:rPr>
        <w:t>It is the God Whose discovery has been expressed in differing words by all aware and enlightened human beings in all human societies from the most ancient times to the present. It is the God, the relation between Whose ‘radiance' with all other beings is similar, though not identical, to that of light passing through trans</w:t>
        <w:softHyphen/>
        <w:t>parent bodies.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God Who has given the capacity and power to the pure human nature, and</w:t>
      </w:r>
    </w:p>
    <w:p>
      <w:pPr>
        <w:pStyle w:val="BookText"/>
        <w:bidi w:val="0"/>
        <w:rPr/>
      </w:pPr>
      <w:r>
        <w:rPr>
          <w:rFonts w:eastAsia="Times New Roman" w:cs="Times New Roman" w:ascii="Times New Roman" w:hAnsi="Times New Roman"/>
          <w:color w:val="111111"/>
          <w:sz w:val="28"/>
          <w:szCs w:val="28"/>
          <w:lang w:val="en-US"/>
        </w:rPr>
        <w:t>the magnificent conscience of man, to dis</w:t>
        <w:softHyphen/>
        <w:t>cover Divine Will, judge truth and falsehood, and select rational life, through the means of prophetic revelation and reason. It is the God who has endowed all human beings with the capacity of direct or indirect contact with Him.</w:t>
      </w:r>
    </w:p>
    <w:p>
      <w:pPr>
        <w:pStyle w:val="BookText"/>
        <w:bidi w:val="0"/>
        <w:jc w:val="both"/>
        <w:rPr/>
      </w:pPr>
      <w:r>
        <w:rPr>
          <w:rFonts w:eastAsia="Times New Roman" w:cs="Times New Roman" w:ascii="Times New Roman" w:hAnsi="Times New Roman"/>
          <w:color w:val="111111"/>
          <w:sz w:val="28"/>
          <w:szCs w:val="28"/>
          <w:lang w:val="en-US"/>
        </w:rPr>
        <w:t>It is the God who has bestowed man with the power of acquiring perfection, and shown him the way to it. It is the God who exalts him into His Presence on having acquired a higher awareness. It is the God who originated the creation of the universe and man on the basis of justice, and has condemned injustice against even the most insignificant of living things. It is the God, the ways of approach to Whom, are as numerous as the number of the souls of creatures: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اَلْطُّرُقُ إلی اللهِ بِعَدَدِ نُفُوسِ اْلخَلائِق</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او بِعَدَدِ اَنْفاسِ الْخَلایِق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ways towards God are as numerous as the number of souls of the creatures.</w:t>
      </w:r>
      <w:r>
        <w:rPr>
          <w:rStyle w:val="FootnoteAnchor"/>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This is what is meant by “God” in our discussion of the concept of theocracy or the sovereignty of God. It is not the “god” fabricated by vulgar minds, or invented by egocentric men of the world, whose minds have been retarded in the most elementary stages of gnosis by a social environment forged by egoistic and power</w:t>
        <w:noBreakHyphen/>
        <w:t>hungry dema</w:t>
        <w:softHyphen/>
        <w:t>gogues and despots.Yes. This is what is meant by “God” in our discussion of the concept of theocracy or the sovereignty of God. It is not the “god” fabricated by vulgar minds, or invented by egocentric</w:t>
      </w:r>
      <w:bookmarkStart w:id="15" w:name="pg3702_32100"/>
    </w:p>
    <w:p>
      <w:pPr>
        <w:pStyle w:val="BookText"/>
        <w:bidi w:val="0"/>
        <w:rPr/>
      </w:pPr>
      <w:bookmarkEnd w:id="15"/>
      <w:r>
        <w:rPr>
          <w:rFonts w:eastAsia="Times New Roman" w:cs="Times New Roman" w:ascii="Times New Roman" w:hAnsi="Times New Roman"/>
          <w:color w:val="111111"/>
          <w:sz w:val="28"/>
          <w:szCs w:val="28"/>
          <w:lang w:val="en-US"/>
        </w:rPr>
        <w:t>men of the world, whose minds have been retarded in the most elementary stages of gnosis by a social environment forged by egoistic and power</w:t>
        <w:noBreakHyphen/>
        <w:t>hungry dema</w:t>
        <w:softHyphen/>
        <w:t>gogues and despots.</w:t>
      </w:r>
    </w:p>
    <w:p>
      <w:pPr>
        <w:pStyle w:val="Heading4"/>
        <w:numPr>
          <w:ilvl w:val="3"/>
          <w:numId w:val="1"/>
        </w:numPr>
        <w:bidi w:val="0"/>
        <w:jc w:val="left"/>
        <w:rPr/>
      </w:pPr>
      <w:bookmarkStart w:id="16" w:name="__RefHeading___Toc573790_2281741623"/>
      <w:bookmarkStart w:id="17" w:name="_Toc7"/>
      <w:bookmarkEnd w:id="16"/>
      <w:r>
        <w:rPr/>
        <w:t>2. Sovereignty</w:t>
      </w:r>
      <w:bookmarkEnd w:id="17"/>
    </w:p>
    <w:p>
      <w:pPr>
        <w:pStyle w:val="BookText"/>
        <w:bidi w:val="0"/>
        <w:jc w:val="both"/>
        <w:rPr/>
      </w:pPr>
      <w:r>
        <w:rPr>
          <w:rFonts w:eastAsia="Times New Roman" w:cs="Times New Roman" w:ascii="Times New Roman" w:hAnsi="Times New Roman"/>
          <w:color w:val="111111"/>
          <w:sz w:val="28"/>
          <w:szCs w:val="28"/>
          <w:lang w:val="en-US"/>
        </w:rPr>
        <w:t>The same kind of intellectual delusions and aberra</w:t>
        <w:softHyphen/>
        <w:t>tions that surround the conception of God also exist in the case of the concept of theocracy. There might be some who imagine that what is implied by theocracy is that, God, having personified himself in a stately form, sits down behind a table stacked with files and scribbles out “laws” on sheets of paper ...and having written them down, gets up swinging a lash and determined to see them implemented!</w:t>
      </w:r>
    </w:p>
    <w:p>
      <w:pPr>
        <w:pStyle w:val="BookText"/>
        <w:bidi w:val="0"/>
        <w:jc w:val="both"/>
        <w:rPr/>
      </w:pPr>
      <w:r>
        <w:rPr>
          <w:rFonts w:eastAsia="Times New Roman" w:cs="Times New Roman" w:ascii="Times New Roman" w:hAnsi="Times New Roman"/>
          <w:color w:val="111111"/>
          <w:sz w:val="28"/>
          <w:szCs w:val="28"/>
          <w:lang w:val="en-US"/>
        </w:rPr>
        <w:t>To others it means that God plans to impose His will upon men through his self righteous henchmen and tyrannical priests, whose dictates He expects all mankind to obey. There are still others who think that theocracy means the sovereignty and domination of a priestly class who profess spirituality in a way similar to professionals and craftsmen of various kinds. Such kinds of misconceptions about theocracy proliferate in the minds of untutored populace. However, their value for an understanding of the significance of theocracy, is the same as the worth of dumping grounds of the garbage of a big city for knowing the life</w:t>
        <w:noBreakHyphen/>
        <w:t>style of its scholars and geniuses.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relationship of God with human beings can be compared to the relationship of the soul with the activities of the body. However, the caution is necessary that it is only an approximate metaphor; for, nothing can</w:t>
      </w:r>
    </w:p>
    <w:p>
      <w:pPr>
        <w:pStyle w:val="BookText"/>
        <w:bidi w:val="0"/>
        <w:rPr/>
      </w:pPr>
      <w:r>
        <w:rPr>
          <w:rFonts w:eastAsia="Times New Roman" w:cs="Times New Roman" w:ascii="Times New Roman" w:hAnsi="Times New Roman"/>
          <w:color w:val="111111"/>
          <w:sz w:val="28"/>
          <w:szCs w:val="28"/>
          <w:lang w:val="en-US"/>
        </w:rPr>
        <w:t>be likened to God in accordance with the Qur’anic verse:</w:t>
      </w:r>
    </w:p>
    <w:p>
      <w:pPr>
        <w:pStyle w:val="BookText"/>
        <w:bidi w:val="0"/>
        <w:jc w:val="both"/>
        <w:rPr/>
      </w:pP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is like Him. “(42:11)</w:t>
      </w:r>
    </w:p>
    <w:p>
      <w:pPr>
        <w:pStyle w:val="BookText"/>
        <w:bidi w:val="0"/>
        <w:jc w:val="both"/>
        <w:rPr/>
      </w:pPr>
      <w:r>
        <w:rPr>
          <w:rFonts w:eastAsia="Times New Roman" w:cs="Times New Roman" w:ascii="Times New Roman" w:hAnsi="Times New Roman"/>
          <w:color w:val="111111"/>
          <w:sz w:val="28"/>
          <w:szCs w:val="28"/>
          <w:lang w:val="en-US"/>
        </w:rPr>
        <w:t>Nevertheless, this obviously imperfect allegory can be used to illustrate the concept of Divine sovereignty. It is impossible to deny that the human “ego,” “self,” “soul,” or whatever we may name it, is the active principle behind the administration of the total personality of the human being. The “self,” through its various faculties, adminis</w:t>
        <w:softHyphen/>
        <w:t>ters and manages the realm of an individual's existence. If we extend this metaphor to the domain of human society, we can say that the most developed intellects of humanity, and the purest and unpolluted nature and consciousness of man in the form of God</w:t>
        <w:noBreakHyphen/>
        <w:t>sent prophets and messengers, are the agency and means of God's sovereignty and rule.</w:t>
      </w:r>
    </w:p>
    <w:p>
      <w:pPr>
        <w:pStyle w:val="BookText"/>
        <w:bidi w:val="0"/>
        <w:jc w:val="both"/>
        <w:rPr/>
      </w:pPr>
      <w:r>
        <w:rPr>
          <w:rFonts w:eastAsia="Times New Roman" w:cs="Times New Roman" w:ascii="Times New Roman" w:hAnsi="Times New Roman"/>
          <w:color w:val="111111"/>
          <w:sz w:val="28"/>
          <w:szCs w:val="28"/>
          <w:lang w:val="en-US"/>
        </w:rPr>
        <w:t>In other words the meaning of sovereignty of God, is manifestation of Divine Will in 'human society, through the medium of Divine apostles and through un-deviated human reason and consciousness. It is compa</w:t>
        <w:softHyphen/>
        <w:t>rable to the human will centered in the “self” which causes the body's limbs to be moved in accordance with its volitions through the agency of nerves and muscles.</w:t>
      </w:r>
    </w:p>
    <w:p>
      <w:pPr>
        <w:pStyle w:val="BookText"/>
        <w:bidi w:val="0"/>
        <w:jc w:val="both"/>
        <w:rPr/>
      </w:pPr>
      <w:r>
        <w:rPr>
          <w:rFonts w:eastAsia="Times New Roman" w:cs="Times New Roman" w:ascii="Times New Roman" w:hAnsi="Times New Roman"/>
          <w:color w:val="111111"/>
          <w:sz w:val="28"/>
          <w:szCs w:val="28"/>
          <w:lang w:val="en-US"/>
        </w:rPr>
        <w:t>The question may arise whether it is possible to accept this interpretation for the possible actualization of the potential sovereignty of God. Our reasons for considering it as acceptable are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can be no doubt that except for the devotees of Machiavellian politics and unabashed advocates of social Darwinism seeking to offer theoretical justification for the lusts of egocentric tyrants and despots, it</w:t>
      </w:r>
    </w:p>
    <w:p>
      <w:pPr>
        <w:pStyle w:val="BookText"/>
        <w:bidi w:val="0"/>
        <w:rPr/>
      </w:pPr>
      <w:r>
        <w:rPr>
          <w:rFonts w:eastAsia="Times New Roman" w:cs="Times New Roman" w:ascii="Times New Roman" w:hAnsi="Times New Roman"/>
          <w:color w:val="111111"/>
          <w:sz w:val="28"/>
          <w:szCs w:val="28"/>
          <w:lang w:val="en-US"/>
        </w:rPr>
        <w:t>has been the sincere endeavour of all leading thinkers of humanity in the realms of economics, politics, human sciences and education, and every other sphere of human endeavour, to search for things and discover that which can be truly beneficial for human happi</w:t>
        <w:softHyphen/>
        <w:t>ness and felicity. The Holy Qur’an describes this sacred phenomenon in these words: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فَأَمَّا الزَّبَدُ فَیَذْهَبُ جُفَاءً وَأَمَّا مَا یَنفَعُ النَّاسَ فَیَمْکُثُ فِی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scum, it vanishes as jetsam, and what profits men abides in the earth. Even so God strikes His similitudes. “(13:17)</w:t>
      </w:r>
    </w:p>
    <w:p>
      <w:pPr>
        <w:pStyle w:val="BookText"/>
        <w:bidi w:val="0"/>
        <w:jc w:val="both"/>
        <w:rPr/>
      </w:pPr>
      <w:r>
        <w:rPr>
          <w:rFonts w:eastAsia="Times New Roman" w:cs="Times New Roman" w:ascii="Times New Roman" w:hAnsi="Times New Roman"/>
          <w:color w:val="111111"/>
          <w:sz w:val="28"/>
          <w:szCs w:val="28"/>
          <w:lang w:val="en-US"/>
        </w:rPr>
        <w:t>This is a kind of Divine sovereignty that operates through the laws of creation (hakimiyyat al</w:t>
        <w:noBreakHyphen/>
        <w:t>tahwin, creative sovereignty). As to the legislative sovereignty (hakimiyyat al</w:t>
        <w:noBreakHyphen/>
        <w:t>tashri’), it operates in the manner described in the following Qur’anic verse:</w:t>
      </w:r>
    </w:p>
    <w:p>
      <w:pPr>
        <w:pStyle w:val="BookText"/>
        <w:bidi w:val="0"/>
        <w:jc w:val="both"/>
        <w:rPr/>
      </w:pPr>
      <w:r>
        <w:rPr>
          <w:rFonts w:ascii="Amiri" w:hAnsi="Amiri" w:eastAsia="Amiri" w:cs="Amiri"/>
          <w:color w:val="111111"/>
          <w:sz w:val="28"/>
          <w:sz w:val="28"/>
          <w:szCs w:val="28"/>
          <w:rtl w:val="true"/>
          <w:lang w:bidi="ar-SA"/>
        </w:rPr>
        <w:t>قَدْ أَرْسَلْنَا رُسُلَنَا بِالْبَیِّنَاتِ وَأَنزَلْنَا مَعَهُمُ الْکِتَابَ وَالْمِیزَانَ لِیَقُومَ النَّاسُ بِالْقِسْطِ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sent Our Messengers with the clear signs, and We sent down with them the Book and the Balance so that men might uphold justice. “(57:25)</w:t>
      </w:r>
    </w:p>
    <w:p>
      <w:pPr>
        <w:pStyle w:val="BookText"/>
        <w:bidi w:val="0"/>
        <w:jc w:val="both"/>
        <w:rPr/>
      </w:pPr>
      <w:r>
        <w:rPr>
          <w:rFonts w:eastAsia="Times New Roman" w:cs="Times New Roman" w:ascii="Times New Roman" w:hAnsi="Times New Roman"/>
          <w:color w:val="111111"/>
          <w:sz w:val="28"/>
          <w:szCs w:val="28"/>
          <w:lang w:val="en-US"/>
        </w:rPr>
        <w:t>Is not the essence of justice, whose achievement the Qur’an regards as being the goal of Divine laws and the mission of apostles, innate and ingrained within human conscience, consciousness and reason, in their state of purity? The fact that no school of thought has ever had the power to explicitly contradict the idea of justice, is a testimony to the truth of the above statement.</w:t>
      </w:r>
    </w:p>
    <w:p>
      <w:pPr>
        <w:pStyle w:val="BookText"/>
        <w:bidi w:val="0"/>
        <w:jc w:val="both"/>
        <w:rPr/>
      </w:pPr>
      <w:r>
        <w:rPr>
          <w:rFonts w:eastAsia="Times New Roman" w:cs="Times New Roman" w:ascii="Times New Roman" w:hAnsi="Times New Roman"/>
          <w:color w:val="111111"/>
          <w:sz w:val="28"/>
          <w:szCs w:val="28"/>
          <w:lang w:val="en-US"/>
        </w:rPr>
        <w:t>This is the meaning of ‘sovereignty of God,' which acts through the agency of Divine messengers, and which has no other purpose than to reinforce the positive traits ingrained in human nature.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philosophers and</w:t>
      </w:r>
    </w:p>
    <w:p>
      <w:pPr>
        <w:pStyle w:val="BookText"/>
        <w:bidi w:val="0"/>
        <w:rPr/>
      </w:pPr>
      <w:r>
        <w:rPr>
          <w:rFonts w:eastAsia="Times New Roman" w:cs="Times New Roman" w:ascii="Times New Roman" w:hAnsi="Times New Roman"/>
          <w:color w:val="111111"/>
          <w:sz w:val="28"/>
          <w:szCs w:val="28"/>
          <w:lang w:val="en-US"/>
        </w:rPr>
        <w:t>thinkers who have endeavoured to under</w:t>
        <w:softHyphen/>
        <w:t>stand human nature, with all their difference of opinion and divergence in their outlook of the universe and man, are united in the opinion that man in the process of his movement towards perfection is capable of attaining the independence and sublimity of a being symbolized by ‘rational life,' by cultivating the foundations of his destiny and bringing it to fruition.</w:t>
      </w:r>
    </w:p>
    <w:p>
      <w:pPr>
        <w:pStyle w:val="BookText"/>
        <w:bidi w:val="0"/>
        <w:jc w:val="both"/>
        <w:rPr/>
      </w:pPr>
      <w:r>
        <w:rPr>
          <w:rFonts w:eastAsia="Times New Roman" w:cs="Times New Roman" w:ascii="Times New Roman" w:hAnsi="Times New Roman"/>
          <w:color w:val="111111"/>
          <w:sz w:val="28"/>
          <w:szCs w:val="28"/>
          <w:lang w:val="en-US"/>
        </w:rPr>
        <w:t>The unceasing endeavours of the benefactors of huma</w:t>
        <w:softHyphen/>
        <w:t>nity, for the realization of this independence and sublimeness, have been so preponderant through the course of history that the egocentric power</w:t>
        <w:noBreakHyphen/>
        <w:t>worshipping followers of Machiavellian politics have failed to reduce their significance. This sublimity and independence rests on the basis of that freedom of man which can afford him to attain the station of self</w:t>
        <w:noBreakHyphen/>
        <w:t>determination.</w:t>
      </w:r>
    </w:p>
    <w:p>
      <w:pPr>
        <w:pStyle w:val="BookText"/>
        <w:bidi w:val="0"/>
        <w:jc w:val="both"/>
        <w:rPr/>
      </w:pPr>
      <w:r>
        <w:rPr>
          <w:rFonts w:eastAsia="Times New Roman" w:cs="Times New Roman" w:ascii="Times New Roman" w:hAnsi="Times New Roman"/>
          <w:color w:val="111111"/>
          <w:sz w:val="28"/>
          <w:szCs w:val="28"/>
          <w:lang w:val="en-US"/>
        </w:rPr>
        <w:t>The human propensity for a serious, unceasing search for this freedom, independence and self</w:t>
        <w:noBreakHyphen/>
        <w:t>determination, is the basic manifestation of Divine sovereignty upon human beings. It is not possible to ascribe this urge for emancipation from extraneous coercive agents and passion for attainment of self</w:t>
        <w:noBreakHyphen/>
        <w:t>determination to a bundle of natural or instinctive factors. It was the endeavour for this emancipa</w:t>
        <w:softHyphen/>
        <w:t>tion that has always saved man from annihilation.</w:t>
      </w:r>
    </w:p>
    <w:p>
      <w:pPr>
        <w:pStyle w:val="BookText"/>
        <w:bidi w:val="0"/>
        <w:jc w:val="both"/>
        <w:rPr/>
      </w:pPr>
      <w:r>
        <w:rPr>
          <w:rFonts w:eastAsia="Times New Roman" w:cs="Times New Roman" w:ascii="Times New Roman" w:hAnsi="Times New Roman"/>
          <w:color w:val="111111"/>
          <w:sz w:val="28"/>
          <w:szCs w:val="28"/>
          <w:lang w:val="en-US"/>
        </w:rPr>
        <w:t>This self</w:t>
        <w:noBreakHyphen/>
        <w:t>determina</w:t>
        <w:softHyphen/>
        <w:t>tion, which means a fully blossomed freedom dedicated to goodness and perfection, is impossible without acceptance of a Supreme Being and without a sense of commitment to the highest of human values.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the meaning of Divine sovereignty is that God, the Supreme, has planted the seeds of goodness and perfection in the nature of</w:t>
      </w:r>
    </w:p>
    <w:p>
      <w:pPr>
        <w:pStyle w:val="BookText"/>
        <w:bidi w:val="0"/>
        <w:rPr/>
      </w:pPr>
      <w:r>
        <w:rPr>
          <w:rFonts w:eastAsia="Times New Roman" w:cs="Times New Roman" w:ascii="Times New Roman" w:hAnsi="Times New Roman"/>
          <w:color w:val="111111"/>
          <w:sz w:val="28"/>
          <w:szCs w:val="28"/>
          <w:lang w:val="en-US"/>
        </w:rPr>
        <w:t>man, and arranged for the conditions of their growth through inspired reason and conscience, and revelations conveyed through Divine messengers, and demanded their steady cultivation from man</w:t>
        <w:softHyphen/>
        <w:t>kind.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well</w:t>
        <w:noBreakHyphen/>
        <w:t>known that a group of leading thinkers have seriously favoured the idea that rulers should be righteous philosophers. Plato, in his Republic, after distinguishing between genuine and counterfeit philosophers, argues that the former are fit to be the Guardians of the state. In a dialogue between Socrates and Glaucon, in the Book VI of the Republic, the following characteristics of the true philosophers are enumerated: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eager desire for the knowledge of all real existence;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hatred of falsehood, and devotion to truth;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contempt for the pleasures of the body;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indifference to money;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high mindedness and liberality;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justice and gentleness;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quick apprehension, and a good memory;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musical, regular, and harmonious disposition.</w:t>
      </w:r>
    </w:p>
    <w:p>
      <w:pPr>
        <w:pStyle w:val="BookText"/>
        <w:bidi w:val="0"/>
        <w:jc w:val="both"/>
        <w:rPr/>
      </w:pPr>
      <w:r>
        <w:rPr>
          <w:rFonts w:eastAsia="Times New Roman" w:cs="Times New Roman" w:ascii="Times New Roman" w:hAnsi="Times New Roman"/>
          <w:color w:val="111111"/>
          <w:sz w:val="28"/>
          <w:szCs w:val="28"/>
          <w:lang w:val="en-US"/>
        </w:rPr>
        <w:t>If we ponder upon these sublime human qualities pointed out by Plato as requisite for rulers, we shall find that the rule of such persons is in fact the sovereignty of God upon earth. This is not an outdated idea of an ancient mind, but a reality that shall be acknowledged by every researcher of insight and enlightened conscience interested in fathoming the problem of government with all due sincerity and seriousness.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those familiar with the political thought of Rousseau, know that despite his support for a government and society based on the con</w:t>
        <w:softHyphen/>
        <w:t>cept of democracy, he is of the opinion that “to discover the rules of society</w:t>
      </w:r>
    </w:p>
    <w:p>
      <w:pPr>
        <w:pStyle w:val="BookText"/>
        <w:bidi w:val="0"/>
        <w:rPr/>
      </w:pPr>
      <w:r>
        <w:rPr>
          <w:rFonts w:eastAsia="Times New Roman" w:cs="Times New Roman" w:ascii="Times New Roman" w:hAnsi="Times New Roman"/>
          <w:color w:val="111111"/>
          <w:sz w:val="28"/>
          <w:szCs w:val="28"/>
          <w:lang w:val="en-US"/>
        </w:rPr>
        <w:t>that are best suited to nations, there would need to exist a superior intelligence, who could understand the passions of men with</w:t>
        <w:softHyphen/>
        <w:t>out feeling any of them, who had no affinity with our nature but knew it to the full, whose happiness was independent of ours, but who would nevertheless make our happiness his concern.”</w:t>
      </w:r>
    </w:p>
    <w:p>
      <w:pPr>
        <w:pStyle w:val="BookText"/>
        <w:bidi w:val="0"/>
        <w:jc w:val="both"/>
        <w:rPr/>
      </w:pPr>
      <w:r>
        <w:rPr>
          <w:rFonts w:eastAsia="Times New Roman" w:cs="Times New Roman" w:ascii="Times New Roman" w:hAnsi="Times New Roman"/>
          <w:color w:val="111111"/>
          <w:sz w:val="28"/>
          <w:szCs w:val="28"/>
          <w:lang w:val="en-US"/>
        </w:rPr>
        <w:t>From these criteria that Rousseau draws for an optimum lawgiver, he comes to the conclu</w:t>
        <w:softHyphen/>
        <w:t xml:space="preserve">sion that only “gods would be needed to give men laws.” Obviously only Divine messengers and God's deputies on earth </w:t>
        <w:noBreakHyphen/>
        <w:t xml:space="preserve"> as they are called in the terminology of the Islamic religion </w:t>
        <w:noBreakHyphen/>
        <w:t xml:space="preserve"> can fulfill the role envisaged by Rousseau for “gods” as the perfect lawgivers. Perhaps, that is what Rousseau </w:t>
        <w:noBreakHyphen/>
        <w:t xml:space="preserve"> being a Christian and a monotheist that he was </w:t>
        <w:noBreakHyphen/>
        <w:t xml:space="preserve"> in fact implied. In another place he writes:</w:t>
      </w:r>
    </w:p>
    <w:p>
      <w:pPr>
        <w:pStyle w:val="BookText"/>
        <w:bidi w:val="0"/>
        <w:jc w:val="both"/>
        <w:rPr/>
      </w:pPr>
      <w:r>
        <w:rPr>
          <w:rFonts w:eastAsia="Times New Roman" w:cs="Times New Roman" w:ascii="Times New Roman" w:hAnsi="Times New Roman"/>
          <w:color w:val="111111"/>
          <w:sz w:val="28"/>
          <w:szCs w:val="28"/>
          <w:lang w:val="en-US"/>
        </w:rPr>
        <w:t>A sublime reason, which soars above the heads of the common people, produ</w:t>
        <w:softHyphen/>
        <w:t>ces those rules which the lawgiver puts into the mouth of the immortals, thus compelling by divine authority persons who cannot be moved by human pru</w:t>
        <w:softHyphen/>
        <w:t>dence. But it is not for every man to make the gods speak, or to gain credence if he pretends to be an interpreter of the divine word. The lawgiver's great soul is the true miracle which must vindicate his mission.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salient difference between Plato's stand and that of Rousseau is that, while Plato considers a group of qualities as necessary for rulers, Rousseau regards a Divine dimension in the lawgiver as being the essen</w:t>
        <w:softHyphen/>
        <w:t>tial condition.</w:t>
      </w:r>
    </w:p>
    <w:p>
      <w:pPr>
        <w:pStyle w:val="BookText"/>
        <w:bidi w:val="0"/>
        <w:rPr/>
      </w:pPr>
      <w:r>
        <w:rPr>
          <w:rFonts w:eastAsia="Times New Roman" w:cs="Times New Roman" w:ascii="Times New Roman" w:hAnsi="Times New Roman"/>
          <w:color w:val="111111"/>
          <w:sz w:val="28"/>
          <w:szCs w:val="28"/>
          <w:lang w:val="en-US"/>
        </w:rPr>
        <w:t>A close examination of the opinions of these two thinkers will bring us to a truth recognized by Islam: it is necessary for the legislator to possess a Divine dimension, a condition fulfilled by God</w:t>
        <w:noBreakHyphen/>
        <w:t>sent messengers and infallible Imams, both of whom are equipped with Divine morals.</w:t>
      </w:r>
    </w:p>
    <w:p>
      <w:pPr>
        <w:pStyle w:val="BookText"/>
        <w:bidi w:val="0"/>
        <w:jc w:val="both"/>
        <w:rPr/>
      </w:pPr>
      <w:r>
        <w:rPr>
          <w:rFonts w:eastAsia="Times New Roman" w:cs="Times New Roman" w:ascii="Times New Roman" w:hAnsi="Times New Roman"/>
          <w:color w:val="111111"/>
          <w:sz w:val="28"/>
          <w:szCs w:val="28"/>
          <w:lang w:val="en-US"/>
        </w:rPr>
        <w:t>The same qualification is required in Islam for leaders and rulers; that is, the rulers hold sovereignty by virtue of a rela</w:t>
        <w:softHyphen/>
        <w:t>tion with the Divine. In the case an apostle is a ruler, his link with the Divine exists by virtue of his Divine morality and through the medium of revelation. In the case where the ruler is an infallible Imam, his link with the Divine exists by virtue of his immaculate personality and Divine morals without the presence of revelation.</w:t>
      </w:r>
    </w:p>
    <w:p>
      <w:pPr>
        <w:pStyle w:val="BookText"/>
        <w:bidi w:val="0"/>
        <w:jc w:val="both"/>
        <w:rPr/>
      </w:pPr>
      <w:r>
        <w:rPr>
          <w:rFonts w:eastAsia="Times New Roman" w:cs="Times New Roman" w:ascii="Times New Roman" w:hAnsi="Times New Roman"/>
          <w:color w:val="111111"/>
          <w:sz w:val="28"/>
          <w:szCs w:val="28"/>
          <w:lang w:val="en-US"/>
        </w:rPr>
        <w:t>In the light of what has been said above, the sole solution of the problem of true democracy framed by Plato and Rousseau is the exis</w:t>
        <w:softHyphen/>
        <w:t>tence of Divine personalities among human beings, without which the problem of selection of ruler and legislator is absolutely insolvable. The conclusion that can be drawn from this discussion is that sovereignty of God over man is not contradictory to the precept of participation of people in determining their own destiny or for attaining a “rational life” dependent on Divine principles and interpretable according to the highest criteria of life.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Earlier in our discussion we mentioned the imperfect metaphor of relationship of God with mankind as resembling the one between the soul and its activities. This is partially borne</w:t>
      </w:r>
    </w:p>
    <w:p>
      <w:pPr>
        <w:pStyle w:val="BookText"/>
        <w:bidi w:val="0"/>
        <w:rPr/>
      </w:pPr>
      <w:r>
        <w:rPr>
          <w:rFonts w:eastAsia="Times New Roman" w:cs="Times New Roman" w:ascii="Times New Roman" w:hAnsi="Times New Roman"/>
          <w:color w:val="111111"/>
          <w:sz w:val="28"/>
          <w:szCs w:val="28"/>
          <w:lang w:val="en-US"/>
        </w:rPr>
        <w:t>out by the following statement of ‘Ali ibn Abi</w:t>
        <w:noBreakHyphen/>
        <w:t>Talib (A):</w:t>
      </w:r>
    </w:p>
    <w:p>
      <w:pPr>
        <w:pStyle w:val="BookText"/>
        <w:bidi w:val="0"/>
        <w:jc w:val="both"/>
        <w:rPr/>
      </w:pPr>
      <w:r>
        <w:rPr>
          <w:rFonts w:ascii="Amiri" w:hAnsi="Amiri" w:eastAsia="Amiri" w:cs="Amiri"/>
          <w:color w:val="111111"/>
          <w:sz w:val="28"/>
          <w:sz w:val="28"/>
          <w:szCs w:val="28"/>
          <w:rtl w:val="true"/>
          <w:lang w:bidi="ar-SA"/>
        </w:rPr>
        <w:t>داخِلٌ فِی أَلاشّْیاء لا بِالْمُمازَجَةِ وَخارِجٌ عَنِ اْلأَشّْیاءِ لا بِالْمُبایَنَةِ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is] inside things without intermingling and outside them without exclu</w:t>
        <w:softHyphen/>
        <w:t>sion.</w:t>
      </w:r>
    </w:p>
    <w:p>
      <w:pPr>
        <w:pStyle w:val="BookText"/>
        <w:bidi w:val="0"/>
        <w:jc w:val="both"/>
        <w:rPr/>
      </w:pPr>
      <w:r>
        <w:rPr>
          <w:rFonts w:eastAsia="Times New Roman" w:cs="Times New Roman" w:ascii="Times New Roman" w:hAnsi="Times New Roman"/>
          <w:color w:val="111111"/>
          <w:sz w:val="28"/>
          <w:szCs w:val="28"/>
          <w:lang w:val="en-US"/>
        </w:rPr>
        <w:t>Accordingly, the relation between sovereignty of God upon human beings and democracy, is like the relation between the soul and its activities. For example, when the people, or a group of wise men of wholesome minds and undeviated consciousness, recognize a truth, a law based upon this perspective and implemented by the people will be enforcement of Divine sovereignty by people upon the people. The criterion behind this is what is called ‘the authority of reason' based upon the principle,</w:t>
      </w:r>
    </w:p>
    <w:p>
      <w:pPr>
        <w:pStyle w:val="BookText"/>
        <w:bidi w:val="0"/>
        <w:jc w:val="both"/>
        <w:rPr/>
      </w:pPr>
      <w:r>
        <w:rPr>
          <w:rFonts w:ascii="Amiri" w:hAnsi="Amiri" w:eastAsia="Amiri" w:cs="Amiri"/>
          <w:color w:val="111111"/>
          <w:sz w:val="28"/>
          <w:sz w:val="28"/>
          <w:szCs w:val="28"/>
          <w:rtl w:val="true"/>
          <w:lang w:bidi="ar-SA"/>
        </w:rPr>
        <w:t>کُلَّما حَکَمَ بِهِ الْعَقْلُ حَکَمَ بِهِ الشَّرْعُ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which means every judgement given by reason is the same as the judgement of the Shari'ah, and is called ‘the prince of concurrent necessity of reason and the Shari'ah.'</w:t>
      </w:r>
    </w:p>
    <w:p>
      <w:pPr>
        <w:pStyle w:val="BookText"/>
        <w:bidi w:val="0"/>
        <w:jc w:val="both"/>
        <w:rPr/>
      </w:pPr>
      <w:r>
        <w:rPr>
          <w:rFonts w:eastAsia="Times New Roman" w:cs="Times New Roman" w:ascii="Times New Roman" w:hAnsi="Times New Roman"/>
          <w:color w:val="111111"/>
          <w:sz w:val="28"/>
          <w:szCs w:val="28"/>
          <w:lang w:val="en-US"/>
        </w:rPr>
        <w:t>Most of us know that the reason and conscience of the masses are handicapped on account of their restricted perspective and vague vision of the ultimate purposes of life, and also on account of continued darkening of their intellectual horizon by the clouds of lusts and egocentric inclinations.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factors, together, deprive reason of its efficiency and of its effective role in administration of public life. Rather, it may be said that the higher spheres of ‘rational life,' through</w:t>
        <w:softHyphen/>
        <w:t>out history, have remained outside the arena of popular consciousness. That is why, there arises the necessity for the mission of the God</w:t>
        <w:noBreakHyphen/>
        <w:t>sent prophets, who, by virtue of their direct</w:t>
      </w:r>
    </w:p>
    <w:p>
      <w:pPr>
        <w:pStyle w:val="BookText"/>
        <w:bidi w:val="0"/>
        <w:rPr/>
      </w:pPr>
      <w:r>
        <w:rPr>
          <w:rFonts w:eastAsia="Times New Roman" w:cs="Times New Roman" w:ascii="Times New Roman" w:hAnsi="Times New Roman"/>
          <w:color w:val="111111"/>
          <w:sz w:val="28"/>
          <w:szCs w:val="28"/>
          <w:lang w:val="en-US"/>
        </w:rPr>
        <w:t>link with God, through the agency of revelation, strive to liberate mankind's intellect and con</w:t>
        <w:softHyphen/>
        <w:t>science from bondages and clinging impurities gathered through egoism and materialism.</w:t>
      </w:r>
    </w:p>
    <w:p>
      <w:pPr>
        <w:pStyle w:val="BookText"/>
        <w:bidi w:val="0"/>
        <w:jc w:val="both"/>
        <w:rPr/>
      </w:pPr>
      <w:r>
        <w:rPr>
          <w:rFonts w:eastAsia="Times New Roman" w:cs="Times New Roman" w:ascii="Times New Roman" w:hAnsi="Times New Roman"/>
          <w:color w:val="111111"/>
          <w:sz w:val="28"/>
          <w:szCs w:val="28"/>
          <w:lang w:val="en-US"/>
        </w:rPr>
        <w:t>It is for this reason that the reliable Islamic traditions refer to the intellect as “the inner testimony,” and to the Divine messengers as “the outer testimony” of God. Imam Ja'far al</w:t>
        <w:noBreakHyphen/>
        <w:t>Sadiq (A) is related as having told his disciple Hisham: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هشـــــــام إنَّ للهِ علی النَّاسِ حُجَّتَیْـــــنِ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حُجَّـــةٌ ظاهِـــرةٌ وَ حُجَّــــةٌ باطِنَـــةٌ فأمَّـــا الْظاهِــرةُ فَالرُسُـــلُ وَ اْلأنْبِیـــاء وَ أمَّـــــا الْباطِنَةُ فَالْعُقُـــولُ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Hisham, God has two (kinds of) testimonies (hujjatayn) against mankind: the outer (or the manifest) testimony (hujjah zahirah) and the inner testi</w:t>
        <w:softHyphen/>
        <w:t>mony (hujjah batinah). The prophets, messengers and imams are the manifest testimony, and the intellect (‘aql) is the inner testimony.</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Another tradition refers to prophets as men of perfect intellects:</w:t>
      </w:r>
    </w:p>
    <w:p>
      <w:pPr>
        <w:pStyle w:val="BookText"/>
        <w:bidi w:val="0"/>
        <w:jc w:val="both"/>
        <w:rPr/>
      </w:pPr>
      <w:r>
        <w:rPr>
          <w:rFonts w:ascii="Amiri" w:hAnsi="Amiri" w:eastAsia="Amiri" w:cs="Amiri"/>
          <w:color w:val="111111"/>
          <w:sz w:val="28"/>
          <w:sz w:val="28"/>
          <w:szCs w:val="28"/>
          <w:rtl w:val="true"/>
          <w:lang w:bidi="ar-SA"/>
        </w:rPr>
        <w:t xml:space="preserve">وَ لا بَعَــثَ اللهُ نَبیِّــــا وَ لا رَسُــــولاً حَتّــــی یَسْتَکْمِلَ الْعَقْلَ وَ یَکُونُ عَقْلُهُ أَفْضَلَ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 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has not sent any prophet or messenger, unless that He perfected his intellect. A prophet's intellect is superior to that of every individual of his nation.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Yet another tradition refers to ‘aql (intellect) as being the guide of a true believer (mumin):</w:t>
      </w:r>
    </w:p>
    <w:p>
      <w:pPr>
        <w:pStyle w:val="BookText"/>
        <w:bidi w:val="0"/>
        <w:jc w:val="both"/>
        <w:rPr/>
      </w:pPr>
      <w:r>
        <w:rPr>
          <w:rFonts w:ascii="Amiri" w:hAnsi="Amiri" w:eastAsia="Amiri" w:cs="Amiri"/>
          <w:color w:val="111111"/>
          <w:sz w:val="28"/>
          <w:sz w:val="28"/>
          <w:szCs w:val="28"/>
          <w:rtl w:val="true"/>
          <w:lang w:bidi="ar-SA"/>
        </w:rPr>
        <w:t>اَلْعَقْلُ دَلیلُ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Intellect (or reason) is the guide of a mu'min.</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Amir al</w:t>
        <w:noBreakHyphen/>
        <w:t>Mu'minin (A), in the first sermon of the Nahj al-</w:t>
        <w:softHyphen/>
        <w:t>balaghah, considers fruition of people's intellects as being one of the aims of prophetic mission:</w:t>
      </w:r>
    </w:p>
    <w:p>
      <w:pPr>
        <w:pStyle w:val="BookText"/>
        <w:bidi w:val="0"/>
        <w:jc w:val="both"/>
        <w:rPr/>
      </w:pPr>
      <w:r>
        <w:rPr>
          <w:rFonts w:ascii="Amiri" w:hAnsi="Amiri" w:eastAsia="Amiri" w:cs="Amiri"/>
          <w:color w:val="111111"/>
          <w:sz w:val="28"/>
          <w:sz w:val="28"/>
          <w:szCs w:val="28"/>
          <w:rtl w:val="true"/>
          <w:lang w:bidi="ar-SA"/>
        </w:rPr>
        <w:t>وَ یُثِیرُوا دَفائِنَ الْعُقُولِ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they (the prophets) bring to surface the buried treasure of (the people's) intellects.</w:t>
      </w:r>
      <w:r>
        <w:rPr>
          <w:rStyle w:val="FootnoteAnchor"/>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arises whether</w:t>
      </w:r>
      <w:bookmarkStart w:id="18" w:name="pg3702_32109"/>
    </w:p>
    <w:p>
      <w:pPr>
        <w:pStyle w:val="BookText"/>
        <w:bidi w:val="0"/>
        <w:rPr/>
      </w:pPr>
      <w:bookmarkEnd w:id="18"/>
      <w:r>
        <w:rPr>
          <w:rFonts w:eastAsia="Times New Roman" w:cs="Times New Roman" w:ascii="Times New Roman" w:hAnsi="Times New Roman"/>
          <w:color w:val="111111"/>
          <w:sz w:val="28"/>
          <w:szCs w:val="28"/>
          <w:lang w:val="en-US"/>
        </w:rPr>
        <w:t>it is possible that there may sometimes be a contradiction between the two forms of testimony, that is, intellect and prophethood? According to Islam, such a situation is impossible; because, it would be absurd for the prophets first to introduce reason or intellect as a collaborator in their mission, and, later on, to discover it to be opposed to their teachings!</w:t>
      </w:r>
    </w:p>
    <w:p>
      <w:pPr>
        <w:pStyle w:val="BookText"/>
        <w:bidi w:val="0"/>
        <w:jc w:val="both"/>
        <w:rPr/>
      </w:pPr>
      <w:r>
        <w:rPr>
          <w:rFonts w:eastAsia="Times New Roman" w:cs="Times New Roman" w:ascii="Times New Roman" w:hAnsi="Times New Roman"/>
          <w:color w:val="111111"/>
          <w:sz w:val="28"/>
          <w:szCs w:val="28"/>
          <w:lang w:val="en-US"/>
        </w:rPr>
        <w:t>Moreover, the perfect harmony between intellect and prophetic revelation is also confirmed by the matter that, in Islamic jurisprudence, reason is con</w:t>
        <w:softHyphen/>
        <w:t xml:space="preserve">sidered as one of the sources of Islamic law; the other three being: the Book, the Prophet's sunnah (practice) and consensus (ijma’). On the basis of what has been said hitherto, it may be asserted that a society whose laws are based on the people's uncorrupted intellect, and in which, these laws, thus framed, are implemented by a ruler of fully </w:t>
        <w:softHyphen/>
        <w:t>developed intellect, has a government of the people upon themselves through the means of laws and regulations derived from prophetic revelation and human reason (the inner and outer testimonies of God).</w:t>
      </w:r>
    </w:p>
    <w:p>
      <w:pPr>
        <w:pStyle w:val="Heading4"/>
        <w:numPr>
          <w:ilvl w:val="3"/>
          <w:numId w:val="1"/>
        </w:numPr>
        <w:bidi w:val="0"/>
        <w:jc w:val="left"/>
        <w:rPr/>
      </w:pPr>
      <w:bookmarkStart w:id="19" w:name="__RefHeading___Toc573792_2281741623"/>
      <w:bookmarkStart w:id="20" w:name="_Toc8"/>
      <w:bookmarkEnd w:id="19"/>
      <w:r>
        <w:rPr/>
        <w:t>A Metaphor</w:t>
      </w:r>
      <w:bookmarkEnd w:id="20"/>
    </w:p>
    <w:p>
      <w:pPr>
        <w:pStyle w:val="BookText"/>
        <w:bidi w:val="0"/>
        <w:jc w:val="both"/>
        <w:rPr/>
      </w:pPr>
      <w:r>
        <w:rPr>
          <w:rFonts w:eastAsia="Times New Roman" w:cs="Times New Roman" w:ascii="Times New Roman" w:hAnsi="Times New Roman"/>
          <w:color w:val="111111"/>
          <w:sz w:val="28"/>
          <w:szCs w:val="28"/>
          <w:lang w:val="en-US"/>
        </w:rPr>
        <w:t>According to the conclusion reached above, the government of the people over themselves, in Islam, is similar to the sovereignty of the soul over human activity and behaviour. The real objective of such a government is to support and strengthen the material and spiritual dimensions of the society, to eliminate the causes of distress of the people, and to insure their movement towards the goal of highest felicity referred to as ‘rational life'.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establishment of such</w:t>
      </w:r>
    </w:p>
    <w:p>
      <w:pPr>
        <w:pStyle w:val="BookText"/>
        <w:bidi w:val="0"/>
        <w:rPr/>
      </w:pPr>
      <w:r>
        <w:rPr>
          <w:rFonts w:eastAsia="Times New Roman" w:cs="Times New Roman" w:ascii="Times New Roman" w:hAnsi="Times New Roman"/>
          <w:color w:val="111111"/>
          <w:sz w:val="28"/>
          <w:szCs w:val="28"/>
          <w:lang w:val="en-US"/>
        </w:rPr>
        <w:t>a government is not possible through merely material and purely physical or natural means based on diverse selfish interests of the people.</w:t>
      </w:r>
    </w:p>
    <w:p>
      <w:pPr>
        <w:pStyle w:val="BookText"/>
        <w:bidi w:val="0"/>
        <w:jc w:val="both"/>
        <w:rPr/>
      </w:pPr>
      <w:r>
        <w:rPr>
          <w:rFonts w:eastAsia="Times New Roman" w:cs="Times New Roman" w:ascii="Times New Roman" w:hAnsi="Times New Roman"/>
          <w:color w:val="111111"/>
          <w:sz w:val="28"/>
          <w:szCs w:val="28"/>
          <w:lang w:val="en-US"/>
        </w:rPr>
        <w:t>The government in Islam is the manifestation of God's sovereignty upon the earth, and a state based upon such a vision is by no means in harmony with oppression, injustice and any of the various forms of social idolatry. It is comparable to the authority of the human soul adorned with all sublime human qualities, and it is not possible for such a soul to become a source of physical oppression, injustice and tyranny.</w:t>
      </w:r>
    </w:p>
    <w:p>
      <w:pPr>
        <w:pStyle w:val="BookText"/>
        <w:bidi w:val="0"/>
        <w:jc w:val="both"/>
        <w:rPr/>
      </w:pPr>
      <w:r>
        <w:rPr>
          <w:rFonts w:eastAsia="Times New Roman" w:cs="Times New Roman" w:ascii="Times New Roman" w:hAnsi="Times New Roman"/>
          <w:color w:val="111111"/>
          <w:sz w:val="28"/>
          <w:szCs w:val="28"/>
          <w:lang w:val="en-US"/>
        </w:rPr>
        <w:t>To further explain this point, we may say that the meaning of govern</w:t>
        <w:softHyphen/>
        <w:t>ment of the people over themselves, is not that a handful of men may forcefully impose general policies and frameworks of social life on the rest of individuals. Nor it is true democracy that a section of society should be able to impose its whims and baseless fancies on the rest of people.</w:t>
      </w:r>
    </w:p>
    <w:p>
      <w:pPr>
        <w:pStyle w:val="BookText"/>
        <w:bidi w:val="0"/>
        <w:jc w:val="both"/>
        <w:rPr/>
      </w:pPr>
      <w:r>
        <w:rPr>
          <w:rFonts w:eastAsia="Times New Roman" w:cs="Times New Roman" w:ascii="Times New Roman" w:hAnsi="Times New Roman"/>
          <w:color w:val="111111"/>
          <w:sz w:val="28"/>
          <w:szCs w:val="28"/>
          <w:lang w:val="en-US"/>
        </w:rPr>
        <w:t>Similarly, it is not democracy that a group may have the power to impose upon others whatever they imagine as being fit or as being in the interest of the people; because, the real purpose of the state is to lead people towards the goal of ‘rational life' and to bring about harmony and coordination among their ranks for realization of this goal.</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remember that movement towards ‘rational life' is not a naturally existing current in the society; instead, such a current has to be created. The currents that</w:t>
      </w:r>
    </w:p>
    <w:p>
      <w:pPr>
        <w:pStyle w:val="BookText"/>
        <w:bidi w:val="0"/>
        <w:rPr/>
      </w:pPr>
      <w:r>
        <w:rPr>
          <w:rFonts w:eastAsia="Times New Roman" w:cs="Times New Roman" w:ascii="Times New Roman" w:hAnsi="Times New Roman"/>
          <w:color w:val="111111"/>
          <w:sz w:val="28"/>
          <w:szCs w:val="28"/>
          <w:lang w:val="en-US"/>
        </w:rPr>
        <w:t>naturally exist in every society are those which are based on the natural animalistic instincts that operate in a self</w:t>
        <w:noBreakHyphen/>
        <w:t>perpetuating fashion in the social atmosphere.</w:t>
      </w:r>
    </w:p>
    <w:p>
      <w:pPr>
        <w:pStyle w:val="BookText"/>
        <w:bidi w:val="0"/>
        <w:jc w:val="both"/>
        <w:rPr/>
      </w:pPr>
      <w:r>
        <w:rPr>
          <w:rFonts w:eastAsia="Times New Roman" w:cs="Times New Roman" w:ascii="Times New Roman" w:hAnsi="Times New Roman"/>
          <w:color w:val="111111"/>
          <w:sz w:val="28"/>
          <w:szCs w:val="28"/>
          <w:lang w:val="en-US"/>
        </w:rPr>
        <w:t>For the creation of ‘rational life' for a society, the state is an absolute necessity so as to guide the purely physical and biological entity towards the ideal of rational social existence; so that, the crude biological reality is trans</w:t>
        <w:softHyphen/>
        <w:t>formed into a refined spiritual ideal which does not come into existence by itself.</w:t>
      </w:r>
    </w:p>
    <w:p>
      <w:pPr>
        <w:pStyle w:val="BookText"/>
        <w:bidi w:val="0"/>
        <w:jc w:val="both"/>
        <w:rPr/>
      </w:pPr>
      <w:r>
        <w:rPr>
          <w:rFonts w:eastAsia="Times New Roman" w:cs="Times New Roman" w:ascii="Times New Roman" w:hAnsi="Times New Roman"/>
          <w:color w:val="111111"/>
          <w:sz w:val="28"/>
          <w:szCs w:val="28"/>
          <w:lang w:val="en-US"/>
        </w:rPr>
        <w:t>Therefore, the meaning of government of the people over themselves is the sovereignty of their pure unspoiled consciousness and intellect rather than the sovereignty of force and power, personal or group bias, fancies, prejudice's, and the like.</w:t>
      </w:r>
    </w:p>
    <w:p>
      <w:pPr>
        <w:pStyle w:val="BookText"/>
        <w:bidi w:val="0"/>
        <w:jc w:val="both"/>
        <w:rPr/>
      </w:pPr>
      <w:r>
        <w:rPr>
          <w:rFonts w:eastAsia="Times New Roman" w:cs="Times New Roman" w:ascii="Times New Roman" w:hAnsi="Times New Roman"/>
          <w:color w:val="111111"/>
          <w:sz w:val="28"/>
          <w:szCs w:val="28"/>
          <w:lang w:val="en-US"/>
        </w:rPr>
        <w:t>We think no supporter of the sovereignty of the people, however staunch, will have anything significant to add to what we have discussed above as the criteria for righteous government. We do not think any thinker, in his right mind, and familiar with human nature, and moreover cognizant with various aspects of social and individual exis</w:t>
        <w:softHyphen/>
        <w:t>tence, will ever advocate power and force, people's prejudices and baseless fancies as the criteria of true democracy.</w:t>
      </w:r>
    </w:p>
    <w:p>
      <w:pPr>
        <w:pStyle w:val="BookText"/>
        <w:bidi w:val="0"/>
        <w:jc w:val="both"/>
        <w:rPr/>
      </w:pPr>
      <w:r>
        <w:rPr>
          <w:rFonts w:eastAsia="Times New Roman" w:cs="Times New Roman" w:ascii="Times New Roman" w:hAnsi="Times New Roman"/>
          <w:color w:val="111111"/>
          <w:sz w:val="28"/>
          <w:szCs w:val="28"/>
          <w:lang w:val="en-US"/>
        </w:rPr>
        <w:t>Not even Machiavelli, who, in the view of most thinkers, has committed the gravest treachery against mankind's political existence, will claim the above devious criteria as being the basis of a state. If Machiavelli can possibly offer any apology for his perverse work, he may say that he had only tried to discuss unscrupulous means for despots and rulers to perpetuate their rule.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21" w:name="pg3702_32112"/>
    </w:p>
    <w:p>
      <w:pPr>
        <w:pStyle w:val="BookText"/>
        <w:bidi w:val="0"/>
        <w:rPr/>
      </w:pPr>
      <w:bookmarkEnd w:id="21"/>
      <w:r>
        <w:rPr>
          <w:rFonts w:eastAsia="Times New Roman" w:cs="Times New Roman" w:ascii="Times New Roman" w:hAnsi="Times New Roman"/>
          <w:color w:val="111111"/>
          <w:sz w:val="28"/>
          <w:szCs w:val="28"/>
          <w:lang w:val="en-US"/>
        </w:rPr>
        <w:t>any case, it may be regarded as indubitable that true democracy lies in the sovereignty of the pure and unadulterated intellect and con</w:t>
        <w:softHyphen/>
        <w:t>sciousness of men. It is comparable to the management of human acti</w:t>
        <w:softHyphen/>
        <w:t>vities by the human soul or spirit and is a direct manifestation of God's sovereignty over mankind.</w:t>
      </w:r>
    </w:p>
    <w:p>
      <w:pPr>
        <w:pStyle w:val="Heading3"/>
        <w:numPr>
          <w:ilvl w:val="2"/>
          <w:numId w:val="1"/>
        </w:numPr>
        <w:bidi w:val="0"/>
        <w:jc w:val="left"/>
        <w:rPr/>
      </w:pPr>
      <w:bookmarkStart w:id="22" w:name="__RefHeading___Toc573794_2281741623"/>
      <w:bookmarkStart w:id="23" w:name="_Toc9"/>
      <w:bookmarkEnd w:id="22"/>
      <w:r>
        <w:rPr/>
        <w:t>The Role of Consensus</w:t>
      </w:r>
      <w:bookmarkEnd w:id="23"/>
    </w:p>
    <w:p>
      <w:pPr>
        <w:pStyle w:val="BookText"/>
        <w:bidi w:val="0"/>
        <w:jc w:val="both"/>
        <w:rPr/>
      </w:pPr>
      <w:r>
        <w:rPr>
          <w:rFonts w:eastAsia="Times New Roman" w:cs="Times New Roman" w:ascii="Times New Roman" w:hAnsi="Times New Roman"/>
          <w:color w:val="111111"/>
          <w:sz w:val="28"/>
          <w:szCs w:val="28"/>
          <w:lang w:val="en-US"/>
        </w:rPr>
        <w:t>The issues of consensus and counsel (ijma ‘and shura) on the level of Muslim community have great significance in Islamic sources. State</w:t>
        <w:softHyphen/>
        <w:t>ments such as the following are found in plenty in the Islamic texts:</w:t>
      </w:r>
    </w:p>
    <w:p>
      <w:pPr>
        <w:pStyle w:val="BookText"/>
        <w:bidi w:val="0"/>
        <w:jc w:val="both"/>
        <w:rPr/>
      </w:pPr>
      <w:r>
        <w:rPr>
          <w:rFonts w:ascii="Amiri" w:hAnsi="Amiri" w:eastAsia="Amiri" w:cs="Amiri"/>
          <w:color w:val="111111"/>
          <w:sz w:val="28"/>
          <w:sz w:val="28"/>
          <w:szCs w:val="28"/>
          <w:rtl w:val="true"/>
          <w:lang w:bidi="ar-SA"/>
        </w:rPr>
        <w:t>اَلْجَماعَةُ 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With group lies Divine mercy.</w:t>
      </w:r>
      <w:r>
        <w:rPr>
          <w:rStyle w:val="FootnoteAnchor"/>
        </w:rPr>
        <w:footnoteReference w:id="8"/>
      </w:r>
    </w:p>
    <w:p>
      <w:pPr>
        <w:pStyle w:val="BookText"/>
        <w:bidi w:val="0"/>
        <w:jc w:val="both"/>
        <w:rPr/>
      </w:pPr>
      <w:r>
        <w:rPr>
          <w:rFonts w:ascii="Amiri" w:hAnsi="Amiri" w:eastAsia="Amiri" w:cs="Amiri"/>
          <w:color w:val="111111"/>
          <w:sz w:val="28"/>
          <w:sz w:val="28"/>
          <w:szCs w:val="28"/>
          <w:rtl w:val="true"/>
          <w:lang w:bidi="ar-SA"/>
        </w:rPr>
        <w:t>وَ یَدُ اللهِ مَعَ الْجَماعَةُ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hand of God is with the group or community.</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These two traditions point out to a basic reality that individuals, when organized in groups, can benefit from one another's understand</w:t>
        <w:softHyphen/>
        <w:t>ing, intellect and conscience for attainment of a predetermined goal. The least that can be said about people coming together for mutual consultation is that their individual understanding increases in arithmetical and sometimes in geometric progression. A prophetic tradition gives high worth to the opinion of a person who relies on the counsel of others:</w:t>
      </w:r>
    </w:p>
    <w:p>
      <w:pPr>
        <w:pStyle w:val="BookText"/>
        <w:bidi w:val="0"/>
        <w:jc w:val="both"/>
        <w:rPr/>
      </w:pPr>
      <w:r>
        <w:rPr>
          <w:rFonts w:ascii="Amiri" w:hAnsi="Amiri" w:eastAsia="Amiri" w:cs="Amiri"/>
          <w:color w:val="111111"/>
          <w:sz w:val="28"/>
          <w:sz w:val="28"/>
          <w:szCs w:val="28"/>
          <w:rtl w:val="true"/>
          <w:lang w:bidi="ar-SA"/>
        </w:rPr>
        <w:t>أفْضَلُ النَّاسِ رَأیْاً مَنْ لا یَستَغْنِی عَنْ رَأیِ مُسْتَشیر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merited of men in matters of opinion is one who regards others' counsel as indispensable.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Two Qur’anic verses point out the significance of counsel</w:t>
        <w:noBreakHyphen/>
        <w:t>taking from others:</w:t>
      </w:r>
    </w:p>
    <w:p>
      <w:pPr>
        <w:pStyle w:val="BookText"/>
        <w:bidi w:val="0"/>
        <w:jc w:val="both"/>
        <w:rPr/>
      </w:pPr>
      <w:r>
        <w:rPr>
          <w:rFonts w:ascii="Amiri" w:hAnsi="Amiri" w:eastAsia="Amiri" w:cs="Amiri"/>
          <w:color w:val="111111"/>
          <w:sz w:val="28"/>
          <w:sz w:val="28"/>
          <w:szCs w:val="28"/>
          <w:rtl w:val="true"/>
          <w:lang w:bidi="ar-SA"/>
        </w:rPr>
        <w:t>فَبِمَا رَحْمَةٍ مِّنَ اللَّـهِ لِنتَ لَهُمْ وَلَوْ کُنتَ فَظًّا غَلِیظَ الْقَلْبِ لَانفَضُّوا مِنْ حَوْلِکَ فَاعْفُ عَنْهُمْ وَاسْتَغْفِرْ لَهُمْ وَشَاوِرْهُمْ فِی الْأَمْرِ فَإِذَا عَزَمْتَ فَتَوَکَّلْ عَلَی اللَّـهِ إِنَّ اللَّـهَ یُحِبُّ الْمُتَوَکِّلِینَ</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by mercy of God that you (the Prophet (S)) were gentle to</w:t>
      </w:r>
    </w:p>
    <w:p>
      <w:pPr>
        <w:pStyle w:val="BookText"/>
        <w:bidi w:val="0"/>
        <w:rPr/>
      </w:pPr>
      <w:r>
        <w:rPr>
          <w:rFonts w:eastAsia="Times New Roman" w:cs="Times New Roman" w:ascii="Times New Roman" w:hAnsi="Times New Roman"/>
          <w:color w:val="111111"/>
          <w:sz w:val="28"/>
          <w:szCs w:val="28"/>
          <w:lang w:val="en-US"/>
        </w:rPr>
        <w:t>them; had you been harsh and hard of heart, they would have scattered from about you. So pardon them, and pray forgiveness for them, and take counsel with them in affairs; and when you are resolved, put your trust in God; surely God loves those who put their trust in Him. (3:159)</w:t>
      </w:r>
    </w:p>
    <w:p>
      <w:pPr>
        <w:pStyle w:val="BookText"/>
        <w:bidi w:val="0"/>
        <w:jc w:val="both"/>
        <w:rPr/>
      </w:pPr>
      <w:r>
        <w:rPr>
          <w:rFonts w:ascii="Amiri" w:hAnsi="Amiri" w:eastAsia="Amiri" w:cs="Amiri"/>
          <w:color w:val="111111"/>
          <w:sz w:val="28"/>
          <w:sz w:val="28"/>
          <w:szCs w:val="28"/>
          <w:rtl w:val="true"/>
          <w:lang w:bidi="ar-SA"/>
        </w:rPr>
        <w:t>فَمَا أُوتِیتُم مِّن شَیْءٍ فَمَتَاعُ الْحَیَاةِ الدُّنْیَا وَمَا عِندَ اللَّـهِ خَیْرٌ وَأَبْقَیٰ لِلَّذِینَ آمَنُوا وَعَلَیٰ رَبِّهِمْ یَتَوَکَّلُونَ </w:t>
      </w:r>
      <w:r>
        <w:rPr>
          <w:rFonts w:ascii="IRNazanin" w:hAnsi="IRNazanin" w:eastAsia="IRNazanin"/>
          <w:color w:val="111111"/>
          <w:sz w:val="28"/>
          <w:sz w:val="28"/>
          <w:szCs w:val="28"/>
          <w:lang w:bidi="fa-IR"/>
        </w:rPr>
        <w:t>٣٦</w:t>
      </w:r>
      <w:r>
        <w:rPr>
          <w:rFonts w:ascii="Amiri" w:hAnsi="Amiri" w:eastAsia="Amiri" w:cs="Amiri"/>
          <w:color w:val="111111"/>
          <w:sz w:val="28"/>
          <w:sz w:val="28"/>
          <w:szCs w:val="28"/>
          <w:rtl w:val="true"/>
          <w:lang w:bidi="ar-SA"/>
        </w:rPr>
        <w:t xml:space="preserve"> وَالَّذِینَ یَجْتَنِبُونَ کَبَائِرَ الْإِثْمِ وَالْفَوَاحِشَ وَإِذَا مَا غَضِبُوا هُمْ یَغْفِرُونَ </w:t>
      </w:r>
      <w:r>
        <w:rPr>
          <w:rFonts w:ascii="IRNazanin" w:hAnsi="IRNazanin" w:eastAsia="IRNazanin"/>
          <w:color w:val="111111"/>
          <w:sz w:val="28"/>
          <w:sz w:val="28"/>
          <w:szCs w:val="28"/>
          <w:lang w:bidi="fa-IR"/>
        </w:rPr>
        <w:t>٣٧</w:t>
      </w:r>
      <w:r>
        <w:rPr>
          <w:rFonts w:ascii="Amiri" w:hAnsi="Amiri" w:eastAsia="Amiri" w:cs="Amiri"/>
          <w:color w:val="111111"/>
          <w:sz w:val="28"/>
          <w:sz w:val="28"/>
          <w:szCs w:val="28"/>
          <w:rtl w:val="true"/>
          <w:lang w:bidi="ar-SA"/>
        </w:rPr>
        <w:t>وَالَّذِینَ اسْتَجَابُوا لِرَبِّهِمْ وَأَقَامُوا الصَّلَاةَ وَأَمْرُهُمْ شُورَیٰ بَیْنَهُمْ وَمِمَّا رَزَقْنَاهُمْ یُنفِقُونَ </w:t>
      </w:r>
      <w:r>
        <w:rPr>
          <w:rFonts w:ascii="IRNazanin" w:hAnsi="IRNazanin" w:eastAsia="IRNazanin"/>
          <w:color w:val="111111"/>
          <w:sz w:val="28"/>
          <w:sz w:val="28"/>
          <w:szCs w:val="28"/>
          <w:lang w:bidi="fa-IR"/>
        </w:rPr>
        <w:t>٣٨</w:t>
      </w:r>
      <w:r>
        <w:rPr>
          <w:rFonts w:ascii="Amiri" w:hAnsi="Amiri" w:eastAsia="Amiri" w:cs="Amiri"/>
          <w:color w:val="111111"/>
          <w:sz w:val="28"/>
          <w:sz w:val="28"/>
          <w:szCs w:val="28"/>
          <w:rtl w:val="true"/>
          <w:lang w:bidi="ar-SA"/>
        </w:rPr>
        <w:t> وَالَّذِینَ إِذَا أَصَابَهُمُ الْبَغْیُ هُمْ یَنتَصِرُونَ </w:t>
      </w:r>
      <w:r>
        <w:rPr>
          <w:rFonts w:ascii="IRNazanin" w:hAnsi="IRNazanin" w:eastAsia="IRNazanin"/>
          <w:color w:val="111111"/>
          <w:sz w:val="28"/>
          <w:sz w:val="28"/>
          <w:szCs w:val="28"/>
          <w:lang w:bidi="fa-IR"/>
        </w:rPr>
        <w:t>٣٩</w:t>
      </w:r>
    </w:p>
    <w:p>
      <w:pPr>
        <w:pStyle w:val="BookText"/>
        <w:bidi w:val="0"/>
        <w:jc w:val="both"/>
        <w:rPr/>
      </w:pPr>
      <w:r>
        <w:rPr>
          <w:rFonts w:eastAsia="Times New Roman" w:cs="Times New Roman" w:ascii="Times New Roman" w:hAnsi="Times New Roman"/>
          <w:color w:val="111111"/>
          <w:sz w:val="28"/>
          <w:szCs w:val="28"/>
          <w:lang w:val="en-US"/>
        </w:rPr>
        <w:t>Whatever thing you have been given is the enjoyment of the present life; but what is with God is better and more enduring for those who believe and put their trust in their Lord. And those who avoid the heinous sins and indecencies and when they are angry forgive, and those who answer their Lord, and per</w:t>
        <w:softHyphen/>
        <w:t>form the prayer, their affair being counsel between them, and they expend of that We have provided them, and who, when injustice affects them help owe another. (42:36</w:t>
        <w:noBreakHyphen/>
        <w:t>39)</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two verses require some explanation. The first verse does not mention any qualification for those who should be consulted. This has led some to imagine that all persons irrespective of their intellectual development can provide useful advice. This does not appear to be correct; because, mutual counsel always occurs among a group of persons about a subject that is not self</w:t>
        <w:noBreakHyphen/>
        <w:t>evident, and around which all members taking part in a consultation express their</w:t>
      </w:r>
    </w:p>
    <w:p>
      <w:pPr>
        <w:pStyle w:val="BookText"/>
        <w:bidi w:val="0"/>
        <w:rPr/>
      </w:pPr>
      <w:r>
        <w:rPr>
          <w:rFonts w:eastAsia="Times New Roman" w:cs="Times New Roman" w:ascii="Times New Roman" w:hAnsi="Times New Roman"/>
          <w:color w:val="111111"/>
          <w:sz w:val="28"/>
          <w:szCs w:val="28"/>
          <w:lang w:val="en-US"/>
        </w:rPr>
        <w:t>personal opinions and beliefs. The members of a council attempt to illuminate an issue that is unclear at the beginning, and try to find a solution to maximize profit or benefit of their community and minimize its losses and dangers.</w:t>
      </w:r>
    </w:p>
    <w:p>
      <w:pPr>
        <w:pStyle w:val="BookText"/>
        <w:bidi w:val="0"/>
        <w:jc w:val="both"/>
        <w:rPr/>
      </w:pPr>
      <w:r>
        <w:rPr>
          <w:rFonts w:eastAsia="Times New Roman" w:cs="Times New Roman" w:ascii="Times New Roman" w:hAnsi="Times New Roman"/>
          <w:color w:val="111111"/>
          <w:sz w:val="28"/>
          <w:szCs w:val="28"/>
          <w:lang w:val="en-US"/>
        </w:rPr>
        <w:t>In view of this objective of a council, if, supposedly, all members participating in the process of consultation lack in the necessary qualities of commitment, knowledge and perception required to deal with the issues, the results of their consultation will be most undesir</w:t>
        <w:softHyphen/>
        <w:t>able: It may be said, therefore, that a person lacking in the qualities of commitment, knowledge and perception has nothing to offer for the benefit of other human beings through his opinions.</w:t>
      </w:r>
    </w:p>
    <w:p>
      <w:pPr>
        <w:pStyle w:val="BookText"/>
        <w:bidi w:val="0"/>
        <w:jc w:val="both"/>
        <w:rPr/>
      </w:pPr>
      <w:r>
        <w:rPr>
          <w:rFonts w:eastAsia="Times New Roman" w:cs="Times New Roman" w:ascii="Times New Roman" w:hAnsi="Times New Roman"/>
          <w:color w:val="111111"/>
          <w:sz w:val="28"/>
          <w:szCs w:val="28"/>
          <w:lang w:val="en-US"/>
        </w:rPr>
        <w:t>Accordingly, to disregard the necessity of commitment, knowledge and perception for discovery of the best and the most beneficial opinion in the favour of the interests of the people</w:t>
        <w:noBreakHyphen/>
        <w:t>which is the ultimate goal of counsel and consultation</w:t>
        <w:noBreakHyphen/>
        <w:t>is a mistake that no committed ruler of any society can afford to make. In addition, it may be pointed out that the aforemen</w:t>
        <w:softHyphen/>
        <w:t>tioned Qur’anic verse is, in the first place, addressed to the Holy Prophet (S) himself. Is it acceptable that the Prophet (S), with his supreme knowledge of all things beneficial and detrimental for his people's lives, should be asked to equate his intellect with the mind of a person utterly devoid of knowledge and perception?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we are led by reason to adopt the interpretation of this verse pointed out above; that is, the members of a</w:t>
      </w:r>
    </w:p>
    <w:p>
      <w:pPr>
        <w:pStyle w:val="BookText"/>
        <w:bidi w:val="0"/>
        <w:rPr/>
      </w:pPr>
      <w:r>
        <w:rPr>
          <w:rFonts w:eastAsia="Times New Roman" w:cs="Times New Roman" w:ascii="Times New Roman" w:hAnsi="Times New Roman"/>
          <w:color w:val="111111"/>
          <w:sz w:val="28"/>
          <w:szCs w:val="28"/>
          <w:lang w:val="en-US"/>
        </w:rPr>
        <w:t>council should possess the necessary qualifications. Aside from what we said, the second verse quoted above clarifies the exact meaning of counsel enjoined by the first one. The latter verse defines the eligible members of a council as those who possess the following qualifications: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are free of major sins, deviations and indecencies;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are serene and forgiving in anger;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in general, answer Divine call and observe Divine commands as for salat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assist others out of what God has provided them with;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their brothers are subject to injustice and oppression, they hasten to their support and assistance.</w:t>
      </w:r>
    </w:p>
    <w:p>
      <w:pPr>
        <w:pStyle w:val="BookText"/>
        <w:bidi w:val="0"/>
        <w:jc w:val="both"/>
        <w:rPr/>
      </w:pPr>
      <w:r>
        <w:rPr>
          <w:rFonts w:eastAsia="Times New Roman" w:cs="Times New Roman" w:ascii="Times New Roman" w:hAnsi="Times New Roman"/>
          <w:color w:val="111111"/>
          <w:sz w:val="28"/>
          <w:szCs w:val="28"/>
          <w:lang w:val="en-US"/>
        </w:rPr>
        <w:t>It is clear from the above explanation that awareness and know</w:t>
        <w:softHyphen/>
        <w:t>ledge about the subject of consultation is as essential as the qualities of justice, commitment and taqwa (god-fearing). There is a prophetic tradition quoted by the late Ayatullah Aqa Mirza Muhammad Husayn Na' ini</w:t>
      </w:r>
    </w:p>
    <w:p>
      <w:pPr>
        <w:pStyle w:val="BookText"/>
        <w:bidi w:val="0"/>
        <w:jc w:val="both"/>
        <w:rPr/>
      </w:pPr>
      <w:r>
        <w:rPr>
          <w:rFonts w:ascii="Amiri" w:hAnsi="Amiri" w:eastAsia="Amiri" w:cs="Amiri"/>
          <w:color w:val="111111"/>
          <w:sz w:val="28"/>
          <w:sz w:val="28"/>
          <w:szCs w:val="28"/>
          <w:rtl w:val="true"/>
          <w:lang w:bidi="ar-SA"/>
        </w:rPr>
        <w:t>أشِّیروا علیَّ أصْحابِی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companions, advise me.</w:t>
      </w:r>
    </w:p>
    <w:p>
      <w:pPr>
        <w:pStyle w:val="BookText"/>
        <w:bidi w:val="0"/>
        <w:jc w:val="both"/>
        <w:rPr/>
      </w:pPr>
      <w:r>
        <w:rPr>
          <w:rFonts w:eastAsia="Times New Roman" w:cs="Times New Roman" w:ascii="Times New Roman" w:hAnsi="Times New Roman"/>
          <w:color w:val="111111"/>
          <w:sz w:val="28"/>
          <w:szCs w:val="28"/>
          <w:lang w:val="en-US"/>
        </w:rPr>
        <w:t>At the time of the Battle of Uhud, the Prophet (S), and a number of companions, were of the opinion that they should face the enemy while remaining inside the city of Medina. But, since the majority of the Prophet's companions wanted to go out of the city to fight the enemy, the Prophet (S) gave his consent.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later became clear that the Prophet's suggestion was right. Similarly, in the Battle of Ahzab (Khandaq), the majority of the companions was against con</w:t>
        <w:softHyphen/>
        <w:t>ciliation with the tribe of Quraysh. The late Ayatullah Na'ini, linking the principle of shura (counsel) with the general</w:t>
      </w:r>
    </w:p>
    <w:p>
      <w:pPr>
        <w:pStyle w:val="BookText"/>
        <w:bidi w:val="0"/>
        <w:rPr/>
      </w:pPr>
      <w:r>
        <w:rPr>
          <w:rFonts w:eastAsia="Times New Roman" w:cs="Times New Roman" w:ascii="Times New Roman" w:hAnsi="Times New Roman"/>
          <w:color w:val="111111"/>
          <w:sz w:val="28"/>
          <w:szCs w:val="28"/>
          <w:lang w:val="en-US"/>
        </w:rPr>
        <w:t>,Sirah of the Prophet (S), writes: “The books on the history of the Prophet's life, bear out in detail the fact that the principle of counsel is firmly based on the sunnah of the Prophet and such statements of the Prophet (S) as ‘O companions, advise me.”'</w:t>
      </w:r>
    </w:p>
    <w:p>
      <w:pPr>
        <w:pStyle w:val="BookText"/>
        <w:bidi w:val="0"/>
        <w:jc w:val="both"/>
        <w:rPr/>
      </w:pPr>
      <w:r>
        <w:rPr>
          <w:rFonts w:eastAsia="Times New Roman" w:cs="Times New Roman" w:ascii="Times New Roman" w:hAnsi="Times New Roman"/>
          <w:color w:val="111111"/>
          <w:sz w:val="28"/>
          <w:szCs w:val="28"/>
          <w:lang w:val="en-US"/>
        </w:rPr>
        <w:t>The issue of shura has received special treatment in the discourses of Imam ‘Ali, Amir al</w:t>
        <w:noBreakHyphen/>
        <w:t>Mu'minin (A). In one of his sermons, ‘Ali (A) says:</w:t>
      </w:r>
    </w:p>
    <w:p>
      <w:pPr>
        <w:pStyle w:val="BookText"/>
        <w:bidi w:val="0"/>
        <w:jc w:val="both"/>
        <w:rPr/>
      </w:pPr>
      <w:r>
        <w:rPr>
          <w:rFonts w:ascii="Amiri" w:hAnsi="Amiri" w:eastAsia="Amiri" w:cs="Amiri"/>
          <w:color w:val="111111"/>
          <w:sz w:val="28"/>
          <w:sz w:val="28"/>
          <w:szCs w:val="28"/>
          <w:rtl w:val="true"/>
          <w:lang w:bidi="ar-SA"/>
        </w:rPr>
        <w:t>فَلا تُثْنُوا عَلَیَ بِجَمِیلِ ثَناء لِإخراجِ نَفْسی إلی اللهِ وَ إلَیْکُمْ مِنَ التَّقیِّةِ فی حُقُوقٍ لَمْ أَفْرَغْ مِنْ أدائِها وَ فَرائِضَ لا بُدَّ مِنْ 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تُکَلِّمُونِی بِما تُکَلَمُ بِهِ الْجبابِرةُ وَ لا تَتَحَفَظُوا مِنِّی بِما یُتَحَفَظُ بِهِ عِنْدَ أَهْلِ الْبادِرةِ وَ لا تُخالِطُونِی بِالمُصانَعَةِ وَ لا تَظُّنُوا بـی اسْتِثْقالاً فی حَقٍّ قِیْلَ لی وَ لا الْتِماسَ إعْظامٍ لِنَفْسی، فَإنَّهُ مَنِ أسْتَثْقَل الْحَقَّ أنْ یُقالَ لَهُ أَوْ الْعَدْلَ أَنْ یُعْرَضَ عَلَیْهِ کانَ الْعَمَلُ بِهِما أَثْقَلَ عَلَیْهِ فَلا تَکُفُوا عَنْ مَقالَةٍ بِحَقِّ أَو مَشُورَةٍ بِعَدْلٍ، فَأنِّی لَسْتُ فی نَفْسِی بِفَوْقَ أَنْ أَخْطِیء وَ لا آمَنُ ذلِکَ مِنْ فِعْلِی إلّا أنْ یَکْفِیَ اللهُ ما هُوَ أمْلَکُ بِهِ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وَ أَنْتُمْ عَبِیدٌ مَمْلُوکوُن لِرَبِّ لا رَبَّ غَیْرُهُ یَمْلِکُ مِنّا ما لا نَمْلِکُ مِنْ أنْفُسِنا او اخرَجْنا مِمَّا اِلی ما صَلَحْنا عَلَیْهِ فَأَبْدَلَنا بَعْدَ الظَّلالَةِ بِالهُدی وَ أَعْطانا اَلبَصْیرَةَ بَعْدَ الْعَمی</w:t>
      </w:r>
      <w:r>
        <w:rPr>
          <w:rFonts w:eastAsia="Amiri" w:cs="Amiri" w:ascii="Amiri" w:hAnsi="Amiri"/>
          <w:color w:val="111111"/>
          <w:sz w:val="28"/>
          <w:szCs w:val="28"/>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flatter me for the obligations I have discharged towards Allah and towards you; I have done nothing more than discharge my continuing obliga</w:t>
        <w:softHyphen/>
        <w:t>tions and have performed by obligatory duties. Do not address me in the manner despots are addressed. Do</w:t>
      </w:r>
    </w:p>
    <w:p>
      <w:pPr>
        <w:pStyle w:val="BookText"/>
        <w:bidi w:val="0"/>
        <w:rPr/>
      </w:pPr>
      <w:r>
        <w:rPr>
          <w:rFonts w:eastAsia="Times New Roman" w:cs="Times New Roman" w:ascii="Times New Roman" w:hAnsi="Times New Roman"/>
          <w:color w:val="111111"/>
          <w:sz w:val="28"/>
          <w:szCs w:val="28"/>
          <w:lang w:val="en-US"/>
        </w:rPr>
        <w:t>not treat me with the affected caution and reserve with which tyrants are usually treated. Do not think that when truth is said in my presence, it would be hard upon me.</w:t>
      </w:r>
    </w:p>
    <w:p>
      <w:pPr>
        <w:pStyle w:val="BookText"/>
        <w:bidi w:val="0"/>
        <w:jc w:val="both"/>
        <w:rPr/>
      </w:pPr>
      <w:r>
        <w:rPr>
          <w:rFonts w:eastAsia="Times New Roman" w:cs="Times New Roman" w:ascii="Times New Roman" w:hAnsi="Times New Roman"/>
          <w:color w:val="111111"/>
          <w:sz w:val="28"/>
          <w:szCs w:val="28"/>
          <w:lang w:val="en-US"/>
        </w:rPr>
        <w:t>For, if one finds it diffi</w:t>
        <w:softHyphen/>
        <w:t>cult to hear a word of truth and justice, he would find it much more difficult to act upon it. Therefore, do not abstain from mentioning the truth and do not hold back from me your honest advice.</w:t>
      </w:r>
    </w:p>
    <w:p>
      <w:pPr>
        <w:pStyle w:val="BookText"/>
        <w:bidi w:val="0"/>
        <w:jc w:val="both"/>
        <w:rPr/>
      </w:pPr>
      <w:r>
        <w:rPr>
          <w:rFonts w:eastAsia="Times New Roman" w:cs="Times New Roman" w:ascii="Times New Roman" w:hAnsi="Times New Roman"/>
          <w:color w:val="111111"/>
          <w:sz w:val="28"/>
          <w:szCs w:val="28"/>
          <w:lang w:val="en-US"/>
        </w:rPr>
        <w:t>I do not regard myself above erring and 1 am not secure from it except that God, who has more power over my self than I myself, sages me from it. Certainly, I and you are slaves of Allah, besides whom there is no lord. He rules over that part of ourselves which is beyond our own control. It is He who has raised us from the lowest state of life to the sublime station of humanity. He gage us guidance which replaced misguidance, and bestowed upon us vision which took the place of blindness.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above quotation throws light on the significance of counsel. It lays great emphasis on the necessity of accepting truth without pride or irritation. Expression of truth, even if it is not in the shape of counsel, is enjoined and encouraged. Imam ‘Ali (A) enjoins people not to withhold their candid advice from him. Elsewhere he says:</w:t>
      </w:r>
    </w:p>
    <w:p>
      <w:pPr>
        <w:pStyle w:val="BookText"/>
        <w:bidi w:val="0"/>
        <w:jc w:val="both"/>
        <w:rPr/>
      </w:pPr>
      <w:r>
        <w:rPr>
          <w:rFonts w:ascii="Amiri" w:hAnsi="Amiri" w:eastAsia="Amiri" w:cs="Amiri"/>
          <w:color w:val="111111"/>
          <w:sz w:val="28"/>
          <w:sz w:val="28"/>
          <w:szCs w:val="28"/>
          <w:rtl w:val="true"/>
          <w:lang w:bidi="ar-SA"/>
        </w:rPr>
        <w:t>لا ظَهِیرَ کَالمُشاوَرَةِ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backing like counsel.</w:t>
      </w:r>
    </w:p>
    <w:p>
      <w:pPr>
        <w:pStyle w:val="BookText"/>
        <w:bidi w:val="0"/>
        <w:jc w:val="both"/>
        <w:rPr/>
      </w:pPr>
      <w:r>
        <w:rPr>
          <w:rFonts w:ascii="Amiri" w:hAnsi="Amiri" w:eastAsia="Amiri" w:cs="Amiri"/>
          <w:color w:val="111111"/>
          <w:sz w:val="28"/>
          <w:sz w:val="28"/>
          <w:szCs w:val="28"/>
          <w:rtl w:val="true"/>
          <w:lang w:bidi="ar-SA"/>
        </w:rPr>
        <w:t>وَ لا مُظاهَرَةَ أَوْثَقُ مِنَ المُشاوَرَةِ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backing firmer than counsel.</w:t>
      </w:r>
    </w:p>
    <w:p>
      <w:pPr>
        <w:pStyle w:val="BookText"/>
        <w:bidi w:val="0"/>
        <w:jc w:val="both"/>
        <w:rPr/>
      </w:pPr>
      <w:r>
        <w:rPr>
          <w:rFonts w:eastAsia="Times New Roman" w:cs="Times New Roman" w:ascii="Times New Roman" w:hAnsi="Times New Roman"/>
          <w:color w:val="111111"/>
          <w:sz w:val="28"/>
          <w:szCs w:val="28"/>
          <w:lang w:val="en-US"/>
        </w:rPr>
        <w:t>And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اْلاسْتِشارَةُ عَیْنُ الْهِدایَةِ وَ قَدْ خاطَرَ</w:t>
      </w:r>
      <w:bookmarkStart w:id="24" w:name="pg3702_32118"/>
    </w:p>
    <w:p>
      <w:pPr>
        <w:pStyle w:val="BookText"/>
        <w:bidi w:val="0"/>
        <w:rPr/>
      </w:pPr>
      <w:bookmarkEnd w:id="24"/>
      <w:r>
        <w:rPr>
          <w:rFonts w:ascii="Amiri" w:hAnsi="Amiri" w:eastAsia="Amiri" w:cs="Amiri"/>
          <w:color w:val="111111"/>
          <w:sz w:val="28"/>
          <w:sz w:val="28"/>
          <w:szCs w:val="28"/>
          <w:rtl w:val="true"/>
          <w:lang w:bidi="ar-SA"/>
        </w:rPr>
        <w:t>مَنِ اسْتَغنی بِرَأیِهِ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Counsel is to guidance what eyes are to the body. Confining solely to one's' own opinion as risky and dangerous.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in his lifetime, was a staunch adherer to the principle of shura. As the late Ayatullah Na'ini points out, during the time of his caliphate and at the most sensitive times of his rule, All (A) acted according to the opinion of the majority, even though he strongly disagreed with it. During his confrontation with Mu'awiyah, he had to yield to arbitration as demanded by the majority</w:t>
        <w:noBreakHyphen/>
        <w:t>a matter which added immensely to ‘Ali's difficulties.</w:t>
      </w:r>
    </w:p>
    <w:p>
      <w:pPr>
        <w:pStyle w:val="BookText"/>
        <w:bidi w:val="0"/>
        <w:jc w:val="both"/>
        <w:rPr/>
      </w:pPr>
      <w:r>
        <w:rPr>
          <w:rFonts w:eastAsia="Times New Roman" w:cs="Times New Roman" w:ascii="Times New Roman" w:hAnsi="Times New Roman"/>
          <w:color w:val="111111"/>
          <w:sz w:val="28"/>
          <w:szCs w:val="28"/>
          <w:lang w:val="en-US"/>
        </w:rPr>
        <w:t>Later, when they realized their error, ‘Ali (A) told them, “I had advised you against it. I tried to convince you that justice was on your side in the battle against Mu'awiyah, but you did not accept.” That regrettable incident of Islamic history bears un</w:t>
        <w:softHyphen/>
        <w:t>equivocal testimony to the legal validity of the opinion of the people.</w:t>
      </w:r>
    </w:p>
    <w:p>
      <w:pPr>
        <w:pStyle w:val="BookText"/>
        <w:bidi w:val="0"/>
        <w:jc w:val="both"/>
        <w:rPr/>
      </w:pPr>
      <w:r>
        <w:rPr>
          <w:rFonts w:eastAsia="Times New Roman" w:cs="Times New Roman" w:ascii="Times New Roman" w:hAnsi="Times New Roman"/>
          <w:color w:val="111111"/>
          <w:sz w:val="28"/>
          <w:szCs w:val="28"/>
          <w:lang w:val="en-US"/>
        </w:rPr>
        <w:t>The Islamic texts, the Qur’an, hadith (traditions), and the lives and practice of Divine leaders of Islam, all confirm the fact that shura or counsel is one of the most evident and necessary Islamic principles, denial of which can be explained by either ignorance, malice or conceit.</w:t>
      </w:r>
    </w:p>
    <w:p>
      <w:pPr>
        <w:pStyle w:val="Heading3"/>
        <w:numPr>
          <w:ilvl w:val="2"/>
          <w:numId w:val="1"/>
        </w:numPr>
        <w:bidi w:val="0"/>
        <w:jc w:val="left"/>
        <w:rPr/>
      </w:pPr>
      <w:bookmarkStart w:id="25" w:name="__RefHeading___Toc573796_2281741623"/>
      <w:bookmarkStart w:id="26" w:name="_Toc10"/>
      <w:bookmarkEnd w:id="25"/>
      <w:r>
        <w:rPr/>
        <w:t>The Basis of Shura</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the Qur’anic verses and traditions quoted in the course of our discussion, it may be asserted that human reason and prophetic revelation are the inner and outer sources of Divine sovereignty. In view of our discussion about the ultimate aim of consultation or shard as a collective</w:t>
      </w:r>
    </w:p>
    <w:p>
      <w:pPr>
        <w:pStyle w:val="BookText"/>
        <w:bidi w:val="0"/>
        <w:rPr/>
      </w:pPr>
      <w:r>
        <w:rPr>
          <w:rFonts w:eastAsia="Times New Roman" w:cs="Times New Roman" w:ascii="Times New Roman" w:hAnsi="Times New Roman"/>
          <w:color w:val="111111"/>
          <w:sz w:val="28"/>
          <w:szCs w:val="28"/>
          <w:lang w:val="en-US"/>
        </w:rPr>
        <w:t>rational means for arriving at truth, it may be added that the legitimacy of the principle of shura in Islam is supported both by reason and by prophetic revelation.</w:t>
      </w:r>
    </w:p>
    <w:p>
      <w:pPr>
        <w:pStyle w:val="BookText"/>
        <w:bidi w:val="0"/>
        <w:jc w:val="both"/>
        <w:rPr/>
      </w:pPr>
      <w:r>
        <w:rPr>
          <w:rFonts w:eastAsia="Times New Roman" w:cs="Times New Roman" w:ascii="Times New Roman" w:hAnsi="Times New Roman"/>
          <w:color w:val="111111"/>
          <w:sz w:val="28"/>
          <w:szCs w:val="28"/>
          <w:lang w:val="en-US"/>
        </w:rPr>
        <w:t>Therefore, the outcome of a right kind of consultation conducted among those who possess the five qualities mentioned earlier, has the necessity of a law attached to it.</w:t>
      </w:r>
    </w:p>
    <w:p>
      <w:pPr>
        <w:pStyle w:val="BookText"/>
        <w:bidi w:val="0"/>
        <w:jc w:val="both"/>
        <w:rPr/>
      </w:pPr>
      <w:r>
        <w:rPr>
          <w:rFonts w:eastAsia="Times New Roman" w:cs="Times New Roman" w:ascii="Times New Roman" w:hAnsi="Times New Roman"/>
          <w:color w:val="111111"/>
          <w:sz w:val="28"/>
          <w:szCs w:val="28"/>
          <w:lang w:val="en-US"/>
        </w:rPr>
        <w:t>On the other hand, we know that the opinions of the people, no matter how much free of deviations and delusions they may be, are not secure from error; because, the individual intellects of the people gene</w:t>
        <w:softHyphen/>
        <w:t>rally lack the necessary qualities of awareness, aptitude, understanding and psychological stability.</w:t>
      </w:r>
    </w:p>
    <w:p>
      <w:pPr>
        <w:pStyle w:val="BookText"/>
        <w:bidi w:val="0"/>
        <w:jc w:val="both"/>
        <w:rPr/>
      </w:pPr>
      <w:r>
        <w:rPr>
          <w:rFonts w:eastAsia="Times New Roman" w:cs="Times New Roman" w:ascii="Times New Roman" w:hAnsi="Times New Roman"/>
          <w:color w:val="111111"/>
          <w:sz w:val="28"/>
          <w:szCs w:val="28"/>
          <w:lang w:val="en-US"/>
        </w:rPr>
        <w:t>These qualities are not so common so as to consider the opinion of a section, or even that of the majority of per</w:t>
        <w:softHyphen/>
        <w:t>sons in a society, as a realistic means for reaching a desirable goal. Bertrand Russell, the Western thinker of renown says: “Possession of a balanced intellect is a totally relative matter. Very few individuals have completely balanced minds. Almost everyone has a certain angle of madness in him.”</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one of his books at first he poses this question: one of the dif</w:t>
        <w:softHyphen/>
        <w:t>ficulties facing man is that he seems incapable of doing anything with moderation; if possibly he begins some work in a good manner, he soon pushes it to some kind of extreme; will man, after all, learn to tread the path of moderation?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reply Russell says: “I am hopeful and confident that man will at last find the middle path. It</w:t>
      </w:r>
    </w:p>
    <w:p>
      <w:pPr>
        <w:pStyle w:val="BookText"/>
        <w:bidi w:val="0"/>
        <w:rPr/>
      </w:pPr>
      <w:r>
        <w:rPr>
          <w:rFonts w:eastAsia="Times New Roman" w:cs="Times New Roman" w:ascii="Times New Roman" w:hAnsi="Times New Roman"/>
          <w:color w:val="111111"/>
          <w:sz w:val="28"/>
          <w:szCs w:val="28"/>
          <w:lang w:val="en-US"/>
        </w:rPr>
        <w:t xml:space="preserve">is my belief that it is most necessary and that it is totally possible. I do not consider those dark prophecies as a word of revelation.”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Alfred North Whitehead writes: “Human nature has become so much entangled that the worth of programmes charted out for correct management of society is con</w:t>
        <w:softHyphen/>
        <w:t>sidered less than rubbish by statesmen.” A little amount of study is enough to provide plenty of similar examples from all thinkers of the East and the West.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With the assumption that moderation of thought and balance of intellect is found in a very restricted number of persons, how is it Pos</w:t>
        <w:softHyphen/>
        <w:t>sible to vindicate and consider as valid the outcome of consultation and deliberation among persons? The Islamic answer to this question can be put as follows:</w:t>
      </w:r>
    </w:p>
    <w:p>
      <w:pPr>
        <w:pStyle w:val="BookText"/>
        <w:bidi w:val="0"/>
        <w:jc w:val="both"/>
        <w:rPr/>
      </w:pPr>
      <w:r>
        <w:rPr>
          <w:rFonts w:eastAsia="Times New Roman" w:cs="Times New Roman" w:ascii="Times New Roman" w:hAnsi="Times New Roman"/>
          <w:color w:val="111111"/>
          <w:sz w:val="28"/>
          <w:szCs w:val="28"/>
          <w:lang w:val="en-US"/>
        </w:rPr>
        <w:t>Firstly, Islam regards the perpetual education, training and guidance of individuals in an Islamic society and upliftment of their level of awareness, knowledge of the real world and spiritual purification as a fundamental social duty.</w:t>
      </w:r>
    </w:p>
    <w:p>
      <w:pPr>
        <w:pStyle w:val="BookText"/>
        <w:bidi w:val="0"/>
        <w:jc w:val="both"/>
        <w:rPr/>
      </w:pPr>
      <w:r>
        <w:rPr>
          <w:rFonts w:eastAsia="Times New Roman" w:cs="Times New Roman" w:ascii="Times New Roman" w:hAnsi="Times New Roman"/>
          <w:color w:val="111111"/>
          <w:sz w:val="28"/>
          <w:szCs w:val="28"/>
          <w:lang w:val="en-US"/>
        </w:rPr>
        <w:t>Preparation of the people for thinking in a correct manner is a duty that can be of considerable assistance in laying the foundations of ‘rational life'. This can also be inferred from the inspiring words of ‘Ali (A) in which he puts the complete responsibility of the multi</w:t>
        <w:noBreakHyphen/>
        <w:t>faceted development of human beings on the shoulders of their ‘guardians' at all social levels:</w:t>
      </w:r>
    </w:p>
    <w:p>
      <w:pPr>
        <w:pStyle w:val="BookText"/>
        <w:bidi w:val="0"/>
        <w:jc w:val="both"/>
        <w:rPr/>
      </w:pPr>
      <w:r>
        <w:rPr>
          <w:rFonts w:ascii="Amiri" w:hAnsi="Amiri" w:eastAsia="Amiri" w:cs="Amiri"/>
          <w:color w:val="111111"/>
          <w:sz w:val="28"/>
          <w:sz w:val="28"/>
          <w:szCs w:val="28"/>
          <w:rtl w:val="true"/>
          <w:lang w:bidi="ar-SA"/>
        </w:rPr>
        <w:t>کُلُکُمْ راعٍ وَ کُلُکُمْ مَسْؤُلٌ عَنْ رَعِیِّتِهِ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of you are tenders of your flock and responsible for it.</w:t>
      </w:r>
      <w:r>
        <w:rPr>
          <w:rStyle w:val="FootnoteAnchor"/>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principle of counsel is a great blessing of God that</w:t>
      </w:r>
    </w:p>
    <w:p>
      <w:pPr>
        <w:pStyle w:val="BookText"/>
        <w:bidi w:val="0"/>
        <w:rPr/>
      </w:pPr>
      <w:r>
        <w:rPr>
          <w:rFonts w:eastAsia="Times New Roman" w:cs="Times New Roman" w:ascii="Times New Roman" w:hAnsi="Times New Roman"/>
          <w:color w:val="111111"/>
          <w:sz w:val="28"/>
          <w:szCs w:val="28"/>
          <w:lang w:val="en-US"/>
        </w:rPr>
        <w:t>allows people to rely on themselves. It makes them aware of their hid</w:t>
        <w:softHyphen/>
        <w:t>den constructive capacities and talents and awakens them to the signifi</w:t>
        <w:softHyphen/>
        <w:t>cance of mutual understanding for creation of social consensus and harmony. By confirming this principle, God has confirmed man's capa</w:t>
        <w:softHyphen/>
        <w:t>city for organizing his life on the basis of reason and intelligence.</w:t>
      </w:r>
    </w:p>
    <w:p>
      <w:pPr>
        <w:pStyle w:val="BookText"/>
        <w:bidi w:val="0"/>
        <w:jc w:val="both"/>
        <w:rPr/>
      </w:pPr>
      <w:r>
        <w:rPr>
          <w:rFonts w:eastAsia="Times New Roman" w:cs="Times New Roman" w:ascii="Times New Roman" w:hAnsi="Times New Roman"/>
          <w:color w:val="111111"/>
          <w:sz w:val="28"/>
          <w:szCs w:val="28"/>
          <w:lang w:val="en-US"/>
        </w:rPr>
        <w:t>The fact that the opinion of the majority, or even a total social consensus does not necessarily lead to the right view, is evident and indubitable; but it does not invalidate the basis of the principle of counsel; because, God, who has asked man to follow the right path, has also provided the means of attaining righteousness and laid down a law for movement to</w:t>
        <w:softHyphen/>
        <w:t>wards that goal.</w:t>
      </w:r>
    </w:p>
    <w:p>
      <w:pPr>
        <w:pStyle w:val="BookText"/>
        <w:bidi w:val="0"/>
        <w:jc w:val="both"/>
        <w:rPr/>
      </w:pPr>
      <w:r>
        <w:rPr>
          <w:rFonts w:eastAsia="Times New Roman" w:cs="Times New Roman" w:ascii="Times New Roman" w:hAnsi="Times New Roman"/>
          <w:color w:val="111111"/>
          <w:sz w:val="28"/>
          <w:szCs w:val="28"/>
          <w:lang w:val="en-US"/>
        </w:rPr>
        <w:t>That law is that man, in search of the ‘rational life', should orient himself towards reality with all his existence. That is, in a room where he can have access to sunlight itself by moving aside the curtains from windows, he should not light a dim lamp and deceive himself.</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cannot reach out for the sun, he should not enshroud himself in total darkness, but should make use of any secondary source of light that he can get hold of Shura, or counsel, is that secondary source of light that can deliver human beings from total darkness when there is no possibility of approaching reality itself. It is just this degree of deliverance from darkness and access to reality that is acceptable to the Creator of life and</w:t>
      </w:r>
      <w:bookmarkStart w:id="27" w:name="pg3702_32122"/>
    </w:p>
    <w:p>
      <w:pPr>
        <w:pStyle w:val="BookText"/>
        <w:bidi w:val="0"/>
        <w:rPr/>
      </w:pPr>
      <w:bookmarkEnd w:id="27"/>
      <w:r>
        <w:rPr>
          <w:rFonts w:eastAsia="Times New Roman" w:cs="Times New Roman" w:ascii="Times New Roman" w:hAnsi="Times New Roman"/>
          <w:color w:val="111111"/>
          <w:sz w:val="28"/>
          <w:szCs w:val="28"/>
          <w:lang w:val="en-US"/>
        </w:rPr>
        <w:t>death, who says:</w:t>
      </w:r>
    </w:p>
    <w:p>
      <w:pPr>
        <w:pStyle w:val="BookText"/>
        <w:bidi w:val="0"/>
        <w:jc w:val="both"/>
        <w:rPr/>
      </w:pPr>
      <w:r>
        <w:rPr>
          <w:rFonts w:ascii="Amiri" w:hAnsi="Amiri" w:eastAsia="Amiri" w:cs="Amiri"/>
          <w:color w:val="111111"/>
          <w:sz w:val="28"/>
          <w:sz w:val="28"/>
          <w:szCs w:val="28"/>
          <w:rtl w:val="true"/>
          <w:lang w:bidi="ar-SA"/>
        </w:rPr>
        <w:t>وَ أَمْرُهُمْ شُوری بَیْنَهُمْ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their affair is through counsel among them. “(42:38)</w:t>
      </w:r>
    </w:p>
    <w:p>
      <w:pPr>
        <w:pStyle w:val="BookText"/>
        <w:bidi w:val="0"/>
        <w:jc w:val="both"/>
        <w:rPr/>
      </w:pPr>
      <w:r>
        <w:rPr>
          <w:rFonts w:eastAsia="Times New Roman" w:cs="Times New Roman" w:ascii="Times New Roman" w:hAnsi="Times New Roman"/>
          <w:color w:val="111111"/>
          <w:sz w:val="28"/>
          <w:szCs w:val="28"/>
          <w:lang w:val="en-US"/>
        </w:rPr>
        <w:t>This is a just one aspect of the utility of counsel. Another aspect of shura is that it affords individuals to express their opinion in accor</w:t>
        <w:softHyphen/>
        <w:t>dance with their highest intellectual perceptions, and, since awareness, justice and stability are the requisite conditions of participants in a council, even if the product of their counsel is opposed to what it should have been, it does not reduce anything from its true worth and value.</w:t>
      </w:r>
    </w:p>
    <w:p>
      <w:pPr>
        <w:pStyle w:val="BookText"/>
        <w:bidi w:val="0"/>
        <w:jc w:val="both"/>
        <w:rPr/>
      </w:pPr>
      <w:r>
        <w:rPr>
          <w:rFonts w:eastAsia="Times New Roman" w:cs="Times New Roman" w:ascii="Times New Roman" w:hAnsi="Times New Roman"/>
          <w:color w:val="111111"/>
          <w:sz w:val="28"/>
          <w:szCs w:val="28"/>
          <w:lang w:val="en-US"/>
        </w:rPr>
        <w:t>Because, their decision</w:t>
        <w:noBreakHyphen/>
        <w:t>making errors do not necessarily indicate ignorance, corruption or perverseness on the part of the members of the shura; rather, it reflects an inadvertent weakness and shortcoming for which no one may be blamed. Now we can proceed to discuss the most fundamental issues of shura from the point of view of Islam.</w:t>
      </w:r>
    </w:p>
    <w:p>
      <w:pPr>
        <w:pStyle w:val="Heading3"/>
        <w:numPr>
          <w:ilvl w:val="2"/>
          <w:numId w:val="1"/>
        </w:numPr>
        <w:bidi w:val="0"/>
        <w:jc w:val="left"/>
        <w:rPr/>
      </w:pPr>
      <w:bookmarkStart w:id="28" w:name="__RefHeading___Toc573798_2281741623"/>
      <w:bookmarkStart w:id="29" w:name="_Toc11"/>
      <w:bookmarkEnd w:id="28"/>
      <w:r>
        <w:rPr/>
        <w:t>The Subject of Shura In Islam</w:t>
      </w:r>
      <w:bookmarkEnd w:id="29"/>
    </w:p>
    <w:p>
      <w:pPr>
        <w:pStyle w:val="BookText"/>
        <w:bidi w:val="0"/>
        <w:jc w:val="both"/>
        <w:rPr/>
      </w:pPr>
      <w:r>
        <w:rPr>
          <w:rFonts w:eastAsia="Times New Roman" w:cs="Times New Roman" w:ascii="Times New Roman" w:hAnsi="Times New Roman"/>
          <w:color w:val="111111"/>
          <w:sz w:val="28"/>
          <w:szCs w:val="28"/>
          <w:lang w:val="en-US"/>
        </w:rPr>
        <w:t xml:space="preserve">From our foregoing discussion it became clear that shura means assembly of a group of persons who are capable, reliable and well </w:t>
        <w:softHyphen/>
        <w:t>informed about a subject, for the purpose of reaching a truth related with that subject through consultation.</w:t>
      </w:r>
    </w:p>
    <w:p>
      <w:pPr>
        <w:pStyle w:val="BookText"/>
        <w:bidi w:val="0"/>
        <w:jc w:val="both"/>
        <w:rPr/>
      </w:pPr>
      <w:r>
        <w:rPr>
          <w:rFonts w:eastAsia="Times New Roman" w:cs="Times New Roman" w:ascii="Times New Roman" w:hAnsi="Times New Roman"/>
          <w:color w:val="111111"/>
          <w:sz w:val="28"/>
          <w:szCs w:val="28"/>
          <w:lang w:val="en-US"/>
        </w:rPr>
        <w:t>The subject (maudu’) of shura in Islam, that is the affairs which are subject to counsel and consultation, consists of all the spheres of human life as well as the background for determination of the secon</w:t>
        <w:softHyphen/>
        <w:t>dary laws (al</w:t>
        <w:noBreakHyphen/>
        <w:t>ahkam al</w:t>
        <w:noBreakHyphen/>
        <w:t>thanawiyyah). To explain this further, it may be said that all matters of opinion surrounding the individual and collec</w:t>
        <w:softHyphen/>
        <w:t>tive life of Muslims are divided into two categories: hukm and maudu'</w:t>
      </w:r>
    </w:p>
    <w:p>
      <w:pPr>
        <w:pStyle w:val="Heading3"/>
        <w:numPr>
          <w:ilvl w:val="2"/>
          <w:numId w:val="1"/>
        </w:numPr>
        <w:bidi w:val="0"/>
        <w:jc w:val="left"/>
        <w:rPr/>
      </w:pPr>
      <w:bookmarkStart w:id="30" w:name="__RefHeading___Toc573800_2281741623"/>
      <w:bookmarkStart w:id="31" w:name="_Toc12"/>
      <w:bookmarkEnd w:id="30"/>
      <w:r>
        <w:rPr/>
        <w:t>Hukm</w:t>
      </w:r>
      <w:bookmarkEnd w:id="31"/>
    </w:p>
    <w:p>
      <w:pPr>
        <w:pStyle w:val="Heading4"/>
        <w:numPr>
          <w:ilvl w:val="3"/>
          <w:numId w:val="1"/>
        </w:numPr>
        <w:bidi w:val="0"/>
        <w:jc w:val="left"/>
        <w:rPr/>
      </w:pPr>
      <w:bookmarkStart w:id="32" w:name="__RefHeading___Toc573802_2281741623"/>
      <w:bookmarkStart w:id="33" w:name="_Toc13"/>
      <w:bookmarkEnd w:id="32"/>
      <w:r>
        <w:rPr/>
        <w:t>point</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Hukm or command applies to the</w:t>
      </w:r>
      <w:bookmarkStart w:id="34" w:name="pg3702_32123"/>
    </w:p>
    <w:p>
      <w:pPr>
        <w:pStyle w:val="BookText"/>
        <w:bidi w:val="0"/>
        <w:rPr/>
      </w:pPr>
      <w:bookmarkEnd w:id="34"/>
      <w:r>
        <w:rPr>
          <w:rFonts w:eastAsia="Times New Roman" w:cs="Times New Roman" w:ascii="Times New Roman" w:hAnsi="Times New Roman"/>
          <w:color w:val="111111"/>
          <w:sz w:val="28"/>
          <w:szCs w:val="28"/>
          <w:lang w:val="en-US"/>
        </w:rPr>
        <w:t>primary (awwali) and the secondary (thanawi) laws.</w:t>
      </w:r>
    </w:p>
    <w:p>
      <w:pPr>
        <w:pStyle w:val="Heading4"/>
        <w:numPr>
          <w:ilvl w:val="3"/>
          <w:numId w:val="1"/>
        </w:numPr>
        <w:bidi w:val="0"/>
        <w:jc w:val="left"/>
        <w:rPr/>
      </w:pPr>
      <w:bookmarkStart w:id="35" w:name="__RefHeading___Toc573804_2281741623"/>
      <w:bookmarkStart w:id="36" w:name="_Toc14"/>
      <w:bookmarkEnd w:id="35"/>
      <w:r>
        <w:rPr/>
        <w:t>The Primary Laws</w:t>
      </w:r>
      <w:bookmarkEnd w:id="36"/>
    </w:p>
    <w:p>
      <w:pPr>
        <w:pStyle w:val="BookText"/>
        <w:bidi w:val="0"/>
        <w:jc w:val="both"/>
        <w:rPr/>
      </w:pPr>
      <w:r>
        <w:rPr>
          <w:rFonts w:eastAsia="Times New Roman" w:cs="Times New Roman" w:ascii="Times New Roman" w:hAnsi="Times New Roman"/>
          <w:color w:val="111111"/>
          <w:sz w:val="28"/>
          <w:szCs w:val="28"/>
          <w:lang w:val="en-US"/>
        </w:rPr>
        <w:t>The al</w:t>
        <w:noBreakHyphen/>
        <w:t>ahkam al</w:t>
        <w:noBreakHyphen/>
        <w:t>awwaliyyah (the primary laws) constitute all Islamic duties and obligations deduced and inferred by jurists (fuqaha' or Mujtahidin) from the four sources consisting of the Book, sunnah, ijma’ (consensus) and ‘aql (reason), and are communi</w:t>
        <w:softHyphen/>
        <w:t>cated to all Muslims. The al</w:t>
        <w:noBreakHyphen/>
        <w:t>ahkam al</w:t>
        <w:noBreakHyphen/>
        <w:t>awwaliyyah, or the primary laws, constitute the duties of all responsible (mukallaf) Muslim men and women.</w:t>
      </w:r>
    </w:p>
    <w:p>
      <w:pPr>
        <w:pStyle w:val="BookText"/>
        <w:bidi w:val="0"/>
        <w:jc w:val="both"/>
        <w:rPr/>
      </w:pPr>
      <w:r>
        <w:rPr>
          <w:rFonts w:eastAsia="Times New Roman" w:cs="Times New Roman" w:ascii="Times New Roman" w:hAnsi="Times New Roman"/>
          <w:color w:val="111111"/>
          <w:sz w:val="28"/>
          <w:szCs w:val="28"/>
          <w:lang w:val="en-US"/>
        </w:rPr>
        <w:t>These laws, since they are by no means subject to change or variation, are never set forth for consultation or shura, such as the five categories of acts, which are, wajib (obligatory), muharram (forbidden), mustahabb (enjoined but not obligatory), makruh (distasteful and un</w:t>
        <w:softHyphen/>
        <w:t>desirable) and mubah (permissible). None of the acts of a mukallaf are outside these five categories, such as, salat, saum, hajj, zakat, khums, jihad, and defence.</w:t>
      </w:r>
    </w:p>
    <w:p>
      <w:pPr>
        <w:pStyle w:val="BookText"/>
        <w:bidi w:val="0"/>
        <w:jc w:val="both"/>
        <w:rPr/>
      </w:pPr>
      <w:r>
        <w:rPr>
          <w:rFonts w:eastAsia="Times New Roman" w:cs="Times New Roman" w:ascii="Times New Roman" w:hAnsi="Times New Roman"/>
          <w:color w:val="111111"/>
          <w:sz w:val="28"/>
          <w:szCs w:val="28"/>
          <w:lang w:val="en-US"/>
        </w:rPr>
        <w:t>Other primary laws relate to the commercial deal</w:t>
        <w:softHyphen/>
        <w:t>ings, punishments (hudud), compensation (diyyah, blood money or indemnity for bodily injury), and yet others relate to the process of trial, testimony and litigation et al.</w:t>
      </w:r>
    </w:p>
    <w:p>
      <w:pPr>
        <w:pStyle w:val="BookText"/>
        <w:bidi w:val="0"/>
        <w:jc w:val="both"/>
        <w:rPr/>
      </w:pPr>
      <w:r>
        <w:rPr>
          <w:rFonts w:eastAsia="Times New Roman" w:cs="Times New Roman" w:ascii="Times New Roman" w:hAnsi="Times New Roman"/>
          <w:color w:val="111111"/>
          <w:sz w:val="28"/>
          <w:szCs w:val="28"/>
          <w:lang w:val="en-US"/>
        </w:rPr>
        <w:t>The general definition for this category is that these laws are those which, being based on the Qur’an, sunnah, ijma’ and ‘aql, with due consideration of the physical and spiritual nature of man and its proneness to various deviations and defects, and with view to various things which are to its benefit and advantage, are not subject to any form of change whatsoever; although they are subject to modulation, depending on the varying states and conditions of a mukallaf (a responsible Muslim).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varying conditions</w:t>
      </w:r>
      <w:bookmarkStart w:id="37" w:name="pg3702_32124"/>
    </w:p>
    <w:p>
      <w:pPr>
        <w:pStyle w:val="BookText"/>
        <w:bidi w:val="0"/>
        <w:rPr/>
      </w:pPr>
      <w:bookmarkEnd w:id="37"/>
      <w:r>
        <w:rPr>
          <w:rFonts w:eastAsia="Times New Roman" w:cs="Times New Roman" w:ascii="Times New Roman" w:hAnsi="Times New Roman"/>
          <w:color w:val="111111"/>
          <w:sz w:val="28"/>
          <w:szCs w:val="28"/>
          <w:lang w:val="en-US"/>
        </w:rPr>
        <w:t>of a muhallaf may be such as travelling, presence in home</w:t>
        <w:noBreakHyphen/>
        <w:t>town, compul</w:t>
        <w:softHyphen/>
        <w:t>sion, exigency, or any other ordinary or extraordinary condition.</w:t>
      </w:r>
    </w:p>
    <w:p>
      <w:pPr>
        <w:pStyle w:val="BookText"/>
        <w:bidi w:val="0"/>
        <w:jc w:val="both"/>
        <w:rPr/>
      </w:pPr>
      <w:r>
        <w:rPr>
          <w:rFonts w:eastAsia="Times New Roman" w:cs="Times New Roman" w:ascii="Times New Roman" w:hAnsi="Times New Roman"/>
          <w:color w:val="111111"/>
          <w:sz w:val="28"/>
          <w:szCs w:val="28"/>
          <w:lang w:val="en-US"/>
        </w:rPr>
        <w:t>There</w:t>
        <w:noBreakHyphen/>
        <w:t xml:space="preserve"> is a very important point related to these laws, and which must be duly observed, is that, in view of the close social relations of Muslims with one another and also their relations with non Muslim communi</w:t>
        <w:softHyphen/>
        <w:t>ties, the variance of opinion among jurists</w:t>
        <w:noBreakHyphen/>
        <w:t>a natural consequence of the controversial nature of the jurist's material and sources</w:t>
        <w:noBreakHyphen/>
        <w:noBreakHyphen/>
        <w:t>should not be the cause of disturbance and confusion in the social life of Muslims.</w:t>
      </w:r>
    </w:p>
    <w:p>
      <w:pPr>
        <w:pStyle w:val="BookText"/>
        <w:bidi w:val="0"/>
        <w:jc w:val="both"/>
        <w:rPr/>
      </w:pPr>
      <w:r>
        <w:rPr>
          <w:rFonts w:eastAsia="Times New Roman" w:cs="Times New Roman" w:ascii="Times New Roman" w:hAnsi="Times New Roman"/>
          <w:color w:val="111111"/>
          <w:sz w:val="28"/>
          <w:szCs w:val="28"/>
          <w:lang w:val="en-US"/>
        </w:rPr>
        <w:t>For this reason, it is necessary that the fatawa (legal opinions) and laws related with social affairs should be issued through a council of leading jurists; if not, variance of legal opinion can cause consider</w:t>
        <w:softHyphen/>
        <w:t>able confusion and disturbance in the Islamic society.</w:t>
      </w:r>
    </w:p>
    <w:p>
      <w:pPr>
        <w:pStyle w:val="Heading4"/>
        <w:numPr>
          <w:ilvl w:val="3"/>
          <w:numId w:val="1"/>
        </w:numPr>
        <w:bidi w:val="0"/>
        <w:jc w:val="left"/>
        <w:rPr/>
      </w:pPr>
      <w:bookmarkStart w:id="38" w:name="__RefHeading___Toc573806_2281741623"/>
      <w:bookmarkStart w:id="39" w:name="_Toc15"/>
      <w:bookmarkEnd w:id="38"/>
      <w:r>
        <w:rPr/>
        <w:t>The Secondary Laws</w:t>
      </w:r>
      <w:bookmarkEnd w:id="39"/>
    </w:p>
    <w:p>
      <w:pPr>
        <w:pStyle w:val="BookText"/>
        <w:bidi w:val="0"/>
        <w:jc w:val="both"/>
        <w:rPr/>
      </w:pPr>
      <w:r>
        <w:rPr>
          <w:rFonts w:eastAsia="Times New Roman" w:cs="Times New Roman" w:ascii="Times New Roman" w:hAnsi="Times New Roman"/>
          <w:color w:val="111111"/>
          <w:sz w:val="28"/>
          <w:szCs w:val="28"/>
          <w:lang w:val="en-US"/>
        </w:rPr>
        <w:t>The secondary laws, or al</w:t>
        <w:noBreakHyphen/>
        <w:t>ahkam al</w:t>
        <w:noBreakHyphen/>
        <w:t>thanawiyyah, are those issued by someone who is a faqih jami’ al</w:t>
        <w:noBreakHyphen/>
        <w:t>shara'it (a faqih well</w:t>
        <w:noBreakHyphen/>
        <w:t>versed in all spheres of the Islamic Shari’ah, an all</w:t>
        <w:noBreakHyphen/>
        <w:t>rounder jurisprudent) with due consideration of the circumstances and condi</w:t>
        <w:softHyphen/>
        <w:t>tions of an individual or society. An example of this category of laws is the famous fatwa issued by the late Ayatullah Aqa Mirza Muhammad Husayn Shirazi</w:t>
        <w:noBreakHyphen/>
        <w:t>may God's mercy be upon him forbidding the use of tobacco.</w:t>
      </w:r>
    </w:p>
    <w:p>
      <w:pPr>
        <w:pStyle w:val="BookText"/>
        <w:bidi w:val="0"/>
        <w:jc w:val="both"/>
        <w:rPr/>
      </w:pPr>
      <w:r>
        <w:rPr>
          <w:rFonts w:eastAsia="Times New Roman" w:cs="Times New Roman" w:ascii="Times New Roman" w:hAnsi="Times New Roman"/>
          <w:color w:val="111111"/>
          <w:sz w:val="28"/>
          <w:szCs w:val="28"/>
          <w:lang w:val="en-US"/>
        </w:rPr>
        <w:t>The difference between the primary and secondary laws can be put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former are directly based on the four sources, namely, the Book, the sunnah, ijma’ and ‘aql, and which being the class of unchang</w:t>
        <w:softHyphen/>
        <w:t>ing Islamic laws, together with the fundamental doctrines of the faith,</w:t>
      </w:r>
    </w:p>
    <w:p>
      <w:pPr>
        <w:pStyle w:val="BookText"/>
        <w:bidi w:val="0"/>
        <w:rPr/>
      </w:pPr>
      <w:r>
        <w:rPr>
          <w:rFonts w:eastAsia="Times New Roman" w:cs="Times New Roman" w:ascii="Times New Roman" w:hAnsi="Times New Roman"/>
          <w:color w:val="111111"/>
          <w:sz w:val="28"/>
          <w:szCs w:val="28"/>
          <w:lang w:val="en-US"/>
        </w:rPr>
        <w:t>constitute the framework of Islam. The secondary laws, on the other hand, do not directly correlate with the four above</w:t>
        <w:noBreakHyphen/>
        <w:t>mentioned sources, but are the product of juristic inference drawn in view of the provisional conditions of an individual or the community.</w:t>
      </w:r>
    </w:p>
    <w:p>
      <w:pPr>
        <w:pStyle w:val="BookText"/>
        <w:bidi w:val="0"/>
        <w:jc w:val="both"/>
        <w:rPr/>
      </w:pPr>
      <w:r>
        <w:rPr>
          <w:rFonts w:eastAsia="Times New Roman" w:cs="Times New Roman" w:ascii="Times New Roman" w:hAnsi="Times New Roman"/>
          <w:color w:val="111111"/>
          <w:sz w:val="28"/>
          <w:szCs w:val="28"/>
          <w:lang w:val="en-US"/>
        </w:rPr>
        <w:t xml:space="preserve">This does not, however, mean that the secondary laws deduced by a faqih jami ‘ al </w:t>
        <w:softHyphen/>
        <w:t>shara'it have no connection with the four sources of law. It means that the faqih jami’ al</w:t>
        <w:noBreakHyphen/>
        <w:t>shara'it, in consultation with other jurisprudents, issues a fatwa or legal verdict for the benefit of the Muslim society or in order to thwart a danger threatening it through inspiration from general principles and laws that specify the duty to safeguard the existence of the Islamic society.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 important point to note in connection with the secondary laws is that they relate to the category of actions and affairs that are generally considered mubah or permissible, as in the case of tobacco, which is mubah, and was forbidden by the late Ayatullah Shirazi. The primary laws, on the other hand, are not changeable on any account.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primary laws, which are suspended in case of idtirar (exi</w:t>
        <w:softHyphen/>
        <w:t>gency), ijbar (coercion), or karahiyyah (reprehensibility), should not be confused with the secondary laws (al</w:t>
        <w:noBreakHyphen/>
        <w:t>ahkam al</w:t>
        <w:noBreakHyphen/>
        <w:t>thanawiyyah). For instance, in case of insecurity of roads and sea</w:t>
        <w:noBreakHyphen/>
        <w:t>routes the faqih may sus</w:t>
        <w:softHyphen/>
        <w:t>pend the obligation of the hajj pilgrimage.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a secondary law because the duty of hajj is suspended or prohibited since ‘ilm (know</w:t>
        <w:softHyphen/>
        <w:t>ledge), ikhtiyar (freedom) and qudrah (power) are the</w:t>
      </w:r>
    </w:p>
    <w:p>
      <w:pPr>
        <w:pStyle w:val="BookText"/>
        <w:bidi w:val="0"/>
        <w:rPr/>
      </w:pPr>
      <w:r>
        <w:rPr>
          <w:rFonts w:eastAsia="Times New Roman" w:cs="Times New Roman" w:ascii="Times New Roman" w:hAnsi="Times New Roman"/>
          <w:color w:val="111111"/>
          <w:sz w:val="28"/>
          <w:szCs w:val="28"/>
          <w:lang w:val="en-US"/>
        </w:rPr>
        <w:t>fundamental requirements for the application of a wajib.</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With the disappearance of the cause and motive behind the secondary laws, their validity expires and the domain (maudu’)</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Also activities such as production, distribu</w:t>
        <w:softHyphen/>
        <w:t>tion, exploitation of underground resources education and so on, are all different domains subject to a variety of laws depending upon varying conditions of the in</w:t>
        <w:softHyphen/>
        <w:t>dividual or society.</w:t>
      </w:r>
    </w:p>
    <w:p>
      <w:pPr>
        <w:pStyle w:val="BookText"/>
        <w:bidi w:val="0"/>
        <w:jc w:val="both"/>
        <w:rPr/>
      </w:pPr>
      <w:r>
        <w:rPr>
          <w:rFonts w:eastAsia="Times New Roman" w:cs="Times New Roman" w:ascii="Times New Roman" w:hAnsi="Times New Roman"/>
          <w:color w:val="111111"/>
          <w:sz w:val="28"/>
          <w:szCs w:val="28"/>
          <w:lang w:val="en-US"/>
        </w:rPr>
        <w:t>of its application returns to the sphere of primary laws.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Marriage is yet another maudu` subject to various laws depending on its degree of necessity; that is, it may be specified as a wajib in some cases, and as a mustahabb in others. Similarly, the issues of war and peace between Muslims and non</w:t>
        <w:noBreakHyphen/>
        <w:t>Muslims are domains subject to various laws depending on the varying conditions.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Ayatullah Aqa Mirza Muhammad Husayn Na'ini, in his book Tanbih al</w:t>
        <w:noBreakHyphen/>
        <w:t>ummah wa tanzih al</w:t>
        <w:noBreakHyphen/>
        <w:t>millah, p. 17, rejects this misconception in these words: In the same way as submission to the whims of tyrants and despots is a form of slavery in the sphere of politics, so also uncritical surrender to the dogmas and dictates of religious figures put forth in the name of religion, is also another form of slavery.'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w:t>
        <w:noBreakHyphen/>
        <w:t>Wahid Amadi, Ghurar al</w:t>
        <w:noBreakHyphen/>
        <w:t>hikam wa durar al</w:t>
        <w:noBreakHyphen/>
        <w:t>kalim, p. 429.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Usul al</w:t>
        <w:noBreakHyphen/>
        <w:t>Kafi, vol. I,  p. 25.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Usul al</w:t>
        <w:noBreakHyphen/>
        <w:t>Kafi, vol. I, p. 13.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w:t>
        <w:noBreakHyphen/>
        <w:t>Wahid Amadi, Ghurar al</w:t>
        <w:noBreakHyphen/>
        <w:t>hikam wa durar al</w:t>
        <w:noBreakHyphen/>
        <w:t>kalim, p. 429.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w:t>
        <w:noBreakHyphen/>
        <w:t>Balagha, Sermon 214, vol. III, p.p. 226</w:t>
        <w:noBreakHyphen/>
        <w:t>227.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Aqa Mirza Muhammad Husayn Na'ini, Tanbih al</w:t>
        <w:noBreakHyphen/>
        <w:t>ummah wa tanzah al</w:t>
        <w:noBreakHyphen/>
        <w:t>millah, p. 34.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Tanbih al</w:t>
        <w:noBreakHyphen/>
        <w:t>ummah wa tanzah al</w:t>
        <w:noBreakHyphen/>
        <w:t>millah, p. 56.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Tanbih al</w:t>
        <w:noBreakHyphen/>
        <w:t>ummah wa tanzah al</w:t>
        <w:noBreakHyphen/>
        <w:t>millah, p. 34.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w:t>
        <w:noBreakHyphen/>
        <w:t>Balagha, vol. III, p. 478.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Jean</w:t>
        <w:noBreakHyphen/>
        <w:t>Jacques Rousseau, The Social Contract, p.84, English translation by Maurice Cranston, Penguin Books, 1978.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Usul al</w:t>
        <w:noBreakHyphen/>
        <w:t>Kafi, vol. I, p. 16, Tehran.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8043</Words>
  <Characters>40135</Characters>
  <CharactersWithSpaces>47902</CharactersWithSpaces>
  <Paragraphs>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2026-08-18T03:28:15Z</dcterms:created>
  <dc:creator>ghaemiyeh.com</dc:creator>
  <dc:description/>
  <dc:language>en-US</dc:language>
  <cp:lastModifiedBy/>
  <dcterms:modified xsi:type="dcterms:W3CDTF">2026-08-18T06:58:17Z</dcterms:modified>
  <cp:revision>1</cp:revision>
  <dc:subject/>
  <dc:title>Theocracy and Democracy</dc:title>
</cp:coreProperties>
</file>

<file path=docProps/custom.xml><?xml version="1.0" encoding="utf-8"?>
<Properties xmlns="http://schemas.openxmlformats.org/officeDocument/2006/custom-properties" xmlns:vt="http://schemas.openxmlformats.org/officeDocument/2006/docPropsVTypes"/>
</file>