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العصیریه فی احکام الخمر و سائر المسکرات و العصر العنبی و النمری و الزبیبی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8215_228174162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88217_2281741623">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88219_2281741623">
            <w:r>
              <w:rPr>
                <w:webHidden/>
                <w:rStyle w:val="IndexLink"/>
                <w:rtl w:val="true"/>
              </w:rPr>
              <w:t>الفهرس الإجمالی</w:t>
            </w:r>
            <w:r>
              <w:rPr>
                <w:rStyle w:val="IndexLink"/>
                <w:rtl w:val="true"/>
              </w:rPr>
              <w:tab/>
            </w:r>
            <w:r>
              <w:rPr>
                <w:rStyle w:val="IndexLink"/>
              </w:rPr>
              <w:t>15</w:t>
            </w:r>
          </w:hyperlink>
        </w:p>
        <w:p>
          <w:pPr>
            <w:pStyle w:val="Contents2"/>
            <w:tabs>
              <w:tab w:val="clear" w:pos="8743"/>
              <w:tab w:val="right" w:pos="9026" w:leader="dot"/>
            </w:tabs>
            <w:rPr/>
          </w:pPr>
          <w:hyperlink w:anchor="__RefHeading___Toc488221_2281741623">
            <w:r>
              <w:rPr>
                <w:webHidden/>
                <w:rStyle w:val="IndexLink"/>
                <w:rtl w:val="true"/>
              </w:rPr>
              <w:t>مقدّمة التحقیق</w:t>
            </w:r>
            <w:r>
              <w:rPr>
                <w:rStyle w:val="IndexLink"/>
                <w:rtl w:val="true"/>
              </w:rPr>
              <w:t>:</w:t>
              <w:tab/>
            </w:r>
            <w:r>
              <w:rPr>
                <w:rStyle w:val="IndexLink"/>
              </w:rPr>
              <w:t>17</w:t>
            </w:r>
          </w:hyperlink>
        </w:p>
        <w:p>
          <w:pPr>
            <w:pStyle w:val="Contents3"/>
            <w:tabs>
              <w:tab w:val="clear" w:pos="8459"/>
              <w:tab w:val="right" w:pos="9026" w:leader="dot"/>
            </w:tabs>
            <w:rPr/>
          </w:pPr>
          <w:hyperlink w:anchor="__RefHeading___Toc488223_2281741623">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488225_2281741623">
            <w:r>
              <w:rPr>
                <w:webHidden/>
                <w:rStyle w:val="IndexLink"/>
                <w:rtl w:val="true"/>
              </w:rPr>
              <w:t>حول هذا الکتاب</w:t>
            </w:r>
            <w:r>
              <w:rPr>
                <w:rStyle w:val="IndexLink"/>
                <w:rtl w:val="true"/>
              </w:rPr>
              <w:tab/>
            </w:r>
            <w:r>
              <w:rPr>
                <w:rStyle w:val="IndexLink"/>
              </w:rPr>
              <w:t>18</w:t>
            </w:r>
          </w:hyperlink>
        </w:p>
        <w:p>
          <w:pPr>
            <w:pStyle w:val="Contents3"/>
            <w:tabs>
              <w:tab w:val="clear" w:pos="8459"/>
              <w:tab w:val="right" w:pos="9026" w:leader="dot"/>
            </w:tabs>
            <w:rPr/>
          </w:pPr>
          <w:hyperlink w:anchor="__RefHeading___Toc488227_2281741623">
            <w:r>
              <w:rPr>
                <w:webHidden/>
                <w:rStyle w:val="IndexLink"/>
                <w:rtl w:val="true"/>
              </w:rPr>
              <w:t>منهجیّة التحقیق</w:t>
            </w:r>
            <w:r>
              <w:rPr>
                <w:rStyle w:val="IndexLink"/>
                <w:rtl w:val="true"/>
              </w:rPr>
              <w:tab/>
            </w:r>
            <w:r>
              <w:rPr>
                <w:rStyle w:val="IndexLink"/>
              </w:rPr>
              <w:t>19</w:t>
            </w:r>
          </w:hyperlink>
        </w:p>
        <w:p>
          <w:pPr>
            <w:pStyle w:val="Contents3"/>
            <w:tabs>
              <w:tab w:val="clear" w:pos="8459"/>
              <w:tab w:val="right" w:pos="9026" w:leader="dot"/>
            </w:tabs>
            <w:rPr/>
          </w:pPr>
          <w:hyperlink w:anchor="__RefHeading___Toc488229_2281741623">
            <w:r>
              <w:rPr>
                <w:webHidden/>
                <w:rStyle w:val="IndexLink"/>
                <w:rtl w:val="true"/>
              </w:rPr>
              <w:t>لمحة من حیاة المؤلّف قدس‌سره</w:t>
            </w:r>
            <w:r>
              <w:rPr>
                <w:rStyle w:val="IndexLink"/>
                <w:rtl w:val="true"/>
              </w:rPr>
              <w:tab/>
            </w:r>
            <w:r>
              <w:rPr>
                <w:rStyle w:val="IndexLink"/>
              </w:rPr>
              <w:t>21</w:t>
            </w:r>
          </w:hyperlink>
        </w:p>
        <w:p>
          <w:pPr>
            <w:pStyle w:val="Contents3"/>
            <w:tabs>
              <w:tab w:val="clear" w:pos="8459"/>
              <w:tab w:val="right" w:pos="9026" w:leader="dot"/>
            </w:tabs>
            <w:rPr/>
          </w:pPr>
          <w:hyperlink w:anchor="__RefHeading___Toc488231_2281741623">
            <w:r>
              <w:rPr>
                <w:webHidden/>
                <w:rStyle w:val="IndexLink"/>
                <w:rtl w:val="true"/>
              </w:rPr>
              <w:t>إسمه و نسبه</w:t>
            </w:r>
            <w:r>
              <w:rPr>
                <w:rStyle w:val="IndexLink"/>
                <w:rtl w:val="true"/>
              </w:rPr>
              <w:tab/>
            </w:r>
            <w:r>
              <w:rPr>
                <w:rStyle w:val="IndexLink"/>
              </w:rPr>
              <w:t>21</w:t>
            </w:r>
          </w:hyperlink>
        </w:p>
        <w:p>
          <w:pPr>
            <w:pStyle w:val="Contents3"/>
            <w:tabs>
              <w:tab w:val="clear" w:pos="8459"/>
              <w:tab w:val="right" w:pos="9026" w:leader="dot"/>
            </w:tabs>
            <w:rPr/>
          </w:pPr>
          <w:hyperlink w:anchor="__RefHeading___Toc488233_2281741623">
            <w:r>
              <w:rPr>
                <w:webHidden/>
                <w:rStyle w:val="IndexLink"/>
                <w:rtl w:val="true"/>
              </w:rPr>
              <w:t>مولده و نشأته</w:t>
            </w:r>
            <w:r>
              <w:rPr>
                <w:rStyle w:val="IndexLink"/>
                <w:rtl w:val="true"/>
              </w:rPr>
              <w:tab/>
            </w:r>
            <w:r>
              <w:rPr>
                <w:rStyle w:val="IndexLink"/>
              </w:rPr>
              <w:t>21</w:t>
            </w:r>
          </w:hyperlink>
        </w:p>
        <w:p>
          <w:pPr>
            <w:pStyle w:val="Contents3"/>
            <w:tabs>
              <w:tab w:val="clear" w:pos="8459"/>
              <w:tab w:val="right" w:pos="9026" w:leader="dot"/>
            </w:tabs>
            <w:rPr/>
          </w:pPr>
          <w:hyperlink w:anchor="__RefHeading___Toc488235_2281741623">
            <w:r>
              <w:rPr>
                <w:webHidden/>
                <w:rStyle w:val="IndexLink"/>
                <w:rtl w:val="true"/>
              </w:rPr>
              <w:t>أقوال العلماء فی حقّه</w:t>
            </w:r>
            <w:r>
              <w:rPr>
                <w:rStyle w:val="IndexLink"/>
                <w:rtl w:val="true"/>
              </w:rPr>
              <w:tab/>
            </w:r>
            <w:r>
              <w:rPr>
                <w:rStyle w:val="IndexLink"/>
              </w:rPr>
              <w:t>22</w:t>
            </w:r>
          </w:hyperlink>
        </w:p>
        <w:p>
          <w:pPr>
            <w:pStyle w:val="Contents3"/>
            <w:tabs>
              <w:tab w:val="clear" w:pos="8459"/>
              <w:tab w:val="right" w:pos="9026" w:leader="dot"/>
            </w:tabs>
            <w:rPr/>
          </w:pPr>
          <w:hyperlink w:anchor="__RefHeading___Toc488237_2281741623">
            <w:r>
              <w:rPr>
                <w:webHidden/>
                <w:rStyle w:val="IndexLink"/>
                <w:rtl w:val="true"/>
              </w:rPr>
              <w:t>نشأته العلمیّة والإجتماعیّة</w:t>
            </w:r>
            <w:r>
              <w:rPr>
                <w:rStyle w:val="IndexLink"/>
                <w:rtl w:val="true"/>
              </w:rPr>
              <w:tab/>
            </w:r>
            <w:r>
              <w:rPr>
                <w:rStyle w:val="IndexLink"/>
              </w:rPr>
              <w:t>25</w:t>
            </w:r>
          </w:hyperlink>
        </w:p>
        <w:p>
          <w:pPr>
            <w:pStyle w:val="Contents3"/>
            <w:tabs>
              <w:tab w:val="clear" w:pos="8459"/>
              <w:tab w:val="right" w:pos="9026" w:leader="dot"/>
            </w:tabs>
            <w:rPr/>
          </w:pPr>
          <w:hyperlink w:anchor="__RefHeading___Toc488239_2281741623">
            <w:r>
              <w:rPr>
                <w:webHidden/>
                <w:rStyle w:val="IndexLink"/>
                <w:rtl w:val="true"/>
              </w:rPr>
              <w:t>أساتذته و مشایخه قدس‌سره</w:t>
            </w:r>
            <w:r>
              <w:rPr>
                <w:rStyle w:val="IndexLink"/>
                <w:rtl w:val="true"/>
              </w:rPr>
              <w:tab/>
            </w:r>
            <w:r>
              <w:rPr>
                <w:rStyle w:val="IndexLink"/>
              </w:rPr>
              <w:t>31</w:t>
            </w:r>
          </w:hyperlink>
        </w:p>
        <w:p>
          <w:pPr>
            <w:pStyle w:val="Contents3"/>
            <w:tabs>
              <w:tab w:val="clear" w:pos="8459"/>
              <w:tab w:val="right" w:pos="9026" w:leader="dot"/>
            </w:tabs>
            <w:rPr/>
          </w:pPr>
          <w:hyperlink w:anchor="__RefHeading___Toc488241_2281741623">
            <w:r>
              <w:rPr>
                <w:webHidden/>
                <w:rStyle w:val="IndexLink"/>
                <w:rtl w:val="true"/>
              </w:rPr>
              <w:t>تلامذته والراوون عنه قدس‌سره</w:t>
            </w:r>
            <w:r>
              <w:rPr>
                <w:rStyle w:val="IndexLink"/>
                <w:rtl w:val="true"/>
              </w:rPr>
              <w:tab/>
            </w:r>
            <w:r>
              <w:rPr>
                <w:rStyle w:val="IndexLink"/>
              </w:rPr>
              <w:t>32</w:t>
            </w:r>
          </w:hyperlink>
        </w:p>
        <w:p>
          <w:pPr>
            <w:pStyle w:val="Contents3"/>
            <w:tabs>
              <w:tab w:val="clear" w:pos="8459"/>
              <w:tab w:val="right" w:pos="9026" w:leader="dot"/>
            </w:tabs>
            <w:rPr/>
          </w:pPr>
          <w:hyperlink w:anchor="__RefHeading___Toc488243_2281741623">
            <w:r>
              <w:rPr>
                <w:webHidden/>
                <w:rStyle w:val="IndexLink"/>
                <w:rtl w:val="true"/>
              </w:rPr>
              <w:t>مجمع درسه قدس‌سره</w:t>
            </w:r>
            <w:r>
              <w:rPr>
                <w:rStyle w:val="IndexLink"/>
                <w:rtl w:val="true"/>
              </w:rPr>
              <w:tab/>
            </w:r>
            <w:r>
              <w:rPr>
                <w:rStyle w:val="IndexLink"/>
              </w:rPr>
              <w:t>33</w:t>
            </w:r>
          </w:hyperlink>
        </w:p>
        <w:p>
          <w:pPr>
            <w:pStyle w:val="Contents3"/>
            <w:tabs>
              <w:tab w:val="clear" w:pos="8459"/>
              <w:tab w:val="right" w:pos="9026" w:leader="dot"/>
            </w:tabs>
            <w:rPr/>
          </w:pPr>
          <w:hyperlink w:anchor="__RefHeading___Toc488245_2281741623">
            <w:r>
              <w:rPr>
                <w:webHidden/>
                <w:rStyle w:val="IndexLink"/>
                <w:rtl w:val="true"/>
              </w:rPr>
              <w:t>آثاره الخیریّة</w:t>
            </w:r>
            <w:r>
              <w:rPr>
                <w:rStyle w:val="IndexLink"/>
                <w:rtl w:val="true"/>
              </w:rPr>
              <w:tab/>
            </w:r>
            <w:r>
              <w:rPr>
                <w:rStyle w:val="IndexLink"/>
              </w:rPr>
              <w:t>33</w:t>
            </w:r>
          </w:hyperlink>
        </w:p>
        <w:p>
          <w:pPr>
            <w:pStyle w:val="Contents3"/>
            <w:tabs>
              <w:tab w:val="clear" w:pos="8459"/>
              <w:tab w:val="right" w:pos="9026" w:leader="dot"/>
            </w:tabs>
            <w:rPr/>
          </w:pPr>
          <w:hyperlink w:anchor="__RefHeading___Toc488247_2281741623">
            <w:r>
              <w:rPr>
                <w:webHidden/>
                <w:rStyle w:val="IndexLink"/>
                <w:rtl w:val="true"/>
              </w:rPr>
              <w:t>تآلیفه القیّمة</w:t>
            </w:r>
            <w:r>
              <w:rPr>
                <w:rStyle w:val="IndexLink"/>
                <w:rtl w:val="true"/>
              </w:rPr>
              <w:tab/>
            </w:r>
            <w:r>
              <w:rPr>
                <w:rStyle w:val="IndexLink"/>
              </w:rPr>
              <w:t>35</w:t>
            </w:r>
          </w:hyperlink>
        </w:p>
        <w:p>
          <w:pPr>
            <w:pStyle w:val="Contents3"/>
            <w:tabs>
              <w:tab w:val="clear" w:pos="8459"/>
              <w:tab w:val="right" w:pos="9026" w:leader="dot"/>
            </w:tabs>
            <w:rPr/>
          </w:pPr>
          <w:hyperlink w:anchor="__RefHeading___Toc488249_2281741623">
            <w:r>
              <w:rPr>
                <w:webHidden/>
                <w:rStyle w:val="IndexLink"/>
                <w:rtl w:val="true"/>
              </w:rPr>
              <w:t>وفاته و مدفنه قدس‌سره</w:t>
            </w:r>
            <w:r>
              <w:rPr>
                <w:rStyle w:val="IndexLink"/>
                <w:rtl w:val="true"/>
              </w:rPr>
              <w:tab/>
            </w:r>
            <w:r>
              <w:rPr>
                <w:rStyle w:val="IndexLink"/>
              </w:rPr>
              <w:t>39</w:t>
            </w:r>
          </w:hyperlink>
        </w:p>
        <w:p>
          <w:pPr>
            <w:pStyle w:val="Contents3"/>
            <w:tabs>
              <w:tab w:val="clear" w:pos="8459"/>
              <w:tab w:val="right" w:pos="9026" w:leader="dot"/>
            </w:tabs>
            <w:rPr/>
          </w:pPr>
          <w:hyperlink w:anchor="__RefHeading___Toc488251_2281741623">
            <w:r>
              <w:rPr>
                <w:webHidden/>
                <w:rStyle w:val="IndexLink"/>
                <w:rtl w:val="true"/>
              </w:rPr>
              <w:t>مصادر الترجمة</w:t>
            </w:r>
            <w:r>
              <w:rPr>
                <w:rStyle w:val="IndexLink"/>
                <w:rtl w:val="true"/>
              </w:rPr>
              <w:tab/>
            </w:r>
            <w:r>
              <w:rPr>
                <w:rStyle w:val="IndexLink"/>
              </w:rPr>
              <w:t>40</w:t>
            </w:r>
          </w:hyperlink>
        </w:p>
        <w:p>
          <w:pPr>
            <w:pStyle w:val="Contents2"/>
            <w:tabs>
              <w:tab w:val="clear" w:pos="8743"/>
              <w:tab w:val="right" w:pos="9026" w:leader="dot"/>
            </w:tabs>
            <w:rPr/>
          </w:pPr>
          <w:hyperlink w:anchor="__RefHeading___Toc488253_2281741623">
            <w:r>
              <w:rPr>
                <w:webHidden/>
                <w:rStyle w:val="IndexLink"/>
                <w:rtl w:val="true"/>
              </w:rPr>
              <w:t>العصیریة</w:t>
            </w:r>
            <w:r>
              <w:rPr>
                <w:rStyle w:val="IndexLink"/>
                <w:rtl w:val="true"/>
              </w:rPr>
              <w:tab/>
            </w:r>
            <w:r>
              <w:rPr>
                <w:rStyle w:val="IndexLink"/>
              </w:rPr>
              <w:t>47</w:t>
            </w:r>
          </w:hyperlink>
        </w:p>
        <w:p>
          <w:pPr>
            <w:pStyle w:val="Contents3"/>
            <w:tabs>
              <w:tab w:val="clear" w:pos="8459"/>
              <w:tab w:val="right" w:pos="9026" w:leader="dot"/>
            </w:tabs>
            <w:rPr/>
          </w:pPr>
          <w:hyperlink w:anchor="__RefHeading___Toc488255_2281741623">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488257_2281741623">
            <w:r>
              <w:rPr>
                <w:webHidden/>
                <w:rStyle w:val="IndexLink"/>
                <w:rtl w:val="true"/>
              </w:rPr>
              <w:t>حرمة الخمر و غیرها من المسکرات</w:t>
            </w:r>
            <w:r>
              <w:rPr>
                <w:rStyle w:val="IndexLink"/>
                <w:rtl w:val="true"/>
              </w:rPr>
              <w:tab/>
            </w:r>
            <w:r>
              <w:rPr>
                <w:rStyle w:val="IndexLink"/>
              </w:rPr>
              <w:t>51</w:t>
            </w:r>
          </w:hyperlink>
        </w:p>
        <w:p>
          <w:pPr>
            <w:pStyle w:val="Contents4"/>
            <w:tabs>
              <w:tab w:val="clear" w:pos="8176"/>
              <w:tab w:val="right" w:pos="9026" w:leader="dot"/>
            </w:tabs>
            <w:rPr/>
          </w:pPr>
          <w:hyperlink w:anchor="__RefHeading___Toc488259_2281741623">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488261_2281741623">
            <w:r>
              <w:rPr>
                <w:webHidden/>
                <w:rStyle w:val="IndexLink"/>
                <w:rtl w:val="true"/>
              </w:rPr>
              <w:t>الأخبار الدالّة علی حرمة الخمر</w:t>
            </w:r>
            <w:r>
              <w:rPr>
                <w:rStyle w:val="IndexLink"/>
                <w:rtl w:val="true"/>
              </w:rPr>
              <w:tab/>
            </w:r>
            <w:r>
              <w:rPr>
                <w:rStyle w:val="IndexLink"/>
              </w:rPr>
              <w:t>51</w:t>
            </w:r>
          </w:hyperlink>
        </w:p>
        <w:p>
          <w:pPr>
            <w:pStyle w:val="Contents4"/>
            <w:tabs>
              <w:tab w:val="clear" w:pos="8176"/>
              <w:tab w:val="right" w:pos="9026" w:leader="dot"/>
            </w:tabs>
            <w:rPr/>
          </w:pPr>
          <w:hyperlink w:anchor="__RefHeading___Toc488263_2281741623">
            <w:r>
              <w:rPr>
                <w:webHidden/>
                <w:rStyle w:val="IndexLink"/>
                <w:rtl w:val="true"/>
              </w:rPr>
              <w:t>ما دلّ علی حرمة المسکرات مطلقاً</w:t>
            </w:r>
            <w:r>
              <w:rPr>
                <w:rStyle w:val="IndexLink"/>
                <w:rtl w:val="true"/>
              </w:rPr>
              <w:t>:</w:t>
              <w:tab/>
            </w:r>
            <w:r>
              <w:rPr>
                <w:rStyle w:val="IndexLink"/>
              </w:rPr>
              <w:t>54</w:t>
            </w:r>
          </w:hyperlink>
        </w:p>
        <w:p>
          <w:pPr>
            <w:pStyle w:val="Contents4"/>
            <w:tabs>
              <w:tab w:val="clear" w:pos="8176"/>
              <w:tab w:val="right" w:pos="9026" w:leader="dot"/>
            </w:tabs>
            <w:rPr/>
          </w:pPr>
          <w:hyperlink w:anchor="__RefHeading___Toc488265_2281741623">
            <w:r>
              <w:rPr>
                <w:webHidden/>
                <w:rStyle w:val="IndexLink"/>
                <w:rtl w:val="true"/>
              </w:rPr>
              <w:t>الأخبار الدالّة علی حرمة القلیل من المسکرات إذا لم یسکر</w:t>
            </w:r>
            <w:r>
              <w:rPr>
                <w:rStyle w:val="IndexLink"/>
                <w:rtl w:val="true"/>
              </w:rPr>
              <w:t>:</w:t>
              <w:tab/>
            </w:r>
            <w:r>
              <w:rPr>
                <w:rStyle w:val="IndexLink"/>
              </w:rPr>
              <w:t>57</w:t>
            </w:r>
          </w:hyperlink>
        </w:p>
        <w:p>
          <w:pPr>
            <w:pStyle w:val="Contents3"/>
            <w:tabs>
              <w:tab w:val="clear" w:pos="8459"/>
              <w:tab w:val="right" w:pos="9026" w:leader="dot"/>
            </w:tabs>
            <w:rPr/>
          </w:pPr>
          <w:hyperlink w:anchor="__RefHeading___Toc488267_2281741623">
            <w:r>
              <w:rPr>
                <w:webHidden/>
                <w:rStyle w:val="IndexLink"/>
                <w:rtl w:val="true"/>
              </w:rPr>
              <w:t>نجاسة الخمر و غیرها من المسکرات</w:t>
            </w:r>
            <w:r>
              <w:rPr>
                <w:rStyle w:val="IndexLink"/>
                <w:rtl w:val="true"/>
              </w:rPr>
              <w:tab/>
            </w:r>
            <w:r>
              <w:rPr>
                <w:rStyle w:val="IndexLink"/>
              </w:rPr>
              <w:t>64</w:t>
            </w:r>
          </w:hyperlink>
        </w:p>
        <w:p>
          <w:pPr>
            <w:pStyle w:val="Contents4"/>
            <w:tabs>
              <w:tab w:val="clear" w:pos="8176"/>
              <w:tab w:val="right" w:pos="9026" w:leader="dot"/>
            </w:tabs>
            <w:rPr/>
          </w:pPr>
          <w:hyperlink w:anchor="__RefHeading___Toc488269_2281741623">
            <w:r>
              <w:rPr>
                <w:webHidden/>
                <w:rStyle w:val="IndexLink"/>
                <w:rtl w:val="true"/>
              </w:rPr>
              <w:t>اشارة</w:t>
            </w:r>
            <w:r>
              <w:rPr>
                <w:rStyle w:val="IndexLink"/>
                <w:rtl w:val="true"/>
              </w:rPr>
              <w:tab/>
            </w:r>
            <w:r>
              <w:rPr>
                <w:rStyle w:val="IndexLink"/>
              </w:rPr>
              <w:t>64</w:t>
            </w:r>
          </w:hyperlink>
        </w:p>
        <w:p>
          <w:pPr>
            <w:pStyle w:val="Contents4"/>
            <w:tabs>
              <w:tab w:val="clear" w:pos="8176"/>
              <w:tab w:val="right" w:pos="9026" w:leader="dot"/>
            </w:tabs>
            <w:rPr/>
          </w:pPr>
          <w:hyperlink w:anchor="__RefHeading___Toc488271_2281741623">
            <w:r>
              <w:rPr>
                <w:webHidden/>
                <w:rStyle w:val="IndexLink"/>
                <w:rtl w:val="true"/>
              </w:rPr>
              <w:t>المقام الأوّل</w:t>
            </w:r>
            <w:r>
              <w:rPr>
                <w:rStyle w:val="IndexLink"/>
                <w:rtl w:val="true"/>
              </w:rPr>
              <w:t xml:space="preserve">: </w:t>
            </w:r>
            <w:r>
              <w:rPr>
                <w:rStyle w:val="IndexLink"/>
                <w:rtl w:val="true"/>
              </w:rPr>
              <w:t>فی نجاسة الخمر</w:t>
            </w:r>
            <w:r>
              <w:rPr>
                <w:rStyle w:val="IndexLink"/>
                <w:rtl w:val="true"/>
              </w:rPr>
              <w:tab/>
            </w:r>
            <w:r>
              <w:rPr>
                <w:rStyle w:val="IndexLink"/>
              </w:rPr>
              <w:t>65</w:t>
            </w:r>
          </w:hyperlink>
        </w:p>
        <w:p>
          <w:pPr>
            <w:pStyle w:val="Contents5"/>
            <w:tabs>
              <w:tab w:val="clear" w:pos="7892"/>
              <w:tab w:val="right" w:pos="9026" w:leader="dot"/>
            </w:tabs>
            <w:rPr/>
          </w:pPr>
          <w:hyperlink w:anchor="__RefHeading___Toc488273_2281741623">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488275_2281741623">
            <w:r>
              <w:rPr>
                <w:webHidden/>
                <w:rStyle w:val="IndexLink"/>
                <w:rtl w:val="true"/>
              </w:rPr>
              <w:t xml:space="preserve">القول الأوّل </w:t>
            </w:r>
            <w:r>
              <w:rPr>
                <w:rStyle w:val="IndexLink"/>
                <w:rtl w:val="true"/>
              </w:rPr>
              <w:t xml:space="preserve">: </w:t>
            </w:r>
            <w:r>
              <w:rPr>
                <w:rStyle w:val="IndexLink"/>
                <w:rtl w:val="true"/>
              </w:rPr>
              <w:t>نجاسة الخمر</w:t>
            </w:r>
            <w:r>
              <w:rPr>
                <w:rStyle w:val="IndexLink"/>
                <w:rtl w:val="true"/>
              </w:rPr>
              <w:tab/>
            </w:r>
            <w:r>
              <w:rPr>
                <w:rStyle w:val="IndexLink"/>
              </w:rPr>
              <w:t>65</w:t>
            </w:r>
          </w:hyperlink>
        </w:p>
        <w:p>
          <w:pPr>
            <w:pStyle w:val="Contents6"/>
            <w:tabs>
              <w:tab w:val="clear" w:pos="7609"/>
              <w:tab w:val="right" w:pos="9026" w:leader="dot"/>
            </w:tabs>
            <w:rPr/>
          </w:pPr>
          <w:hyperlink w:anchor="__RefHeading___Toc488277_2281741623">
            <w:r>
              <w:rPr>
                <w:webHidden/>
                <w:rStyle w:val="IndexLink"/>
                <w:rtl w:val="true"/>
              </w:rPr>
              <w:t xml:space="preserve">ما یدلّ علی النجاسة </w:t>
            </w:r>
            <w:r>
              <w:rPr>
                <w:rStyle w:val="IndexLink"/>
                <w:rtl w:val="true"/>
              </w:rPr>
              <w:t>:</w:t>
              <w:tab/>
            </w:r>
            <w:r>
              <w:rPr>
                <w:rStyle w:val="IndexLink"/>
              </w:rPr>
              <w:t>65</w:t>
            </w:r>
          </w:hyperlink>
        </w:p>
        <w:p>
          <w:pPr>
            <w:pStyle w:val="Contents6"/>
            <w:tabs>
              <w:tab w:val="clear" w:pos="7609"/>
              <w:tab w:val="right" w:pos="9026" w:leader="dot"/>
            </w:tabs>
            <w:rPr/>
          </w:pPr>
          <w:hyperlink w:anchor="__RefHeading___Toc488279_228174162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488281_2281741623">
            <w:r>
              <w:rPr>
                <w:webHidden/>
                <w:rStyle w:val="IndexLink"/>
                <w:rtl w:val="true"/>
              </w:rPr>
              <w:t xml:space="preserve">الأوّل </w:t>
            </w:r>
            <w:r>
              <w:rPr>
                <w:rStyle w:val="IndexLink"/>
                <w:rtl w:val="true"/>
              </w:rPr>
              <w:t xml:space="preserve">: </w:t>
            </w:r>
            <w:r>
              <w:rPr>
                <w:rStyle w:val="IndexLink"/>
                <w:rtl w:val="true"/>
              </w:rPr>
              <w:t>الإجماعات المنقولة و دعوی عدم الخلاف</w:t>
            </w:r>
            <w:r>
              <w:rPr>
                <w:rStyle w:val="IndexLink"/>
                <w:rtl w:val="true"/>
              </w:rPr>
              <w:tab/>
            </w:r>
            <w:r>
              <w:rPr>
                <w:rStyle w:val="IndexLink"/>
              </w:rPr>
              <w:t>66</w:t>
            </w:r>
          </w:hyperlink>
        </w:p>
        <w:p>
          <w:pPr>
            <w:pStyle w:val="Contents6"/>
            <w:tabs>
              <w:tab w:val="clear" w:pos="7609"/>
              <w:tab w:val="right" w:pos="9026" w:leader="dot"/>
            </w:tabs>
            <w:rPr/>
          </w:pPr>
          <w:hyperlink w:anchor="__RefHeading___Toc488283_2281741623">
            <w:r>
              <w:rPr>
                <w:webHidden/>
                <w:rStyle w:val="IndexLink"/>
                <w:rtl w:val="true"/>
              </w:rPr>
              <w:t xml:space="preserve">الثانی </w:t>
            </w:r>
            <w:r>
              <w:rPr>
                <w:rStyle w:val="IndexLink"/>
                <w:rtl w:val="true"/>
              </w:rPr>
              <w:t xml:space="preserve">: </w:t>
            </w:r>
            <w:r>
              <w:rPr>
                <w:rStyle w:val="IndexLink"/>
                <w:rtl w:val="true"/>
              </w:rPr>
              <w:t xml:space="preserve">قوله تعالی </w:t>
            </w:r>
            <w:r>
              <w:rPr>
                <w:rStyle w:val="IndexLink"/>
                <w:rtl w:val="true"/>
              </w:rPr>
              <w:t xml:space="preserve">: « </w:t>
            </w:r>
            <w:r>
              <w:rPr>
                <w:rStyle w:val="IndexLink"/>
                <w:rtl w:val="true"/>
              </w:rPr>
              <w:t xml:space="preserve">یا أیّها الّذین آمنوا إنّما الخمر </w:t>
            </w:r>
            <w:r>
              <w:rPr>
                <w:rStyle w:val="IndexLink"/>
                <w:rtl w:val="true"/>
              </w:rPr>
              <w:t>... »</w:t>
              <w:tab/>
            </w:r>
            <w:r>
              <w:rPr>
                <w:rStyle w:val="IndexLink"/>
              </w:rPr>
              <w:t>68</w:t>
            </w:r>
          </w:hyperlink>
        </w:p>
        <w:p>
          <w:pPr>
            <w:pStyle w:val="Contents6"/>
            <w:tabs>
              <w:tab w:val="clear" w:pos="7609"/>
              <w:tab w:val="right" w:pos="9026" w:leader="dot"/>
            </w:tabs>
            <w:rPr/>
          </w:pPr>
          <w:hyperlink w:anchor="__RefHeading___Toc488285_2281741623">
            <w:r>
              <w:rPr>
                <w:webHidden/>
                <w:rStyle w:val="IndexLink"/>
                <w:rtl w:val="true"/>
              </w:rPr>
              <w:t xml:space="preserve">الثالث </w:t>
            </w:r>
            <w:r>
              <w:rPr>
                <w:rStyle w:val="IndexLink"/>
                <w:rtl w:val="true"/>
              </w:rPr>
              <w:t xml:space="preserve">: </w:t>
            </w:r>
            <w:r>
              <w:rPr>
                <w:rStyle w:val="IndexLink"/>
                <w:rtl w:val="true"/>
              </w:rPr>
              <w:t xml:space="preserve">جملة من الأخبار و هی علی أصناف </w:t>
            </w:r>
            <w:r>
              <w:rPr>
                <w:rStyle w:val="IndexLink"/>
                <w:rtl w:val="true"/>
              </w:rPr>
              <w:t>:</w:t>
              <w:tab/>
            </w:r>
            <w:r>
              <w:rPr>
                <w:rStyle w:val="IndexLink"/>
              </w:rPr>
              <w:t>72</w:t>
            </w:r>
          </w:hyperlink>
        </w:p>
        <w:p>
          <w:pPr>
            <w:pStyle w:val="Contents6"/>
            <w:tabs>
              <w:tab w:val="clear" w:pos="7609"/>
              <w:tab w:val="right" w:pos="9026" w:leader="dot"/>
            </w:tabs>
            <w:rPr/>
          </w:pPr>
          <w:hyperlink w:anchor="__RefHeading___Toc488287_2281741623">
            <w:r>
              <w:rPr>
                <w:webHidden/>
                <w:rStyle w:val="IndexLink"/>
                <w:rtl w:val="true"/>
              </w:rPr>
              <w:t xml:space="preserve">تقسیم الأخبار إلی أصناف </w:t>
            </w:r>
            <w:r>
              <w:rPr>
                <w:rStyle w:val="IndexLink"/>
                <w:rtl w:val="true"/>
              </w:rPr>
              <w:t>:</w:t>
              <w:tab/>
            </w:r>
            <w:r>
              <w:rPr>
                <w:rStyle w:val="IndexLink"/>
              </w:rPr>
              <w:t>72</w:t>
            </w:r>
          </w:hyperlink>
        </w:p>
        <w:p>
          <w:pPr>
            <w:pStyle w:val="Contents6"/>
            <w:tabs>
              <w:tab w:val="clear" w:pos="7609"/>
              <w:tab w:val="right" w:pos="9026" w:leader="dot"/>
            </w:tabs>
            <w:rPr/>
          </w:pPr>
          <w:hyperlink w:anchor="__RefHeading___Toc488289_2281741623">
            <w:r>
              <w:rPr>
                <w:webHidden/>
                <w:rStyle w:val="IndexLink"/>
                <w:rtl w:val="true"/>
              </w:rPr>
              <w:t xml:space="preserve">أوّلها </w:t>
            </w:r>
            <w:r>
              <w:rPr>
                <w:rStyle w:val="IndexLink"/>
                <w:rtl w:val="true"/>
              </w:rPr>
              <w:t xml:space="preserve">: </w:t>
            </w:r>
            <w:r>
              <w:rPr>
                <w:rStyle w:val="IndexLink"/>
                <w:rtl w:val="true"/>
              </w:rPr>
              <w:t>الأخبار الواردة فی باقی المسکرات</w:t>
            </w:r>
            <w:r>
              <w:rPr>
                <w:rStyle w:val="IndexLink"/>
                <w:rtl w:val="true"/>
              </w:rPr>
              <w:tab/>
            </w:r>
            <w:r>
              <w:rPr>
                <w:rStyle w:val="IndexLink"/>
              </w:rPr>
              <w:t>72</w:t>
            </w:r>
          </w:hyperlink>
        </w:p>
        <w:p>
          <w:pPr>
            <w:pStyle w:val="Contents6"/>
            <w:tabs>
              <w:tab w:val="clear" w:pos="7609"/>
              <w:tab w:val="right" w:pos="9026" w:leader="dot"/>
            </w:tabs>
            <w:rPr/>
          </w:pPr>
          <w:hyperlink w:anchor="__RefHeading___Toc488291_2281741623">
            <w:r>
              <w:rPr>
                <w:webHidden/>
                <w:rStyle w:val="IndexLink"/>
                <w:rtl w:val="true"/>
              </w:rPr>
              <w:t xml:space="preserve">ثانیها </w:t>
            </w:r>
            <w:r>
              <w:rPr>
                <w:rStyle w:val="IndexLink"/>
                <w:rtl w:val="true"/>
              </w:rPr>
              <w:t xml:space="preserve">: </w:t>
            </w:r>
            <w:r>
              <w:rPr>
                <w:rStyle w:val="IndexLink"/>
                <w:rtl w:val="true"/>
              </w:rPr>
              <w:t>الأخبار الواردة فی أنّها بمنزلة المیتة</w:t>
            </w:r>
            <w:r>
              <w:rPr>
                <w:rStyle w:val="IndexLink"/>
                <w:rtl w:val="true"/>
              </w:rPr>
              <w:tab/>
            </w:r>
            <w:r>
              <w:rPr>
                <w:rStyle w:val="IndexLink"/>
              </w:rPr>
              <w:t>73</w:t>
            </w:r>
          </w:hyperlink>
        </w:p>
        <w:p>
          <w:pPr>
            <w:pStyle w:val="Contents6"/>
            <w:tabs>
              <w:tab w:val="clear" w:pos="7609"/>
              <w:tab w:val="right" w:pos="9026" w:leader="dot"/>
            </w:tabs>
            <w:rPr/>
          </w:pPr>
          <w:hyperlink w:anchor="__RefHeading___Toc488293_2281741623">
            <w:r>
              <w:rPr>
                <w:webHidden/>
                <w:rStyle w:val="IndexLink"/>
                <w:rtl w:val="true"/>
              </w:rPr>
              <w:t xml:space="preserve">ثالثها </w:t>
            </w:r>
            <w:r>
              <w:rPr>
                <w:rStyle w:val="IndexLink"/>
                <w:rtl w:val="true"/>
              </w:rPr>
              <w:t xml:space="preserve">: </w:t>
            </w:r>
            <w:r>
              <w:rPr>
                <w:rStyle w:val="IndexLink"/>
                <w:rtl w:val="true"/>
              </w:rPr>
              <w:t>الأخبار الواردة فی منع جمیع الإستعمالات المناسبة لکونها نجسة</w:t>
            </w:r>
            <w:r>
              <w:rPr>
                <w:rStyle w:val="IndexLink"/>
                <w:rtl w:val="true"/>
              </w:rPr>
              <w:tab/>
            </w:r>
            <w:r>
              <w:rPr>
                <w:rStyle w:val="IndexLink"/>
              </w:rPr>
              <w:t>73</w:t>
            </w:r>
          </w:hyperlink>
        </w:p>
        <w:p>
          <w:pPr>
            <w:pStyle w:val="Contents6"/>
            <w:tabs>
              <w:tab w:val="clear" w:pos="7609"/>
              <w:tab w:val="right" w:pos="9026" w:leader="dot"/>
            </w:tabs>
            <w:rPr/>
          </w:pPr>
          <w:hyperlink w:anchor="__RefHeading___Toc488295_2281741623">
            <w:r>
              <w:rPr>
                <w:webHidden/>
                <w:rStyle w:val="IndexLink"/>
                <w:rtl w:val="true"/>
              </w:rPr>
              <w:t xml:space="preserve">رابعها </w:t>
            </w:r>
            <w:r>
              <w:rPr>
                <w:rStyle w:val="IndexLink"/>
                <w:rtl w:val="true"/>
              </w:rPr>
              <w:t xml:space="preserve">: </w:t>
            </w:r>
            <w:r>
              <w:rPr>
                <w:rStyle w:val="IndexLink"/>
                <w:rtl w:val="true"/>
              </w:rPr>
              <w:t>الأخبار الواردة فی وجوب نزح البئر إذا وقع فیها الخمر</w:t>
            </w:r>
            <w:r>
              <w:rPr>
                <w:rStyle w:val="IndexLink"/>
                <w:rtl w:val="true"/>
              </w:rPr>
              <w:tab/>
            </w:r>
            <w:r>
              <w:rPr>
                <w:rStyle w:val="IndexLink"/>
              </w:rPr>
              <w:t>74</w:t>
            </w:r>
          </w:hyperlink>
        </w:p>
        <w:p>
          <w:pPr>
            <w:pStyle w:val="Contents6"/>
            <w:tabs>
              <w:tab w:val="clear" w:pos="7609"/>
              <w:tab w:val="right" w:pos="9026" w:leader="dot"/>
            </w:tabs>
            <w:rPr/>
          </w:pPr>
          <w:hyperlink w:anchor="__RefHeading___Toc488297_2281741623">
            <w:r>
              <w:rPr>
                <w:webHidden/>
                <w:rStyle w:val="IndexLink"/>
                <w:rtl w:val="true"/>
              </w:rPr>
              <w:t xml:space="preserve">خامسها </w:t>
            </w:r>
            <w:r>
              <w:rPr>
                <w:rStyle w:val="IndexLink"/>
                <w:rtl w:val="true"/>
              </w:rPr>
              <w:t xml:space="preserve">: </w:t>
            </w:r>
            <w:r>
              <w:rPr>
                <w:rStyle w:val="IndexLink"/>
                <w:rtl w:val="true"/>
              </w:rPr>
              <w:t>بعض الأخبار المقرّرة لنجاستها</w:t>
            </w:r>
            <w:r>
              <w:rPr>
                <w:rStyle w:val="IndexLink"/>
                <w:rtl w:val="true"/>
              </w:rPr>
              <w:tab/>
            </w:r>
            <w:r>
              <w:rPr>
                <w:rStyle w:val="IndexLink"/>
              </w:rPr>
              <w:t>74</w:t>
            </w:r>
          </w:hyperlink>
        </w:p>
        <w:p>
          <w:pPr>
            <w:pStyle w:val="Contents6"/>
            <w:tabs>
              <w:tab w:val="clear" w:pos="7609"/>
              <w:tab w:val="right" w:pos="9026" w:leader="dot"/>
            </w:tabs>
            <w:rPr/>
          </w:pPr>
          <w:hyperlink w:anchor="__RefHeading___Toc488299_2281741623">
            <w:r>
              <w:rPr>
                <w:webHidden/>
                <w:rStyle w:val="IndexLink"/>
                <w:rtl w:val="true"/>
              </w:rPr>
              <w:t xml:space="preserve">سادسها </w:t>
            </w:r>
            <w:r>
              <w:rPr>
                <w:rStyle w:val="IndexLink"/>
                <w:rtl w:val="true"/>
              </w:rPr>
              <w:t xml:space="preserve">: </w:t>
            </w:r>
            <w:r>
              <w:rPr>
                <w:rStyle w:val="IndexLink"/>
                <w:rtl w:val="true"/>
              </w:rPr>
              <w:t>الأخبار المصرّحة لها بالنجاسة أو الظاهرة منها ذلک</w:t>
            </w:r>
            <w:r>
              <w:rPr>
                <w:rStyle w:val="IndexLink"/>
                <w:rtl w:val="true"/>
              </w:rPr>
              <w:tab/>
            </w:r>
            <w:r>
              <w:rPr>
                <w:rStyle w:val="IndexLink"/>
              </w:rPr>
              <w:t>75</w:t>
            </w:r>
          </w:hyperlink>
        </w:p>
        <w:p>
          <w:pPr>
            <w:pStyle w:val="Contents6"/>
            <w:tabs>
              <w:tab w:val="clear" w:pos="7609"/>
              <w:tab w:val="right" w:pos="9026" w:leader="dot"/>
            </w:tabs>
            <w:rPr/>
          </w:pPr>
          <w:hyperlink w:anchor="__RefHeading___Toc488301_228174162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488303_2281741623">
            <w:r>
              <w:rPr>
                <w:webHidden/>
                <w:rStyle w:val="IndexLink"/>
                <w:rtl w:val="true"/>
              </w:rPr>
              <w:t xml:space="preserve">فمنها </w:t>
            </w:r>
            <w:r>
              <w:rPr>
                <w:rStyle w:val="IndexLink"/>
                <w:rtl w:val="true"/>
              </w:rPr>
              <w:t xml:space="preserve">: </w:t>
            </w:r>
            <w:r>
              <w:rPr>
                <w:rStyle w:val="IndexLink"/>
                <w:rtl w:val="true"/>
              </w:rPr>
              <w:t>الصحیح المرویّ عن علیّ بن مهزیار</w:t>
            </w:r>
            <w:r>
              <w:rPr>
                <w:rStyle w:val="IndexLink"/>
                <w:rtl w:val="true"/>
              </w:rPr>
              <w:tab/>
            </w:r>
            <w:r>
              <w:rPr>
                <w:rStyle w:val="IndexLink"/>
              </w:rPr>
              <w:t>75</w:t>
            </w:r>
          </w:hyperlink>
        </w:p>
        <w:p>
          <w:pPr>
            <w:pStyle w:val="Contents6"/>
            <w:tabs>
              <w:tab w:val="clear" w:pos="7609"/>
              <w:tab w:val="right" w:pos="9026" w:leader="dot"/>
            </w:tabs>
            <w:rPr/>
          </w:pPr>
          <w:hyperlink w:anchor="__RefHeading___Toc488305_2281741623">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488307_2281741623">
            <w:r>
              <w:rPr>
                <w:webHidden/>
                <w:rStyle w:val="IndexLink"/>
                <w:rtl w:val="true"/>
              </w:rPr>
              <w:t xml:space="preserve">الکلام فی سند الحدیث </w:t>
            </w:r>
            <w:r>
              <w:rPr>
                <w:rStyle w:val="IndexLink"/>
                <w:rtl w:val="true"/>
              </w:rPr>
              <w:t>:</w:t>
              <w:tab/>
            </w:r>
            <w:r>
              <w:rPr>
                <w:rStyle w:val="IndexLink"/>
              </w:rPr>
              <w:t>75</w:t>
            </w:r>
          </w:hyperlink>
        </w:p>
        <w:p>
          <w:pPr>
            <w:pStyle w:val="Contents6"/>
            <w:tabs>
              <w:tab w:val="clear" w:pos="7609"/>
              <w:tab w:val="right" w:pos="9026" w:leader="dot"/>
            </w:tabs>
            <w:rPr/>
          </w:pPr>
          <w:hyperlink w:anchor="__RefHeading___Toc488309_2281741623">
            <w:r>
              <w:rPr>
                <w:webHidden/>
                <w:rStyle w:val="IndexLink"/>
                <w:rtl w:val="true"/>
              </w:rPr>
              <w:t xml:space="preserve">الکلام فی دلالة الحدیث </w:t>
            </w:r>
            <w:r>
              <w:rPr>
                <w:rStyle w:val="IndexLink"/>
                <w:rtl w:val="true"/>
              </w:rPr>
              <w:t>:</w:t>
              <w:tab/>
            </w:r>
            <w:r>
              <w:rPr>
                <w:rStyle w:val="IndexLink"/>
              </w:rPr>
              <w:t>78</w:t>
            </w:r>
          </w:hyperlink>
        </w:p>
        <w:p>
          <w:pPr>
            <w:pStyle w:val="Contents6"/>
            <w:tabs>
              <w:tab w:val="clear" w:pos="7609"/>
              <w:tab w:val="right" w:pos="9026" w:leader="dot"/>
            </w:tabs>
            <w:rPr/>
          </w:pPr>
          <w:hyperlink w:anchor="__RefHeading___Toc488311_2281741623">
            <w:r>
              <w:rPr>
                <w:webHidden/>
                <w:rStyle w:val="IndexLink"/>
                <w:rtl w:val="true"/>
              </w:rPr>
              <w:t xml:space="preserve">و منها </w:t>
            </w:r>
            <w:r>
              <w:rPr>
                <w:rStyle w:val="IndexLink"/>
                <w:rtl w:val="true"/>
              </w:rPr>
              <w:t xml:space="preserve">: </w:t>
            </w:r>
            <w:r>
              <w:rPr>
                <w:rStyle w:val="IndexLink"/>
                <w:rtl w:val="true"/>
              </w:rPr>
              <w:t>الخبر المرویّ عن خیران الخادم</w:t>
            </w:r>
            <w:r>
              <w:rPr>
                <w:rStyle w:val="IndexLink"/>
                <w:rtl w:val="true"/>
              </w:rPr>
              <w:tab/>
            </w:r>
            <w:r>
              <w:rPr>
                <w:rStyle w:val="IndexLink"/>
              </w:rPr>
              <w:t>79</w:t>
            </w:r>
          </w:hyperlink>
        </w:p>
        <w:p>
          <w:pPr>
            <w:pStyle w:val="Contents6"/>
            <w:tabs>
              <w:tab w:val="clear" w:pos="7609"/>
              <w:tab w:val="right" w:pos="9026" w:leader="dot"/>
            </w:tabs>
            <w:rPr/>
          </w:pPr>
          <w:hyperlink w:anchor="__RefHeading___Toc488313_2281741623">
            <w:r>
              <w:rPr>
                <w:webHidden/>
                <w:rStyle w:val="IndexLink"/>
                <w:rtl w:val="true"/>
              </w:rPr>
              <w:t>اشارة</w:t>
            </w:r>
            <w:r>
              <w:rPr>
                <w:rStyle w:val="IndexLink"/>
                <w:rtl w:val="true"/>
              </w:rPr>
              <w:tab/>
            </w:r>
            <w:r>
              <w:rPr>
                <w:rStyle w:val="IndexLink"/>
              </w:rPr>
              <w:t>79</w:t>
            </w:r>
          </w:hyperlink>
        </w:p>
        <w:p>
          <w:pPr>
            <w:pStyle w:val="Contents6"/>
            <w:tabs>
              <w:tab w:val="clear" w:pos="7609"/>
              <w:tab w:val="right" w:pos="9026" w:leader="dot"/>
            </w:tabs>
            <w:rPr/>
          </w:pPr>
          <w:hyperlink w:anchor="__RefHeading___Toc488315_2281741623">
            <w:r>
              <w:rPr>
                <w:webHidden/>
                <w:rStyle w:val="IndexLink"/>
                <w:rtl w:val="true"/>
              </w:rPr>
              <w:t xml:space="preserve">الکلام فی سند الحدیث </w:t>
            </w:r>
            <w:r>
              <w:rPr>
                <w:rStyle w:val="IndexLink"/>
                <w:rtl w:val="true"/>
              </w:rPr>
              <w:t>:</w:t>
              <w:tab/>
            </w:r>
            <w:r>
              <w:rPr>
                <w:rStyle w:val="IndexLink"/>
              </w:rPr>
              <w:t>79</w:t>
            </w:r>
          </w:hyperlink>
        </w:p>
        <w:p>
          <w:pPr>
            <w:pStyle w:val="Contents6"/>
            <w:tabs>
              <w:tab w:val="clear" w:pos="7609"/>
              <w:tab w:val="right" w:pos="9026" w:leader="dot"/>
            </w:tabs>
            <w:rPr/>
          </w:pPr>
          <w:hyperlink w:anchor="__RefHeading___Toc488317_2281741623">
            <w:r>
              <w:rPr>
                <w:webHidden/>
                <w:rStyle w:val="IndexLink"/>
                <w:rtl w:val="true"/>
              </w:rPr>
              <w:t xml:space="preserve">تحقیق الحال فی سهل بن زیاد الآدمی </w:t>
            </w:r>
            <w:r>
              <w:rPr>
                <w:rStyle w:val="IndexLink"/>
                <w:rtl w:val="true"/>
              </w:rPr>
              <w:t>:</w:t>
              <w:tab/>
            </w:r>
            <w:r>
              <w:rPr>
                <w:rStyle w:val="IndexLink"/>
              </w:rPr>
              <w:t>88</w:t>
            </w:r>
          </w:hyperlink>
        </w:p>
        <w:p>
          <w:pPr>
            <w:pStyle w:val="Contents6"/>
            <w:tabs>
              <w:tab w:val="clear" w:pos="7609"/>
              <w:tab w:val="right" w:pos="9026" w:leader="dot"/>
            </w:tabs>
            <w:rPr/>
          </w:pPr>
          <w:hyperlink w:anchor="__RefHeading___Toc488319_2281741623">
            <w:r>
              <w:rPr>
                <w:webHidden/>
                <w:rStyle w:val="IndexLink"/>
                <w:rtl w:val="true"/>
              </w:rPr>
              <w:t>تحقیق المؤلّف حول الوجوه القادحة منه و ردّها</w:t>
            </w:r>
            <w:r>
              <w:rPr>
                <w:rStyle w:val="IndexLink"/>
                <w:rtl w:val="true"/>
              </w:rPr>
              <w:tab/>
            </w:r>
            <w:r>
              <w:rPr>
                <w:rStyle w:val="IndexLink"/>
              </w:rPr>
              <w:t>96</w:t>
            </w:r>
          </w:hyperlink>
        </w:p>
        <w:p>
          <w:pPr>
            <w:pStyle w:val="Contents6"/>
            <w:tabs>
              <w:tab w:val="clear" w:pos="7609"/>
              <w:tab w:val="right" w:pos="9026" w:leader="dot"/>
            </w:tabs>
            <w:rPr/>
          </w:pPr>
          <w:hyperlink w:anchor="__RefHeading___Toc488321_2281741623">
            <w:r>
              <w:rPr>
                <w:webHidden/>
                <w:rStyle w:val="IndexLink"/>
                <w:rtl w:val="true"/>
              </w:rPr>
              <w:t>ذکر الروایات الواردة عنه</w:t>
            </w:r>
            <w:r>
              <w:rPr>
                <w:rStyle w:val="IndexLink"/>
                <w:rtl w:val="true"/>
              </w:rPr>
              <w:tab/>
            </w:r>
            <w:r>
              <w:rPr>
                <w:rStyle w:val="IndexLink"/>
              </w:rPr>
              <w:t>104</w:t>
            </w:r>
          </w:hyperlink>
        </w:p>
        <w:p>
          <w:pPr>
            <w:pStyle w:val="Contents6"/>
            <w:tabs>
              <w:tab w:val="clear" w:pos="7609"/>
              <w:tab w:val="right" w:pos="9026" w:leader="dot"/>
            </w:tabs>
            <w:rPr/>
          </w:pPr>
          <w:hyperlink w:anchor="__RefHeading___Toc488323_2281741623">
            <w:r>
              <w:rPr>
                <w:webHidden/>
                <w:rStyle w:val="IndexLink"/>
                <w:rtl w:val="true"/>
              </w:rPr>
              <w:t>الإستدلال لتوثیقه بأمور والمناقشة فی بعضها</w:t>
            </w:r>
            <w:r>
              <w:rPr>
                <w:rStyle w:val="IndexLink"/>
                <w:rtl w:val="true"/>
              </w:rPr>
              <w:tab/>
            </w:r>
            <w:r>
              <w:rPr>
                <w:rStyle w:val="IndexLink"/>
              </w:rPr>
              <w:t>110</w:t>
            </w:r>
          </w:hyperlink>
        </w:p>
        <w:p>
          <w:pPr>
            <w:pStyle w:val="Contents6"/>
            <w:tabs>
              <w:tab w:val="clear" w:pos="7609"/>
              <w:tab w:val="right" w:pos="9026" w:leader="dot"/>
            </w:tabs>
            <w:rPr/>
          </w:pPr>
          <w:hyperlink w:anchor="__RefHeading___Toc488325_2281741623">
            <w:r>
              <w:rPr>
                <w:webHidden/>
                <w:rStyle w:val="IndexLink"/>
                <w:rtl w:val="true"/>
              </w:rPr>
              <w:t>رأی المؤلّف فیه</w:t>
            </w:r>
            <w:r>
              <w:rPr>
                <w:rStyle w:val="IndexLink"/>
                <w:rtl w:val="true"/>
              </w:rPr>
              <w:tab/>
            </w:r>
            <w:r>
              <w:rPr>
                <w:rStyle w:val="IndexLink"/>
              </w:rPr>
              <w:t>115</w:t>
            </w:r>
          </w:hyperlink>
        </w:p>
        <w:p>
          <w:pPr>
            <w:pStyle w:val="Contents6"/>
            <w:tabs>
              <w:tab w:val="clear" w:pos="7609"/>
              <w:tab w:val="right" w:pos="9026" w:leader="dot"/>
            </w:tabs>
            <w:rPr/>
          </w:pPr>
          <w:hyperlink w:anchor="__RefHeading___Toc488327_2281741623">
            <w:r>
              <w:rPr>
                <w:webHidden/>
                <w:rStyle w:val="IndexLink"/>
                <w:rtl w:val="true"/>
              </w:rPr>
              <w:t xml:space="preserve">تحقیق الحال فی خیران الخادم </w:t>
            </w:r>
            <w:r>
              <w:rPr>
                <w:rStyle w:val="IndexLink"/>
                <w:rtl w:val="true"/>
              </w:rPr>
              <w:t>:</w:t>
              <w:tab/>
            </w:r>
            <w:r>
              <w:rPr>
                <w:rStyle w:val="IndexLink"/>
              </w:rPr>
              <w:t>115</w:t>
            </w:r>
          </w:hyperlink>
        </w:p>
        <w:p>
          <w:pPr>
            <w:pStyle w:val="Contents6"/>
            <w:tabs>
              <w:tab w:val="clear" w:pos="7609"/>
              <w:tab w:val="right" w:pos="9026" w:leader="dot"/>
            </w:tabs>
            <w:rPr/>
          </w:pPr>
          <w:hyperlink w:anchor="__RefHeading___Toc488329_2281741623">
            <w:r>
              <w:rPr>
                <w:webHidden/>
                <w:rStyle w:val="IndexLink"/>
                <w:rtl w:val="true"/>
              </w:rPr>
              <w:t xml:space="preserve">الکلام فی دلالة الحدیث </w:t>
            </w:r>
            <w:r>
              <w:rPr>
                <w:rStyle w:val="IndexLink"/>
                <w:rtl w:val="true"/>
              </w:rPr>
              <w:t>:</w:t>
              <w:tab/>
            </w:r>
            <w:r>
              <w:rPr>
                <w:rStyle w:val="IndexLink"/>
              </w:rPr>
              <w:t>117</w:t>
            </w:r>
          </w:hyperlink>
        </w:p>
        <w:p>
          <w:pPr>
            <w:pStyle w:val="Contents6"/>
            <w:tabs>
              <w:tab w:val="clear" w:pos="7609"/>
              <w:tab w:val="right" w:pos="9026" w:leader="dot"/>
            </w:tabs>
            <w:rPr/>
          </w:pPr>
          <w:hyperlink w:anchor="__RefHeading___Toc488331_2281741623">
            <w:r>
              <w:rPr>
                <w:webHidden/>
                <w:rStyle w:val="IndexLink"/>
                <w:rtl w:val="true"/>
              </w:rPr>
              <w:t xml:space="preserve">و منها </w:t>
            </w:r>
            <w:r>
              <w:rPr>
                <w:rStyle w:val="IndexLink"/>
                <w:rtl w:val="true"/>
              </w:rPr>
              <w:t xml:space="preserve">: </w:t>
            </w:r>
            <w:r>
              <w:rPr>
                <w:rStyle w:val="IndexLink"/>
                <w:rtl w:val="true"/>
              </w:rPr>
              <w:t>الخبر المرویّ عن عمّار بن موسی</w:t>
            </w:r>
            <w:r>
              <w:rPr>
                <w:rStyle w:val="IndexLink"/>
                <w:rtl w:val="true"/>
              </w:rPr>
              <w:tab/>
            </w:r>
            <w:r>
              <w:rPr>
                <w:rStyle w:val="IndexLink"/>
              </w:rPr>
              <w:t>119</w:t>
            </w:r>
          </w:hyperlink>
        </w:p>
        <w:p>
          <w:pPr>
            <w:pStyle w:val="Contents6"/>
            <w:tabs>
              <w:tab w:val="clear" w:pos="7609"/>
              <w:tab w:val="right" w:pos="9026" w:leader="dot"/>
            </w:tabs>
            <w:rPr/>
          </w:pPr>
          <w:hyperlink w:anchor="__RefHeading___Toc488333_2281741623">
            <w:r>
              <w:rPr>
                <w:webHidden/>
                <w:rStyle w:val="IndexLink"/>
                <w:rtl w:val="true"/>
              </w:rPr>
              <w:t>اشارة</w:t>
            </w:r>
            <w:r>
              <w:rPr>
                <w:rStyle w:val="IndexLink"/>
                <w:rtl w:val="true"/>
              </w:rPr>
              <w:tab/>
            </w:r>
            <w:r>
              <w:rPr>
                <w:rStyle w:val="IndexLink"/>
              </w:rPr>
              <w:t>119</w:t>
            </w:r>
          </w:hyperlink>
        </w:p>
        <w:p>
          <w:pPr>
            <w:pStyle w:val="Contents6"/>
            <w:tabs>
              <w:tab w:val="clear" w:pos="7609"/>
              <w:tab w:val="right" w:pos="9026" w:leader="dot"/>
            </w:tabs>
            <w:rPr/>
          </w:pPr>
          <w:hyperlink w:anchor="__RefHeading___Toc488335_2281741623">
            <w:r>
              <w:rPr>
                <w:webHidden/>
                <w:rStyle w:val="IndexLink"/>
                <w:rtl w:val="true"/>
              </w:rPr>
              <w:t xml:space="preserve">الکلام فی سند الحدیث </w:t>
            </w:r>
            <w:r>
              <w:rPr>
                <w:rStyle w:val="IndexLink"/>
                <w:rtl w:val="true"/>
              </w:rPr>
              <w:t>:</w:t>
              <w:tab/>
            </w:r>
            <w:r>
              <w:rPr>
                <w:rStyle w:val="IndexLink"/>
              </w:rPr>
              <w:t>120</w:t>
            </w:r>
          </w:hyperlink>
        </w:p>
        <w:p>
          <w:pPr>
            <w:pStyle w:val="Contents6"/>
            <w:tabs>
              <w:tab w:val="clear" w:pos="7609"/>
              <w:tab w:val="right" w:pos="9026" w:leader="dot"/>
            </w:tabs>
            <w:rPr/>
          </w:pPr>
          <w:hyperlink w:anchor="__RefHeading___Toc488337_2281741623">
            <w:r>
              <w:rPr>
                <w:webHidden/>
                <w:rStyle w:val="IndexLink"/>
                <w:rtl w:val="true"/>
              </w:rPr>
              <w:t xml:space="preserve">الکلام فی دلالة الحدیث </w:t>
            </w:r>
            <w:r>
              <w:rPr>
                <w:rStyle w:val="IndexLink"/>
                <w:rtl w:val="true"/>
              </w:rPr>
              <w:t>:</w:t>
              <w:tab/>
            </w:r>
            <w:r>
              <w:rPr>
                <w:rStyle w:val="IndexLink"/>
              </w:rPr>
              <w:t>124</w:t>
            </w:r>
          </w:hyperlink>
        </w:p>
        <w:p>
          <w:pPr>
            <w:pStyle w:val="Contents6"/>
            <w:tabs>
              <w:tab w:val="clear" w:pos="7609"/>
              <w:tab w:val="right" w:pos="9026" w:leader="dot"/>
            </w:tabs>
            <w:rPr/>
          </w:pPr>
          <w:hyperlink w:anchor="__RefHeading___Toc488339_2281741623">
            <w:r>
              <w:rPr>
                <w:webHidden/>
                <w:rStyle w:val="IndexLink"/>
                <w:rtl w:val="true"/>
              </w:rPr>
              <w:t xml:space="preserve">و منها </w:t>
            </w:r>
            <w:r>
              <w:rPr>
                <w:rStyle w:val="IndexLink"/>
                <w:rtl w:val="true"/>
              </w:rPr>
              <w:t xml:space="preserve">: </w:t>
            </w:r>
            <w:r>
              <w:rPr>
                <w:rStyle w:val="IndexLink"/>
                <w:rtl w:val="true"/>
              </w:rPr>
              <w:t>ما رواه فی الإستبصار</w:t>
            </w:r>
            <w:r>
              <w:rPr>
                <w:rStyle w:val="IndexLink"/>
                <w:rtl w:val="true"/>
              </w:rPr>
              <w:tab/>
            </w:r>
            <w:r>
              <w:rPr>
                <w:rStyle w:val="IndexLink"/>
              </w:rPr>
              <w:t>124</w:t>
            </w:r>
          </w:hyperlink>
        </w:p>
        <w:p>
          <w:pPr>
            <w:pStyle w:val="Contents6"/>
            <w:tabs>
              <w:tab w:val="clear" w:pos="7609"/>
              <w:tab w:val="right" w:pos="9026" w:leader="dot"/>
            </w:tabs>
            <w:rPr/>
          </w:pPr>
          <w:hyperlink w:anchor="__RefHeading___Toc488341_2281741623">
            <w:r>
              <w:rPr>
                <w:webHidden/>
                <w:rStyle w:val="IndexLink"/>
                <w:rtl w:val="true"/>
              </w:rPr>
              <w:t xml:space="preserve">و منها </w:t>
            </w:r>
            <w:r>
              <w:rPr>
                <w:rStyle w:val="IndexLink"/>
                <w:rtl w:val="true"/>
              </w:rPr>
              <w:t xml:space="preserve">: </w:t>
            </w:r>
            <w:r>
              <w:rPr>
                <w:rStyle w:val="IndexLink"/>
                <w:rtl w:val="true"/>
              </w:rPr>
              <w:t>ما رواه فی الکافی</w:t>
            </w:r>
            <w:r>
              <w:rPr>
                <w:rStyle w:val="IndexLink"/>
                <w:rtl w:val="true"/>
              </w:rPr>
              <w:tab/>
            </w:r>
            <w:r>
              <w:rPr>
                <w:rStyle w:val="IndexLink"/>
              </w:rPr>
              <w:t>125</w:t>
            </w:r>
          </w:hyperlink>
        </w:p>
        <w:p>
          <w:pPr>
            <w:pStyle w:val="Contents6"/>
            <w:tabs>
              <w:tab w:val="clear" w:pos="7609"/>
              <w:tab w:val="right" w:pos="9026" w:leader="dot"/>
            </w:tabs>
            <w:rPr/>
          </w:pPr>
          <w:hyperlink w:anchor="__RefHeading___Toc488343_2281741623">
            <w:r>
              <w:rPr>
                <w:webHidden/>
                <w:rStyle w:val="IndexLink"/>
                <w:rtl w:val="true"/>
              </w:rPr>
              <w:t>اشارة</w:t>
            </w:r>
            <w:r>
              <w:rPr>
                <w:rStyle w:val="IndexLink"/>
                <w:rtl w:val="true"/>
              </w:rPr>
              <w:tab/>
            </w:r>
            <w:r>
              <w:rPr>
                <w:rStyle w:val="IndexLink"/>
              </w:rPr>
              <w:t>125</w:t>
            </w:r>
          </w:hyperlink>
        </w:p>
        <w:p>
          <w:pPr>
            <w:pStyle w:val="Contents6"/>
            <w:tabs>
              <w:tab w:val="clear" w:pos="7609"/>
              <w:tab w:val="right" w:pos="9026" w:leader="dot"/>
            </w:tabs>
            <w:rPr/>
          </w:pPr>
          <w:hyperlink w:anchor="__RefHeading___Toc488345_2281741623">
            <w:r>
              <w:rPr>
                <w:webHidden/>
                <w:rStyle w:val="IndexLink"/>
                <w:rtl w:val="true"/>
              </w:rPr>
              <w:t xml:space="preserve">الکلام فی سند الحدیث </w:t>
            </w:r>
            <w:r>
              <w:rPr>
                <w:rStyle w:val="IndexLink"/>
                <w:rtl w:val="true"/>
              </w:rPr>
              <w:t>:</w:t>
              <w:tab/>
            </w:r>
            <w:r>
              <w:rPr>
                <w:rStyle w:val="IndexLink"/>
              </w:rPr>
              <w:t>126</w:t>
            </w:r>
          </w:hyperlink>
        </w:p>
        <w:p>
          <w:pPr>
            <w:pStyle w:val="Contents6"/>
            <w:tabs>
              <w:tab w:val="clear" w:pos="7609"/>
              <w:tab w:val="right" w:pos="9026" w:leader="dot"/>
            </w:tabs>
            <w:rPr/>
          </w:pPr>
          <w:hyperlink w:anchor="__RefHeading___Toc488347_2281741623">
            <w:r>
              <w:rPr>
                <w:webHidden/>
                <w:rStyle w:val="IndexLink"/>
                <w:rtl w:val="true"/>
              </w:rPr>
              <w:t xml:space="preserve">و منها </w:t>
            </w:r>
            <w:r>
              <w:rPr>
                <w:rStyle w:val="IndexLink"/>
                <w:rtl w:val="true"/>
              </w:rPr>
              <w:t xml:space="preserve">: </w:t>
            </w:r>
            <w:r>
              <w:rPr>
                <w:rStyle w:val="IndexLink"/>
                <w:rtl w:val="true"/>
              </w:rPr>
              <w:t>الخبر الوارد فی الفقّاع</w:t>
            </w:r>
            <w:r>
              <w:rPr>
                <w:rStyle w:val="IndexLink"/>
                <w:rtl w:val="true"/>
              </w:rPr>
              <w:tab/>
            </w:r>
            <w:r>
              <w:rPr>
                <w:rStyle w:val="IndexLink"/>
              </w:rPr>
              <w:t>127</w:t>
            </w:r>
          </w:hyperlink>
        </w:p>
        <w:p>
          <w:pPr>
            <w:pStyle w:val="Contents6"/>
            <w:tabs>
              <w:tab w:val="clear" w:pos="7609"/>
              <w:tab w:val="right" w:pos="9026" w:leader="dot"/>
            </w:tabs>
            <w:rPr/>
          </w:pPr>
          <w:hyperlink w:anchor="__RefHeading___Toc488349_2281741623">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488351_2281741623">
            <w:r>
              <w:rPr>
                <w:webHidden/>
                <w:rStyle w:val="IndexLink"/>
                <w:rtl w:val="true"/>
              </w:rPr>
              <w:t>وجه الإستدلال به</w:t>
            </w:r>
            <w:r>
              <w:rPr>
                <w:rStyle w:val="IndexLink"/>
                <w:rtl w:val="true"/>
              </w:rPr>
              <w:tab/>
            </w:r>
            <w:r>
              <w:rPr>
                <w:rStyle w:val="IndexLink"/>
              </w:rPr>
              <w:t>127</w:t>
            </w:r>
          </w:hyperlink>
        </w:p>
        <w:p>
          <w:pPr>
            <w:pStyle w:val="Contents6"/>
            <w:tabs>
              <w:tab w:val="clear" w:pos="7609"/>
              <w:tab w:val="right" w:pos="9026" w:leader="dot"/>
            </w:tabs>
            <w:rPr/>
          </w:pPr>
          <w:hyperlink w:anchor="__RefHeading___Toc488353_2281741623">
            <w:r>
              <w:rPr>
                <w:webHidden/>
                <w:rStyle w:val="IndexLink"/>
                <w:rtl w:val="true"/>
              </w:rPr>
              <w:t xml:space="preserve">و منها </w:t>
            </w:r>
            <w:r>
              <w:rPr>
                <w:rStyle w:val="IndexLink"/>
                <w:rtl w:val="true"/>
              </w:rPr>
              <w:t xml:space="preserve">: </w:t>
            </w:r>
            <w:r>
              <w:rPr>
                <w:rStyle w:val="IndexLink"/>
                <w:rtl w:val="true"/>
              </w:rPr>
              <w:t>ما رواه فی التهذیب عن زکریّا بن آدم</w:t>
            </w:r>
            <w:r>
              <w:rPr>
                <w:rStyle w:val="IndexLink"/>
                <w:rtl w:val="true"/>
              </w:rPr>
              <w:tab/>
            </w:r>
            <w:r>
              <w:rPr>
                <w:rStyle w:val="IndexLink"/>
              </w:rPr>
              <w:t>127</w:t>
            </w:r>
          </w:hyperlink>
        </w:p>
        <w:p>
          <w:pPr>
            <w:pStyle w:val="Contents6"/>
            <w:tabs>
              <w:tab w:val="clear" w:pos="7609"/>
              <w:tab w:val="right" w:pos="9026" w:leader="dot"/>
            </w:tabs>
            <w:rPr/>
          </w:pPr>
          <w:hyperlink w:anchor="__RefHeading___Toc488355_2281741623">
            <w:r>
              <w:rPr>
                <w:webHidden/>
                <w:rStyle w:val="IndexLink"/>
                <w:rtl w:val="true"/>
              </w:rPr>
              <w:t>اشارة</w:t>
            </w:r>
            <w:r>
              <w:rPr>
                <w:rStyle w:val="IndexLink"/>
                <w:rtl w:val="true"/>
              </w:rPr>
              <w:tab/>
            </w:r>
            <w:r>
              <w:rPr>
                <w:rStyle w:val="IndexLink"/>
              </w:rPr>
              <w:t>127</w:t>
            </w:r>
          </w:hyperlink>
        </w:p>
        <w:p>
          <w:pPr>
            <w:pStyle w:val="Contents6"/>
            <w:tabs>
              <w:tab w:val="clear" w:pos="7609"/>
              <w:tab w:val="right" w:pos="9026" w:leader="dot"/>
            </w:tabs>
            <w:rPr/>
          </w:pPr>
          <w:hyperlink w:anchor="__RefHeading___Toc488357_2281741623">
            <w:r>
              <w:rPr>
                <w:webHidden/>
                <w:rStyle w:val="IndexLink"/>
                <w:rtl w:val="true"/>
              </w:rPr>
              <w:t xml:space="preserve">الکلام فی دلالة الحدیث </w:t>
            </w:r>
            <w:r>
              <w:rPr>
                <w:rStyle w:val="IndexLink"/>
                <w:rtl w:val="true"/>
              </w:rPr>
              <w:t>:</w:t>
              <w:tab/>
            </w:r>
            <w:r>
              <w:rPr>
                <w:rStyle w:val="IndexLink"/>
              </w:rPr>
              <w:t>128</w:t>
            </w:r>
          </w:hyperlink>
        </w:p>
        <w:p>
          <w:pPr>
            <w:pStyle w:val="Contents6"/>
            <w:tabs>
              <w:tab w:val="clear" w:pos="7609"/>
              <w:tab w:val="right" w:pos="9026" w:leader="dot"/>
            </w:tabs>
            <w:rPr/>
          </w:pPr>
          <w:hyperlink w:anchor="__RefHeading___Toc488359_2281741623">
            <w:r>
              <w:rPr>
                <w:webHidden/>
                <w:rStyle w:val="IndexLink"/>
                <w:rtl w:val="true"/>
              </w:rPr>
              <w:t xml:space="preserve">الإستدلال فی المقام بروایات أخر </w:t>
            </w:r>
            <w:r>
              <w:rPr>
                <w:rStyle w:val="IndexLink"/>
                <w:rtl w:val="true"/>
              </w:rPr>
              <w:t>:</w:t>
              <w:tab/>
            </w:r>
            <w:r>
              <w:rPr>
                <w:rStyle w:val="IndexLink"/>
              </w:rPr>
              <w:t>129</w:t>
            </w:r>
          </w:hyperlink>
        </w:p>
        <w:p>
          <w:pPr>
            <w:pStyle w:val="Contents6"/>
            <w:tabs>
              <w:tab w:val="clear" w:pos="7609"/>
              <w:tab w:val="right" w:pos="9026" w:leader="dot"/>
            </w:tabs>
            <w:rPr/>
          </w:pPr>
          <w:hyperlink w:anchor="__RefHeading___Toc488361_2281741623">
            <w:r>
              <w:rPr>
                <w:webHidden/>
                <w:rStyle w:val="IndexLink"/>
                <w:rtl w:val="true"/>
              </w:rPr>
              <w:t xml:space="preserve">ما یجاب عن هذه الأدلّة </w:t>
            </w:r>
            <w:r>
              <w:rPr>
                <w:rStyle w:val="IndexLink"/>
                <w:rtl w:val="true"/>
              </w:rPr>
              <w:t>:</w:t>
              <w:tab/>
            </w:r>
            <w:r>
              <w:rPr>
                <w:rStyle w:val="IndexLink"/>
              </w:rPr>
              <w:t>136</w:t>
            </w:r>
          </w:hyperlink>
        </w:p>
        <w:p>
          <w:pPr>
            <w:pStyle w:val="Contents6"/>
            <w:tabs>
              <w:tab w:val="clear" w:pos="7609"/>
              <w:tab w:val="right" w:pos="9026" w:leader="dot"/>
            </w:tabs>
            <w:rPr/>
          </w:pPr>
          <w:hyperlink w:anchor="__RefHeading___Toc488363_2281741623">
            <w:r>
              <w:rPr>
                <w:webHidden/>
                <w:rStyle w:val="IndexLink"/>
                <w:rtl w:val="true"/>
              </w:rPr>
              <w:t>الجواب عن الإجماعات المنقولة و دعوی عدم الخلاف</w:t>
            </w:r>
            <w:r>
              <w:rPr>
                <w:rStyle w:val="IndexLink"/>
                <w:rtl w:val="true"/>
              </w:rPr>
              <w:tab/>
            </w:r>
            <w:r>
              <w:rPr>
                <w:rStyle w:val="IndexLink"/>
              </w:rPr>
              <w:t>136</w:t>
            </w:r>
          </w:hyperlink>
        </w:p>
        <w:p>
          <w:pPr>
            <w:pStyle w:val="Contents6"/>
            <w:tabs>
              <w:tab w:val="clear" w:pos="7609"/>
              <w:tab w:val="right" w:pos="9026" w:leader="dot"/>
            </w:tabs>
            <w:rPr/>
          </w:pPr>
          <w:hyperlink w:anchor="__RefHeading___Toc488365_2281741623">
            <w:r>
              <w:rPr>
                <w:webHidden/>
                <w:rStyle w:val="IndexLink"/>
                <w:rtl w:val="true"/>
              </w:rPr>
              <w:t>الجواب عن الآیة</w:t>
            </w:r>
            <w:r>
              <w:rPr>
                <w:rStyle w:val="IndexLink"/>
                <w:rtl w:val="true"/>
              </w:rPr>
              <w:tab/>
            </w:r>
            <w:r>
              <w:rPr>
                <w:rStyle w:val="IndexLink"/>
              </w:rPr>
              <w:t>140</w:t>
            </w:r>
          </w:hyperlink>
        </w:p>
        <w:p>
          <w:pPr>
            <w:pStyle w:val="Contents6"/>
            <w:tabs>
              <w:tab w:val="clear" w:pos="7609"/>
              <w:tab w:val="right" w:pos="9026" w:leader="dot"/>
            </w:tabs>
            <w:rPr/>
          </w:pPr>
          <w:hyperlink w:anchor="__RefHeading___Toc488367_2281741623">
            <w:r>
              <w:rPr>
                <w:webHidden/>
                <w:rStyle w:val="IndexLink"/>
                <w:rtl w:val="true"/>
              </w:rPr>
              <w:t>الجواب عن الأخبار</w:t>
            </w:r>
            <w:r>
              <w:rPr>
                <w:rStyle w:val="IndexLink"/>
                <w:rtl w:val="true"/>
              </w:rPr>
              <w:tab/>
            </w:r>
            <w:r>
              <w:rPr>
                <w:rStyle w:val="IndexLink"/>
              </w:rPr>
              <w:t>146</w:t>
            </w:r>
          </w:hyperlink>
        </w:p>
        <w:p>
          <w:pPr>
            <w:pStyle w:val="Contents6"/>
            <w:tabs>
              <w:tab w:val="clear" w:pos="7609"/>
              <w:tab w:val="right" w:pos="9026" w:leader="dot"/>
            </w:tabs>
            <w:rPr/>
          </w:pPr>
          <w:hyperlink w:anchor="__RefHeading___Toc488369_2281741623">
            <w:r>
              <w:rPr>
                <w:webHidden/>
                <w:rStyle w:val="IndexLink"/>
                <w:rtl w:val="true"/>
              </w:rPr>
              <w:t>إیراد المؤلّف علی ما یجاب عن هذه الأدلّة</w:t>
            </w:r>
            <w:r>
              <w:rPr>
                <w:rStyle w:val="IndexLink"/>
                <w:rtl w:val="true"/>
              </w:rPr>
              <w:tab/>
            </w:r>
            <w:r>
              <w:rPr>
                <w:rStyle w:val="IndexLink"/>
              </w:rPr>
              <w:t>149</w:t>
            </w:r>
          </w:hyperlink>
        </w:p>
        <w:p>
          <w:pPr>
            <w:pStyle w:val="Contents5"/>
            <w:tabs>
              <w:tab w:val="clear" w:pos="7892"/>
              <w:tab w:val="right" w:pos="9026" w:leader="dot"/>
            </w:tabs>
            <w:rPr/>
          </w:pPr>
          <w:hyperlink w:anchor="__RefHeading___Toc488371_2281741623">
            <w:r>
              <w:rPr>
                <w:webHidden/>
                <w:rStyle w:val="IndexLink"/>
                <w:rtl w:val="true"/>
              </w:rPr>
              <w:t xml:space="preserve">القول الثانی </w:t>
            </w:r>
            <w:r>
              <w:rPr>
                <w:rStyle w:val="IndexLink"/>
                <w:rtl w:val="true"/>
              </w:rPr>
              <w:t xml:space="preserve">: </w:t>
            </w:r>
            <w:r>
              <w:rPr>
                <w:rStyle w:val="IndexLink"/>
                <w:rtl w:val="true"/>
              </w:rPr>
              <w:t>طهارة الخمر</w:t>
            </w:r>
            <w:r>
              <w:rPr>
                <w:rStyle w:val="IndexLink"/>
                <w:rtl w:val="true"/>
              </w:rPr>
              <w:tab/>
            </w:r>
            <w:r>
              <w:rPr>
                <w:rStyle w:val="IndexLink"/>
              </w:rPr>
              <w:t>158</w:t>
            </w:r>
          </w:hyperlink>
        </w:p>
        <w:p>
          <w:pPr>
            <w:pStyle w:val="Contents6"/>
            <w:tabs>
              <w:tab w:val="clear" w:pos="7609"/>
              <w:tab w:val="right" w:pos="9026" w:leader="dot"/>
            </w:tabs>
            <w:rPr/>
          </w:pPr>
          <w:hyperlink w:anchor="__RefHeading___Toc488373_2281741623">
            <w:r>
              <w:rPr>
                <w:webHidden/>
                <w:rStyle w:val="IndexLink"/>
                <w:rtl w:val="true"/>
              </w:rPr>
              <w:t>اشارة</w:t>
            </w:r>
            <w:r>
              <w:rPr>
                <w:rStyle w:val="IndexLink"/>
                <w:rtl w:val="true"/>
              </w:rPr>
              <w:tab/>
            </w:r>
            <w:r>
              <w:rPr>
                <w:rStyle w:val="IndexLink"/>
              </w:rPr>
              <w:t>158</w:t>
            </w:r>
          </w:hyperlink>
        </w:p>
        <w:p>
          <w:pPr>
            <w:pStyle w:val="Contents6"/>
            <w:tabs>
              <w:tab w:val="clear" w:pos="7609"/>
              <w:tab w:val="right" w:pos="9026" w:leader="dot"/>
            </w:tabs>
            <w:rPr/>
          </w:pPr>
          <w:hyperlink w:anchor="__RefHeading___Toc488375_2281741623">
            <w:r>
              <w:rPr>
                <w:webHidden/>
                <w:rStyle w:val="IndexLink"/>
                <w:rtl w:val="true"/>
              </w:rPr>
              <w:t xml:space="preserve">المستند لهذا القول أمور </w:t>
            </w:r>
            <w:r>
              <w:rPr>
                <w:rStyle w:val="IndexLink"/>
                <w:rtl w:val="true"/>
              </w:rPr>
              <w:t>:</w:t>
              <w:tab/>
            </w:r>
            <w:r>
              <w:rPr>
                <w:rStyle w:val="IndexLink"/>
              </w:rPr>
              <w:t>160</w:t>
            </w:r>
          </w:hyperlink>
        </w:p>
        <w:p>
          <w:pPr>
            <w:pStyle w:val="Contents6"/>
            <w:tabs>
              <w:tab w:val="clear" w:pos="7609"/>
              <w:tab w:val="right" w:pos="9026" w:leader="dot"/>
            </w:tabs>
            <w:rPr/>
          </w:pPr>
          <w:hyperlink w:anchor="__RefHeading___Toc488377_2281741623">
            <w:r>
              <w:rPr>
                <w:webHidden/>
                <w:rStyle w:val="IndexLink"/>
                <w:rtl w:val="true"/>
              </w:rPr>
              <w:t xml:space="preserve">الأوّل </w:t>
            </w:r>
            <w:r>
              <w:rPr>
                <w:rStyle w:val="IndexLink"/>
                <w:rtl w:val="true"/>
              </w:rPr>
              <w:t xml:space="preserve">: </w:t>
            </w:r>
            <w:r>
              <w:rPr>
                <w:rStyle w:val="IndexLink"/>
                <w:rtl w:val="true"/>
              </w:rPr>
              <w:t>الأصل من وجوه</w:t>
            </w:r>
            <w:r>
              <w:rPr>
                <w:rStyle w:val="IndexLink"/>
                <w:rtl w:val="true"/>
              </w:rPr>
              <w:tab/>
            </w:r>
            <w:r>
              <w:rPr>
                <w:rStyle w:val="IndexLink"/>
              </w:rPr>
              <w:t>160</w:t>
            </w:r>
          </w:hyperlink>
        </w:p>
        <w:p>
          <w:pPr>
            <w:pStyle w:val="Contents6"/>
            <w:tabs>
              <w:tab w:val="clear" w:pos="7609"/>
              <w:tab w:val="right" w:pos="9026" w:leader="dot"/>
            </w:tabs>
            <w:rPr/>
          </w:pPr>
          <w:hyperlink w:anchor="__RefHeading___Toc488379_2281741623">
            <w:r>
              <w:rPr>
                <w:webHidden/>
                <w:rStyle w:val="IndexLink"/>
                <w:rtl w:val="true"/>
              </w:rPr>
              <w:t xml:space="preserve">الثانی </w:t>
            </w:r>
            <w:r>
              <w:rPr>
                <w:rStyle w:val="IndexLink"/>
                <w:rtl w:val="true"/>
              </w:rPr>
              <w:t xml:space="preserve">: </w:t>
            </w:r>
            <w:r>
              <w:rPr>
                <w:rStyle w:val="IndexLink"/>
                <w:rtl w:val="true"/>
              </w:rPr>
              <w:t xml:space="preserve">عموم قوله </w:t>
            </w:r>
            <w:r>
              <w:rPr>
                <w:rStyle w:val="IndexLink"/>
                <w:rtl w:val="true"/>
              </w:rPr>
              <w:t xml:space="preserve">: </w:t>
            </w:r>
            <w:r>
              <w:rPr>
                <w:rStyle w:val="IndexLink"/>
                <w:rtl w:val="true"/>
              </w:rPr>
              <w:t>کلّ شیء طاهر حتّی تعلم أنّه نجس</w:t>
            </w:r>
            <w:r>
              <w:rPr>
                <w:rStyle w:val="IndexLink"/>
                <w:rtl w:val="true"/>
              </w:rPr>
              <w:tab/>
            </w:r>
            <w:r>
              <w:rPr>
                <w:rStyle w:val="IndexLink"/>
              </w:rPr>
              <w:t>161</w:t>
            </w:r>
          </w:hyperlink>
        </w:p>
        <w:p>
          <w:pPr>
            <w:pStyle w:val="Contents6"/>
            <w:tabs>
              <w:tab w:val="clear" w:pos="7609"/>
              <w:tab w:val="right" w:pos="9026" w:leader="dot"/>
            </w:tabs>
            <w:rPr/>
          </w:pPr>
          <w:hyperlink w:anchor="__RefHeading___Toc488381_2281741623">
            <w:r>
              <w:rPr>
                <w:webHidden/>
                <w:rStyle w:val="IndexLink"/>
                <w:rtl w:val="true"/>
              </w:rPr>
              <w:t xml:space="preserve">الثالث </w:t>
            </w:r>
            <w:r>
              <w:rPr>
                <w:rStyle w:val="IndexLink"/>
                <w:rtl w:val="true"/>
              </w:rPr>
              <w:t xml:space="preserve">: </w:t>
            </w:r>
            <w:r>
              <w:rPr>
                <w:rStyle w:val="IndexLink"/>
                <w:rtl w:val="true"/>
              </w:rPr>
              <w:t>جملة من الأخبار</w:t>
            </w:r>
            <w:r>
              <w:rPr>
                <w:rStyle w:val="IndexLink"/>
                <w:rtl w:val="true"/>
              </w:rPr>
              <w:tab/>
            </w:r>
            <w:r>
              <w:rPr>
                <w:rStyle w:val="IndexLink"/>
              </w:rPr>
              <w:t>161</w:t>
            </w:r>
          </w:hyperlink>
        </w:p>
        <w:p>
          <w:pPr>
            <w:pStyle w:val="Contents6"/>
            <w:tabs>
              <w:tab w:val="clear" w:pos="7609"/>
              <w:tab w:val="right" w:pos="9026" w:leader="dot"/>
            </w:tabs>
            <w:rPr/>
          </w:pPr>
          <w:hyperlink w:anchor="__RefHeading___Toc488383_2281741623">
            <w:r>
              <w:rPr>
                <w:webHidden/>
                <w:rStyle w:val="IndexLink"/>
                <w:rtl w:val="true"/>
              </w:rPr>
              <w:t>اشارة</w:t>
            </w:r>
            <w:r>
              <w:rPr>
                <w:rStyle w:val="IndexLink"/>
                <w:rtl w:val="true"/>
              </w:rPr>
              <w:tab/>
            </w:r>
            <w:r>
              <w:rPr>
                <w:rStyle w:val="IndexLink"/>
              </w:rPr>
              <w:t>161</w:t>
            </w:r>
          </w:hyperlink>
        </w:p>
        <w:p>
          <w:pPr>
            <w:pStyle w:val="Contents6"/>
            <w:tabs>
              <w:tab w:val="clear" w:pos="7609"/>
              <w:tab w:val="right" w:pos="9026" w:leader="dot"/>
            </w:tabs>
            <w:rPr/>
          </w:pPr>
          <w:hyperlink w:anchor="__RefHeading___Toc488385_2281741623">
            <w:r>
              <w:rPr>
                <w:webHidden/>
                <w:rStyle w:val="IndexLink"/>
                <w:rtl w:val="true"/>
              </w:rPr>
              <w:t xml:space="preserve">الجواب عن الأخبار الواردة فی طهارة الخمر </w:t>
            </w:r>
            <w:r>
              <w:rPr>
                <w:rStyle w:val="IndexLink"/>
                <w:rtl w:val="true"/>
              </w:rPr>
              <w:t>:</w:t>
              <w:tab/>
            </w:r>
            <w:r>
              <w:rPr>
                <w:rStyle w:val="IndexLink"/>
              </w:rPr>
              <w:t>195</w:t>
            </w:r>
          </w:hyperlink>
        </w:p>
        <w:p>
          <w:pPr>
            <w:pStyle w:val="Contents4"/>
            <w:tabs>
              <w:tab w:val="clear" w:pos="8176"/>
              <w:tab w:val="right" w:pos="9026" w:leader="dot"/>
            </w:tabs>
            <w:rPr/>
          </w:pPr>
          <w:hyperlink w:anchor="__RefHeading___Toc488387_2281741623">
            <w:r>
              <w:rPr>
                <w:webHidden/>
                <w:rStyle w:val="IndexLink"/>
                <w:rtl w:val="true"/>
              </w:rPr>
              <w:t>المقام الثانی</w:t>
            </w:r>
            <w:r>
              <w:rPr>
                <w:rStyle w:val="IndexLink"/>
                <w:rtl w:val="true"/>
              </w:rPr>
              <w:t xml:space="preserve">: </w:t>
            </w:r>
            <w:r>
              <w:rPr>
                <w:rStyle w:val="IndexLink"/>
                <w:rtl w:val="true"/>
              </w:rPr>
              <w:t>فی نجاسة غیر الخمر من سائر المسکرات</w:t>
            </w:r>
            <w:r>
              <w:rPr>
                <w:rStyle w:val="IndexLink"/>
                <w:rtl w:val="true"/>
              </w:rPr>
              <w:tab/>
            </w:r>
            <w:r>
              <w:rPr>
                <w:rStyle w:val="IndexLink"/>
              </w:rPr>
              <w:t>209</w:t>
            </w:r>
          </w:hyperlink>
        </w:p>
        <w:p>
          <w:pPr>
            <w:pStyle w:val="Contents5"/>
            <w:tabs>
              <w:tab w:val="clear" w:pos="7892"/>
              <w:tab w:val="right" w:pos="9026" w:leader="dot"/>
            </w:tabs>
            <w:rPr/>
          </w:pPr>
          <w:hyperlink w:anchor="__RefHeading___Toc488389_2281741623">
            <w:r>
              <w:rPr>
                <w:webHidden/>
                <w:rStyle w:val="IndexLink"/>
                <w:rtl w:val="true"/>
              </w:rPr>
              <w:t>حکم سائر المسکرات حکم الخمر فی الطهارة والنجاسة</w:t>
            </w:r>
            <w:r>
              <w:rPr>
                <w:rStyle w:val="IndexLink"/>
                <w:rtl w:val="true"/>
              </w:rPr>
              <w:tab/>
            </w:r>
            <w:r>
              <w:rPr>
                <w:rStyle w:val="IndexLink"/>
              </w:rPr>
              <w:t>209</w:t>
            </w:r>
          </w:hyperlink>
        </w:p>
        <w:p>
          <w:pPr>
            <w:pStyle w:val="Contents5"/>
            <w:tabs>
              <w:tab w:val="clear" w:pos="7892"/>
              <w:tab w:val="right" w:pos="9026" w:leader="dot"/>
            </w:tabs>
            <w:rPr/>
          </w:pPr>
          <w:hyperlink w:anchor="__RefHeading___Toc488391_2281741623">
            <w:r>
              <w:rPr>
                <w:webHidden/>
                <w:rStyle w:val="IndexLink"/>
                <w:rtl w:val="true"/>
              </w:rPr>
              <w:t xml:space="preserve">الإستدلال علی ذلک بأمور </w:t>
            </w:r>
            <w:r>
              <w:rPr>
                <w:rStyle w:val="IndexLink"/>
                <w:rtl w:val="true"/>
              </w:rPr>
              <w:t>:</w:t>
              <w:tab/>
            </w:r>
            <w:r>
              <w:rPr>
                <w:rStyle w:val="IndexLink"/>
              </w:rPr>
              <w:t>210</w:t>
            </w:r>
          </w:hyperlink>
        </w:p>
        <w:p>
          <w:pPr>
            <w:pStyle w:val="Contents6"/>
            <w:tabs>
              <w:tab w:val="clear" w:pos="7609"/>
              <w:tab w:val="right" w:pos="9026" w:leader="dot"/>
            </w:tabs>
            <w:rPr/>
          </w:pPr>
          <w:hyperlink w:anchor="__RefHeading___Toc488393_2281741623">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488395_2281741623">
            <w:r>
              <w:rPr>
                <w:webHidden/>
                <w:rStyle w:val="IndexLink"/>
                <w:rtl w:val="true"/>
              </w:rPr>
              <w:t xml:space="preserve">الأوّل </w:t>
            </w:r>
            <w:r>
              <w:rPr>
                <w:rStyle w:val="IndexLink"/>
                <w:rtl w:val="true"/>
              </w:rPr>
              <w:t xml:space="preserve">: </w:t>
            </w:r>
            <w:r>
              <w:rPr>
                <w:rStyle w:val="IndexLink"/>
                <w:rtl w:val="true"/>
              </w:rPr>
              <w:t>الإجماعات المنقولة</w:t>
            </w:r>
            <w:r>
              <w:rPr>
                <w:rStyle w:val="IndexLink"/>
                <w:rtl w:val="true"/>
              </w:rPr>
              <w:tab/>
            </w:r>
            <w:r>
              <w:rPr>
                <w:rStyle w:val="IndexLink"/>
              </w:rPr>
              <w:t>210</w:t>
            </w:r>
          </w:hyperlink>
        </w:p>
        <w:p>
          <w:pPr>
            <w:pStyle w:val="Contents6"/>
            <w:tabs>
              <w:tab w:val="clear" w:pos="7609"/>
              <w:tab w:val="right" w:pos="9026" w:leader="dot"/>
            </w:tabs>
            <w:rPr/>
          </w:pPr>
          <w:hyperlink w:anchor="__RefHeading___Toc488397_2281741623">
            <w:r>
              <w:rPr>
                <w:webHidden/>
                <w:rStyle w:val="IndexLink"/>
                <w:rtl w:val="true"/>
              </w:rPr>
              <w:t xml:space="preserve">الثانی </w:t>
            </w:r>
            <w:r>
              <w:rPr>
                <w:rStyle w:val="IndexLink"/>
                <w:rtl w:val="true"/>
              </w:rPr>
              <w:t xml:space="preserve">: </w:t>
            </w:r>
            <w:r>
              <w:rPr>
                <w:rStyle w:val="IndexLink"/>
                <w:rtl w:val="true"/>
              </w:rPr>
              <w:t>کلّ ما دلّ علی نجاسة الخمر</w:t>
            </w:r>
            <w:r>
              <w:rPr>
                <w:rStyle w:val="IndexLink"/>
                <w:rtl w:val="true"/>
              </w:rPr>
              <w:tab/>
            </w:r>
            <w:r>
              <w:rPr>
                <w:rStyle w:val="IndexLink"/>
              </w:rPr>
              <w:t>210</w:t>
            </w:r>
          </w:hyperlink>
        </w:p>
        <w:p>
          <w:pPr>
            <w:pStyle w:val="Contents6"/>
            <w:tabs>
              <w:tab w:val="clear" w:pos="7609"/>
              <w:tab w:val="right" w:pos="9026" w:leader="dot"/>
            </w:tabs>
            <w:rPr/>
          </w:pPr>
          <w:hyperlink w:anchor="__RefHeading___Toc488399_2281741623">
            <w:r>
              <w:rPr>
                <w:webHidden/>
                <w:rStyle w:val="IndexLink"/>
                <w:rtl w:val="true"/>
              </w:rPr>
              <w:t xml:space="preserve">الثالث </w:t>
            </w:r>
            <w:r>
              <w:rPr>
                <w:rStyle w:val="IndexLink"/>
                <w:rtl w:val="true"/>
              </w:rPr>
              <w:t xml:space="preserve">: </w:t>
            </w:r>
            <w:r>
              <w:rPr>
                <w:rStyle w:val="IndexLink"/>
                <w:rtl w:val="true"/>
              </w:rPr>
              <w:t>جملة من الأخبار</w:t>
            </w:r>
            <w:r>
              <w:rPr>
                <w:rStyle w:val="IndexLink"/>
                <w:rtl w:val="true"/>
              </w:rPr>
              <w:tab/>
            </w:r>
            <w:r>
              <w:rPr>
                <w:rStyle w:val="IndexLink"/>
              </w:rPr>
              <w:t>221</w:t>
            </w:r>
          </w:hyperlink>
        </w:p>
        <w:p>
          <w:pPr>
            <w:pStyle w:val="Contents4"/>
            <w:tabs>
              <w:tab w:val="clear" w:pos="8176"/>
              <w:tab w:val="right" w:pos="9026" w:leader="dot"/>
            </w:tabs>
            <w:rPr/>
          </w:pPr>
          <w:hyperlink w:anchor="__RefHeading___Toc488401_2281741623">
            <w:r>
              <w:rPr>
                <w:webHidden/>
                <w:rStyle w:val="IndexLink"/>
                <w:rtl w:val="true"/>
              </w:rPr>
              <w:t xml:space="preserve">التعرّض لأمور </w:t>
            </w:r>
            <w:r>
              <w:rPr>
                <w:rStyle w:val="IndexLink"/>
                <w:rtl w:val="true"/>
              </w:rPr>
              <w:t>:</w:t>
              <w:tab/>
            </w:r>
            <w:r>
              <w:rPr>
                <w:rStyle w:val="IndexLink"/>
              </w:rPr>
              <w:t>224</w:t>
            </w:r>
          </w:hyperlink>
        </w:p>
        <w:p>
          <w:pPr>
            <w:pStyle w:val="Contents5"/>
            <w:tabs>
              <w:tab w:val="clear" w:pos="7892"/>
              <w:tab w:val="right" w:pos="9026" w:leader="dot"/>
            </w:tabs>
            <w:rPr/>
          </w:pPr>
          <w:hyperlink w:anchor="__RefHeading___Toc488403_2281741623">
            <w:r>
              <w:rPr>
                <w:webHidden/>
                <w:rStyle w:val="IndexLink"/>
                <w:rtl w:val="true"/>
              </w:rPr>
              <w:t xml:space="preserve">الأمر الأوّل </w:t>
            </w:r>
            <w:r>
              <w:rPr>
                <w:rStyle w:val="IndexLink"/>
                <w:rtl w:val="true"/>
              </w:rPr>
              <w:t xml:space="preserve">: </w:t>
            </w:r>
            <w:r>
              <w:rPr>
                <w:rStyle w:val="IndexLink"/>
                <w:rtl w:val="true"/>
              </w:rPr>
              <w:t>أنّ نجاسة المسکرات هل یختصّ بالمائع منها أو یعمّ الجامد ؟</w:t>
            </w:r>
            <w:r>
              <w:rPr>
                <w:rStyle w:val="IndexLink"/>
                <w:rtl w:val="true"/>
              </w:rPr>
              <w:tab/>
            </w:r>
            <w:r>
              <w:rPr>
                <w:rStyle w:val="IndexLink"/>
              </w:rPr>
              <w:t>224</w:t>
            </w:r>
          </w:hyperlink>
        </w:p>
        <w:p>
          <w:pPr>
            <w:pStyle w:val="Contents5"/>
            <w:tabs>
              <w:tab w:val="clear" w:pos="7892"/>
              <w:tab w:val="right" w:pos="9026" w:leader="dot"/>
            </w:tabs>
            <w:rPr/>
          </w:pPr>
          <w:hyperlink w:anchor="__RefHeading___Toc488405_2281741623">
            <w:r>
              <w:rPr>
                <w:webHidden/>
                <w:rStyle w:val="IndexLink"/>
                <w:rtl w:val="true"/>
              </w:rPr>
              <w:t xml:space="preserve">الأمر الثانی </w:t>
            </w:r>
            <w:r>
              <w:rPr>
                <w:rStyle w:val="IndexLink"/>
                <w:rtl w:val="true"/>
              </w:rPr>
              <w:t xml:space="preserve">: </w:t>
            </w:r>
            <w:r>
              <w:rPr>
                <w:rStyle w:val="IndexLink"/>
                <w:rtl w:val="true"/>
              </w:rPr>
              <w:t>إنّ الحکم دائر مدار المیعان أو دائر مدار المائع بالإصالة أو مختصّ بالمائع بالإصالة مع بقاء المیعان فیه ؟</w:t>
            </w:r>
            <w:r>
              <w:rPr>
                <w:rStyle w:val="IndexLink"/>
                <w:rtl w:val="true"/>
              </w:rPr>
              <w:tab/>
            </w:r>
            <w:r>
              <w:rPr>
                <w:rStyle w:val="IndexLink"/>
              </w:rPr>
              <w:t>226</w:t>
            </w:r>
          </w:hyperlink>
        </w:p>
        <w:p>
          <w:pPr>
            <w:pStyle w:val="Contents5"/>
            <w:tabs>
              <w:tab w:val="clear" w:pos="7892"/>
              <w:tab w:val="right" w:pos="9026" w:leader="dot"/>
            </w:tabs>
            <w:rPr/>
          </w:pPr>
          <w:hyperlink w:anchor="__RefHeading___Toc488407_2281741623">
            <w:r>
              <w:rPr>
                <w:webHidden/>
                <w:rStyle w:val="IndexLink"/>
                <w:rtl w:val="true"/>
              </w:rPr>
              <w:t xml:space="preserve">الأمر الثالث </w:t>
            </w:r>
            <w:r>
              <w:rPr>
                <w:rStyle w:val="IndexLink"/>
                <w:rtl w:val="true"/>
              </w:rPr>
              <w:t xml:space="preserve">: </w:t>
            </w:r>
            <w:r>
              <w:rPr>
                <w:rStyle w:val="IndexLink"/>
                <w:rtl w:val="true"/>
              </w:rPr>
              <w:t>إنّه لو زال وصف الإسکار عن الخمر والنبیذ و نحوهما، فهل یبقی حکمه من النجاسة والحرمة أم لا ؟</w:t>
            </w:r>
            <w:r>
              <w:rPr>
                <w:rStyle w:val="IndexLink"/>
                <w:rtl w:val="true"/>
              </w:rPr>
              <w:tab/>
            </w:r>
            <w:r>
              <w:rPr>
                <w:rStyle w:val="IndexLink"/>
              </w:rPr>
              <w:t>227</w:t>
            </w:r>
          </w:hyperlink>
        </w:p>
        <w:p>
          <w:pPr>
            <w:pStyle w:val="Contents5"/>
            <w:tabs>
              <w:tab w:val="clear" w:pos="7892"/>
              <w:tab w:val="right" w:pos="9026" w:leader="dot"/>
            </w:tabs>
            <w:rPr/>
          </w:pPr>
          <w:hyperlink w:anchor="__RefHeading___Toc488409_2281741623">
            <w:r>
              <w:rPr>
                <w:webHidden/>
                <w:rStyle w:val="IndexLink"/>
                <w:rtl w:val="true"/>
              </w:rPr>
              <w:t>الأمرالرابع</w:t>
            </w:r>
            <w:r>
              <w:rPr>
                <w:rStyle w:val="IndexLink"/>
                <w:rtl w:val="true"/>
              </w:rPr>
              <w:t xml:space="preserve">: </w:t>
            </w:r>
            <w:r>
              <w:rPr>
                <w:rStyle w:val="IndexLink"/>
                <w:rtl w:val="true"/>
              </w:rPr>
              <w:t>هل تکون حکم‌المسکرات ثابتاً علی کلّ حال أویدور مدار الإسکار</w:t>
            </w:r>
            <w:r>
              <w:rPr>
                <w:rStyle w:val="IndexLink"/>
                <w:rtl w:val="true"/>
              </w:rPr>
              <w:tab/>
            </w:r>
            <w:r>
              <w:rPr>
                <w:rStyle w:val="IndexLink"/>
              </w:rPr>
              <w:t>229</w:t>
            </w:r>
          </w:hyperlink>
        </w:p>
        <w:p>
          <w:pPr>
            <w:pStyle w:val="Contents5"/>
            <w:tabs>
              <w:tab w:val="clear" w:pos="7892"/>
              <w:tab w:val="right" w:pos="9026" w:leader="dot"/>
            </w:tabs>
            <w:rPr/>
          </w:pPr>
          <w:hyperlink w:anchor="__RefHeading___Toc488411_2281741623">
            <w:r>
              <w:rPr>
                <w:webHidden/>
                <w:rStyle w:val="IndexLink"/>
                <w:rtl w:val="true"/>
              </w:rPr>
              <w:t xml:space="preserve">الأمر الخامس </w:t>
            </w:r>
            <w:r>
              <w:rPr>
                <w:rStyle w:val="IndexLink"/>
                <w:rtl w:val="true"/>
              </w:rPr>
              <w:t xml:space="preserve">: </w:t>
            </w:r>
            <w:r>
              <w:rPr>
                <w:rStyle w:val="IndexLink"/>
                <w:rtl w:val="true"/>
              </w:rPr>
              <w:t>انّ المدار فی تشخیص السکر و تمییزه عن غیره، بالعرف</w:t>
            </w:r>
            <w:r>
              <w:rPr>
                <w:rStyle w:val="IndexLink"/>
                <w:rtl w:val="true"/>
              </w:rPr>
              <w:tab/>
            </w:r>
            <w:r>
              <w:rPr>
                <w:rStyle w:val="IndexLink"/>
              </w:rPr>
              <w:t>230</w:t>
            </w:r>
          </w:hyperlink>
        </w:p>
        <w:p>
          <w:pPr>
            <w:pStyle w:val="Contents5"/>
            <w:tabs>
              <w:tab w:val="clear" w:pos="7892"/>
              <w:tab w:val="right" w:pos="9026" w:leader="dot"/>
            </w:tabs>
            <w:rPr/>
          </w:pPr>
          <w:hyperlink w:anchor="__RefHeading___Toc488413_2281741623">
            <w:r>
              <w:rPr>
                <w:webHidden/>
                <w:rStyle w:val="IndexLink"/>
                <w:rtl w:val="true"/>
              </w:rPr>
              <w:t xml:space="preserve">الأمر السادس </w:t>
            </w:r>
            <w:r>
              <w:rPr>
                <w:rStyle w:val="IndexLink"/>
                <w:rtl w:val="true"/>
              </w:rPr>
              <w:t xml:space="preserve">: </w:t>
            </w:r>
            <w:r>
              <w:rPr>
                <w:rStyle w:val="IndexLink"/>
                <w:rtl w:val="true"/>
              </w:rPr>
              <w:t>إنّ الفقّاع حکمه حکم الخمر فیکون حراماً و نجساً</w:t>
            </w:r>
            <w:r>
              <w:rPr>
                <w:rStyle w:val="IndexLink"/>
                <w:rtl w:val="true"/>
              </w:rPr>
              <w:tab/>
            </w:r>
            <w:r>
              <w:rPr>
                <w:rStyle w:val="IndexLink"/>
              </w:rPr>
              <w:t>230</w:t>
            </w:r>
          </w:hyperlink>
        </w:p>
        <w:p>
          <w:pPr>
            <w:pStyle w:val="Contents6"/>
            <w:tabs>
              <w:tab w:val="clear" w:pos="7609"/>
              <w:tab w:val="right" w:pos="9026" w:leader="dot"/>
            </w:tabs>
            <w:rPr/>
          </w:pPr>
          <w:hyperlink w:anchor="__RefHeading___Toc488415_2281741623">
            <w:r>
              <w:rPr>
                <w:webHidden/>
                <w:rStyle w:val="IndexLink"/>
                <w:rtl w:val="true"/>
              </w:rPr>
              <w:t>اشارة</w:t>
            </w:r>
            <w:r>
              <w:rPr>
                <w:rStyle w:val="IndexLink"/>
                <w:rtl w:val="true"/>
              </w:rPr>
              <w:tab/>
            </w:r>
            <w:r>
              <w:rPr>
                <w:rStyle w:val="IndexLink"/>
              </w:rPr>
              <w:t>230</w:t>
            </w:r>
          </w:hyperlink>
        </w:p>
        <w:p>
          <w:pPr>
            <w:pStyle w:val="Contents6"/>
            <w:tabs>
              <w:tab w:val="clear" w:pos="7609"/>
              <w:tab w:val="right" w:pos="9026" w:leader="dot"/>
            </w:tabs>
            <w:rPr/>
          </w:pPr>
          <w:hyperlink w:anchor="__RefHeading___Toc488417_2281741623">
            <w:r>
              <w:rPr>
                <w:webHidden/>
                <w:rStyle w:val="IndexLink"/>
                <w:rtl w:val="true"/>
              </w:rPr>
              <w:t xml:space="preserve">الإستدلال علیه بأمور </w:t>
            </w:r>
            <w:r>
              <w:rPr>
                <w:rStyle w:val="IndexLink"/>
                <w:rtl w:val="true"/>
              </w:rPr>
              <w:t>:</w:t>
              <w:tab/>
            </w:r>
            <w:r>
              <w:rPr>
                <w:rStyle w:val="IndexLink"/>
              </w:rPr>
              <w:t>231</w:t>
            </w:r>
          </w:hyperlink>
        </w:p>
        <w:p>
          <w:pPr>
            <w:pStyle w:val="Contents6"/>
            <w:tabs>
              <w:tab w:val="clear" w:pos="7609"/>
              <w:tab w:val="right" w:pos="9026" w:leader="dot"/>
            </w:tabs>
            <w:rPr/>
          </w:pPr>
          <w:hyperlink w:anchor="__RefHeading___Toc488419_2281741623">
            <w:r>
              <w:rPr>
                <w:webHidden/>
                <w:rStyle w:val="IndexLink"/>
                <w:rtl w:val="true"/>
              </w:rPr>
              <w:t>اشارة</w:t>
            </w:r>
            <w:r>
              <w:rPr>
                <w:rStyle w:val="IndexLink"/>
                <w:rtl w:val="true"/>
              </w:rPr>
              <w:tab/>
            </w:r>
            <w:r>
              <w:rPr>
                <w:rStyle w:val="IndexLink"/>
              </w:rPr>
              <w:t>231</w:t>
            </w:r>
          </w:hyperlink>
        </w:p>
        <w:p>
          <w:pPr>
            <w:pStyle w:val="Contents6"/>
            <w:tabs>
              <w:tab w:val="clear" w:pos="7609"/>
              <w:tab w:val="right" w:pos="9026" w:leader="dot"/>
            </w:tabs>
            <w:rPr/>
          </w:pPr>
          <w:hyperlink w:anchor="__RefHeading___Toc488421_2281741623">
            <w:r>
              <w:rPr>
                <w:webHidden/>
                <w:rStyle w:val="IndexLink"/>
                <w:rtl w:val="true"/>
              </w:rPr>
              <w:t xml:space="preserve">الأوّل </w:t>
            </w:r>
            <w:r>
              <w:rPr>
                <w:rStyle w:val="IndexLink"/>
                <w:rtl w:val="true"/>
              </w:rPr>
              <w:t xml:space="preserve">: </w:t>
            </w:r>
            <w:r>
              <w:rPr>
                <w:rStyle w:val="IndexLink"/>
                <w:rtl w:val="true"/>
              </w:rPr>
              <w:t>جملة ما تقدّم فی الخمر</w:t>
            </w:r>
            <w:r>
              <w:rPr>
                <w:rStyle w:val="IndexLink"/>
                <w:rtl w:val="true"/>
              </w:rPr>
              <w:tab/>
            </w:r>
            <w:r>
              <w:rPr>
                <w:rStyle w:val="IndexLink"/>
              </w:rPr>
              <w:t>231</w:t>
            </w:r>
          </w:hyperlink>
        </w:p>
        <w:p>
          <w:pPr>
            <w:pStyle w:val="Contents6"/>
            <w:tabs>
              <w:tab w:val="clear" w:pos="7609"/>
              <w:tab w:val="right" w:pos="9026" w:leader="dot"/>
            </w:tabs>
            <w:rPr/>
          </w:pPr>
          <w:hyperlink w:anchor="__RefHeading___Toc488423_2281741623">
            <w:r>
              <w:rPr>
                <w:webHidden/>
                <w:rStyle w:val="IndexLink"/>
                <w:rtl w:val="true"/>
              </w:rPr>
              <w:t xml:space="preserve">الثانی </w:t>
            </w:r>
            <w:r>
              <w:rPr>
                <w:rStyle w:val="IndexLink"/>
                <w:rtl w:val="true"/>
              </w:rPr>
              <w:t xml:space="preserve">: </w:t>
            </w:r>
            <w:r>
              <w:rPr>
                <w:rStyle w:val="IndexLink"/>
                <w:rtl w:val="true"/>
              </w:rPr>
              <w:t>الأخبار الدالّة علی أنّه خمر</w:t>
            </w:r>
            <w:r>
              <w:rPr>
                <w:rStyle w:val="IndexLink"/>
                <w:rtl w:val="true"/>
              </w:rPr>
              <w:tab/>
            </w:r>
            <w:r>
              <w:rPr>
                <w:rStyle w:val="IndexLink"/>
              </w:rPr>
              <w:t>231</w:t>
            </w:r>
          </w:hyperlink>
        </w:p>
        <w:p>
          <w:pPr>
            <w:pStyle w:val="Contents6"/>
            <w:tabs>
              <w:tab w:val="clear" w:pos="7609"/>
              <w:tab w:val="right" w:pos="9026" w:leader="dot"/>
            </w:tabs>
            <w:rPr/>
          </w:pPr>
          <w:hyperlink w:anchor="__RefHeading___Toc488425_2281741623">
            <w:r>
              <w:rPr>
                <w:webHidden/>
                <w:rStyle w:val="IndexLink"/>
                <w:rtl w:val="true"/>
              </w:rPr>
              <w:t xml:space="preserve">الثالث </w:t>
            </w:r>
            <w:r>
              <w:rPr>
                <w:rStyle w:val="IndexLink"/>
                <w:rtl w:val="true"/>
              </w:rPr>
              <w:t xml:space="preserve">: </w:t>
            </w:r>
            <w:r>
              <w:rPr>
                <w:rStyle w:val="IndexLink"/>
                <w:rtl w:val="true"/>
              </w:rPr>
              <w:t>الخبر المرویّ عن أبی جمیلة البصری</w:t>
            </w:r>
            <w:r>
              <w:rPr>
                <w:rStyle w:val="IndexLink"/>
                <w:rtl w:val="true"/>
              </w:rPr>
              <w:tab/>
            </w:r>
            <w:r>
              <w:rPr>
                <w:rStyle w:val="IndexLink"/>
              </w:rPr>
              <w:t>233</w:t>
            </w:r>
          </w:hyperlink>
        </w:p>
        <w:p>
          <w:pPr>
            <w:pStyle w:val="Contents5"/>
            <w:tabs>
              <w:tab w:val="clear" w:pos="7892"/>
              <w:tab w:val="right" w:pos="9026" w:leader="dot"/>
            </w:tabs>
            <w:rPr/>
          </w:pPr>
          <w:hyperlink w:anchor="__RefHeading___Toc488427_2281741623">
            <w:r>
              <w:rPr>
                <w:webHidden/>
                <w:rStyle w:val="IndexLink"/>
                <w:rtl w:val="true"/>
              </w:rPr>
              <w:t xml:space="preserve">الأمر السابع </w:t>
            </w:r>
            <w:r>
              <w:rPr>
                <w:rStyle w:val="IndexLink"/>
                <w:rtl w:val="true"/>
              </w:rPr>
              <w:t xml:space="preserve">: </w:t>
            </w:r>
            <w:r>
              <w:rPr>
                <w:rStyle w:val="IndexLink"/>
                <w:rtl w:val="true"/>
              </w:rPr>
              <w:t>فی بیان مهیّات هذه الأشیاء من الفقّاع وغیره من المسکرات</w:t>
            </w:r>
            <w:r>
              <w:rPr>
                <w:rStyle w:val="IndexLink"/>
                <w:rtl w:val="true"/>
              </w:rPr>
              <w:tab/>
            </w:r>
            <w:r>
              <w:rPr>
                <w:rStyle w:val="IndexLink"/>
              </w:rPr>
              <w:t>235</w:t>
            </w:r>
          </w:hyperlink>
        </w:p>
        <w:p>
          <w:pPr>
            <w:pStyle w:val="Contents6"/>
            <w:tabs>
              <w:tab w:val="clear" w:pos="7609"/>
              <w:tab w:val="right" w:pos="9026" w:leader="dot"/>
            </w:tabs>
            <w:rPr/>
          </w:pPr>
          <w:hyperlink w:anchor="__RefHeading___Toc488429_2281741623">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488431_2281741623">
            <w:r>
              <w:rPr>
                <w:webHidden/>
                <w:rStyle w:val="IndexLink"/>
              </w:rPr>
              <w:t>1</w:t>
            </w:r>
            <w:r>
              <w:rPr>
                <w:rStyle w:val="IndexLink"/>
                <w:rtl w:val="true"/>
              </w:rPr>
              <w:t xml:space="preserve"> </w:t>
            </w:r>
            <w:r>
              <w:rPr>
                <w:rStyle w:val="IndexLink"/>
                <w:rtl w:val="true"/>
              </w:rPr>
              <w:t>ـ بیان ماهیّة الفقّاع</w:t>
            </w:r>
            <w:r>
              <w:rPr>
                <w:rStyle w:val="IndexLink"/>
                <w:rtl w:val="true"/>
              </w:rPr>
              <w:tab/>
            </w:r>
            <w:r>
              <w:rPr>
                <w:rStyle w:val="IndexLink"/>
              </w:rPr>
              <w:t>235</w:t>
            </w:r>
          </w:hyperlink>
        </w:p>
        <w:p>
          <w:pPr>
            <w:pStyle w:val="Contents6"/>
            <w:tabs>
              <w:tab w:val="clear" w:pos="7609"/>
              <w:tab w:val="right" w:pos="9026" w:leader="dot"/>
            </w:tabs>
            <w:rPr/>
          </w:pPr>
          <w:hyperlink w:anchor="__RefHeading___Toc488433_2281741623">
            <w:r>
              <w:rPr>
                <w:webHidden/>
                <w:rStyle w:val="IndexLink"/>
              </w:rPr>
              <w:t>2</w:t>
            </w:r>
            <w:r>
              <w:rPr>
                <w:rStyle w:val="IndexLink"/>
                <w:rtl w:val="true"/>
              </w:rPr>
              <w:t xml:space="preserve"> </w:t>
            </w:r>
            <w:r>
              <w:rPr>
                <w:rStyle w:val="IndexLink"/>
                <w:rtl w:val="true"/>
              </w:rPr>
              <w:t>ـ بیان ماهیّة الخَمْر</w:t>
            </w:r>
            <w:r>
              <w:rPr>
                <w:rStyle w:val="IndexLink"/>
                <w:rtl w:val="true"/>
              </w:rPr>
              <w:tab/>
            </w:r>
            <w:r>
              <w:rPr>
                <w:rStyle w:val="IndexLink"/>
              </w:rPr>
              <w:t>245</w:t>
            </w:r>
          </w:hyperlink>
        </w:p>
        <w:p>
          <w:pPr>
            <w:pStyle w:val="Contents6"/>
            <w:tabs>
              <w:tab w:val="clear" w:pos="7609"/>
              <w:tab w:val="right" w:pos="9026" w:leader="dot"/>
            </w:tabs>
            <w:rPr/>
          </w:pPr>
          <w:hyperlink w:anchor="__RefHeading___Toc488435_2281741623">
            <w:r>
              <w:rPr>
                <w:webHidden/>
                <w:rStyle w:val="IndexLink"/>
              </w:rPr>
              <w:t>3</w:t>
            </w:r>
            <w:r>
              <w:rPr>
                <w:rStyle w:val="IndexLink"/>
                <w:rtl w:val="true"/>
              </w:rPr>
              <w:t xml:space="preserve"> </w:t>
            </w:r>
            <w:r>
              <w:rPr>
                <w:rStyle w:val="IndexLink"/>
                <w:rtl w:val="true"/>
              </w:rPr>
              <w:t>ـ بیان ماهیّة النَبِیذ</w:t>
            </w:r>
            <w:r>
              <w:rPr>
                <w:rStyle w:val="IndexLink"/>
                <w:rtl w:val="true"/>
              </w:rPr>
              <w:tab/>
            </w:r>
            <w:r>
              <w:rPr>
                <w:rStyle w:val="IndexLink"/>
              </w:rPr>
              <w:t>246</w:t>
            </w:r>
          </w:hyperlink>
        </w:p>
        <w:p>
          <w:pPr>
            <w:pStyle w:val="Contents6"/>
            <w:tabs>
              <w:tab w:val="clear" w:pos="7609"/>
              <w:tab w:val="right" w:pos="9026" w:leader="dot"/>
            </w:tabs>
            <w:rPr/>
          </w:pPr>
          <w:hyperlink w:anchor="__RefHeading___Toc488437_2281741623">
            <w:r>
              <w:rPr>
                <w:webHidden/>
                <w:rStyle w:val="IndexLink"/>
              </w:rPr>
              <w:t>4</w:t>
            </w:r>
            <w:r>
              <w:rPr>
                <w:rStyle w:val="IndexLink"/>
                <w:rtl w:val="true"/>
              </w:rPr>
              <w:t xml:space="preserve"> </w:t>
            </w:r>
            <w:r>
              <w:rPr>
                <w:rStyle w:val="IndexLink"/>
                <w:rtl w:val="true"/>
              </w:rPr>
              <w:t>ـ بیان ماهیّة النَقِیع</w:t>
            </w:r>
            <w:r>
              <w:rPr>
                <w:rStyle w:val="IndexLink"/>
                <w:rtl w:val="true"/>
              </w:rPr>
              <w:tab/>
            </w:r>
            <w:r>
              <w:rPr>
                <w:rStyle w:val="IndexLink"/>
              </w:rPr>
              <w:t>248</w:t>
            </w:r>
          </w:hyperlink>
        </w:p>
        <w:p>
          <w:pPr>
            <w:pStyle w:val="Contents6"/>
            <w:tabs>
              <w:tab w:val="clear" w:pos="7609"/>
              <w:tab w:val="right" w:pos="9026" w:leader="dot"/>
            </w:tabs>
            <w:rPr/>
          </w:pPr>
          <w:hyperlink w:anchor="__RefHeading___Toc488439_2281741623">
            <w:r>
              <w:rPr>
                <w:webHidden/>
                <w:rStyle w:val="IndexLink"/>
              </w:rPr>
              <w:t>5</w:t>
            </w:r>
            <w:r>
              <w:rPr>
                <w:rStyle w:val="IndexLink"/>
                <w:rtl w:val="true"/>
              </w:rPr>
              <w:t xml:space="preserve"> </w:t>
            </w:r>
            <w:r>
              <w:rPr>
                <w:rStyle w:val="IndexLink"/>
                <w:rtl w:val="true"/>
              </w:rPr>
              <w:t>ـ بیان ماهیّة البِتَْع</w:t>
            </w:r>
            <w:r>
              <w:rPr>
                <w:rStyle w:val="IndexLink"/>
                <w:rtl w:val="true"/>
              </w:rPr>
              <w:tab/>
            </w:r>
            <w:r>
              <w:rPr>
                <w:rStyle w:val="IndexLink"/>
              </w:rPr>
              <w:t>249</w:t>
            </w:r>
          </w:hyperlink>
        </w:p>
        <w:p>
          <w:pPr>
            <w:pStyle w:val="Contents6"/>
            <w:tabs>
              <w:tab w:val="clear" w:pos="7609"/>
              <w:tab w:val="right" w:pos="9026" w:leader="dot"/>
            </w:tabs>
            <w:rPr/>
          </w:pPr>
          <w:hyperlink w:anchor="__RefHeading___Toc488441_2281741623">
            <w:r>
              <w:rPr>
                <w:webHidden/>
                <w:rStyle w:val="IndexLink"/>
              </w:rPr>
              <w:t>6</w:t>
            </w:r>
            <w:r>
              <w:rPr>
                <w:rStyle w:val="IndexLink"/>
                <w:rtl w:val="true"/>
              </w:rPr>
              <w:t xml:space="preserve"> </w:t>
            </w:r>
            <w:r>
              <w:rPr>
                <w:rStyle w:val="IndexLink"/>
                <w:rtl w:val="true"/>
              </w:rPr>
              <w:t>ـ بیان ماهیّة المِزْر</w:t>
            </w:r>
            <w:r>
              <w:rPr>
                <w:rStyle w:val="IndexLink"/>
                <w:rtl w:val="true"/>
              </w:rPr>
              <w:tab/>
            </w:r>
            <w:r>
              <w:rPr>
                <w:rStyle w:val="IndexLink"/>
              </w:rPr>
              <w:t>250</w:t>
            </w:r>
          </w:hyperlink>
        </w:p>
        <w:p>
          <w:pPr>
            <w:pStyle w:val="Contents6"/>
            <w:tabs>
              <w:tab w:val="clear" w:pos="7609"/>
              <w:tab w:val="right" w:pos="9026" w:leader="dot"/>
            </w:tabs>
            <w:rPr/>
          </w:pPr>
          <w:hyperlink w:anchor="__RefHeading___Toc488443_2281741623">
            <w:r>
              <w:rPr>
                <w:webHidden/>
                <w:rStyle w:val="IndexLink"/>
              </w:rPr>
              <w:t>7</w:t>
            </w:r>
            <w:r>
              <w:rPr>
                <w:rStyle w:val="IndexLink"/>
                <w:rtl w:val="true"/>
              </w:rPr>
              <w:t xml:space="preserve"> </w:t>
            </w:r>
            <w:r>
              <w:rPr>
                <w:rStyle w:val="IndexLink"/>
                <w:rtl w:val="true"/>
              </w:rPr>
              <w:t>ـ بیان ماهیّة الجِعَة</w:t>
            </w:r>
            <w:r>
              <w:rPr>
                <w:rStyle w:val="IndexLink"/>
                <w:rtl w:val="true"/>
              </w:rPr>
              <w:tab/>
            </w:r>
            <w:r>
              <w:rPr>
                <w:rStyle w:val="IndexLink"/>
              </w:rPr>
              <w:t>251</w:t>
            </w:r>
          </w:hyperlink>
        </w:p>
        <w:p>
          <w:pPr>
            <w:pStyle w:val="Contents6"/>
            <w:tabs>
              <w:tab w:val="clear" w:pos="7609"/>
              <w:tab w:val="right" w:pos="9026" w:leader="dot"/>
            </w:tabs>
            <w:rPr/>
          </w:pPr>
          <w:hyperlink w:anchor="__RefHeading___Toc488445_2281741623">
            <w:r>
              <w:rPr>
                <w:webHidden/>
                <w:rStyle w:val="IndexLink"/>
              </w:rPr>
              <w:t>8</w:t>
            </w:r>
            <w:r>
              <w:rPr>
                <w:rStyle w:val="IndexLink"/>
                <w:rtl w:val="true"/>
              </w:rPr>
              <w:t xml:space="preserve"> </w:t>
            </w:r>
            <w:r>
              <w:rPr>
                <w:rStyle w:val="IndexLink"/>
                <w:rtl w:val="true"/>
              </w:rPr>
              <w:t>ـ بیان ماهیّة الفَضِیخ</w:t>
            </w:r>
            <w:r>
              <w:rPr>
                <w:rStyle w:val="IndexLink"/>
                <w:rtl w:val="true"/>
              </w:rPr>
              <w:tab/>
            </w:r>
            <w:r>
              <w:rPr>
                <w:rStyle w:val="IndexLink"/>
              </w:rPr>
              <w:t>251</w:t>
            </w:r>
          </w:hyperlink>
        </w:p>
        <w:p>
          <w:pPr>
            <w:pStyle w:val="Contents6"/>
            <w:tabs>
              <w:tab w:val="clear" w:pos="7609"/>
              <w:tab w:val="right" w:pos="9026" w:leader="dot"/>
            </w:tabs>
            <w:rPr/>
          </w:pPr>
          <w:hyperlink w:anchor="__RefHeading___Toc488447_2281741623">
            <w:r>
              <w:rPr>
                <w:webHidden/>
                <w:rStyle w:val="IndexLink"/>
              </w:rPr>
              <w:t>9</w:t>
            </w:r>
            <w:r>
              <w:rPr>
                <w:rStyle w:val="IndexLink"/>
                <w:rtl w:val="true"/>
              </w:rPr>
              <w:t xml:space="preserve"> </w:t>
            </w:r>
            <w:r>
              <w:rPr>
                <w:rStyle w:val="IndexLink"/>
                <w:rtl w:val="true"/>
              </w:rPr>
              <w:t>ـ بیان ماهیّة السُکُرْکة</w:t>
            </w:r>
            <w:r>
              <w:rPr>
                <w:rStyle w:val="IndexLink"/>
                <w:rtl w:val="true"/>
              </w:rPr>
              <w:tab/>
            </w:r>
            <w:r>
              <w:rPr>
                <w:rStyle w:val="IndexLink"/>
              </w:rPr>
              <w:t>252</w:t>
            </w:r>
          </w:hyperlink>
        </w:p>
        <w:p>
          <w:pPr>
            <w:pStyle w:val="Contents6"/>
            <w:tabs>
              <w:tab w:val="clear" w:pos="7609"/>
              <w:tab w:val="right" w:pos="9026" w:leader="dot"/>
            </w:tabs>
            <w:rPr/>
          </w:pPr>
          <w:hyperlink w:anchor="__RefHeading___Toc488449_2281741623">
            <w:r>
              <w:rPr>
                <w:webHidden/>
                <w:rStyle w:val="IndexLink"/>
              </w:rPr>
              <w:t>10</w:t>
            </w:r>
            <w:r>
              <w:rPr>
                <w:rStyle w:val="IndexLink"/>
                <w:rtl w:val="true"/>
              </w:rPr>
              <w:t xml:space="preserve"> </w:t>
            </w:r>
            <w:r>
              <w:rPr>
                <w:rStyle w:val="IndexLink"/>
                <w:rtl w:val="true"/>
              </w:rPr>
              <w:t>ـ بیان ماهیّة نبیذ الفواکه</w:t>
            </w:r>
            <w:r>
              <w:rPr>
                <w:rStyle w:val="IndexLink"/>
                <w:rtl w:val="true"/>
              </w:rPr>
              <w:tab/>
            </w:r>
            <w:r>
              <w:rPr>
                <w:rStyle w:val="IndexLink"/>
              </w:rPr>
              <w:t>252</w:t>
            </w:r>
          </w:hyperlink>
        </w:p>
        <w:p>
          <w:pPr>
            <w:pStyle w:val="Contents4"/>
            <w:tabs>
              <w:tab w:val="clear" w:pos="8176"/>
              <w:tab w:val="right" w:pos="9026" w:leader="dot"/>
            </w:tabs>
            <w:rPr/>
          </w:pPr>
          <w:hyperlink w:anchor="__RefHeading___Toc488451_2281741623">
            <w:r>
              <w:rPr>
                <w:webHidden/>
                <w:rStyle w:val="IndexLink"/>
                <w:rtl w:val="true"/>
              </w:rPr>
              <w:t>حکم العصیر إذا غلا واشتد</w:t>
            </w:r>
            <w:r>
              <w:rPr>
                <w:rStyle w:val="IndexLink"/>
                <w:rtl w:val="true"/>
              </w:rPr>
              <w:tab/>
            </w:r>
            <w:r>
              <w:rPr>
                <w:rStyle w:val="IndexLink"/>
              </w:rPr>
              <w:t>255</w:t>
            </w:r>
          </w:hyperlink>
        </w:p>
        <w:p>
          <w:pPr>
            <w:pStyle w:val="Contents5"/>
            <w:tabs>
              <w:tab w:val="clear" w:pos="7892"/>
              <w:tab w:val="right" w:pos="9026" w:leader="dot"/>
            </w:tabs>
            <w:rPr/>
          </w:pPr>
          <w:hyperlink w:anchor="__RefHeading___Toc488453_2281741623">
            <w:r>
              <w:rPr>
                <w:webHidden/>
                <w:rStyle w:val="IndexLink"/>
                <w:rtl w:val="true"/>
              </w:rPr>
              <w:t>اشارة</w:t>
            </w:r>
            <w:r>
              <w:rPr>
                <w:rStyle w:val="IndexLink"/>
                <w:rtl w:val="true"/>
              </w:rPr>
              <w:tab/>
            </w:r>
            <w:r>
              <w:rPr>
                <w:rStyle w:val="IndexLink"/>
              </w:rPr>
              <w:t>255</w:t>
            </w:r>
          </w:hyperlink>
        </w:p>
        <w:p>
          <w:pPr>
            <w:pStyle w:val="Contents5"/>
            <w:tabs>
              <w:tab w:val="clear" w:pos="7892"/>
              <w:tab w:val="right" w:pos="9026" w:leader="dot"/>
            </w:tabs>
            <w:rPr/>
          </w:pPr>
          <w:hyperlink w:anchor="__RefHeading___Toc488455_2281741623">
            <w:r>
              <w:rPr>
                <w:webHidden/>
                <w:rStyle w:val="IndexLink"/>
                <w:rtl w:val="true"/>
              </w:rPr>
              <w:t>حکم فی الحلیة والحرمة</w:t>
            </w:r>
            <w:r>
              <w:rPr>
                <w:rStyle w:val="IndexLink"/>
                <w:rtl w:val="true"/>
              </w:rPr>
              <w:t>:</w:t>
              <w:tab/>
            </w:r>
            <w:r>
              <w:rPr>
                <w:rStyle w:val="IndexLink"/>
              </w:rPr>
              <w:t>257</w:t>
            </w:r>
          </w:hyperlink>
        </w:p>
        <w:p>
          <w:pPr>
            <w:pStyle w:val="Contents6"/>
            <w:tabs>
              <w:tab w:val="clear" w:pos="7609"/>
              <w:tab w:val="right" w:pos="9026" w:leader="dot"/>
            </w:tabs>
            <w:rPr/>
          </w:pPr>
          <w:hyperlink w:anchor="__RefHeading___Toc488457_2281741623">
            <w:r>
              <w:rPr>
                <w:webHidden/>
                <w:rStyle w:val="IndexLink"/>
                <w:rtl w:val="true"/>
              </w:rPr>
              <w:t>اشارة</w:t>
            </w:r>
            <w:r>
              <w:rPr>
                <w:rStyle w:val="IndexLink"/>
                <w:rtl w:val="true"/>
              </w:rPr>
              <w:tab/>
            </w:r>
            <w:r>
              <w:rPr>
                <w:rStyle w:val="IndexLink"/>
              </w:rPr>
              <w:t>257</w:t>
            </w:r>
          </w:hyperlink>
        </w:p>
        <w:p>
          <w:pPr>
            <w:pStyle w:val="Contents6"/>
            <w:tabs>
              <w:tab w:val="clear" w:pos="7609"/>
              <w:tab w:val="right" w:pos="9026" w:leader="dot"/>
            </w:tabs>
            <w:rPr/>
          </w:pPr>
          <w:hyperlink w:anchor="__RefHeading___Toc488459_2281741623">
            <w:r>
              <w:rPr>
                <w:webHidden/>
                <w:rStyle w:val="IndexLink"/>
                <w:rtl w:val="true"/>
              </w:rPr>
              <w:t xml:space="preserve">الموضع الأوّل </w:t>
            </w:r>
            <w:r>
              <w:rPr>
                <w:rStyle w:val="IndexLink"/>
                <w:rtl w:val="true"/>
              </w:rPr>
              <w:t xml:space="preserve">: </w:t>
            </w:r>
            <w:r>
              <w:rPr>
                <w:rStyle w:val="IndexLink"/>
                <w:rtl w:val="true"/>
              </w:rPr>
              <w:t>فی حلّیته وطهارته من غیر ثمرة‌الکرم والنخل</w:t>
            </w:r>
            <w:r>
              <w:rPr>
                <w:rStyle w:val="IndexLink"/>
                <w:rtl w:val="true"/>
              </w:rPr>
              <w:tab/>
            </w:r>
            <w:r>
              <w:rPr>
                <w:rStyle w:val="IndexLink"/>
              </w:rPr>
              <w:t>257</w:t>
            </w:r>
          </w:hyperlink>
        </w:p>
        <w:p>
          <w:pPr>
            <w:pStyle w:val="Contents6"/>
            <w:tabs>
              <w:tab w:val="clear" w:pos="7609"/>
              <w:tab w:val="right" w:pos="9026" w:leader="dot"/>
            </w:tabs>
            <w:rPr/>
          </w:pPr>
          <w:hyperlink w:anchor="__RefHeading___Toc488461_2281741623">
            <w:r>
              <w:rPr>
                <w:webHidden/>
                <w:rStyle w:val="IndexLink"/>
                <w:rtl w:val="true"/>
              </w:rPr>
              <w:t xml:space="preserve">الموضع الثانی </w:t>
            </w:r>
            <w:r>
              <w:rPr>
                <w:rStyle w:val="IndexLink"/>
                <w:rtl w:val="true"/>
              </w:rPr>
              <w:t xml:space="preserve">: </w:t>
            </w:r>
            <w:r>
              <w:rPr>
                <w:rStyle w:val="IndexLink"/>
                <w:rtl w:val="true"/>
              </w:rPr>
              <w:t>فی انّ الخلّ حکمه حکم غیره من المعصرات</w:t>
            </w:r>
            <w:r>
              <w:rPr>
                <w:rStyle w:val="IndexLink"/>
                <w:rtl w:val="true"/>
              </w:rPr>
              <w:tab/>
            </w:r>
            <w:r>
              <w:rPr>
                <w:rStyle w:val="IndexLink"/>
              </w:rPr>
              <w:t>260</w:t>
            </w:r>
          </w:hyperlink>
        </w:p>
        <w:p>
          <w:pPr>
            <w:pStyle w:val="Contents6"/>
            <w:tabs>
              <w:tab w:val="clear" w:pos="7609"/>
              <w:tab w:val="right" w:pos="9026" w:leader="dot"/>
            </w:tabs>
            <w:rPr/>
          </w:pPr>
          <w:hyperlink w:anchor="__RefHeading___Toc488463_2281741623">
            <w:r>
              <w:rPr>
                <w:webHidden/>
                <w:rStyle w:val="IndexLink"/>
                <w:rtl w:val="true"/>
              </w:rPr>
              <w:t>الموضع‌الثالث</w:t>
            </w:r>
            <w:r>
              <w:rPr>
                <w:rStyle w:val="IndexLink"/>
                <w:rtl w:val="true"/>
              </w:rPr>
              <w:t xml:space="preserve">: </w:t>
            </w:r>
            <w:r>
              <w:rPr>
                <w:rStyle w:val="IndexLink"/>
                <w:rtl w:val="true"/>
              </w:rPr>
              <w:t>فی انّ عصیرالعنب حرام قبل ذهاب‌الثلثین منه ویحلّ بعدذلک</w:t>
            </w:r>
            <w:r>
              <w:rPr>
                <w:rStyle w:val="IndexLink"/>
                <w:rtl w:val="true"/>
              </w:rPr>
              <w:tab/>
            </w:r>
            <w:r>
              <w:rPr>
                <w:rStyle w:val="IndexLink"/>
              </w:rPr>
              <w:t>260</w:t>
            </w:r>
          </w:hyperlink>
        </w:p>
        <w:p>
          <w:pPr>
            <w:pStyle w:val="Contents6"/>
            <w:tabs>
              <w:tab w:val="clear" w:pos="7609"/>
              <w:tab w:val="right" w:pos="9026" w:leader="dot"/>
            </w:tabs>
            <w:rPr/>
          </w:pPr>
          <w:hyperlink w:anchor="__RefHeading___Toc488465_2281741623">
            <w:r>
              <w:rPr>
                <w:webHidden/>
                <w:rStyle w:val="IndexLink"/>
                <w:rtl w:val="true"/>
              </w:rPr>
              <w:t>اشارة</w:t>
            </w:r>
            <w:r>
              <w:rPr>
                <w:rStyle w:val="IndexLink"/>
                <w:rtl w:val="true"/>
              </w:rPr>
              <w:tab/>
            </w:r>
            <w:r>
              <w:rPr>
                <w:rStyle w:val="IndexLink"/>
              </w:rPr>
              <w:t>260</w:t>
            </w:r>
          </w:hyperlink>
        </w:p>
        <w:p>
          <w:pPr>
            <w:pStyle w:val="Contents6"/>
            <w:tabs>
              <w:tab w:val="clear" w:pos="7609"/>
              <w:tab w:val="right" w:pos="9026" w:leader="dot"/>
            </w:tabs>
            <w:rPr/>
          </w:pPr>
          <w:hyperlink w:anchor="__RefHeading___Toc488467_2281741623">
            <w:r>
              <w:rPr>
                <w:webHidden/>
                <w:rStyle w:val="IndexLink"/>
                <w:rtl w:val="true"/>
              </w:rPr>
              <w:t>الإستدلال بإطباق الأصحاب ومستفیض الأخبار</w:t>
            </w:r>
            <w:r>
              <w:rPr>
                <w:rStyle w:val="IndexLink"/>
                <w:rtl w:val="true"/>
              </w:rPr>
              <w:tab/>
            </w:r>
            <w:r>
              <w:rPr>
                <w:rStyle w:val="IndexLink"/>
              </w:rPr>
              <w:t>260</w:t>
            </w:r>
          </w:hyperlink>
        </w:p>
        <w:p>
          <w:pPr>
            <w:pStyle w:val="Contents6"/>
            <w:tabs>
              <w:tab w:val="clear" w:pos="7609"/>
              <w:tab w:val="right" w:pos="9026" w:leader="dot"/>
            </w:tabs>
            <w:rPr/>
          </w:pPr>
          <w:hyperlink w:anchor="__RefHeading___Toc488469_2281741623">
            <w:r>
              <w:rPr>
                <w:webHidden/>
                <w:rStyle w:val="IndexLink"/>
                <w:rtl w:val="true"/>
              </w:rPr>
              <w:t>الإستدلال بالأخبار الواردة فی البختج</w:t>
            </w:r>
            <w:r>
              <w:rPr>
                <w:rStyle w:val="IndexLink"/>
                <w:rtl w:val="true"/>
              </w:rPr>
              <w:tab/>
            </w:r>
            <w:r>
              <w:rPr>
                <w:rStyle w:val="IndexLink"/>
              </w:rPr>
              <w:t>262</w:t>
            </w:r>
          </w:hyperlink>
        </w:p>
        <w:p>
          <w:pPr>
            <w:pStyle w:val="Contents6"/>
            <w:tabs>
              <w:tab w:val="clear" w:pos="7609"/>
              <w:tab w:val="right" w:pos="9026" w:leader="dot"/>
            </w:tabs>
            <w:rPr/>
          </w:pPr>
          <w:hyperlink w:anchor="__RefHeading___Toc488471_2281741623">
            <w:r>
              <w:rPr>
                <w:webHidden/>
                <w:rStyle w:val="IndexLink"/>
                <w:rtl w:val="true"/>
              </w:rPr>
              <w:t>الإستدلال بالأخبار المشتملة علی الطِلآء</w:t>
            </w:r>
            <w:r>
              <w:rPr>
                <w:rStyle w:val="IndexLink"/>
                <w:rtl w:val="true"/>
              </w:rPr>
              <w:tab/>
            </w:r>
            <w:r>
              <w:rPr>
                <w:rStyle w:val="IndexLink"/>
              </w:rPr>
              <w:t>263</w:t>
            </w:r>
          </w:hyperlink>
        </w:p>
        <w:p>
          <w:pPr>
            <w:pStyle w:val="Contents5"/>
            <w:tabs>
              <w:tab w:val="clear" w:pos="7892"/>
              <w:tab w:val="right" w:pos="9026" w:leader="dot"/>
            </w:tabs>
            <w:rPr/>
          </w:pPr>
          <w:hyperlink w:anchor="__RefHeading___Toc488473_2281741623">
            <w:r>
              <w:rPr>
                <w:webHidden/>
                <w:rStyle w:val="IndexLink"/>
                <w:rtl w:val="true"/>
              </w:rPr>
              <w:t xml:space="preserve">الکلام فی طهارته و نجاسته </w:t>
            </w:r>
            <w:r>
              <w:rPr>
                <w:rStyle w:val="IndexLink"/>
                <w:rtl w:val="true"/>
              </w:rPr>
              <w:t>:</w:t>
              <w:tab/>
            </w:r>
            <w:r>
              <w:rPr>
                <w:rStyle w:val="IndexLink"/>
              </w:rPr>
              <w:t>265</w:t>
            </w:r>
          </w:hyperlink>
        </w:p>
        <w:p>
          <w:pPr>
            <w:pStyle w:val="Contents6"/>
            <w:tabs>
              <w:tab w:val="clear" w:pos="7609"/>
              <w:tab w:val="right" w:pos="9026" w:leader="dot"/>
            </w:tabs>
            <w:rPr/>
          </w:pPr>
          <w:hyperlink w:anchor="__RefHeading___Toc488475_2281741623">
            <w:r>
              <w:rPr>
                <w:webHidden/>
                <w:rStyle w:val="IndexLink"/>
                <w:rtl w:val="true"/>
              </w:rPr>
              <w:t>اشارة</w:t>
            </w:r>
            <w:r>
              <w:rPr>
                <w:rStyle w:val="IndexLink"/>
                <w:rtl w:val="true"/>
              </w:rPr>
              <w:tab/>
            </w:r>
            <w:r>
              <w:rPr>
                <w:rStyle w:val="IndexLink"/>
              </w:rPr>
              <w:t>265</w:t>
            </w:r>
          </w:hyperlink>
        </w:p>
        <w:p>
          <w:pPr>
            <w:pStyle w:val="Contents6"/>
            <w:tabs>
              <w:tab w:val="clear" w:pos="7609"/>
              <w:tab w:val="right" w:pos="9026" w:leader="dot"/>
            </w:tabs>
            <w:rPr/>
          </w:pPr>
          <w:hyperlink w:anchor="__RefHeading___Toc488477_2281741623">
            <w:r>
              <w:rPr>
                <w:webHidden/>
                <w:rStyle w:val="IndexLink"/>
                <w:rtl w:val="true"/>
              </w:rPr>
              <w:t>مختار المؤلّف فی ذلک و هو القول بالنجاسة</w:t>
            </w:r>
            <w:r>
              <w:rPr>
                <w:rStyle w:val="IndexLink"/>
                <w:rtl w:val="true"/>
              </w:rPr>
              <w:tab/>
            </w:r>
            <w:r>
              <w:rPr>
                <w:rStyle w:val="IndexLink"/>
              </w:rPr>
              <w:t>267</w:t>
            </w:r>
          </w:hyperlink>
        </w:p>
        <w:p>
          <w:pPr>
            <w:pStyle w:val="Contents6"/>
            <w:tabs>
              <w:tab w:val="clear" w:pos="7609"/>
              <w:tab w:val="right" w:pos="9026" w:leader="dot"/>
            </w:tabs>
            <w:rPr/>
          </w:pPr>
          <w:hyperlink w:anchor="__RefHeading___Toc488479_2281741623">
            <w:r>
              <w:rPr>
                <w:webHidden/>
                <w:rStyle w:val="IndexLink"/>
                <w:rtl w:val="true"/>
              </w:rPr>
              <w:t xml:space="preserve">المستند له فی ذلک أمور </w:t>
            </w:r>
            <w:r>
              <w:rPr>
                <w:rStyle w:val="IndexLink"/>
                <w:rtl w:val="true"/>
              </w:rPr>
              <w:t>:</w:t>
              <w:tab/>
            </w:r>
            <w:r>
              <w:rPr>
                <w:rStyle w:val="IndexLink"/>
              </w:rPr>
              <w:t>267</w:t>
            </w:r>
          </w:hyperlink>
        </w:p>
        <w:p>
          <w:pPr>
            <w:pStyle w:val="Contents6"/>
            <w:tabs>
              <w:tab w:val="clear" w:pos="7609"/>
              <w:tab w:val="right" w:pos="9026" w:leader="dot"/>
            </w:tabs>
            <w:rPr/>
          </w:pPr>
          <w:hyperlink w:anchor="__RefHeading___Toc488481_2281741623">
            <w:r>
              <w:rPr>
                <w:webHidden/>
                <w:rStyle w:val="IndexLink"/>
                <w:rtl w:val="true"/>
              </w:rPr>
              <w:t>اشارة</w:t>
            </w:r>
            <w:r>
              <w:rPr>
                <w:rStyle w:val="IndexLink"/>
                <w:rtl w:val="true"/>
              </w:rPr>
              <w:tab/>
            </w:r>
            <w:r>
              <w:rPr>
                <w:rStyle w:val="IndexLink"/>
              </w:rPr>
              <w:t>267</w:t>
            </w:r>
          </w:hyperlink>
        </w:p>
        <w:p>
          <w:pPr>
            <w:pStyle w:val="Contents6"/>
            <w:tabs>
              <w:tab w:val="clear" w:pos="7609"/>
              <w:tab w:val="right" w:pos="9026" w:leader="dot"/>
            </w:tabs>
            <w:rPr/>
          </w:pPr>
          <w:hyperlink w:anchor="__RefHeading___Toc488483_2281741623">
            <w:r>
              <w:rPr>
                <w:webHidden/>
                <w:rStyle w:val="IndexLink"/>
                <w:rtl w:val="true"/>
              </w:rPr>
              <w:t xml:space="preserve">الأوّل </w:t>
            </w:r>
            <w:r>
              <w:rPr>
                <w:rStyle w:val="IndexLink"/>
                <w:rtl w:val="true"/>
              </w:rPr>
              <w:t xml:space="preserve">: </w:t>
            </w:r>
            <w:r>
              <w:rPr>
                <w:rStyle w:val="IndexLink"/>
                <w:rtl w:val="true"/>
              </w:rPr>
              <w:t>الإجماع المنقول</w:t>
            </w:r>
            <w:r>
              <w:rPr>
                <w:rStyle w:val="IndexLink"/>
                <w:rtl w:val="true"/>
              </w:rPr>
              <w:tab/>
            </w:r>
            <w:r>
              <w:rPr>
                <w:rStyle w:val="IndexLink"/>
              </w:rPr>
              <w:t>267</w:t>
            </w:r>
          </w:hyperlink>
        </w:p>
        <w:p>
          <w:pPr>
            <w:pStyle w:val="Contents6"/>
            <w:tabs>
              <w:tab w:val="clear" w:pos="7609"/>
              <w:tab w:val="right" w:pos="9026" w:leader="dot"/>
            </w:tabs>
            <w:rPr/>
          </w:pPr>
          <w:hyperlink w:anchor="__RefHeading___Toc488485_2281741623">
            <w:r>
              <w:rPr>
                <w:webHidden/>
                <w:rStyle w:val="IndexLink"/>
                <w:rtl w:val="true"/>
              </w:rPr>
              <w:t xml:space="preserve">الثانی </w:t>
            </w:r>
            <w:r>
              <w:rPr>
                <w:rStyle w:val="IndexLink"/>
                <w:rtl w:val="true"/>
              </w:rPr>
              <w:t xml:space="preserve">: </w:t>
            </w:r>
            <w:r>
              <w:rPr>
                <w:rStyle w:val="IndexLink"/>
                <w:rtl w:val="true"/>
              </w:rPr>
              <w:t>إنّ العصیر هو الخمر</w:t>
            </w:r>
            <w:r>
              <w:rPr>
                <w:rStyle w:val="IndexLink"/>
                <w:rtl w:val="true"/>
              </w:rPr>
              <w:tab/>
            </w:r>
            <w:r>
              <w:rPr>
                <w:rStyle w:val="IndexLink"/>
              </w:rPr>
              <w:t>268</w:t>
            </w:r>
          </w:hyperlink>
        </w:p>
        <w:p>
          <w:pPr>
            <w:pStyle w:val="Contents6"/>
            <w:tabs>
              <w:tab w:val="clear" w:pos="7609"/>
              <w:tab w:val="right" w:pos="9026" w:leader="dot"/>
            </w:tabs>
            <w:rPr/>
          </w:pPr>
          <w:hyperlink w:anchor="__RefHeading___Toc488487_2281741623">
            <w:r>
              <w:rPr>
                <w:webHidden/>
                <w:rStyle w:val="IndexLink"/>
                <w:rtl w:val="true"/>
              </w:rPr>
              <w:t xml:space="preserve">الثالث </w:t>
            </w:r>
            <w:r>
              <w:rPr>
                <w:rStyle w:val="IndexLink"/>
                <w:rtl w:val="true"/>
              </w:rPr>
              <w:t xml:space="preserve">: </w:t>
            </w:r>
            <w:r>
              <w:rPr>
                <w:rStyle w:val="IndexLink"/>
                <w:rtl w:val="true"/>
              </w:rPr>
              <w:t>انّ العصیر المغلی مسکر مطلقاً أو الکثیر منه</w:t>
            </w:r>
            <w:r>
              <w:rPr>
                <w:rStyle w:val="IndexLink"/>
                <w:rtl w:val="true"/>
              </w:rPr>
              <w:tab/>
            </w:r>
            <w:r>
              <w:rPr>
                <w:rStyle w:val="IndexLink"/>
              </w:rPr>
              <w:t>270</w:t>
            </w:r>
          </w:hyperlink>
        </w:p>
        <w:p>
          <w:pPr>
            <w:pStyle w:val="Contents6"/>
            <w:tabs>
              <w:tab w:val="clear" w:pos="7609"/>
              <w:tab w:val="right" w:pos="9026" w:leader="dot"/>
            </w:tabs>
            <w:rPr/>
          </w:pPr>
          <w:hyperlink w:anchor="__RefHeading___Toc488489_2281741623">
            <w:r>
              <w:rPr>
                <w:webHidden/>
                <w:rStyle w:val="IndexLink"/>
                <w:rtl w:val="true"/>
              </w:rPr>
              <w:t xml:space="preserve">الرابع </w:t>
            </w:r>
            <w:r>
              <w:rPr>
                <w:rStyle w:val="IndexLink"/>
                <w:rtl w:val="true"/>
              </w:rPr>
              <w:t xml:space="preserve">: </w:t>
            </w:r>
            <w:r>
              <w:rPr>
                <w:rStyle w:val="IndexLink"/>
                <w:rtl w:val="true"/>
              </w:rPr>
              <w:t>ما رواه فی التهذیب عن معاویة بن عمّار</w:t>
            </w:r>
            <w:r>
              <w:rPr>
                <w:rStyle w:val="IndexLink"/>
                <w:rtl w:val="true"/>
              </w:rPr>
              <w:tab/>
            </w:r>
            <w:r>
              <w:rPr>
                <w:rStyle w:val="IndexLink"/>
              </w:rPr>
              <w:t>274</w:t>
            </w:r>
          </w:hyperlink>
        </w:p>
        <w:p>
          <w:pPr>
            <w:pStyle w:val="Contents3"/>
            <w:tabs>
              <w:tab w:val="clear" w:pos="8459"/>
              <w:tab w:val="right" w:pos="9026" w:leader="dot"/>
            </w:tabs>
            <w:rPr/>
          </w:pPr>
          <w:hyperlink w:anchor="__RefHeading___Toc488491_2281741623">
            <w:r>
              <w:rPr>
                <w:webHidden/>
                <w:rStyle w:val="IndexLink"/>
                <w:rtl w:val="true"/>
              </w:rPr>
              <w:t>مسألة العصیر و تحیق الحال فیها</w:t>
            </w:r>
            <w:r>
              <w:rPr>
                <w:rStyle w:val="IndexLink"/>
                <w:rtl w:val="true"/>
              </w:rPr>
              <w:t>:</w:t>
              <w:tab/>
            </w:r>
            <w:r>
              <w:rPr>
                <w:rStyle w:val="IndexLink"/>
              </w:rPr>
              <w:t>277</w:t>
            </w:r>
          </w:hyperlink>
        </w:p>
        <w:p>
          <w:pPr>
            <w:pStyle w:val="Contents4"/>
            <w:tabs>
              <w:tab w:val="clear" w:pos="8176"/>
              <w:tab w:val="right" w:pos="9026" w:leader="dot"/>
            </w:tabs>
            <w:rPr/>
          </w:pPr>
          <w:hyperlink w:anchor="__RefHeading___Toc488493_2281741623">
            <w:r>
              <w:rPr>
                <w:webHidden/>
                <w:rStyle w:val="IndexLink"/>
                <w:rtl w:val="true"/>
              </w:rPr>
              <w:t>المقصد الأول</w:t>
            </w:r>
            <w:r>
              <w:rPr>
                <w:rStyle w:val="IndexLink"/>
                <w:rtl w:val="true"/>
              </w:rPr>
              <w:t xml:space="preserve">: </w:t>
            </w:r>
            <w:r>
              <w:rPr>
                <w:rStyle w:val="IndexLink"/>
                <w:rtl w:val="true"/>
              </w:rPr>
              <w:t>فی العصیر العنبی</w:t>
            </w:r>
            <w:r>
              <w:rPr>
                <w:rStyle w:val="IndexLink"/>
                <w:rtl w:val="true"/>
              </w:rPr>
              <w:tab/>
            </w:r>
            <w:r>
              <w:rPr>
                <w:rStyle w:val="IndexLink"/>
              </w:rPr>
              <w:t>277</w:t>
            </w:r>
          </w:hyperlink>
        </w:p>
        <w:p>
          <w:pPr>
            <w:pStyle w:val="Contents5"/>
            <w:tabs>
              <w:tab w:val="clear" w:pos="7892"/>
              <w:tab w:val="right" w:pos="9026" w:leader="dot"/>
            </w:tabs>
            <w:rPr/>
          </w:pPr>
          <w:hyperlink w:anchor="__RefHeading___Toc488495_2281741623">
            <w:r>
              <w:rPr>
                <w:webHidden/>
                <w:rStyle w:val="IndexLink"/>
                <w:rtl w:val="true"/>
              </w:rPr>
              <w:t>اشارة</w:t>
            </w:r>
            <w:r>
              <w:rPr>
                <w:rStyle w:val="IndexLink"/>
                <w:rtl w:val="true"/>
              </w:rPr>
              <w:tab/>
            </w:r>
            <w:r>
              <w:rPr>
                <w:rStyle w:val="IndexLink"/>
              </w:rPr>
              <w:t>277</w:t>
            </w:r>
          </w:hyperlink>
        </w:p>
        <w:p>
          <w:pPr>
            <w:pStyle w:val="Contents5"/>
            <w:tabs>
              <w:tab w:val="clear" w:pos="7892"/>
              <w:tab w:val="right" w:pos="9026" w:leader="dot"/>
            </w:tabs>
            <w:rPr/>
          </w:pPr>
          <w:hyperlink w:anchor="__RefHeading___Toc488497_2281741623">
            <w:r>
              <w:rPr>
                <w:webHidden/>
                <w:rStyle w:val="IndexLink"/>
                <w:rtl w:val="true"/>
              </w:rPr>
              <w:t xml:space="preserve">الفصل الأوّل </w:t>
            </w:r>
            <w:r>
              <w:rPr>
                <w:rStyle w:val="IndexLink"/>
                <w:rtl w:val="true"/>
              </w:rPr>
              <w:t xml:space="preserve">: </w:t>
            </w:r>
            <w:r>
              <w:rPr>
                <w:rStyle w:val="IndexLink"/>
                <w:rtl w:val="true"/>
              </w:rPr>
              <w:t>فی الأخبار الواردة فی هذا الباب</w:t>
            </w:r>
            <w:r>
              <w:rPr>
                <w:rStyle w:val="IndexLink"/>
                <w:rtl w:val="true"/>
              </w:rPr>
              <w:tab/>
            </w:r>
            <w:r>
              <w:rPr>
                <w:rStyle w:val="IndexLink"/>
              </w:rPr>
              <w:t>279</w:t>
            </w:r>
          </w:hyperlink>
        </w:p>
        <w:p>
          <w:pPr>
            <w:pStyle w:val="Contents5"/>
            <w:tabs>
              <w:tab w:val="clear" w:pos="7892"/>
              <w:tab w:val="right" w:pos="9026" w:leader="dot"/>
            </w:tabs>
            <w:rPr/>
          </w:pPr>
          <w:hyperlink w:anchor="__RefHeading___Toc488499_2281741623">
            <w:r>
              <w:rPr>
                <w:webHidden/>
                <w:rStyle w:val="IndexLink"/>
                <w:rtl w:val="true"/>
              </w:rPr>
              <w:t xml:space="preserve">الفصل الثانی </w:t>
            </w:r>
            <w:r>
              <w:rPr>
                <w:rStyle w:val="IndexLink"/>
                <w:rtl w:val="true"/>
              </w:rPr>
              <w:t xml:space="preserve">: </w:t>
            </w:r>
            <w:r>
              <w:rPr>
                <w:rStyle w:val="IndexLink"/>
                <w:rtl w:val="true"/>
              </w:rPr>
              <w:t>فی عبارات الأصحاب</w:t>
            </w:r>
            <w:r>
              <w:rPr>
                <w:rStyle w:val="IndexLink"/>
                <w:rtl w:val="true"/>
              </w:rPr>
              <w:tab/>
            </w:r>
            <w:r>
              <w:rPr>
                <w:rStyle w:val="IndexLink"/>
              </w:rPr>
              <w:t>285</w:t>
            </w:r>
          </w:hyperlink>
        </w:p>
        <w:p>
          <w:pPr>
            <w:pStyle w:val="Contents5"/>
            <w:tabs>
              <w:tab w:val="clear" w:pos="7892"/>
              <w:tab w:val="right" w:pos="9026" w:leader="dot"/>
            </w:tabs>
            <w:rPr/>
          </w:pPr>
          <w:hyperlink w:anchor="__RefHeading___Toc488501_2281741623">
            <w:r>
              <w:rPr>
                <w:webHidden/>
                <w:rStyle w:val="IndexLink"/>
                <w:rtl w:val="true"/>
              </w:rPr>
              <w:t>الفصل الثالث</w:t>
            </w:r>
            <w:r>
              <w:rPr>
                <w:rStyle w:val="IndexLink"/>
                <w:rtl w:val="true"/>
              </w:rPr>
              <w:t xml:space="preserve">: </w:t>
            </w:r>
            <w:r>
              <w:rPr>
                <w:rStyle w:val="IndexLink"/>
                <w:rtl w:val="true"/>
              </w:rPr>
              <w:t>فی حرمته بعد الغلیان والنشیش قبل ذهاب الثلثین منه</w:t>
            </w:r>
            <w:r>
              <w:rPr>
                <w:rStyle w:val="IndexLink"/>
                <w:rtl w:val="true"/>
              </w:rPr>
              <w:tab/>
            </w:r>
            <w:r>
              <w:rPr>
                <w:rStyle w:val="IndexLink"/>
              </w:rPr>
              <w:t>291</w:t>
            </w:r>
          </w:hyperlink>
        </w:p>
        <w:p>
          <w:pPr>
            <w:pStyle w:val="Contents6"/>
            <w:tabs>
              <w:tab w:val="clear" w:pos="7609"/>
              <w:tab w:val="right" w:pos="9026" w:leader="dot"/>
            </w:tabs>
            <w:rPr/>
          </w:pPr>
          <w:hyperlink w:anchor="__RefHeading___Toc488503_2281741623">
            <w:r>
              <w:rPr>
                <w:webHidden/>
                <w:rStyle w:val="IndexLink"/>
                <w:rtl w:val="true"/>
              </w:rPr>
              <w:t>اشارة</w:t>
            </w:r>
            <w:r>
              <w:rPr>
                <w:rStyle w:val="IndexLink"/>
                <w:rtl w:val="true"/>
              </w:rPr>
              <w:tab/>
            </w:r>
            <w:r>
              <w:rPr>
                <w:rStyle w:val="IndexLink"/>
              </w:rPr>
              <w:t>291</w:t>
            </w:r>
          </w:hyperlink>
        </w:p>
        <w:p>
          <w:pPr>
            <w:pStyle w:val="Contents6"/>
            <w:tabs>
              <w:tab w:val="clear" w:pos="7609"/>
              <w:tab w:val="right" w:pos="9026" w:leader="dot"/>
            </w:tabs>
            <w:rPr/>
          </w:pPr>
          <w:hyperlink w:anchor="__RefHeading___Toc488505_2281741623">
            <w:r>
              <w:rPr>
                <w:webHidden/>
                <w:rStyle w:val="IndexLink"/>
                <w:rtl w:val="true"/>
              </w:rPr>
              <w:t>رأی المؤلّف و أدلّته</w:t>
            </w:r>
            <w:r>
              <w:rPr>
                <w:rStyle w:val="IndexLink"/>
                <w:rtl w:val="true"/>
              </w:rPr>
              <w:tab/>
            </w:r>
            <w:r>
              <w:rPr>
                <w:rStyle w:val="IndexLink"/>
              </w:rPr>
              <w:t>291</w:t>
            </w:r>
          </w:hyperlink>
        </w:p>
        <w:p>
          <w:pPr>
            <w:pStyle w:val="Contents5"/>
            <w:tabs>
              <w:tab w:val="clear" w:pos="7892"/>
              <w:tab w:val="right" w:pos="9026" w:leader="dot"/>
            </w:tabs>
            <w:rPr/>
          </w:pPr>
          <w:hyperlink w:anchor="__RefHeading___Toc488507_2281741623">
            <w:r>
              <w:rPr>
                <w:webHidden/>
                <w:rStyle w:val="IndexLink"/>
                <w:rtl w:val="true"/>
              </w:rPr>
              <w:t>الفصل‌الرابع</w:t>
            </w:r>
            <w:r>
              <w:rPr>
                <w:rStyle w:val="IndexLink"/>
                <w:rtl w:val="true"/>
              </w:rPr>
              <w:t xml:space="preserve">: </w:t>
            </w:r>
            <w:r>
              <w:rPr>
                <w:rStyle w:val="IndexLink"/>
                <w:rtl w:val="true"/>
              </w:rPr>
              <w:t>فی نجاسته وطهارته بعدالغلیان قبل ذهاب الثلثین منه</w:t>
            </w:r>
            <w:r>
              <w:rPr>
                <w:rStyle w:val="IndexLink"/>
                <w:rtl w:val="true"/>
              </w:rPr>
              <w:tab/>
            </w:r>
            <w:r>
              <w:rPr>
                <w:rStyle w:val="IndexLink"/>
              </w:rPr>
              <w:t>293</w:t>
            </w:r>
          </w:hyperlink>
        </w:p>
        <w:p>
          <w:pPr>
            <w:pStyle w:val="Contents6"/>
            <w:tabs>
              <w:tab w:val="clear" w:pos="7609"/>
              <w:tab w:val="right" w:pos="9026" w:leader="dot"/>
            </w:tabs>
            <w:rPr/>
          </w:pPr>
          <w:hyperlink w:anchor="__RefHeading___Toc488509_2281741623">
            <w:r>
              <w:rPr>
                <w:webHidden/>
                <w:rStyle w:val="IndexLink"/>
                <w:rtl w:val="true"/>
              </w:rPr>
              <w:t>اشارة</w:t>
            </w:r>
            <w:r>
              <w:rPr>
                <w:rStyle w:val="IndexLink"/>
                <w:rtl w:val="true"/>
              </w:rPr>
              <w:tab/>
            </w:r>
            <w:r>
              <w:rPr>
                <w:rStyle w:val="IndexLink"/>
              </w:rPr>
              <w:t>293</w:t>
            </w:r>
          </w:hyperlink>
        </w:p>
        <w:p>
          <w:pPr>
            <w:pStyle w:val="Contents6"/>
            <w:tabs>
              <w:tab w:val="clear" w:pos="7609"/>
              <w:tab w:val="right" w:pos="9026" w:leader="dot"/>
            </w:tabs>
            <w:rPr/>
          </w:pPr>
          <w:hyperlink w:anchor="__RefHeading___Toc488511_2281741623">
            <w:r>
              <w:rPr>
                <w:webHidden/>
                <w:rStyle w:val="IndexLink"/>
                <w:rtl w:val="true"/>
              </w:rPr>
              <w:t xml:space="preserve">و فیه أقوال </w:t>
            </w:r>
            <w:r>
              <w:rPr>
                <w:rStyle w:val="IndexLink"/>
                <w:rtl w:val="true"/>
              </w:rPr>
              <w:t>:</w:t>
              <w:tab/>
            </w:r>
            <w:r>
              <w:rPr>
                <w:rStyle w:val="IndexLink"/>
              </w:rPr>
              <w:t>293</w:t>
            </w:r>
          </w:hyperlink>
        </w:p>
        <w:p>
          <w:pPr>
            <w:pStyle w:val="Contents6"/>
            <w:tabs>
              <w:tab w:val="clear" w:pos="7609"/>
              <w:tab w:val="right" w:pos="9026" w:leader="dot"/>
            </w:tabs>
            <w:rPr/>
          </w:pPr>
          <w:hyperlink w:anchor="__RefHeading___Toc488513_2281741623">
            <w:r>
              <w:rPr>
                <w:webHidden/>
                <w:rStyle w:val="IndexLink"/>
                <w:rtl w:val="true"/>
              </w:rPr>
              <w:t xml:space="preserve">القول الأوّل </w:t>
            </w:r>
            <w:r>
              <w:rPr>
                <w:rStyle w:val="IndexLink"/>
                <w:rtl w:val="true"/>
              </w:rPr>
              <w:t xml:space="preserve">: </w:t>
            </w:r>
            <w:r>
              <w:rPr>
                <w:rStyle w:val="IndexLink"/>
                <w:rtl w:val="true"/>
              </w:rPr>
              <w:t>النجاسة مطلقاً</w:t>
            </w:r>
            <w:r>
              <w:rPr>
                <w:rStyle w:val="IndexLink"/>
                <w:rtl w:val="true"/>
              </w:rPr>
              <w:tab/>
            </w:r>
            <w:r>
              <w:rPr>
                <w:rStyle w:val="IndexLink"/>
              </w:rPr>
              <w:t>293</w:t>
            </w:r>
          </w:hyperlink>
        </w:p>
        <w:p>
          <w:pPr>
            <w:pStyle w:val="Contents6"/>
            <w:tabs>
              <w:tab w:val="clear" w:pos="7609"/>
              <w:tab w:val="right" w:pos="9026" w:leader="dot"/>
            </w:tabs>
            <w:rPr/>
          </w:pPr>
          <w:hyperlink w:anchor="__RefHeading___Toc488515_2281741623">
            <w:r>
              <w:rPr>
                <w:webHidden/>
                <w:rStyle w:val="IndexLink"/>
                <w:rtl w:val="true"/>
              </w:rPr>
              <w:t xml:space="preserve">القول الثانی </w:t>
            </w:r>
            <w:r>
              <w:rPr>
                <w:rStyle w:val="IndexLink"/>
                <w:rtl w:val="true"/>
              </w:rPr>
              <w:t xml:space="preserve">: </w:t>
            </w:r>
            <w:r>
              <w:rPr>
                <w:rStyle w:val="IndexLink"/>
                <w:rtl w:val="true"/>
              </w:rPr>
              <w:t>الطهارة مطلقاً و إن کان حراماً</w:t>
            </w:r>
            <w:r>
              <w:rPr>
                <w:rStyle w:val="IndexLink"/>
                <w:rtl w:val="true"/>
              </w:rPr>
              <w:tab/>
            </w:r>
            <w:r>
              <w:rPr>
                <w:rStyle w:val="IndexLink"/>
              </w:rPr>
              <w:t>294</w:t>
            </w:r>
          </w:hyperlink>
        </w:p>
        <w:p>
          <w:pPr>
            <w:pStyle w:val="Contents6"/>
            <w:tabs>
              <w:tab w:val="clear" w:pos="7609"/>
              <w:tab w:val="right" w:pos="9026" w:leader="dot"/>
            </w:tabs>
            <w:rPr/>
          </w:pPr>
          <w:hyperlink w:anchor="__RefHeading___Toc488517_2281741623">
            <w:r>
              <w:rPr>
                <w:webHidden/>
                <w:rStyle w:val="IndexLink"/>
                <w:rtl w:val="true"/>
              </w:rPr>
              <w:t xml:space="preserve">القول الثالث </w:t>
            </w:r>
            <w:r>
              <w:rPr>
                <w:rStyle w:val="IndexLink"/>
                <w:rtl w:val="true"/>
              </w:rPr>
              <w:t xml:space="preserve">: </w:t>
            </w:r>
            <w:r>
              <w:rPr>
                <w:rStyle w:val="IndexLink"/>
                <w:rtl w:val="true"/>
              </w:rPr>
              <w:t>التفصیل بین ما لو اشتدّ و ما لم یشتدّ</w:t>
            </w:r>
            <w:r>
              <w:rPr>
                <w:rStyle w:val="IndexLink"/>
                <w:rtl w:val="true"/>
              </w:rPr>
              <w:tab/>
            </w:r>
            <w:r>
              <w:rPr>
                <w:rStyle w:val="IndexLink"/>
              </w:rPr>
              <w:t>295</w:t>
            </w:r>
          </w:hyperlink>
        </w:p>
        <w:p>
          <w:pPr>
            <w:pStyle w:val="Contents6"/>
            <w:tabs>
              <w:tab w:val="clear" w:pos="7609"/>
              <w:tab w:val="right" w:pos="9026" w:leader="dot"/>
            </w:tabs>
            <w:rPr/>
          </w:pPr>
          <w:hyperlink w:anchor="__RefHeading___Toc488519_2281741623">
            <w:r>
              <w:rPr>
                <w:webHidden/>
                <w:rStyle w:val="IndexLink"/>
                <w:rtl w:val="true"/>
              </w:rPr>
              <w:t xml:space="preserve">القول الرابع </w:t>
            </w:r>
            <w:r>
              <w:rPr>
                <w:rStyle w:val="IndexLink"/>
                <w:rtl w:val="true"/>
              </w:rPr>
              <w:t xml:space="preserve">: </w:t>
            </w:r>
            <w:r>
              <w:rPr>
                <w:rStyle w:val="IndexLink"/>
                <w:rtl w:val="true"/>
              </w:rPr>
              <w:t>التفصیل بین ما إذا غلی بنفسه أو بالشمس أو بالنار</w:t>
            </w:r>
            <w:r>
              <w:rPr>
                <w:rStyle w:val="IndexLink"/>
                <w:rtl w:val="true"/>
              </w:rPr>
              <w:tab/>
            </w:r>
            <w:r>
              <w:rPr>
                <w:rStyle w:val="IndexLink"/>
              </w:rPr>
              <w:t>296</w:t>
            </w:r>
          </w:hyperlink>
        </w:p>
        <w:p>
          <w:pPr>
            <w:pStyle w:val="Contents6"/>
            <w:tabs>
              <w:tab w:val="clear" w:pos="7609"/>
              <w:tab w:val="right" w:pos="9026" w:leader="dot"/>
            </w:tabs>
            <w:rPr/>
          </w:pPr>
          <w:hyperlink w:anchor="__RefHeading___Toc488521_2281741623">
            <w:r>
              <w:rPr>
                <w:webHidden/>
                <w:rStyle w:val="IndexLink"/>
                <w:rtl w:val="true"/>
              </w:rPr>
              <w:t xml:space="preserve">المستند للقول الأوّل أمور </w:t>
            </w:r>
            <w:r>
              <w:rPr>
                <w:rStyle w:val="IndexLink"/>
                <w:rtl w:val="true"/>
              </w:rPr>
              <w:t>:</w:t>
              <w:tab/>
            </w:r>
            <w:r>
              <w:rPr>
                <w:rStyle w:val="IndexLink"/>
              </w:rPr>
              <w:t>296</w:t>
            </w:r>
          </w:hyperlink>
        </w:p>
        <w:p>
          <w:pPr>
            <w:pStyle w:val="Contents6"/>
            <w:tabs>
              <w:tab w:val="clear" w:pos="7609"/>
              <w:tab w:val="right" w:pos="9026" w:leader="dot"/>
            </w:tabs>
            <w:rPr/>
          </w:pPr>
          <w:hyperlink w:anchor="__RefHeading___Toc488523_228174162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88525_2281741623">
            <w:r>
              <w:rPr>
                <w:webHidden/>
                <w:rStyle w:val="IndexLink"/>
                <w:rtl w:val="true"/>
              </w:rPr>
              <w:t xml:space="preserve">أحدها </w:t>
            </w:r>
            <w:r>
              <w:rPr>
                <w:rStyle w:val="IndexLink"/>
                <w:rtl w:val="true"/>
              </w:rPr>
              <w:t xml:space="preserve">: </w:t>
            </w:r>
            <w:r>
              <w:rPr>
                <w:rStyle w:val="IndexLink"/>
                <w:rtl w:val="true"/>
              </w:rPr>
              <w:t>ما دلّ علی أنّ العصیر بعد الغلیان خمر حقیقة أو حکما</w:t>
            </w:r>
            <w:r>
              <w:rPr>
                <w:rStyle w:val="IndexLink"/>
                <w:rtl w:val="true"/>
              </w:rPr>
              <w:tab/>
            </w:r>
            <w:r>
              <w:rPr>
                <w:rStyle w:val="IndexLink"/>
              </w:rPr>
              <w:t>296</w:t>
            </w:r>
          </w:hyperlink>
        </w:p>
        <w:p>
          <w:pPr>
            <w:pStyle w:val="Contents6"/>
            <w:tabs>
              <w:tab w:val="clear" w:pos="7609"/>
              <w:tab w:val="right" w:pos="9026" w:leader="dot"/>
            </w:tabs>
            <w:rPr/>
          </w:pPr>
          <w:hyperlink w:anchor="__RefHeading___Toc488527_2281741623">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488529_2281741623">
            <w:r>
              <w:rPr>
                <w:webHidden/>
                <w:rStyle w:val="IndexLink"/>
                <w:rtl w:val="true"/>
              </w:rPr>
              <w:t>الجواب عنها</w:t>
            </w:r>
            <w:r>
              <w:rPr>
                <w:rStyle w:val="IndexLink"/>
                <w:rtl w:val="true"/>
              </w:rPr>
              <w:tab/>
            </w:r>
            <w:r>
              <w:rPr>
                <w:rStyle w:val="IndexLink"/>
              </w:rPr>
              <w:t>297</w:t>
            </w:r>
          </w:hyperlink>
        </w:p>
        <w:p>
          <w:pPr>
            <w:pStyle w:val="Contents6"/>
            <w:tabs>
              <w:tab w:val="clear" w:pos="7609"/>
              <w:tab w:val="right" w:pos="9026" w:leader="dot"/>
            </w:tabs>
            <w:rPr/>
          </w:pPr>
          <w:hyperlink w:anchor="__RefHeading___Toc488531_2281741623">
            <w:r>
              <w:rPr>
                <w:webHidden/>
                <w:rStyle w:val="IndexLink"/>
                <w:rtl w:val="true"/>
              </w:rPr>
              <w:t xml:space="preserve">ثانیها </w:t>
            </w:r>
            <w:r>
              <w:rPr>
                <w:rStyle w:val="IndexLink"/>
                <w:rtl w:val="true"/>
              </w:rPr>
              <w:t xml:space="preserve">: </w:t>
            </w:r>
            <w:r>
              <w:rPr>
                <w:rStyle w:val="IndexLink"/>
                <w:rtl w:val="true"/>
              </w:rPr>
              <w:t>بعض الإجماعات المنقولة فی أنّ العصیر بعد الغلیان فی حکم الخمر</w:t>
            </w:r>
            <w:r>
              <w:rPr>
                <w:rStyle w:val="IndexLink"/>
                <w:rtl w:val="true"/>
              </w:rPr>
              <w:tab/>
            </w:r>
            <w:r>
              <w:rPr>
                <w:rStyle w:val="IndexLink"/>
              </w:rPr>
              <w:t>299</w:t>
            </w:r>
          </w:hyperlink>
        </w:p>
        <w:p>
          <w:pPr>
            <w:pStyle w:val="Contents6"/>
            <w:tabs>
              <w:tab w:val="clear" w:pos="7609"/>
              <w:tab w:val="right" w:pos="9026" w:leader="dot"/>
            </w:tabs>
            <w:rPr/>
          </w:pPr>
          <w:hyperlink w:anchor="__RefHeading___Toc488533_2281741623">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488535_2281741623">
            <w:r>
              <w:rPr>
                <w:webHidden/>
                <w:rStyle w:val="IndexLink"/>
                <w:rtl w:val="true"/>
              </w:rPr>
              <w:t>الجواب عنها</w:t>
            </w:r>
            <w:r>
              <w:rPr>
                <w:rStyle w:val="IndexLink"/>
                <w:rtl w:val="true"/>
              </w:rPr>
              <w:tab/>
            </w:r>
            <w:r>
              <w:rPr>
                <w:rStyle w:val="IndexLink"/>
              </w:rPr>
              <w:t>299</w:t>
            </w:r>
          </w:hyperlink>
        </w:p>
        <w:p>
          <w:pPr>
            <w:pStyle w:val="Contents6"/>
            <w:tabs>
              <w:tab w:val="clear" w:pos="7609"/>
              <w:tab w:val="right" w:pos="9026" w:leader="dot"/>
            </w:tabs>
            <w:rPr/>
          </w:pPr>
          <w:hyperlink w:anchor="__RefHeading___Toc488537_2281741623">
            <w:r>
              <w:rPr>
                <w:webHidden/>
                <w:rStyle w:val="IndexLink"/>
                <w:rtl w:val="true"/>
              </w:rPr>
              <w:t xml:space="preserve">ثالثها </w:t>
            </w:r>
            <w:r>
              <w:rPr>
                <w:rStyle w:val="IndexLink"/>
                <w:rtl w:val="true"/>
              </w:rPr>
              <w:t xml:space="preserve">: </w:t>
            </w:r>
            <w:r>
              <w:rPr>
                <w:rStyle w:val="IndexLink"/>
                <w:rtl w:val="true"/>
              </w:rPr>
              <w:t>کلّ ما دلّ علی نجاسة المائع المسکر قلیله و کثیره</w:t>
            </w:r>
            <w:r>
              <w:rPr>
                <w:rStyle w:val="IndexLink"/>
                <w:rtl w:val="true"/>
              </w:rPr>
              <w:tab/>
            </w:r>
            <w:r>
              <w:rPr>
                <w:rStyle w:val="IndexLink"/>
              </w:rPr>
              <w:t>300</w:t>
            </w:r>
          </w:hyperlink>
        </w:p>
        <w:p>
          <w:pPr>
            <w:pStyle w:val="Contents6"/>
            <w:tabs>
              <w:tab w:val="clear" w:pos="7609"/>
              <w:tab w:val="right" w:pos="9026" w:leader="dot"/>
            </w:tabs>
            <w:rPr/>
          </w:pPr>
          <w:hyperlink w:anchor="__RefHeading___Toc488539_2281741623">
            <w:r>
              <w:rPr>
                <w:webHidden/>
                <w:rStyle w:val="IndexLink"/>
                <w:rtl w:val="true"/>
              </w:rPr>
              <w:t>اشارة</w:t>
            </w:r>
            <w:r>
              <w:rPr>
                <w:rStyle w:val="IndexLink"/>
                <w:rtl w:val="true"/>
              </w:rPr>
              <w:tab/>
            </w:r>
            <w:r>
              <w:rPr>
                <w:rStyle w:val="IndexLink"/>
              </w:rPr>
              <w:t>300</w:t>
            </w:r>
          </w:hyperlink>
        </w:p>
        <w:p>
          <w:pPr>
            <w:pStyle w:val="Contents6"/>
            <w:tabs>
              <w:tab w:val="clear" w:pos="7609"/>
              <w:tab w:val="right" w:pos="9026" w:leader="dot"/>
            </w:tabs>
            <w:rPr/>
          </w:pPr>
          <w:hyperlink w:anchor="__RefHeading___Toc488541_2281741623">
            <w:r>
              <w:rPr>
                <w:webHidden/>
                <w:rStyle w:val="IndexLink"/>
                <w:rtl w:val="true"/>
              </w:rPr>
              <w:t>الجواب عنها</w:t>
            </w:r>
            <w:r>
              <w:rPr>
                <w:rStyle w:val="IndexLink"/>
                <w:rtl w:val="true"/>
              </w:rPr>
              <w:tab/>
            </w:r>
            <w:r>
              <w:rPr>
                <w:rStyle w:val="IndexLink"/>
              </w:rPr>
              <w:t>300</w:t>
            </w:r>
          </w:hyperlink>
        </w:p>
        <w:p>
          <w:pPr>
            <w:pStyle w:val="Contents6"/>
            <w:tabs>
              <w:tab w:val="clear" w:pos="7609"/>
              <w:tab w:val="right" w:pos="9026" w:leader="dot"/>
            </w:tabs>
            <w:rPr/>
          </w:pPr>
          <w:hyperlink w:anchor="__RefHeading___Toc488543_2281741623">
            <w:r>
              <w:rPr>
                <w:webHidden/>
                <w:rStyle w:val="IndexLink"/>
                <w:rtl w:val="true"/>
              </w:rPr>
              <w:t xml:space="preserve">رابعها </w:t>
            </w:r>
            <w:r>
              <w:rPr>
                <w:rStyle w:val="IndexLink"/>
                <w:rtl w:val="true"/>
              </w:rPr>
              <w:t xml:space="preserve">: </w:t>
            </w:r>
            <w:r>
              <w:rPr>
                <w:rStyle w:val="IndexLink"/>
                <w:rtl w:val="true"/>
              </w:rPr>
              <w:t>الأخبار الواردة فی أصل تحریم الخمر و بدؤه</w:t>
            </w:r>
            <w:r>
              <w:rPr>
                <w:rStyle w:val="IndexLink"/>
                <w:rtl w:val="true"/>
              </w:rPr>
              <w:tab/>
            </w:r>
            <w:r>
              <w:rPr>
                <w:rStyle w:val="IndexLink"/>
              </w:rPr>
              <w:t>300</w:t>
            </w:r>
          </w:hyperlink>
        </w:p>
        <w:p>
          <w:pPr>
            <w:pStyle w:val="Contents6"/>
            <w:tabs>
              <w:tab w:val="clear" w:pos="7609"/>
              <w:tab w:val="right" w:pos="9026" w:leader="dot"/>
            </w:tabs>
            <w:rPr/>
          </w:pPr>
          <w:hyperlink w:anchor="__RefHeading___Toc488545_2281741623">
            <w:r>
              <w:rPr>
                <w:webHidden/>
                <w:rStyle w:val="IndexLink"/>
                <w:rtl w:val="true"/>
              </w:rPr>
              <w:t>المستند للقول الثانی</w:t>
            </w:r>
            <w:r>
              <w:rPr>
                <w:rStyle w:val="IndexLink"/>
                <w:rtl w:val="true"/>
              </w:rPr>
              <w:tab/>
            </w:r>
            <w:r>
              <w:rPr>
                <w:rStyle w:val="IndexLink"/>
              </w:rPr>
              <w:t>301</w:t>
            </w:r>
          </w:hyperlink>
        </w:p>
        <w:p>
          <w:pPr>
            <w:pStyle w:val="Contents6"/>
            <w:tabs>
              <w:tab w:val="clear" w:pos="7609"/>
              <w:tab w:val="right" w:pos="9026" w:leader="dot"/>
            </w:tabs>
            <w:rPr/>
          </w:pPr>
          <w:hyperlink w:anchor="__RefHeading___Toc488547_2281741623">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488549_2281741623">
            <w:r>
              <w:rPr>
                <w:webHidden/>
                <w:rStyle w:val="IndexLink"/>
                <w:rtl w:val="true"/>
              </w:rPr>
              <w:t>بسط الکلام فی معنی الإشتداد</w:t>
            </w:r>
            <w:r>
              <w:rPr>
                <w:rStyle w:val="IndexLink"/>
                <w:rtl w:val="true"/>
              </w:rPr>
              <w:tab/>
            </w:r>
            <w:r>
              <w:rPr>
                <w:rStyle w:val="IndexLink"/>
              </w:rPr>
              <w:t>301</w:t>
            </w:r>
          </w:hyperlink>
        </w:p>
        <w:p>
          <w:pPr>
            <w:pStyle w:val="Contents6"/>
            <w:tabs>
              <w:tab w:val="clear" w:pos="7609"/>
              <w:tab w:val="right" w:pos="9026" w:leader="dot"/>
            </w:tabs>
            <w:rPr/>
          </w:pPr>
          <w:hyperlink w:anchor="__RefHeading___Toc488551_2281741623">
            <w:r>
              <w:rPr>
                <w:webHidden/>
                <w:rStyle w:val="IndexLink"/>
                <w:rtl w:val="true"/>
              </w:rPr>
              <w:t xml:space="preserve">الأقوال فی معنی الإشتداد </w:t>
            </w:r>
            <w:r>
              <w:rPr>
                <w:rStyle w:val="IndexLink"/>
                <w:rtl w:val="true"/>
              </w:rPr>
              <w:t>:</w:t>
              <w:tab/>
            </w:r>
            <w:r>
              <w:rPr>
                <w:rStyle w:val="IndexLink"/>
              </w:rPr>
              <w:t>301</w:t>
            </w:r>
          </w:hyperlink>
        </w:p>
        <w:p>
          <w:pPr>
            <w:pStyle w:val="Contents6"/>
            <w:tabs>
              <w:tab w:val="clear" w:pos="7609"/>
              <w:tab w:val="right" w:pos="9026" w:leader="dot"/>
            </w:tabs>
            <w:rPr/>
          </w:pPr>
          <w:hyperlink w:anchor="__RefHeading___Toc488553_2281741623">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488555_2281741623">
            <w:r>
              <w:rPr>
                <w:webHidden/>
                <w:rStyle w:val="IndexLink"/>
                <w:rtl w:val="true"/>
              </w:rPr>
              <w:t xml:space="preserve">القول الأوّل </w:t>
            </w:r>
            <w:r>
              <w:rPr>
                <w:rStyle w:val="IndexLink"/>
                <w:rtl w:val="true"/>
              </w:rPr>
              <w:t xml:space="preserve">: </w:t>
            </w:r>
            <w:r>
              <w:rPr>
                <w:rStyle w:val="IndexLink"/>
                <w:rtl w:val="true"/>
              </w:rPr>
              <w:t>انّ الإشتداد هو الثخانة</w:t>
            </w:r>
            <w:r>
              <w:rPr>
                <w:rStyle w:val="IndexLink"/>
                <w:rtl w:val="true"/>
              </w:rPr>
              <w:tab/>
            </w:r>
            <w:r>
              <w:rPr>
                <w:rStyle w:val="IndexLink"/>
              </w:rPr>
              <w:t>301</w:t>
            </w:r>
          </w:hyperlink>
        </w:p>
        <w:p>
          <w:pPr>
            <w:pStyle w:val="Contents6"/>
            <w:tabs>
              <w:tab w:val="clear" w:pos="7609"/>
              <w:tab w:val="right" w:pos="9026" w:leader="dot"/>
            </w:tabs>
            <w:rPr/>
          </w:pPr>
          <w:hyperlink w:anchor="__RefHeading___Toc488557_2281741623">
            <w:r>
              <w:rPr>
                <w:webHidden/>
                <w:rStyle w:val="IndexLink"/>
                <w:rtl w:val="true"/>
              </w:rPr>
              <w:t xml:space="preserve">الوجوه التی یقال فی تفسیر الثخانة </w:t>
            </w:r>
            <w:r>
              <w:rPr>
                <w:rStyle w:val="IndexLink"/>
                <w:rtl w:val="true"/>
              </w:rPr>
              <w:t>:</w:t>
              <w:tab/>
            </w:r>
            <w:r>
              <w:rPr>
                <w:rStyle w:val="IndexLink"/>
              </w:rPr>
              <w:t>301</w:t>
            </w:r>
          </w:hyperlink>
        </w:p>
        <w:p>
          <w:pPr>
            <w:pStyle w:val="Contents6"/>
            <w:tabs>
              <w:tab w:val="clear" w:pos="7609"/>
              <w:tab w:val="right" w:pos="9026" w:leader="dot"/>
            </w:tabs>
            <w:rPr/>
          </w:pPr>
          <w:hyperlink w:anchor="__RefHeading___Toc488559_2281741623">
            <w:r>
              <w:rPr>
                <w:webHidden/>
                <w:rStyle w:val="IndexLink"/>
                <w:rtl w:val="true"/>
              </w:rPr>
              <w:t xml:space="preserve">أحدها </w:t>
            </w:r>
            <w:r>
              <w:rPr>
                <w:rStyle w:val="IndexLink"/>
                <w:rtl w:val="true"/>
              </w:rPr>
              <w:t xml:space="preserve">: </w:t>
            </w:r>
            <w:r>
              <w:rPr>
                <w:rStyle w:val="IndexLink"/>
                <w:rtl w:val="true"/>
              </w:rPr>
              <w:t>انّ الثخانة مقارنة للغلیان و مسبّبة عنه</w:t>
            </w:r>
            <w:r>
              <w:rPr>
                <w:rStyle w:val="IndexLink"/>
                <w:rtl w:val="true"/>
              </w:rPr>
              <w:tab/>
            </w:r>
            <w:r>
              <w:rPr>
                <w:rStyle w:val="IndexLink"/>
              </w:rPr>
              <w:t>301</w:t>
            </w:r>
          </w:hyperlink>
        </w:p>
        <w:p>
          <w:pPr>
            <w:pStyle w:val="Contents6"/>
            <w:tabs>
              <w:tab w:val="clear" w:pos="7609"/>
              <w:tab w:val="right" w:pos="9026" w:leader="dot"/>
            </w:tabs>
            <w:rPr/>
          </w:pPr>
          <w:hyperlink w:anchor="__RefHeading___Toc488561_2281741623">
            <w:r>
              <w:rPr>
                <w:webHidden/>
                <w:rStyle w:val="IndexLink"/>
                <w:rtl w:val="true"/>
              </w:rPr>
              <w:t xml:space="preserve">ثانیها </w:t>
            </w:r>
            <w:r>
              <w:rPr>
                <w:rStyle w:val="IndexLink"/>
                <w:rtl w:val="true"/>
              </w:rPr>
              <w:t xml:space="preserve">: </w:t>
            </w:r>
            <w:r>
              <w:rPr>
                <w:rStyle w:val="IndexLink"/>
                <w:rtl w:val="true"/>
              </w:rPr>
              <w:t>انّ الثخانة أمر عرفیّ یحصل متدرّجاً بعد الغلیان</w:t>
            </w:r>
            <w:r>
              <w:rPr>
                <w:rStyle w:val="IndexLink"/>
                <w:rtl w:val="true"/>
              </w:rPr>
              <w:tab/>
            </w:r>
            <w:r>
              <w:rPr>
                <w:rStyle w:val="IndexLink"/>
              </w:rPr>
              <w:t>303</w:t>
            </w:r>
          </w:hyperlink>
        </w:p>
        <w:p>
          <w:pPr>
            <w:pStyle w:val="Contents6"/>
            <w:tabs>
              <w:tab w:val="clear" w:pos="7609"/>
              <w:tab w:val="right" w:pos="9026" w:leader="dot"/>
            </w:tabs>
            <w:rPr/>
          </w:pPr>
          <w:hyperlink w:anchor="__RefHeading___Toc488563_2281741623">
            <w:r>
              <w:rPr>
                <w:webHidden/>
                <w:rStyle w:val="IndexLink"/>
                <w:rtl w:val="true"/>
              </w:rPr>
              <w:t xml:space="preserve">ثالثها </w:t>
            </w:r>
            <w:r>
              <w:rPr>
                <w:rStyle w:val="IndexLink"/>
                <w:rtl w:val="true"/>
              </w:rPr>
              <w:t xml:space="preserve">: </w:t>
            </w:r>
            <w:r>
              <w:rPr>
                <w:rStyle w:val="IndexLink"/>
                <w:rtl w:val="true"/>
              </w:rPr>
              <w:t>التفصیل بین الغلیان بالنار و بغیرها</w:t>
            </w:r>
            <w:r>
              <w:rPr>
                <w:rStyle w:val="IndexLink"/>
                <w:rtl w:val="true"/>
              </w:rPr>
              <w:tab/>
            </w:r>
            <w:r>
              <w:rPr>
                <w:rStyle w:val="IndexLink"/>
              </w:rPr>
              <w:t>303</w:t>
            </w:r>
          </w:hyperlink>
        </w:p>
        <w:p>
          <w:pPr>
            <w:pStyle w:val="Contents6"/>
            <w:tabs>
              <w:tab w:val="clear" w:pos="7609"/>
              <w:tab w:val="right" w:pos="9026" w:leader="dot"/>
            </w:tabs>
            <w:rPr/>
          </w:pPr>
          <w:hyperlink w:anchor="__RefHeading___Toc488565_2281741623">
            <w:r>
              <w:rPr>
                <w:webHidden/>
                <w:rStyle w:val="IndexLink"/>
                <w:rtl w:val="true"/>
              </w:rPr>
              <w:t>الأقوی فی هذه الوجوه</w:t>
            </w:r>
            <w:r>
              <w:rPr>
                <w:rStyle w:val="IndexLink"/>
                <w:rtl w:val="true"/>
              </w:rPr>
              <w:tab/>
            </w:r>
            <w:r>
              <w:rPr>
                <w:rStyle w:val="IndexLink"/>
              </w:rPr>
              <w:t>304</w:t>
            </w:r>
          </w:hyperlink>
        </w:p>
        <w:p>
          <w:pPr>
            <w:pStyle w:val="Contents6"/>
            <w:tabs>
              <w:tab w:val="clear" w:pos="7609"/>
              <w:tab w:val="right" w:pos="9026" w:leader="dot"/>
            </w:tabs>
            <w:rPr/>
          </w:pPr>
          <w:hyperlink w:anchor="__RefHeading___Toc488567_2281741623">
            <w:r>
              <w:rPr>
                <w:webHidden/>
                <w:rStyle w:val="IndexLink"/>
                <w:rtl w:val="true"/>
              </w:rPr>
              <w:t xml:space="preserve">القول الثانی </w:t>
            </w:r>
            <w:r>
              <w:rPr>
                <w:rStyle w:val="IndexLink"/>
                <w:rtl w:val="true"/>
              </w:rPr>
              <w:t xml:space="preserve">: </w:t>
            </w:r>
            <w:r>
              <w:rPr>
                <w:rStyle w:val="IndexLink"/>
                <w:rtl w:val="true"/>
              </w:rPr>
              <w:t>انّ الإشتداد هو صیرورة أعلاه أسفله</w:t>
            </w:r>
            <w:r>
              <w:rPr>
                <w:rStyle w:val="IndexLink"/>
                <w:rtl w:val="true"/>
              </w:rPr>
              <w:tab/>
            </w:r>
            <w:r>
              <w:rPr>
                <w:rStyle w:val="IndexLink"/>
              </w:rPr>
              <w:t>304</w:t>
            </w:r>
          </w:hyperlink>
        </w:p>
        <w:p>
          <w:pPr>
            <w:pStyle w:val="Contents6"/>
            <w:tabs>
              <w:tab w:val="clear" w:pos="7609"/>
              <w:tab w:val="right" w:pos="9026" w:leader="dot"/>
            </w:tabs>
            <w:rPr/>
          </w:pPr>
          <w:hyperlink w:anchor="__RefHeading___Toc488569_2281741623">
            <w:r>
              <w:rPr>
                <w:webHidden/>
                <w:rStyle w:val="IndexLink"/>
                <w:rtl w:val="true"/>
              </w:rPr>
              <w:t xml:space="preserve">القول الثالث </w:t>
            </w:r>
            <w:r>
              <w:rPr>
                <w:rStyle w:val="IndexLink"/>
                <w:rtl w:val="true"/>
              </w:rPr>
              <w:t xml:space="preserve">: </w:t>
            </w:r>
            <w:r>
              <w:rPr>
                <w:rStyle w:val="IndexLink"/>
                <w:rtl w:val="true"/>
              </w:rPr>
              <w:t>انّ الاشتداد هو الشدّة المطریة</w:t>
            </w:r>
            <w:r>
              <w:rPr>
                <w:rStyle w:val="IndexLink"/>
                <w:rtl w:val="true"/>
              </w:rPr>
              <w:tab/>
            </w:r>
            <w:r>
              <w:rPr>
                <w:rStyle w:val="IndexLink"/>
              </w:rPr>
              <w:t>305</w:t>
            </w:r>
          </w:hyperlink>
        </w:p>
        <w:p>
          <w:pPr>
            <w:pStyle w:val="Contents6"/>
            <w:tabs>
              <w:tab w:val="clear" w:pos="7609"/>
              <w:tab w:val="right" w:pos="9026" w:leader="dot"/>
            </w:tabs>
            <w:rPr/>
          </w:pPr>
          <w:hyperlink w:anchor="__RefHeading___Toc488571_2281741623">
            <w:r>
              <w:rPr>
                <w:webHidden/>
                <w:rStyle w:val="IndexLink"/>
                <w:rtl w:val="true"/>
              </w:rPr>
              <w:t xml:space="preserve">القول الرابع </w:t>
            </w:r>
            <w:r>
              <w:rPr>
                <w:rStyle w:val="IndexLink"/>
                <w:rtl w:val="true"/>
              </w:rPr>
              <w:t xml:space="preserve">: </w:t>
            </w:r>
            <w:r>
              <w:rPr>
                <w:rStyle w:val="IndexLink"/>
                <w:rtl w:val="true"/>
              </w:rPr>
              <w:t>انّ الإشتداد هو القذف بالزبد</w:t>
            </w:r>
            <w:r>
              <w:rPr>
                <w:rStyle w:val="IndexLink"/>
                <w:rtl w:val="true"/>
              </w:rPr>
              <w:tab/>
            </w:r>
            <w:r>
              <w:rPr>
                <w:rStyle w:val="IndexLink"/>
              </w:rPr>
              <w:t>305</w:t>
            </w:r>
          </w:hyperlink>
        </w:p>
        <w:p>
          <w:pPr>
            <w:pStyle w:val="Contents6"/>
            <w:tabs>
              <w:tab w:val="clear" w:pos="7609"/>
              <w:tab w:val="right" w:pos="9026" w:leader="dot"/>
            </w:tabs>
            <w:rPr/>
          </w:pPr>
          <w:hyperlink w:anchor="__RefHeading___Toc488573_2281741623">
            <w:r>
              <w:rPr>
                <w:webHidden/>
                <w:rStyle w:val="IndexLink"/>
                <w:rtl w:val="true"/>
              </w:rPr>
              <w:t xml:space="preserve">القول الخامس </w:t>
            </w:r>
            <w:r>
              <w:rPr>
                <w:rStyle w:val="IndexLink"/>
                <w:rtl w:val="true"/>
              </w:rPr>
              <w:t xml:space="preserve">: </w:t>
            </w:r>
            <w:r>
              <w:rPr>
                <w:rStyle w:val="IndexLink"/>
                <w:rtl w:val="true"/>
              </w:rPr>
              <w:t xml:space="preserve">انّ الإشتداد </w:t>
            </w:r>
            <w:r>
              <w:rPr>
                <w:rStyle w:val="IndexLink"/>
                <w:rtl w:val="true"/>
              </w:rPr>
              <w:t xml:space="preserve">: </w:t>
            </w:r>
            <w:r>
              <w:rPr>
                <w:rStyle w:val="IndexLink"/>
                <w:rtl w:val="true"/>
              </w:rPr>
              <w:t>النشیش الحاصل من قبل نفسه</w:t>
            </w:r>
            <w:r>
              <w:rPr>
                <w:rStyle w:val="IndexLink"/>
                <w:rtl w:val="true"/>
              </w:rPr>
              <w:tab/>
            </w:r>
            <w:r>
              <w:rPr>
                <w:rStyle w:val="IndexLink"/>
              </w:rPr>
              <w:t>306</w:t>
            </w:r>
          </w:hyperlink>
        </w:p>
        <w:p>
          <w:pPr>
            <w:pStyle w:val="Contents6"/>
            <w:tabs>
              <w:tab w:val="clear" w:pos="7609"/>
              <w:tab w:val="right" w:pos="9026" w:leader="dot"/>
            </w:tabs>
            <w:rPr/>
          </w:pPr>
          <w:hyperlink w:anchor="__RefHeading___Toc488575_2281741623">
            <w:r>
              <w:rPr>
                <w:webHidden/>
                <w:rStyle w:val="IndexLink"/>
                <w:rtl w:val="true"/>
              </w:rPr>
              <w:t xml:space="preserve">القول السادس </w:t>
            </w:r>
            <w:r>
              <w:rPr>
                <w:rStyle w:val="IndexLink"/>
                <w:rtl w:val="true"/>
              </w:rPr>
              <w:t xml:space="preserve">: </w:t>
            </w:r>
            <w:r>
              <w:rPr>
                <w:rStyle w:val="IndexLink"/>
                <w:rtl w:val="true"/>
              </w:rPr>
              <w:t>إنّ المراد بالإشتداد الإشتداد فی الغلیان</w:t>
            </w:r>
            <w:r>
              <w:rPr>
                <w:rStyle w:val="IndexLink"/>
                <w:rtl w:val="true"/>
              </w:rPr>
              <w:tab/>
            </w:r>
            <w:r>
              <w:rPr>
                <w:rStyle w:val="IndexLink"/>
              </w:rPr>
              <w:t>306</w:t>
            </w:r>
          </w:hyperlink>
        </w:p>
        <w:p>
          <w:pPr>
            <w:pStyle w:val="Contents6"/>
            <w:tabs>
              <w:tab w:val="clear" w:pos="7609"/>
              <w:tab w:val="right" w:pos="9026" w:leader="dot"/>
            </w:tabs>
            <w:rPr/>
          </w:pPr>
          <w:hyperlink w:anchor="__RefHeading___Toc488577_2281741623">
            <w:r>
              <w:rPr>
                <w:webHidden/>
                <w:rStyle w:val="IndexLink"/>
                <w:rtl w:val="true"/>
              </w:rPr>
              <w:t>اشارة</w:t>
            </w:r>
            <w:r>
              <w:rPr>
                <w:rStyle w:val="IndexLink"/>
                <w:rtl w:val="true"/>
              </w:rPr>
              <w:tab/>
            </w:r>
            <w:r>
              <w:rPr>
                <w:rStyle w:val="IndexLink"/>
              </w:rPr>
              <w:t>306</w:t>
            </w:r>
          </w:hyperlink>
        </w:p>
        <w:p>
          <w:pPr>
            <w:pStyle w:val="Contents6"/>
            <w:tabs>
              <w:tab w:val="clear" w:pos="7609"/>
              <w:tab w:val="right" w:pos="9026" w:leader="dot"/>
            </w:tabs>
            <w:rPr/>
          </w:pPr>
          <w:hyperlink w:anchor="__RefHeading___Toc488579_2281741623">
            <w:r>
              <w:rPr>
                <w:webHidden/>
                <w:rStyle w:val="IndexLink"/>
                <w:rtl w:val="true"/>
              </w:rPr>
              <w:t>تحقیق المؤلّف فی معنی الإشتداد</w:t>
            </w:r>
            <w:r>
              <w:rPr>
                <w:rStyle w:val="IndexLink"/>
                <w:rtl w:val="true"/>
              </w:rPr>
              <w:tab/>
            </w:r>
            <w:r>
              <w:rPr>
                <w:rStyle w:val="IndexLink"/>
              </w:rPr>
              <w:t>307</w:t>
            </w:r>
          </w:hyperlink>
        </w:p>
        <w:p>
          <w:pPr>
            <w:pStyle w:val="Contents6"/>
            <w:tabs>
              <w:tab w:val="clear" w:pos="7609"/>
              <w:tab w:val="right" w:pos="9026" w:leader="dot"/>
            </w:tabs>
            <w:rPr/>
          </w:pPr>
          <w:hyperlink w:anchor="__RefHeading___Toc488581_2281741623">
            <w:r>
              <w:rPr>
                <w:webHidden/>
                <w:rStyle w:val="IndexLink"/>
                <w:rtl w:val="true"/>
              </w:rPr>
              <w:t xml:space="preserve">المستند للقول الثالث أمور </w:t>
            </w:r>
            <w:r>
              <w:rPr>
                <w:rStyle w:val="IndexLink"/>
                <w:rtl w:val="true"/>
              </w:rPr>
              <w:t>:</w:t>
              <w:tab/>
            </w:r>
            <w:r>
              <w:rPr>
                <w:rStyle w:val="IndexLink"/>
              </w:rPr>
              <w:t>308</w:t>
            </w:r>
          </w:hyperlink>
        </w:p>
        <w:p>
          <w:pPr>
            <w:pStyle w:val="Contents6"/>
            <w:tabs>
              <w:tab w:val="clear" w:pos="7609"/>
              <w:tab w:val="right" w:pos="9026" w:leader="dot"/>
            </w:tabs>
            <w:rPr/>
          </w:pPr>
          <w:hyperlink w:anchor="__RefHeading___Toc488583_2281741623">
            <w:r>
              <w:rPr>
                <w:webHidden/>
                <w:rStyle w:val="IndexLink"/>
                <w:rtl w:val="true"/>
              </w:rPr>
              <w:t>اشارة</w:t>
            </w:r>
            <w:r>
              <w:rPr>
                <w:rStyle w:val="IndexLink"/>
                <w:rtl w:val="true"/>
              </w:rPr>
              <w:tab/>
            </w:r>
            <w:r>
              <w:rPr>
                <w:rStyle w:val="IndexLink"/>
              </w:rPr>
              <w:t>308</w:t>
            </w:r>
          </w:hyperlink>
        </w:p>
        <w:p>
          <w:pPr>
            <w:pStyle w:val="Contents6"/>
            <w:tabs>
              <w:tab w:val="clear" w:pos="7609"/>
              <w:tab w:val="right" w:pos="9026" w:leader="dot"/>
            </w:tabs>
            <w:rPr/>
          </w:pPr>
          <w:hyperlink w:anchor="__RefHeading___Toc488585_2281741623">
            <w:r>
              <w:rPr>
                <w:webHidden/>
                <w:rStyle w:val="IndexLink"/>
                <w:rtl w:val="true"/>
              </w:rPr>
              <w:t xml:space="preserve">الأوّل </w:t>
            </w:r>
            <w:r>
              <w:rPr>
                <w:rStyle w:val="IndexLink"/>
                <w:rtl w:val="true"/>
              </w:rPr>
              <w:t xml:space="preserve">: </w:t>
            </w:r>
            <w:r>
              <w:rPr>
                <w:rStyle w:val="IndexLink"/>
                <w:rtl w:val="true"/>
              </w:rPr>
              <w:t>الإجماع المحکیّ فی کنز العرفان و مجمع البحرین</w:t>
            </w:r>
            <w:r>
              <w:rPr>
                <w:rStyle w:val="IndexLink"/>
                <w:rtl w:val="true"/>
              </w:rPr>
              <w:tab/>
            </w:r>
            <w:r>
              <w:rPr>
                <w:rStyle w:val="IndexLink"/>
              </w:rPr>
              <w:t>308</w:t>
            </w:r>
          </w:hyperlink>
        </w:p>
        <w:p>
          <w:pPr>
            <w:pStyle w:val="Contents6"/>
            <w:tabs>
              <w:tab w:val="clear" w:pos="7609"/>
              <w:tab w:val="right" w:pos="9026" w:leader="dot"/>
            </w:tabs>
            <w:rPr/>
          </w:pPr>
          <w:hyperlink w:anchor="__RefHeading___Toc488587_2281741623">
            <w:r>
              <w:rPr>
                <w:webHidden/>
                <w:rStyle w:val="IndexLink"/>
                <w:rtl w:val="true"/>
              </w:rPr>
              <w:t xml:space="preserve">الثانی </w:t>
            </w:r>
            <w:r>
              <w:rPr>
                <w:rStyle w:val="IndexLink"/>
                <w:rtl w:val="true"/>
              </w:rPr>
              <w:t xml:space="preserve">: </w:t>
            </w:r>
            <w:r>
              <w:rPr>
                <w:rStyle w:val="IndexLink"/>
                <w:rtl w:val="true"/>
              </w:rPr>
              <w:t>ما یظهر من جماعة أنّه بعد الإشتداد أو مطلقاً خمر أو مسکر</w:t>
            </w:r>
            <w:r>
              <w:rPr>
                <w:rStyle w:val="IndexLink"/>
                <w:rtl w:val="true"/>
              </w:rPr>
              <w:tab/>
            </w:r>
            <w:r>
              <w:rPr>
                <w:rStyle w:val="IndexLink"/>
              </w:rPr>
              <w:t>310</w:t>
            </w:r>
          </w:hyperlink>
        </w:p>
        <w:p>
          <w:pPr>
            <w:pStyle w:val="Contents6"/>
            <w:tabs>
              <w:tab w:val="clear" w:pos="7609"/>
              <w:tab w:val="right" w:pos="9026" w:leader="dot"/>
            </w:tabs>
            <w:rPr/>
          </w:pPr>
          <w:hyperlink w:anchor="__RefHeading___Toc488589_2281741623">
            <w:r>
              <w:rPr>
                <w:webHidden/>
                <w:rStyle w:val="IndexLink"/>
                <w:rtl w:val="true"/>
              </w:rPr>
              <w:t xml:space="preserve">الثالث </w:t>
            </w:r>
            <w:r>
              <w:rPr>
                <w:rStyle w:val="IndexLink"/>
                <w:rtl w:val="true"/>
              </w:rPr>
              <w:t xml:space="preserve">: </w:t>
            </w:r>
            <w:r>
              <w:rPr>
                <w:rStyle w:val="IndexLink"/>
                <w:rtl w:val="true"/>
              </w:rPr>
              <w:t>الأخبار الواردة فی انّ العصیر قبل ذهاب الثلثین منه خمر</w:t>
            </w:r>
            <w:r>
              <w:rPr>
                <w:rStyle w:val="IndexLink"/>
                <w:rtl w:val="true"/>
              </w:rPr>
              <w:tab/>
            </w:r>
            <w:r>
              <w:rPr>
                <w:rStyle w:val="IndexLink"/>
              </w:rPr>
              <w:t>313</w:t>
            </w:r>
          </w:hyperlink>
        </w:p>
        <w:p>
          <w:pPr>
            <w:pStyle w:val="Contents6"/>
            <w:tabs>
              <w:tab w:val="clear" w:pos="7609"/>
              <w:tab w:val="right" w:pos="9026" w:leader="dot"/>
            </w:tabs>
            <w:rPr/>
          </w:pPr>
          <w:hyperlink w:anchor="__RefHeading___Toc488591_2281741623">
            <w:r>
              <w:rPr>
                <w:webHidden/>
                <w:rStyle w:val="IndexLink"/>
                <w:rtl w:val="true"/>
              </w:rPr>
              <w:t xml:space="preserve">الرابع </w:t>
            </w:r>
            <w:r>
              <w:rPr>
                <w:rStyle w:val="IndexLink"/>
                <w:rtl w:val="true"/>
              </w:rPr>
              <w:t xml:space="preserve">: </w:t>
            </w:r>
            <w:r>
              <w:rPr>
                <w:rStyle w:val="IndexLink"/>
                <w:rtl w:val="true"/>
              </w:rPr>
              <w:t>بعض الأخبار التی دلّت علی أنّه لاخیر فیه قبل ذهاب الثلثین منه</w:t>
            </w:r>
            <w:r>
              <w:rPr>
                <w:rStyle w:val="IndexLink"/>
                <w:rtl w:val="true"/>
              </w:rPr>
              <w:tab/>
            </w:r>
            <w:r>
              <w:rPr>
                <w:rStyle w:val="IndexLink"/>
              </w:rPr>
              <w:t>315</w:t>
            </w:r>
          </w:hyperlink>
        </w:p>
        <w:p>
          <w:pPr>
            <w:pStyle w:val="Contents5"/>
            <w:tabs>
              <w:tab w:val="clear" w:pos="7892"/>
              <w:tab w:val="right" w:pos="9026" w:leader="dot"/>
            </w:tabs>
            <w:rPr/>
          </w:pPr>
          <w:hyperlink w:anchor="__RefHeading___Toc488593_2281741623">
            <w:r>
              <w:rPr>
                <w:webHidden/>
                <w:rStyle w:val="IndexLink"/>
                <w:rtl w:val="true"/>
              </w:rPr>
              <w:t>مطالب</w:t>
            </w:r>
            <w:r>
              <w:rPr>
                <w:rStyle w:val="IndexLink"/>
                <w:rtl w:val="true"/>
              </w:rPr>
              <w:t>:</w:t>
              <w:tab/>
            </w:r>
            <w:r>
              <w:rPr>
                <w:rStyle w:val="IndexLink"/>
              </w:rPr>
              <w:t>315</w:t>
            </w:r>
          </w:hyperlink>
        </w:p>
        <w:p>
          <w:pPr>
            <w:pStyle w:val="Contents6"/>
            <w:tabs>
              <w:tab w:val="clear" w:pos="7609"/>
              <w:tab w:val="right" w:pos="9026" w:leader="dot"/>
            </w:tabs>
            <w:rPr/>
          </w:pPr>
          <w:hyperlink w:anchor="__RefHeading___Toc488595_2281741623">
            <w:r>
              <w:rPr>
                <w:webHidden/>
                <w:rStyle w:val="IndexLink"/>
                <w:rtl w:val="true"/>
              </w:rPr>
              <w:t>اشارة</w:t>
            </w:r>
            <w:r>
              <w:rPr>
                <w:rStyle w:val="IndexLink"/>
                <w:rtl w:val="true"/>
              </w:rPr>
              <w:tab/>
            </w:r>
            <w:r>
              <w:rPr>
                <w:rStyle w:val="IndexLink"/>
              </w:rPr>
              <w:t>315</w:t>
            </w:r>
          </w:hyperlink>
        </w:p>
        <w:p>
          <w:pPr>
            <w:pStyle w:val="Contents6"/>
            <w:tabs>
              <w:tab w:val="clear" w:pos="7609"/>
              <w:tab w:val="right" w:pos="9026" w:leader="dot"/>
            </w:tabs>
            <w:rPr/>
          </w:pPr>
          <w:hyperlink w:anchor="__RefHeading___Toc488597_2281741623">
            <w:r>
              <w:rPr>
                <w:webHidden/>
                <w:rStyle w:val="IndexLink"/>
                <w:rtl w:val="true"/>
              </w:rPr>
              <w:t xml:space="preserve">المطلب الأوّل </w:t>
            </w:r>
            <w:r>
              <w:rPr>
                <w:rStyle w:val="IndexLink"/>
                <w:rtl w:val="true"/>
              </w:rPr>
              <w:t xml:space="preserve">: </w:t>
            </w:r>
            <w:r>
              <w:rPr>
                <w:rStyle w:val="IndexLink"/>
                <w:rtl w:val="true"/>
              </w:rPr>
              <w:t>إنّ صدق الخمر علی عصیر العنب یتوقّف علی الشدّة الحاصلة بالغلیان</w:t>
            </w:r>
            <w:r>
              <w:rPr>
                <w:rStyle w:val="IndexLink"/>
                <w:rtl w:val="true"/>
              </w:rPr>
              <w:tab/>
            </w:r>
            <w:r>
              <w:rPr>
                <w:rStyle w:val="IndexLink"/>
              </w:rPr>
              <w:t>315</w:t>
            </w:r>
          </w:hyperlink>
        </w:p>
        <w:p>
          <w:pPr>
            <w:pStyle w:val="Contents6"/>
            <w:tabs>
              <w:tab w:val="clear" w:pos="7609"/>
              <w:tab w:val="right" w:pos="9026" w:leader="dot"/>
            </w:tabs>
            <w:rPr/>
          </w:pPr>
          <w:hyperlink w:anchor="__RefHeading___Toc488599_2281741623">
            <w:r>
              <w:rPr>
                <w:webHidden/>
                <w:rStyle w:val="IndexLink"/>
                <w:rtl w:val="true"/>
              </w:rPr>
              <w:t xml:space="preserve">المطلب الثانی </w:t>
            </w:r>
            <w:r>
              <w:rPr>
                <w:rStyle w:val="IndexLink"/>
                <w:rtl w:val="true"/>
              </w:rPr>
              <w:t xml:space="preserve">: </w:t>
            </w:r>
            <w:r>
              <w:rPr>
                <w:rStyle w:val="IndexLink"/>
                <w:rtl w:val="true"/>
              </w:rPr>
              <w:t>إنّ الشدّة هل هی عین الغلیان أو وصف مترتّب علی الغلیان لازم له؟</w:t>
            </w:r>
            <w:r>
              <w:rPr>
                <w:rStyle w:val="IndexLink"/>
                <w:rtl w:val="true"/>
              </w:rPr>
              <w:tab/>
            </w:r>
            <w:r>
              <w:rPr>
                <w:rStyle w:val="IndexLink"/>
              </w:rPr>
              <w:t>317</w:t>
            </w:r>
          </w:hyperlink>
        </w:p>
        <w:p>
          <w:pPr>
            <w:pStyle w:val="Contents6"/>
            <w:tabs>
              <w:tab w:val="clear" w:pos="7609"/>
              <w:tab w:val="right" w:pos="9026" w:leader="dot"/>
            </w:tabs>
            <w:rPr/>
          </w:pPr>
          <w:hyperlink w:anchor="__RefHeading___Toc488601_2281741623">
            <w:r>
              <w:rPr>
                <w:webHidden/>
                <w:rStyle w:val="IndexLink"/>
                <w:rtl w:val="true"/>
              </w:rPr>
              <w:t xml:space="preserve">المطلب الثالث </w:t>
            </w:r>
            <w:r>
              <w:rPr>
                <w:rStyle w:val="IndexLink"/>
                <w:rtl w:val="true"/>
              </w:rPr>
              <w:t xml:space="preserve">: </w:t>
            </w:r>
            <w:r>
              <w:rPr>
                <w:rStyle w:val="IndexLink"/>
                <w:rtl w:val="true"/>
              </w:rPr>
              <w:t>إنّ الظاهر من الغلیان فی الأخبار و کلمات الأصحاب الغلیان بالنفس</w:t>
            </w:r>
            <w:r>
              <w:rPr>
                <w:rStyle w:val="IndexLink"/>
                <w:rtl w:val="true"/>
              </w:rPr>
              <w:tab/>
            </w:r>
            <w:r>
              <w:rPr>
                <w:rStyle w:val="IndexLink"/>
              </w:rPr>
              <w:t>320</w:t>
            </w:r>
          </w:hyperlink>
        </w:p>
        <w:p>
          <w:pPr>
            <w:pStyle w:val="Contents5"/>
            <w:tabs>
              <w:tab w:val="clear" w:pos="7892"/>
              <w:tab w:val="right" w:pos="9026" w:leader="dot"/>
            </w:tabs>
            <w:rPr/>
          </w:pPr>
          <w:hyperlink w:anchor="__RefHeading___Toc488603_2281741623">
            <w:r>
              <w:rPr>
                <w:webHidden/>
                <w:rStyle w:val="IndexLink"/>
                <w:rtl w:val="true"/>
              </w:rPr>
              <w:t>مسئلتان</w:t>
            </w:r>
            <w:r>
              <w:rPr>
                <w:rStyle w:val="IndexLink"/>
                <w:rtl w:val="true"/>
              </w:rPr>
              <w:t>:</w:t>
              <w:tab/>
            </w:r>
            <w:r>
              <w:rPr>
                <w:rStyle w:val="IndexLink"/>
              </w:rPr>
              <w:t>321</w:t>
            </w:r>
          </w:hyperlink>
        </w:p>
        <w:p>
          <w:pPr>
            <w:pStyle w:val="Contents6"/>
            <w:tabs>
              <w:tab w:val="clear" w:pos="7609"/>
              <w:tab w:val="right" w:pos="9026" w:leader="dot"/>
            </w:tabs>
            <w:rPr/>
          </w:pPr>
          <w:hyperlink w:anchor="__RefHeading___Toc488605_228174162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488607_2281741623">
            <w:r>
              <w:rPr>
                <w:webHidden/>
                <w:rStyle w:val="IndexLink"/>
                <w:rtl w:val="true"/>
              </w:rPr>
              <w:t xml:space="preserve">« </w:t>
            </w:r>
            <w:r>
              <w:rPr>
                <w:rStyle w:val="IndexLink"/>
                <w:rtl w:val="true"/>
              </w:rPr>
              <w:t xml:space="preserve">المسألة الأولی </w:t>
            </w:r>
            <w:r>
              <w:rPr>
                <w:rStyle w:val="IndexLink"/>
                <w:rtl w:val="true"/>
              </w:rPr>
              <w:t xml:space="preserve">» : </w:t>
            </w:r>
            <w:r>
              <w:rPr>
                <w:rStyle w:val="IndexLink"/>
                <w:rtl w:val="true"/>
              </w:rPr>
              <w:t>انّه إذا غلی العصیر بنفسه هل هو نجس أم لا ؟ بل یتوقّف علی أمر آخر کالإشتداد</w:t>
            </w:r>
            <w:r>
              <w:rPr>
                <w:rStyle w:val="IndexLink"/>
                <w:rtl w:val="true"/>
              </w:rPr>
              <w:tab/>
            </w:r>
            <w:r>
              <w:rPr>
                <w:rStyle w:val="IndexLink"/>
              </w:rPr>
              <w:t>321</w:t>
            </w:r>
          </w:hyperlink>
        </w:p>
        <w:p>
          <w:pPr>
            <w:pStyle w:val="Contents6"/>
            <w:tabs>
              <w:tab w:val="clear" w:pos="7609"/>
              <w:tab w:val="right" w:pos="9026" w:leader="dot"/>
            </w:tabs>
            <w:rPr/>
          </w:pPr>
          <w:hyperlink w:anchor="__RefHeading___Toc488609_2281741623">
            <w:r>
              <w:rPr>
                <w:webHidden/>
                <w:rStyle w:val="IndexLink"/>
                <w:rtl w:val="true"/>
              </w:rPr>
              <w:t>اشارة</w:t>
            </w:r>
            <w:r>
              <w:rPr>
                <w:rStyle w:val="IndexLink"/>
                <w:rtl w:val="true"/>
              </w:rPr>
              <w:tab/>
            </w:r>
            <w:r>
              <w:rPr>
                <w:rStyle w:val="IndexLink"/>
              </w:rPr>
              <w:t>321</w:t>
            </w:r>
          </w:hyperlink>
        </w:p>
        <w:p>
          <w:pPr>
            <w:pStyle w:val="Contents6"/>
            <w:tabs>
              <w:tab w:val="clear" w:pos="7609"/>
              <w:tab w:val="right" w:pos="9026" w:leader="dot"/>
            </w:tabs>
            <w:rPr/>
          </w:pPr>
          <w:hyperlink w:anchor="__RefHeading___Toc488611_2281741623">
            <w:r>
              <w:rPr>
                <w:webHidden/>
                <w:rStyle w:val="IndexLink"/>
                <w:rtl w:val="true"/>
              </w:rPr>
              <w:t>تحقیق المؤلّف فی المسألة و أدلّته</w:t>
            </w:r>
            <w:r>
              <w:rPr>
                <w:rStyle w:val="IndexLink"/>
                <w:rtl w:val="true"/>
              </w:rPr>
              <w:tab/>
            </w:r>
            <w:r>
              <w:rPr>
                <w:rStyle w:val="IndexLink"/>
              </w:rPr>
              <w:t>321</w:t>
            </w:r>
          </w:hyperlink>
        </w:p>
        <w:p>
          <w:pPr>
            <w:pStyle w:val="Contents6"/>
            <w:tabs>
              <w:tab w:val="clear" w:pos="7609"/>
              <w:tab w:val="right" w:pos="9026" w:leader="dot"/>
            </w:tabs>
            <w:rPr/>
          </w:pPr>
          <w:hyperlink w:anchor="__RefHeading___Toc488613_2281741623">
            <w:r>
              <w:rPr>
                <w:webHidden/>
                <w:rStyle w:val="IndexLink"/>
                <w:rtl w:val="true"/>
              </w:rPr>
              <w:t xml:space="preserve">التعرّض لأمور </w:t>
            </w:r>
            <w:r>
              <w:rPr>
                <w:rStyle w:val="IndexLink"/>
                <w:rtl w:val="true"/>
              </w:rPr>
              <w:t>:</w:t>
              <w:tab/>
            </w:r>
            <w:r>
              <w:rPr>
                <w:rStyle w:val="IndexLink"/>
              </w:rPr>
              <w:t>334</w:t>
            </w:r>
          </w:hyperlink>
        </w:p>
        <w:p>
          <w:pPr>
            <w:pStyle w:val="Contents6"/>
            <w:tabs>
              <w:tab w:val="clear" w:pos="7609"/>
              <w:tab w:val="right" w:pos="9026" w:leader="dot"/>
            </w:tabs>
            <w:rPr/>
          </w:pPr>
          <w:hyperlink w:anchor="__RefHeading___Toc488615_228174162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88617_2281741623">
            <w:r>
              <w:rPr>
                <w:webHidden/>
                <w:rStyle w:val="IndexLink"/>
                <w:rtl w:val="true"/>
              </w:rPr>
              <w:t>الأمرالأوّل</w:t>
            </w:r>
            <w:r>
              <w:rPr>
                <w:rStyle w:val="IndexLink"/>
                <w:rtl w:val="true"/>
              </w:rPr>
              <w:t xml:space="preserve">: </w:t>
            </w:r>
            <w:r>
              <w:rPr>
                <w:rStyle w:val="IndexLink"/>
                <w:rtl w:val="true"/>
              </w:rPr>
              <w:t>إنّ العصیر العنبی إذا غلی بنفسه وکذاالخمر انّما یحلّ بانقلابه خلاًّ</w:t>
            </w:r>
            <w:r>
              <w:rPr>
                <w:rStyle w:val="IndexLink"/>
                <w:rtl w:val="true"/>
              </w:rPr>
              <w:tab/>
            </w:r>
            <w:r>
              <w:rPr>
                <w:rStyle w:val="IndexLink"/>
              </w:rPr>
              <w:t>334</w:t>
            </w:r>
          </w:hyperlink>
        </w:p>
        <w:p>
          <w:pPr>
            <w:pStyle w:val="Contents6"/>
            <w:tabs>
              <w:tab w:val="clear" w:pos="7609"/>
              <w:tab w:val="right" w:pos="9026" w:leader="dot"/>
            </w:tabs>
            <w:rPr/>
          </w:pPr>
          <w:hyperlink w:anchor="__RefHeading___Toc488619_2281741623">
            <w:r>
              <w:rPr>
                <w:webHidden/>
                <w:rStyle w:val="IndexLink"/>
                <w:rtl w:val="true"/>
              </w:rPr>
              <w:t>اشارة</w:t>
            </w:r>
            <w:r>
              <w:rPr>
                <w:rStyle w:val="IndexLink"/>
                <w:rtl w:val="true"/>
              </w:rPr>
              <w:tab/>
            </w:r>
            <w:r>
              <w:rPr>
                <w:rStyle w:val="IndexLink"/>
              </w:rPr>
              <w:t>334</w:t>
            </w:r>
          </w:hyperlink>
        </w:p>
        <w:p>
          <w:pPr>
            <w:pStyle w:val="Contents6"/>
            <w:tabs>
              <w:tab w:val="clear" w:pos="7609"/>
              <w:tab w:val="right" w:pos="9026" w:leader="dot"/>
            </w:tabs>
            <w:rPr/>
          </w:pPr>
          <w:hyperlink w:anchor="__RefHeading___Toc488621_2281741623">
            <w:r>
              <w:rPr>
                <w:webHidden/>
                <w:rStyle w:val="IndexLink"/>
                <w:rtl w:val="true"/>
              </w:rPr>
              <w:t>الحکم ثابت مطلقاً أو یختصّ بما إذا کان ذلک الإنقلاب بنفسه ؟</w:t>
            </w:r>
            <w:r>
              <w:rPr>
                <w:rStyle w:val="IndexLink"/>
                <w:rtl w:val="true"/>
              </w:rPr>
              <w:tab/>
            </w:r>
            <w:r>
              <w:rPr>
                <w:rStyle w:val="IndexLink"/>
              </w:rPr>
              <w:t>335</w:t>
            </w:r>
          </w:hyperlink>
        </w:p>
        <w:p>
          <w:pPr>
            <w:pStyle w:val="Contents6"/>
            <w:tabs>
              <w:tab w:val="clear" w:pos="7609"/>
              <w:tab w:val="right" w:pos="9026" w:leader="dot"/>
            </w:tabs>
            <w:rPr/>
          </w:pPr>
          <w:hyperlink w:anchor="__RefHeading___Toc488623_2281741623">
            <w:r>
              <w:rPr>
                <w:webHidden/>
                <w:rStyle w:val="IndexLink"/>
                <w:rtl w:val="true"/>
              </w:rPr>
              <w:t xml:space="preserve">الأقوال فی ذلک </w:t>
            </w:r>
            <w:r>
              <w:rPr>
                <w:rStyle w:val="IndexLink"/>
                <w:rtl w:val="true"/>
              </w:rPr>
              <w:t>:</w:t>
              <w:tab/>
            </w:r>
            <w:r>
              <w:rPr>
                <w:rStyle w:val="IndexLink"/>
              </w:rPr>
              <w:t>335</w:t>
            </w:r>
          </w:hyperlink>
        </w:p>
        <w:p>
          <w:pPr>
            <w:pStyle w:val="Contents6"/>
            <w:tabs>
              <w:tab w:val="clear" w:pos="7609"/>
              <w:tab w:val="right" w:pos="9026" w:leader="dot"/>
            </w:tabs>
            <w:rPr/>
          </w:pPr>
          <w:hyperlink w:anchor="__RefHeading___Toc488625_2281741623">
            <w:r>
              <w:rPr>
                <w:webHidden/>
                <w:rStyle w:val="IndexLink"/>
                <w:rtl w:val="true"/>
              </w:rPr>
              <w:t xml:space="preserve">القول الأوّل </w:t>
            </w:r>
            <w:r>
              <w:rPr>
                <w:rStyle w:val="IndexLink"/>
                <w:rtl w:val="true"/>
              </w:rPr>
              <w:t xml:space="preserve">: </w:t>
            </w:r>
            <w:r>
              <w:rPr>
                <w:rStyle w:val="IndexLink"/>
                <w:rtl w:val="true"/>
              </w:rPr>
              <w:t>انّ الحلیة و الطهارة ثابتتان مطلقاً و لو کان الإنقلاب بالعلاج</w:t>
            </w:r>
            <w:r>
              <w:rPr>
                <w:rStyle w:val="IndexLink"/>
                <w:rtl w:val="true"/>
              </w:rPr>
              <w:tab/>
            </w:r>
            <w:r>
              <w:rPr>
                <w:rStyle w:val="IndexLink"/>
              </w:rPr>
              <w:t>335</w:t>
            </w:r>
          </w:hyperlink>
        </w:p>
        <w:p>
          <w:pPr>
            <w:pStyle w:val="Contents6"/>
            <w:tabs>
              <w:tab w:val="clear" w:pos="7609"/>
              <w:tab w:val="right" w:pos="9026" w:leader="dot"/>
            </w:tabs>
            <w:rPr/>
          </w:pPr>
          <w:hyperlink w:anchor="__RefHeading___Toc488627_2281741623">
            <w:r>
              <w:rPr>
                <w:webHidden/>
                <w:rStyle w:val="IndexLink"/>
                <w:rtl w:val="true"/>
              </w:rPr>
              <w:t xml:space="preserve">القول الثانی </w:t>
            </w:r>
            <w:r>
              <w:rPr>
                <w:rStyle w:val="IndexLink"/>
                <w:rtl w:val="true"/>
              </w:rPr>
              <w:t xml:space="preserve">: </w:t>
            </w:r>
            <w:r>
              <w:rPr>
                <w:rStyle w:val="IndexLink"/>
                <w:rtl w:val="true"/>
              </w:rPr>
              <w:t>إنّ الحلّیة والطهارة مختصّتان بما إذا کان الإنقلاب بنفسه</w:t>
            </w:r>
            <w:r>
              <w:rPr>
                <w:rStyle w:val="IndexLink"/>
                <w:rtl w:val="true"/>
              </w:rPr>
              <w:tab/>
            </w:r>
            <w:r>
              <w:rPr>
                <w:rStyle w:val="IndexLink"/>
              </w:rPr>
              <w:t>338</w:t>
            </w:r>
          </w:hyperlink>
        </w:p>
        <w:p>
          <w:pPr>
            <w:pStyle w:val="Contents6"/>
            <w:tabs>
              <w:tab w:val="clear" w:pos="7609"/>
              <w:tab w:val="right" w:pos="9026" w:leader="dot"/>
            </w:tabs>
            <w:rPr/>
          </w:pPr>
          <w:hyperlink w:anchor="__RefHeading___Toc488629_2281741623">
            <w:r>
              <w:rPr>
                <w:webHidden/>
                <w:rStyle w:val="IndexLink"/>
                <w:rtl w:val="true"/>
              </w:rPr>
              <w:t xml:space="preserve">القول الثالث </w:t>
            </w:r>
            <w:r>
              <w:rPr>
                <w:rStyle w:val="IndexLink"/>
                <w:rtl w:val="true"/>
              </w:rPr>
              <w:t xml:space="preserve">: </w:t>
            </w:r>
            <w:r>
              <w:rPr>
                <w:rStyle w:val="IndexLink"/>
                <w:rtl w:val="true"/>
              </w:rPr>
              <w:t>التفصیل بین ما إذا کانت العین قائمة بعینها بعد الإنقلاب و بین ما إذا کانت مستهلکة</w:t>
            </w:r>
            <w:r>
              <w:rPr>
                <w:rStyle w:val="IndexLink"/>
                <w:rtl w:val="true"/>
              </w:rPr>
              <w:tab/>
            </w:r>
            <w:r>
              <w:rPr>
                <w:rStyle w:val="IndexLink"/>
              </w:rPr>
              <w:t>340</w:t>
            </w:r>
          </w:hyperlink>
        </w:p>
        <w:p>
          <w:pPr>
            <w:pStyle w:val="Contents6"/>
            <w:tabs>
              <w:tab w:val="clear" w:pos="7609"/>
              <w:tab w:val="right" w:pos="9026" w:leader="dot"/>
            </w:tabs>
            <w:rPr/>
          </w:pPr>
          <w:hyperlink w:anchor="__RefHeading___Toc488631_2281741623">
            <w:r>
              <w:rPr>
                <w:webHidden/>
                <w:rStyle w:val="IndexLink"/>
                <w:rtl w:val="true"/>
              </w:rPr>
              <w:t>تنبیهات</w:t>
            </w:r>
            <w:r>
              <w:rPr>
                <w:rStyle w:val="IndexLink"/>
                <w:rtl w:val="true"/>
              </w:rPr>
              <w:t>:</w:t>
              <w:tab/>
            </w:r>
            <w:r>
              <w:rPr>
                <w:rStyle w:val="IndexLink"/>
              </w:rPr>
              <w:t>341</w:t>
            </w:r>
          </w:hyperlink>
        </w:p>
        <w:p>
          <w:pPr>
            <w:pStyle w:val="Contents6"/>
            <w:tabs>
              <w:tab w:val="clear" w:pos="7609"/>
              <w:tab w:val="right" w:pos="9026" w:leader="dot"/>
            </w:tabs>
            <w:rPr/>
          </w:pPr>
          <w:hyperlink w:anchor="__RefHeading___Toc488633_2281741623">
            <w:r>
              <w:rPr>
                <w:webHidden/>
                <w:rStyle w:val="IndexLink"/>
                <w:rtl w:val="true"/>
              </w:rPr>
              <w:t>اشارة</w:t>
            </w:r>
            <w:r>
              <w:rPr>
                <w:rStyle w:val="IndexLink"/>
                <w:rtl w:val="true"/>
              </w:rPr>
              <w:tab/>
            </w:r>
            <w:r>
              <w:rPr>
                <w:rStyle w:val="IndexLink"/>
              </w:rPr>
              <w:t>341</w:t>
            </w:r>
          </w:hyperlink>
        </w:p>
        <w:p>
          <w:pPr>
            <w:pStyle w:val="Contents6"/>
            <w:tabs>
              <w:tab w:val="clear" w:pos="7609"/>
              <w:tab w:val="right" w:pos="9026" w:leader="dot"/>
            </w:tabs>
            <w:rPr/>
          </w:pPr>
          <w:hyperlink w:anchor="__RefHeading___Toc488635_2281741623">
            <w:r>
              <w:rPr>
                <w:webHidden/>
                <w:rStyle w:val="IndexLink"/>
                <w:rtl w:val="true"/>
              </w:rPr>
              <w:t>التنبیه الأول</w:t>
            </w:r>
            <w:r>
              <w:rPr>
                <w:rStyle w:val="IndexLink"/>
                <w:rtl w:val="true"/>
              </w:rPr>
              <w:t xml:space="preserve">: </w:t>
            </w:r>
            <w:r>
              <w:rPr>
                <w:rStyle w:val="IndexLink"/>
                <w:rtl w:val="true"/>
              </w:rPr>
              <w:t>إنّه إذا جعل خلّ فی خمر کثیر فإن استحالت إلیه وانقلبت حلّت</w:t>
            </w:r>
            <w:r>
              <w:rPr>
                <w:rStyle w:val="IndexLink"/>
                <w:rtl w:val="true"/>
              </w:rPr>
              <w:tab/>
            </w:r>
            <w:r>
              <w:rPr>
                <w:rStyle w:val="IndexLink"/>
              </w:rPr>
              <w:t>341</w:t>
            </w:r>
          </w:hyperlink>
        </w:p>
        <w:p>
          <w:pPr>
            <w:pStyle w:val="Contents6"/>
            <w:tabs>
              <w:tab w:val="clear" w:pos="7609"/>
              <w:tab w:val="right" w:pos="9026" w:leader="dot"/>
            </w:tabs>
            <w:rPr/>
          </w:pPr>
          <w:hyperlink w:anchor="__RefHeading___Toc488637_2281741623">
            <w:r>
              <w:rPr>
                <w:webHidden/>
                <w:rStyle w:val="IndexLink"/>
                <w:rtl w:val="true"/>
              </w:rPr>
              <w:t>التنبیه الثانی</w:t>
            </w:r>
            <w:r>
              <w:rPr>
                <w:rStyle w:val="IndexLink"/>
                <w:rtl w:val="true"/>
              </w:rPr>
              <w:t xml:space="preserve">: </w:t>
            </w:r>
            <w:r>
              <w:rPr>
                <w:rStyle w:val="IndexLink"/>
                <w:rtl w:val="true"/>
              </w:rPr>
              <w:t>أنّه إذا وقع خمر فی خلّ بحیث صارت مستحیلة بعد الوقوع فهل ینجس الخلّ أم لا ؟</w:t>
            </w:r>
            <w:r>
              <w:rPr>
                <w:rStyle w:val="IndexLink"/>
                <w:rtl w:val="true"/>
              </w:rPr>
              <w:tab/>
            </w:r>
            <w:r>
              <w:rPr>
                <w:rStyle w:val="IndexLink"/>
              </w:rPr>
              <w:t>344</w:t>
            </w:r>
          </w:hyperlink>
        </w:p>
        <w:p>
          <w:pPr>
            <w:pStyle w:val="Contents6"/>
            <w:tabs>
              <w:tab w:val="clear" w:pos="7609"/>
              <w:tab w:val="right" w:pos="9026" w:leader="dot"/>
            </w:tabs>
            <w:rPr/>
          </w:pPr>
          <w:hyperlink w:anchor="__RefHeading___Toc488639_2281741623">
            <w:r>
              <w:rPr>
                <w:webHidden/>
                <w:rStyle w:val="IndexLink"/>
                <w:rtl w:val="true"/>
              </w:rPr>
              <w:t xml:space="preserve">التنبیه الثالث </w:t>
            </w:r>
            <w:r>
              <w:rPr>
                <w:rStyle w:val="IndexLink"/>
                <w:rtl w:val="true"/>
              </w:rPr>
              <w:t xml:space="preserve">: </w:t>
            </w:r>
            <w:r>
              <w:rPr>
                <w:rStyle w:val="IndexLink"/>
                <w:rtl w:val="true"/>
              </w:rPr>
              <w:t>إنّه لو عولج العصیر بعد الغلیان أو الخمر بنجس أو باشره نجس ثمّ انقلب واستحال إلی الحلّیة، لم یطهر</w:t>
            </w:r>
            <w:r>
              <w:rPr>
                <w:rStyle w:val="IndexLink"/>
                <w:rtl w:val="true"/>
              </w:rPr>
              <w:tab/>
            </w:r>
            <w:r>
              <w:rPr>
                <w:rStyle w:val="IndexLink"/>
              </w:rPr>
              <w:t>354</w:t>
            </w:r>
          </w:hyperlink>
        </w:p>
        <w:p>
          <w:pPr>
            <w:pStyle w:val="Contents6"/>
            <w:tabs>
              <w:tab w:val="clear" w:pos="7609"/>
              <w:tab w:val="right" w:pos="9026" w:leader="dot"/>
            </w:tabs>
            <w:rPr/>
          </w:pPr>
          <w:hyperlink w:anchor="__RefHeading___Toc488641_2281741623">
            <w:r>
              <w:rPr>
                <w:webHidden/>
                <w:rStyle w:val="IndexLink"/>
                <w:rtl w:val="true"/>
              </w:rPr>
              <w:t xml:space="preserve">الأمر الثانی </w:t>
            </w:r>
            <w:r>
              <w:rPr>
                <w:rStyle w:val="IndexLink"/>
                <w:rtl w:val="true"/>
              </w:rPr>
              <w:t xml:space="preserve">: </w:t>
            </w:r>
            <w:r>
              <w:rPr>
                <w:rStyle w:val="IndexLink"/>
                <w:rtl w:val="true"/>
              </w:rPr>
              <w:t>فی أنّ المراد من الغلیان الموجب للتحریم فی العصیر ما هو ؟</w:t>
            </w:r>
            <w:r>
              <w:rPr>
                <w:rStyle w:val="IndexLink"/>
                <w:rtl w:val="true"/>
              </w:rPr>
              <w:t>!</w:t>
              <w:tab/>
            </w:r>
            <w:r>
              <w:rPr>
                <w:rStyle w:val="IndexLink"/>
              </w:rPr>
              <w:t>355</w:t>
            </w:r>
          </w:hyperlink>
        </w:p>
        <w:p>
          <w:pPr>
            <w:pStyle w:val="Contents6"/>
            <w:tabs>
              <w:tab w:val="clear" w:pos="7609"/>
              <w:tab w:val="right" w:pos="9026" w:leader="dot"/>
            </w:tabs>
            <w:rPr/>
          </w:pPr>
          <w:hyperlink w:anchor="__RefHeading___Toc488643_2281741623">
            <w:r>
              <w:rPr>
                <w:webHidden/>
                <w:rStyle w:val="IndexLink"/>
                <w:rtl w:val="true"/>
              </w:rPr>
              <w:t>المسألة الثانیة</w:t>
            </w:r>
            <w:r>
              <w:rPr>
                <w:rStyle w:val="IndexLink"/>
                <w:rtl w:val="true"/>
              </w:rPr>
              <w:tab/>
            </w:r>
            <w:r>
              <w:rPr>
                <w:rStyle w:val="IndexLink"/>
              </w:rPr>
              <w:t>360</w:t>
            </w:r>
          </w:hyperlink>
        </w:p>
        <w:p>
          <w:pPr>
            <w:pStyle w:val="Contents6"/>
            <w:tabs>
              <w:tab w:val="clear" w:pos="7609"/>
              <w:tab w:val="right" w:pos="9026" w:leader="dot"/>
            </w:tabs>
            <w:rPr/>
          </w:pPr>
          <w:hyperlink w:anchor="__RefHeading___Toc488645_228174162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488647_2281741623">
            <w:r>
              <w:rPr>
                <w:webHidden/>
                <w:rStyle w:val="IndexLink"/>
                <w:rtl w:val="true"/>
              </w:rPr>
              <w:t>انّه إذا غلی العصیر بالنار فلا ریب فی حرمته</w:t>
            </w:r>
            <w:r>
              <w:rPr>
                <w:rStyle w:val="IndexLink"/>
                <w:rtl w:val="true"/>
              </w:rPr>
              <w:tab/>
            </w:r>
            <w:r>
              <w:rPr>
                <w:rStyle w:val="IndexLink"/>
              </w:rPr>
              <w:t>360</w:t>
            </w:r>
          </w:hyperlink>
        </w:p>
        <w:p>
          <w:pPr>
            <w:pStyle w:val="Contents6"/>
            <w:tabs>
              <w:tab w:val="clear" w:pos="7609"/>
              <w:tab w:val="right" w:pos="9026" w:leader="dot"/>
            </w:tabs>
            <w:rPr/>
          </w:pPr>
          <w:hyperlink w:anchor="__RefHeading___Toc488649_2281741623">
            <w:r>
              <w:rPr>
                <w:webHidden/>
                <w:rStyle w:val="IndexLink"/>
                <w:rtl w:val="true"/>
              </w:rPr>
              <w:t xml:space="preserve">مطالب </w:t>
            </w:r>
            <w:r>
              <w:rPr>
                <w:rStyle w:val="IndexLink"/>
                <w:rtl w:val="true"/>
              </w:rPr>
              <w:t>:</w:t>
              <w:tab/>
            </w:r>
            <w:r>
              <w:rPr>
                <w:rStyle w:val="IndexLink"/>
              </w:rPr>
              <w:t>360</w:t>
            </w:r>
          </w:hyperlink>
        </w:p>
        <w:p>
          <w:pPr>
            <w:pStyle w:val="Contents6"/>
            <w:tabs>
              <w:tab w:val="clear" w:pos="7609"/>
              <w:tab w:val="right" w:pos="9026" w:leader="dot"/>
            </w:tabs>
            <w:rPr/>
          </w:pPr>
          <w:hyperlink w:anchor="__RefHeading___Toc488651_2281741623">
            <w:r>
              <w:rPr>
                <w:webHidden/>
                <w:rStyle w:val="IndexLink"/>
                <w:rtl w:val="true"/>
              </w:rPr>
              <w:t>اشارة</w:t>
            </w:r>
            <w:r>
              <w:rPr>
                <w:rStyle w:val="IndexLink"/>
                <w:rtl w:val="true"/>
              </w:rPr>
              <w:tab/>
            </w:r>
            <w:r>
              <w:rPr>
                <w:rStyle w:val="IndexLink"/>
              </w:rPr>
              <w:t>360</w:t>
            </w:r>
          </w:hyperlink>
        </w:p>
        <w:p>
          <w:pPr>
            <w:pStyle w:val="Contents6"/>
            <w:tabs>
              <w:tab w:val="clear" w:pos="7609"/>
              <w:tab w:val="right" w:pos="9026" w:leader="dot"/>
            </w:tabs>
            <w:rPr/>
          </w:pPr>
          <w:hyperlink w:anchor="__RefHeading___Toc488653_2281741623">
            <w:r>
              <w:rPr>
                <w:webHidden/>
                <w:rStyle w:val="IndexLink"/>
                <w:rtl w:val="true"/>
              </w:rPr>
              <w:t xml:space="preserve">المطلب الأوّل </w:t>
            </w:r>
            <w:r>
              <w:rPr>
                <w:rStyle w:val="IndexLink"/>
                <w:rtl w:val="true"/>
              </w:rPr>
              <w:t xml:space="preserve">: </w:t>
            </w:r>
            <w:r>
              <w:rPr>
                <w:rStyle w:val="IndexLink"/>
                <w:rtl w:val="true"/>
              </w:rPr>
              <w:t>إنّ غایة حرمته ما لم یذهب ثلثاه بالنار</w:t>
            </w:r>
            <w:r>
              <w:rPr>
                <w:rStyle w:val="IndexLink"/>
                <w:rtl w:val="true"/>
              </w:rPr>
              <w:tab/>
            </w:r>
            <w:r>
              <w:rPr>
                <w:rStyle w:val="IndexLink"/>
              </w:rPr>
              <w:t>360</w:t>
            </w:r>
          </w:hyperlink>
        </w:p>
        <w:p>
          <w:pPr>
            <w:pStyle w:val="Contents6"/>
            <w:tabs>
              <w:tab w:val="clear" w:pos="7609"/>
              <w:tab w:val="right" w:pos="9026" w:leader="dot"/>
            </w:tabs>
            <w:rPr/>
          </w:pPr>
          <w:hyperlink w:anchor="__RefHeading___Toc488655_2281741623">
            <w:r>
              <w:rPr>
                <w:webHidden/>
                <w:rStyle w:val="IndexLink"/>
                <w:rtl w:val="true"/>
              </w:rPr>
              <w:t xml:space="preserve">المطلب الثانی </w:t>
            </w:r>
            <w:r>
              <w:rPr>
                <w:rStyle w:val="IndexLink"/>
                <w:rtl w:val="true"/>
              </w:rPr>
              <w:t xml:space="preserve">: </w:t>
            </w:r>
            <w:r>
              <w:rPr>
                <w:rStyle w:val="IndexLink"/>
                <w:rtl w:val="true"/>
              </w:rPr>
              <w:t>انّ ذهاب الثلثین انّما یعرف بأمور</w:t>
            </w:r>
            <w:r>
              <w:rPr>
                <w:rStyle w:val="IndexLink"/>
                <w:rtl w:val="true"/>
              </w:rPr>
              <w:tab/>
            </w:r>
            <w:r>
              <w:rPr>
                <w:rStyle w:val="IndexLink"/>
              </w:rPr>
              <w:t>363</w:t>
            </w:r>
          </w:hyperlink>
        </w:p>
        <w:p>
          <w:pPr>
            <w:pStyle w:val="Contents6"/>
            <w:tabs>
              <w:tab w:val="clear" w:pos="7609"/>
              <w:tab w:val="right" w:pos="9026" w:leader="dot"/>
            </w:tabs>
            <w:rPr/>
          </w:pPr>
          <w:hyperlink w:anchor="__RefHeading___Toc488657_2281741623">
            <w:r>
              <w:rPr>
                <w:webHidden/>
                <w:rStyle w:val="IndexLink"/>
                <w:rtl w:val="true"/>
              </w:rPr>
              <w:t>اشارة</w:t>
            </w:r>
            <w:r>
              <w:rPr>
                <w:rStyle w:val="IndexLink"/>
                <w:rtl w:val="true"/>
              </w:rPr>
              <w:tab/>
            </w:r>
            <w:r>
              <w:rPr>
                <w:rStyle w:val="IndexLink"/>
              </w:rPr>
              <w:t>363</w:t>
            </w:r>
          </w:hyperlink>
        </w:p>
        <w:p>
          <w:pPr>
            <w:pStyle w:val="Contents6"/>
            <w:tabs>
              <w:tab w:val="clear" w:pos="7609"/>
              <w:tab w:val="right" w:pos="9026" w:leader="dot"/>
            </w:tabs>
            <w:rPr/>
          </w:pPr>
          <w:hyperlink w:anchor="__RefHeading___Toc488659_2281741623">
            <w:r>
              <w:rPr>
                <w:webHidden/>
                <w:rStyle w:val="IndexLink"/>
                <w:rtl w:val="true"/>
              </w:rPr>
              <w:t xml:space="preserve">الأمر الأوّل </w:t>
            </w:r>
            <w:r>
              <w:rPr>
                <w:rStyle w:val="IndexLink"/>
                <w:rtl w:val="true"/>
              </w:rPr>
              <w:t xml:space="preserve">: </w:t>
            </w:r>
            <w:r>
              <w:rPr>
                <w:rStyle w:val="IndexLink"/>
                <w:rtl w:val="true"/>
              </w:rPr>
              <w:t>الإختبار</w:t>
            </w:r>
            <w:r>
              <w:rPr>
                <w:rStyle w:val="IndexLink"/>
                <w:rtl w:val="true"/>
              </w:rPr>
              <w:tab/>
            </w:r>
            <w:r>
              <w:rPr>
                <w:rStyle w:val="IndexLink"/>
              </w:rPr>
              <w:t>364</w:t>
            </w:r>
          </w:hyperlink>
        </w:p>
        <w:p>
          <w:pPr>
            <w:pStyle w:val="Contents6"/>
            <w:tabs>
              <w:tab w:val="clear" w:pos="7609"/>
              <w:tab w:val="right" w:pos="9026" w:leader="dot"/>
            </w:tabs>
            <w:rPr/>
          </w:pPr>
          <w:hyperlink w:anchor="__RefHeading___Toc488661_2281741623">
            <w:r>
              <w:rPr>
                <w:webHidden/>
                <w:rStyle w:val="IndexLink"/>
                <w:rtl w:val="true"/>
              </w:rPr>
              <w:t>اشارة</w:t>
            </w:r>
            <w:r>
              <w:rPr>
                <w:rStyle w:val="IndexLink"/>
                <w:rtl w:val="true"/>
              </w:rPr>
              <w:tab/>
            </w:r>
            <w:r>
              <w:rPr>
                <w:rStyle w:val="IndexLink"/>
              </w:rPr>
              <w:t>364</w:t>
            </w:r>
          </w:hyperlink>
        </w:p>
        <w:p>
          <w:pPr>
            <w:pStyle w:val="Contents6"/>
            <w:tabs>
              <w:tab w:val="clear" w:pos="7609"/>
              <w:tab w:val="right" w:pos="9026" w:leader="dot"/>
            </w:tabs>
            <w:rPr/>
          </w:pPr>
          <w:hyperlink w:anchor="__RefHeading___Toc488663_2281741623">
            <w:r>
              <w:rPr>
                <w:webHidden/>
                <w:rStyle w:val="IndexLink"/>
                <w:rtl w:val="true"/>
              </w:rPr>
              <w:t>ثمّ إنّ هذا الإختبار هل یکون بحسب الکیل أو بحسب الوزن ؟</w:t>
            </w:r>
            <w:r>
              <w:rPr>
                <w:rStyle w:val="IndexLink"/>
                <w:rtl w:val="true"/>
              </w:rPr>
              <w:tab/>
            </w:r>
            <w:r>
              <w:rPr>
                <w:rStyle w:val="IndexLink"/>
              </w:rPr>
              <w:t>364</w:t>
            </w:r>
          </w:hyperlink>
        </w:p>
        <w:p>
          <w:pPr>
            <w:pStyle w:val="Contents6"/>
            <w:tabs>
              <w:tab w:val="clear" w:pos="7609"/>
              <w:tab w:val="right" w:pos="9026" w:leader="dot"/>
            </w:tabs>
            <w:rPr/>
          </w:pPr>
          <w:hyperlink w:anchor="__RefHeading___Toc488665_2281741623">
            <w:r>
              <w:rPr>
                <w:webHidden/>
                <w:rStyle w:val="IndexLink"/>
                <w:rtl w:val="true"/>
              </w:rPr>
              <w:t xml:space="preserve">الأمر الثانی </w:t>
            </w:r>
            <w:r>
              <w:rPr>
                <w:rStyle w:val="IndexLink"/>
                <w:rtl w:val="true"/>
              </w:rPr>
              <w:t xml:space="preserve">: </w:t>
            </w:r>
            <w:r>
              <w:rPr>
                <w:rStyle w:val="IndexLink"/>
                <w:rtl w:val="true"/>
              </w:rPr>
              <w:t>إخبار صاحب العصر المطبوخ</w:t>
            </w:r>
            <w:r>
              <w:rPr>
                <w:rStyle w:val="IndexLink"/>
                <w:rtl w:val="true"/>
              </w:rPr>
              <w:tab/>
            </w:r>
            <w:r>
              <w:rPr>
                <w:rStyle w:val="IndexLink"/>
              </w:rPr>
              <w:t>367</w:t>
            </w:r>
          </w:hyperlink>
        </w:p>
        <w:p>
          <w:pPr>
            <w:pStyle w:val="Contents6"/>
            <w:tabs>
              <w:tab w:val="clear" w:pos="7609"/>
              <w:tab w:val="right" w:pos="9026" w:leader="dot"/>
            </w:tabs>
            <w:rPr/>
          </w:pPr>
          <w:hyperlink w:anchor="__RefHeading___Toc488667_2281741623">
            <w:r>
              <w:rPr>
                <w:webHidden/>
                <w:rStyle w:val="IndexLink"/>
                <w:rtl w:val="true"/>
              </w:rPr>
              <w:t xml:space="preserve">و هو علی ضربین </w:t>
            </w:r>
            <w:r>
              <w:rPr>
                <w:rStyle w:val="IndexLink"/>
                <w:rtl w:val="true"/>
              </w:rPr>
              <w:t>:</w:t>
              <w:tab/>
            </w:r>
            <w:r>
              <w:rPr>
                <w:rStyle w:val="IndexLink"/>
              </w:rPr>
              <w:t>367</w:t>
            </w:r>
          </w:hyperlink>
        </w:p>
        <w:p>
          <w:pPr>
            <w:pStyle w:val="Contents6"/>
            <w:tabs>
              <w:tab w:val="clear" w:pos="7609"/>
              <w:tab w:val="right" w:pos="9026" w:leader="dot"/>
            </w:tabs>
            <w:rPr/>
          </w:pPr>
          <w:hyperlink w:anchor="__RefHeading___Toc488669_2281741623">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488671_2281741623">
            <w:r>
              <w:rPr>
                <w:webHidden/>
                <w:rStyle w:val="IndexLink"/>
                <w:rtl w:val="true"/>
              </w:rPr>
              <w:t xml:space="preserve">أحدهما </w:t>
            </w:r>
            <w:r>
              <w:rPr>
                <w:rStyle w:val="IndexLink"/>
                <w:rtl w:val="true"/>
              </w:rPr>
              <w:t xml:space="preserve">: </w:t>
            </w:r>
            <w:r>
              <w:rPr>
                <w:rStyle w:val="IndexLink"/>
                <w:rtl w:val="true"/>
              </w:rPr>
              <w:t>إخبار البیّنة</w:t>
            </w:r>
            <w:r>
              <w:rPr>
                <w:rStyle w:val="IndexLink"/>
                <w:rtl w:val="true"/>
              </w:rPr>
              <w:tab/>
            </w:r>
            <w:r>
              <w:rPr>
                <w:rStyle w:val="IndexLink"/>
              </w:rPr>
              <w:t>367</w:t>
            </w:r>
          </w:hyperlink>
        </w:p>
        <w:p>
          <w:pPr>
            <w:pStyle w:val="Contents6"/>
            <w:tabs>
              <w:tab w:val="clear" w:pos="7609"/>
              <w:tab w:val="right" w:pos="9026" w:leader="dot"/>
            </w:tabs>
            <w:rPr/>
          </w:pPr>
          <w:hyperlink w:anchor="__RefHeading___Toc488673_2281741623">
            <w:r>
              <w:rPr>
                <w:webHidden/>
                <w:rStyle w:val="IndexLink"/>
                <w:rtl w:val="true"/>
              </w:rPr>
              <w:t xml:space="preserve">ثانیهما </w:t>
            </w:r>
            <w:r>
              <w:rPr>
                <w:rStyle w:val="IndexLink"/>
                <w:rtl w:val="true"/>
              </w:rPr>
              <w:t xml:space="preserve">: </w:t>
            </w:r>
            <w:r>
              <w:rPr>
                <w:rStyle w:val="IndexLink"/>
                <w:rtl w:val="true"/>
              </w:rPr>
              <w:t>إخبار ذی الید</w:t>
            </w:r>
            <w:r>
              <w:rPr>
                <w:rStyle w:val="IndexLink"/>
                <w:rtl w:val="true"/>
              </w:rPr>
              <w:tab/>
            </w:r>
            <w:r>
              <w:rPr>
                <w:rStyle w:val="IndexLink"/>
              </w:rPr>
              <w:t>367</w:t>
            </w:r>
          </w:hyperlink>
        </w:p>
        <w:p>
          <w:pPr>
            <w:pStyle w:val="Contents6"/>
            <w:tabs>
              <w:tab w:val="clear" w:pos="7609"/>
              <w:tab w:val="right" w:pos="9026" w:leader="dot"/>
            </w:tabs>
            <w:rPr/>
          </w:pPr>
          <w:hyperlink w:anchor="__RefHeading___Toc488675_2281741623">
            <w:r>
              <w:rPr>
                <w:webHidden/>
                <w:rStyle w:val="IndexLink"/>
                <w:rtl w:val="true"/>
              </w:rPr>
              <w:t>الأخبار الواردة فیه</w:t>
            </w:r>
            <w:r>
              <w:rPr>
                <w:rStyle w:val="IndexLink"/>
                <w:rtl w:val="true"/>
              </w:rPr>
              <w:tab/>
            </w:r>
            <w:r>
              <w:rPr>
                <w:rStyle w:val="IndexLink"/>
              </w:rPr>
              <w:t>367</w:t>
            </w:r>
          </w:hyperlink>
        </w:p>
        <w:p>
          <w:pPr>
            <w:pStyle w:val="Contents6"/>
            <w:tabs>
              <w:tab w:val="clear" w:pos="7609"/>
              <w:tab w:val="right" w:pos="9026" w:leader="dot"/>
            </w:tabs>
            <w:rPr/>
          </w:pPr>
          <w:hyperlink w:anchor="__RefHeading___Toc488677_2281741623">
            <w:r>
              <w:rPr>
                <w:webHidden/>
                <w:rStyle w:val="IndexLink"/>
                <w:rtl w:val="true"/>
              </w:rPr>
              <w:t xml:space="preserve">أقوال الأصحاب فیه </w:t>
            </w:r>
            <w:r>
              <w:rPr>
                <w:rStyle w:val="IndexLink"/>
                <w:rtl w:val="true"/>
              </w:rPr>
              <w:t>:</w:t>
              <w:tab/>
            </w:r>
            <w:r>
              <w:rPr>
                <w:rStyle w:val="IndexLink"/>
              </w:rPr>
              <w:t>369</w:t>
            </w:r>
          </w:hyperlink>
        </w:p>
        <w:p>
          <w:pPr>
            <w:pStyle w:val="Contents6"/>
            <w:tabs>
              <w:tab w:val="clear" w:pos="7609"/>
              <w:tab w:val="right" w:pos="9026" w:leader="dot"/>
            </w:tabs>
            <w:rPr/>
          </w:pPr>
          <w:hyperlink w:anchor="__RefHeading___Toc488679_2281741623">
            <w:r>
              <w:rPr>
                <w:webHidden/>
                <w:rStyle w:val="IndexLink"/>
                <w:rtl w:val="true"/>
              </w:rPr>
              <w:t xml:space="preserve">القول الأوّل </w:t>
            </w:r>
            <w:r>
              <w:rPr>
                <w:rStyle w:val="IndexLink"/>
                <w:rtl w:val="true"/>
              </w:rPr>
              <w:t xml:space="preserve">: </w:t>
            </w:r>
            <w:r>
              <w:rPr>
                <w:rStyle w:val="IndexLink"/>
                <w:rtl w:val="true"/>
              </w:rPr>
              <w:t>لا یقبل قول المخبر قبل ذهاب الثلثین</w:t>
            </w:r>
            <w:r>
              <w:rPr>
                <w:rStyle w:val="IndexLink"/>
                <w:rtl w:val="true"/>
              </w:rPr>
              <w:tab/>
            </w:r>
            <w:r>
              <w:rPr>
                <w:rStyle w:val="IndexLink"/>
              </w:rPr>
              <w:t>369</w:t>
            </w:r>
          </w:hyperlink>
        </w:p>
        <w:p>
          <w:pPr>
            <w:pStyle w:val="Contents6"/>
            <w:tabs>
              <w:tab w:val="clear" w:pos="7609"/>
              <w:tab w:val="right" w:pos="9026" w:leader="dot"/>
            </w:tabs>
            <w:rPr/>
          </w:pPr>
          <w:hyperlink w:anchor="__RefHeading___Toc488681_2281741623">
            <w:r>
              <w:rPr>
                <w:webHidden/>
                <w:rStyle w:val="IndexLink"/>
                <w:rtl w:val="true"/>
              </w:rPr>
              <w:t xml:space="preserve">القول الثانی </w:t>
            </w:r>
            <w:r>
              <w:rPr>
                <w:rStyle w:val="IndexLink"/>
                <w:rtl w:val="true"/>
              </w:rPr>
              <w:t xml:space="preserve">: </w:t>
            </w:r>
            <w:r>
              <w:rPr>
                <w:rStyle w:val="IndexLink"/>
                <w:rtl w:val="true"/>
              </w:rPr>
              <w:t>جواز الإعتماد علی قول المخبر مطلقاً</w:t>
            </w:r>
            <w:r>
              <w:rPr>
                <w:rStyle w:val="IndexLink"/>
                <w:rtl w:val="true"/>
              </w:rPr>
              <w:tab/>
            </w:r>
            <w:r>
              <w:rPr>
                <w:rStyle w:val="IndexLink"/>
              </w:rPr>
              <w:t>370</w:t>
            </w:r>
          </w:hyperlink>
        </w:p>
        <w:p>
          <w:pPr>
            <w:pStyle w:val="Contents6"/>
            <w:tabs>
              <w:tab w:val="clear" w:pos="7609"/>
              <w:tab w:val="right" w:pos="9026" w:leader="dot"/>
            </w:tabs>
            <w:rPr/>
          </w:pPr>
          <w:hyperlink w:anchor="__RefHeading___Toc488683_2281741623">
            <w:r>
              <w:rPr>
                <w:webHidden/>
                <w:rStyle w:val="IndexLink"/>
                <w:rtl w:val="true"/>
              </w:rPr>
              <w:t>اشارة</w:t>
            </w:r>
            <w:r>
              <w:rPr>
                <w:rStyle w:val="IndexLink"/>
                <w:rtl w:val="true"/>
              </w:rPr>
              <w:tab/>
            </w:r>
            <w:r>
              <w:rPr>
                <w:rStyle w:val="IndexLink"/>
              </w:rPr>
              <w:t>370</w:t>
            </w:r>
          </w:hyperlink>
        </w:p>
        <w:p>
          <w:pPr>
            <w:pStyle w:val="Contents6"/>
            <w:tabs>
              <w:tab w:val="clear" w:pos="7609"/>
              <w:tab w:val="right" w:pos="9026" w:leader="dot"/>
            </w:tabs>
            <w:rPr/>
          </w:pPr>
          <w:hyperlink w:anchor="__RefHeading___Toc488685_2281741623">
            <w:r>
              <w:rPr>
                <w:webHidden/>
                <w:rStyle w:val="IndexLink"/>
                <w:rtl w:val="true"/>
              </w:rPr>
              <w:t>المستند فی هذا القول</w:t>
            </w:r>
            <w:r>
              <w:rPr>
                <w:rStyle w:val="IndexLink"/>
                <w:rtl w:val="true"/>
              </w:rPr>
              <w:tab/>
            </w:r>
            <w:r>
              <w:rPr>
                <w:rStyle w:val="IndexLink"/>
              </w:rPr>
              <w:t>371</w:t>
            </w:r>
          </w:hyperlink>
        </w:p>
        <w:p>
          <w:pPr>
            <w:pStyle w:val="Contents6"/>
            <w:tabs>
              <w:tab w:val="clear" w:pos="7609"/>
              <w:tab w:val="right" w:pos="9026" w:leader="dot"/>
            </w:tabs>
            <w:rPr/>
          </w:pPr>
          <w:hyperlink w:anchor="__RefHeading___Toc488687_2281741623">
            <w:r>
              <w:rPr>
                <w:webHidden/>
                <w:rStyle w:val="IndexLink"/>
                <w:rtl w:val="true"/>
              </w:rPr>
              <w:t>الجواب عنه</w:t>
            </w:r>
            <w:r>
              <w:rPr>
                <w:rStyle w:val="IndexLink"/>
                <w:rtl w:val="true"/>
              </w:rPr>
              <w:tab/>
            </w:r>
            <w:r>
              <w:rPr>
                <w:rStyle w:val="IndexLink"/>
              </w:rPr>
              <w:t>371</w:t>
            </w:r>
          </w:hyperlink>
        </w:p>
        <w:p>
          <w:pPr>
            <w:pStyle w:val="Contents6"/>
            <w:tabs>
              <w:tab w:val="clear" w:pos="7609"/>
              <w:tab w:val="right" w:pos="9026" w:leader="dot"/>
            </w:tabs>
            <w:rPr/>
          </w:pPr>
          <w:hyperlink w:anchor="__RefHeading___Toc488689_2281741623">
            <w:r>
              <w:rPr>
                <w:webHidden/>
                <w:rStyle w:val="IndexLink"/>
                <w:rtl w:val="true"/>
              </w:rPr>
              <w:t xml:space="preserve">الأمر الثالث </w:t>
            </w:r>
            <w:r>
              <w:rPr>
                <w:rStyle w:val="IndexLink"/>
                <w:rtl w:val="true"/>
              </w:rPr>
              <w:t xml:space="preserve">: </w:t>
            </w:r>
            <w:r>
              <w:rPr>
                <w:rStyle w:val="IndexLink"/>
                <w:rtl w:val="true"/>
              </w:rPr>
              <w:t>الوصف</w:t>
            </w:r>
            <w:r>
              <w:rPr>
                <w:rStyle w:val="IndexLink"/>
                <w:rtl w:val="true"/>
              </w:rPr>
              <w:tab/>
            </w:r>
            <w:r>
              <w:rPr>
                <w:rStyle w:val="IndexLink"/>
              </w:rPr>
              <w:t>371</w:t>
            </w:r>
          </w:hyperlink>
        </w:p>
        <w:p>
          <w:pPr>
            <w:pStyle w:val="Contents6"/>
            <w:tabs>
              <w:tab w:val="clear" w:pos="7609"/>
              <w:tab w:val="right" w:pos="9026" w:leader="dot"/>
            </w:tabs>
            <w:rPr/>
          </w:pPr>
          <w:hyperlink w:anchor="__RefHeading___Toc488691_2281741623">
            <w:r>
              <w:rPr>
                <w:webHidden/>
                <w:rStyle w:val="IndexLink"/>
                <w:rtl w:val="true"/>
              </w:rPr>
              <w:t>اشارة</w:t>
            </w:r>
            <w:r>
              <w:rPr>
                <w:rStyle w:val="IndexLink"/>
                <w:rtl w:val="true"/>
              </w:rPr>
              <w:tab/>
            </w:r>
            <w:r>
              <w:rPr>
                <w:rStyle w:val="IndexLink"/>
              </w:rPr>
              <w:t>371</w:t>
            </w:r>
          </w:hyperlink>
        </w:p>
        <w:p>
          <w:pPr>
            <w:pStyle w:val="Contents6"/>
            <w:tabs>
              <w:tab w:val="clear" w:pos="7609"/>
              <w:tab w:val="right" w:pos="9026" w:leader="dot"/>
            </w:tabs>
            <w:rPr/>
          </w:pPr>
          <w:hyperlink w:anchor="__RefHeading___Toc488693_2281741623">
            <w:r>
              <w:rPr>
                <w:webHidden/>
                <w:rStyle w:val="IndexLink"/>
                <w:rtl w:val="true"/>
              </w:rPr>
              <w:t>یظهر من دعائم الإسلام إعتبار وصف ثالث</w:t>
            </w:r>
            <w:r>
              <w:rPr>
                <w:rStyle w:val="IndexLink"/>
                <w:rtl w:val="true"/>
              </w:rPr>
              <w:tab/>
            </w:r>
            <w:r>
              <w:rPr>
                <w:rStyle w:val="IndexLink"/>
              </w:rPr>
              <w:t>372</w:t>
            </w:r>
          </w:hyperlink>
        </w:p>
        <w:p>
          <w:pPr>
            <w:pStyle w:val="Contents6"/>
            <w:tabs>
              <w:tab w:val="clear" w:pos="7609"/>
              <w:tab w:val="right" w:pos="9026" w:leader="dot"/>
            </w:tabs>
            <w:rPr/>
          </w:pPr>
          <w:hyperlink w:anchor="__RefHeading___Toc488695_2281741623">
            <w:r>
              <w:rPr>
                <w:webHidden/>
                <w:rStyle w:val="IndexLink"/>
                <w:rtl w:val="true"/>
              </w:rPr>
              <w:t xml:space="preserve">المطلب الثالث </w:t>
            </w:r>
            <w:r>
              <w:rPr>
                <w:rStyle w:val="IndexLink"/>
                <w:rtl w:val="true"/>
              </w:rPr>
              <w:t xml:space="preserve">: </w:t>
            </w:r>
            <w:r>
              <w:rPr>
                <w:rStyle w:val="IndexLink"/>
                <w:rtl w:val="true"/>
              </w:rPr>
              <w:t>انّه إذا انقلب العصیر بعد غلیانه إلی حدّ یتغیّر به الإسم کأن صار دبساً أو نحوه، فهل یحلّ بذلک أم لا ؟</w:t>
            </w:r>
            <w:r>
              <w:rPr>
                <w:rStyle w:val="IndexLink"/>
                <w:rtl w:val="true"/>
              </w:rPr>
              <w:tab/>
            </w:r>
            <w:r>
              <w:rPr>
                <w:rStyle w:val="IndexLink"/>
              </w:rPr>
              <w:t>373</w:t>
            </w:r>
          </w:hyperlink>
        </w:p>
        <w:p>
          <w:pPr>
            <w:pStyle w:val="Contents6"/>
            <w:tabs>
              <w:tab w:val="clear" w:pos="7609"/>
              <w:tab w:val="right" w:pos="9026" w:leader="dot"/>
            </w:tabs>
            <w:rPr/>
          </w:pPr>
          <w:hyperlink w:anchor="__RefHeading___Toc488697_2281741623">
            <w:r>
              <w:rPr>
                <w:webHidden/>
                <w:rStyle w:val="IndexLink"/>
                <w:rtl w:val="true"/>
              </w:rPr>
              <w:t>اشارة</w:t>
            </w:r>
            <w:r>
              <w:rPr>
                <w:rStyle w:val="IndexLink"/>
                <w:rtl w:val="true"/>
              </w:rPr>
              <w:tab/>
            </w:r>
            <w:r>
              <w:rPr>
                <w:rStyle w:val="IndexLink"/>
              </w:rPr>
              <w:t>373</w:t>
            </w:r>
          </w:hyperlink>
        </w:p>
        <w:p>
          <w:pPr>
            <w:pStyle w:val="Contents6"/>
            <w:tabs>
              <w:tab w:val="clear" w:pos="7609"/>
              <w:tab w:val="right" w:pos="9026" w:leader="dot"/>
            </w:tabs>
            <w:rPr/>
          </w:pPr>
          <w:hyperlink w:anchor="__RefHeading___Toc488699_2281741623">
            <w:r>
              <w:rPr>
                <w:webHidden/>
                <w:rStyle w:val="IndexLink"/>
                <w:rtl w:val="true"/>
              </w:rPr>
              <w:t>بیان الأقوال فیه</w:t>
            </w:r>
            <w:r>
              <w:rPr>
                <w:rStyle w:val="IndexLink"/>
                <w:rtl w:val="true"/>
              </w:rPr>
              <w:tab/>
            </w:r>
            <w:r>
              <w:rPr>
                <w:rStyle w:val="IndexLink"/>
              </w:rPr>
              <w:t>373</w:t>
            </w:r>
          </w:hyperlink>
        </w:p>
        <w:p>
          <w:pPr>
            <w:pStyle w:val="Contents6"/>
            <w:tabs>
              <w:tab w:val="clear" w:pos="7609"/>
              <w:tab w:val="right" w:pos="9026" w:leader="dot"/>
            </w:tabs>
            <w:rPr/>
          </w:pPr>
          <w:hyperlink w:anchor="__RefHeading___Toc488701_2281741623">
            <w:r>
              <w:rPr>
                <w:webHidden/>
                <w:rStyle w:val="IndexLink"/>
                <w:rtl w:val="true"/>
              </w:rPr>
              <w:t>رأی المؤلّف</w:t>
            </w:r>
            <w:r>
              <w:rPr>
                <w:rStyle w:val="IndexLink"/>
                <w:rtl w:val="true"/>
              </w:rPr>
              <w:tab/>
            </w:r>
            <w:r>
              <w:rPr>
                <w:rStyle w:val="IndexLink"/>
              </w:rPr>
              <w:t>374</w:t>
            </w:r>
          </w:hyperlink>
        </w:p>
        <w:p>
          <w:pPr>
            <w:pStyle w:val="Contents6"/>
            <w:tabs>
              <w:tab w:val="clear" w:pos="7609"/>
              <w:tab w:val="right" w:pos="9026" w:leader="dot"/>
            </w:tabs>
            <w:rPr/>
          </w:pPr>
          <w:hyperlink w:anchor="__RefHeading___Toc488703_2281741623">
            <w:r>
              <w:rPr>
                <w:webHidden/>
                <w:rStyle w:val="IndexLink"/>
                <w:rtl w:val="true"/>
              </w:rPr>
              <w:t xml:space="preserve">المطلب الرابع </w:t>
            </w:r>
            <w:r>
              <w:rPr>
                <w:rStyle w:val="IndexLink"/>
                <w:rtl w:val="true"/>
              </w:rPr>
              <w:t xml:space="preserve">: </w:t>
            </w:r>
            <w:r>
              <w:rPr>
                <w:rStyle w:val="IndexLink"/>
                <w:rtl w:val="true"/>
              </w:rPr>
              <w:t>إنّه إذا غلی العصیر بالشمس و ذهب منه الثلثان بالشمس أو الهواء، فهل یحلّ بذلک أم لا ؟</w:t>
            </w:r>
            <w:r>
              <w:rPr>
                <w:rStyle w:val="IndexLink"/>
                <w:rtl w:val="true"/>
              </w:rPr>
              <w:tab/>
            </w:r>
            <w:r>
              <w:rPr>
                <w:rStyle w:val="IndexLink"/>
              </w:rPr>
              <w:t>375</w:t>
            </w:r>
          </w:hyperlink>
        </w:p>
        <w:p>
          <w:pPr>
            <w:pStyle w:val="Contents6"/>
            <w:tabs>
              <w:tab w:val="clear" w:pos="7609"/>
              <w:tab w:val="right" w:pos="9026" w:leader="dot"/>
            </w:tabs>
            <w:rPr/>
          </w:pPr>
          <w:hyperlink w:anchor="__RefHeading___Toc488705_228174162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488707_2281741623">
            <w:r>
              <w:rPr>
                <w:webHidden/>
                <w:rStyle w:val="IndexLink"/>
                <w:rtl w:val="true"/>
              </w:rPr>
              <w:t>کلام الشهید الثانی والصیمری رحمهماالله فی المسألة</w:t>
            </w:r>
            <w:r>
              <w:rPr>
                <w:rStyle w:val="IndexLink"/>
                <w:rtl w:val="true"/>
              </w:rPr>
              <w:tab/>
            </w:r>
            <w:r>
              <w:rPr>
                <w:rStyle w:val="IndexLink"/>
              </w:rPr>
              <w:t>375</w:t>
            </w:r>
          </w:hyperlink>
        </w:p>
        <w:p>
          <w:pPr>
            <w:pStyle w:val="Contents6"/>
            <w:tabs>
              <w:tab w:val="clear" w:pos="7609"/>
              <w:tab w:val="right" w:pos="9026" w:leader="dot"/>
            </w:tabs>
            <w:rPr/>
          </w:pPr>
          <w:hyperlink w:anchor="__RefHeading___Toc488709_2281741623">
            <w:r>
              <w:rPr>
                <w:webHidden/>
                <w:rStyle w:val="IndexLink"/>
                <w:rtl w:val="true"/>
              </w:rPr>
              <w:t>رأی المؤلّف فی المسألة</w:t>
            </w:r>
            <w:r>
              <w:rPr>
                <w:rStyle w:val="IndexLink"/>
                <w:rtl w:val="true"/>
              </w:rPr>
              <w:tab/>
            </w:r>
            <w:r>
              <w:rPr>
                <w:rStyle w:val="IndexLink"/>
              </w:rPr>
              <w:t>375</w:t>
            </w:r>
          </w:hyperlink>
        </w:p>
        <w:p>
          <w:pPr>
            <w:pStyle w:val="Contents6"/>
            <w:tabs>
              <w:tab w:val="clear" w:pos="7609"/>
              <w:tab w:val="right" w:pos="9026" w:leader="dot"/>
            </w:tabs>
            <w:rPr/>
          </w:pPr>
          <w:hyperlink w:anchor="__RefHeading___Toc488711_2281741623">
            <w:r>
              <w:rPr>
                <w:webHidden/>
                <w:rStyle w:val="IndexLink"/>
                <w:rtl w:val="true"/>
              </w:rPr>
              <w:t xml:space="preserve">المطلب الخامس </w:t>
            </w:r>
            <w:r>
              <w:rPr>
                <w:rStyle w:val="IndexLink"/>
                <w:rtl w:val="true"/>
              </w:rPr>
              <w:t xml:space="preserve">: </w:t>
            </w:r>
            <w:r>
              <w:rPr>
                <w:rStyle w:val="IndexLink"/>
                <w:rtl w:val="true"/>
              </w:rPr>
              <w:t>لو غلی ماء العنب فی حبّه، فإن صار خمراً فهو حرام و نجس، وإلاّ ففیه إشکال</w:t>
            </w:r>
            <w:r>
              <w:rPr>
                <w:rStyle w:val="IndexLink"/>
                <w:rtl w:val="true"/>
              </w:rPr>
              <w:tab/>
            </w:r>
            <w:r>
              <w:rPr>
                <w:rStyle w:val="IndexLink"/>
              </w:rPr>
              <w:t>375</w:t>
            </w:r>
          </w:hyperlink>
        </w:p>
        <w:p>
          <w:pPr>
            <w:pStyle w:val="Contents6"/>
            <w:tabs>
              <w:tab w:val="clear" w:pos="7609"/>
              <w:tab w:val="right" w:pos="9026" w:leader="dot"/>
            </w:tabs>
            <w:rPr/>
          </w:pPr>
          <w:hyperlink w:anchor="__RefHeading___Toc488713_2281741623">
            <w:r>
              <w:rPr>
                <w:webHidden/>
                <w:rStyle w:val="IndexLink"/>
                <w:rtl w:val="true"/>
              </w:rPr>
              <w:t>اشارة</w:t>
            </w:r>
            <w:r>
              <w:rPr>
                <w:rStyle w:val="IndexLink"/>
                <w:rtl w:val="true"/>
              </w:rPr>
              <w:tab/>
            </w:r>
            <w:r>
              <w:rPr>
                <w:rStyle w:val="IndexLink"/>
              </w:rPr>
              <w:t>375</w:t>
            </w:r>
          </w:hyperlink>
        </w:p>
        <w:p>
          <w:pPr>
            <w:pStyle w:val="Contents6"/>
            <w:tabs>
              <w:tab w:val="clear" w:pos="7609"/>
              <w:tab w:val="right" w:pos="9026" w:leader="dot"/>
            </w:tabs>
            <w:rPr/>
          </w:pPr>
          <w:hyperlink w:anchor="__RefHeading___Toc488715_2281741623">
            <w:r>
              <w:rPr>
                <w:webHidden/>
                <w:rStyle w:val="IndexLink"/>
                <w:rtl w:val="true"/>
              </w:rPr>
              <w:t>کلمات الفقهاء فیه</w:t>
            </w:r>
            <w:r>
              <w:rPr>
                <w:rStyle w:val="IndexLink"/>
                <w:rtl w:val="true"/>
              </w:rPr>
              <w:tab/>
            </w:r>
            <w:r>
              <w:rPr>
                <w:rStyle w:val="IndexLink"/>
              </w:rPr>
              <w:t>375</w:t>
            </w:r>
          </w:hyperlink>
        </w:p>
        <w:p>
          <w:pPr>
            <w:pStyle w:val="Contents6"/>
            <w:tabs>
              <w:tab w:val="clear" w:pos="7609"/>
              <w:tab w:val="right" w:pos="9026" w:leader="dot"/>
            </w:tabs>
            <w:rPr/>
          </w:pPr>
          <w:hyperlink w:anchor="__RefHeading___Toc488717_2281741623">
            <w:r>
              <w:rPr>
                <w:webHidden/>
                <w:rStyle w:val="IndexLink"/>
                <w:rtl w:val="true"/>
              </w:rPr>
              <w:t xml:space="preserve">المطلب السادس </w:t>
            </w:r>
            <w:r>
              <w:rPr>
                <w:rStyle w:val="IndexLink"/>
                <w:rtl w:val="true"/>
              </w:rPr>
              <w:t xml:space="preserve">: </w:t>
            </w:r>
            <w:r>
              <w:rPr>
                <w:rStyle w:val="IndexLink"/>
                <w:rtl w:val="true"/>
              </w:rPr>
              <w:t>فی انّ آلات الطبخ فی العصر، وأیدی مزاولیه، و ثیابهم تطهر بذهاب الثلثین فی بعضها، والاستحالة فی بعض آخر</w:t>
            </w:r>
            <w:r>
              <w:rPr>
                <w:rStyle w:val="IndexLink"/>
                <w:rtl w:val="true"/>
              </w:rPr>
              <w:tab/>
            </w:r>
            <w:r>
              <w:rPr>
                <w:rStyle w:val="IndexLink"/>
              </w:rPr>
              <w:t>376</w:t>
            </w:r>
          </w:hyperlink>
        </w:p>
        <w:p>
          <w:pPr>
            <w:pStyle w:val="Contents6"/>
            <w:tabs>
              <w:tab w:val="clear" w:pos="7609"/>
              <w:tab w:val="right" w:pos="9026" w:leader="dot"/>
            </w:tabs>
            <w:rPr/>
          </w:pPr>
          <w:hyperlink w:anchor="__RefHeading___Toc488719_2281741623">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488721_2281741623">
            <w:r>
              <w:rPr>
                <w:webHidden/>
                <w:rStyle w:val="IndexLink"/>
                <w:rtl w:val="true"/>
              </w:rPr>
              <w:t>جملة من کلمات الفقهاء فی ذلک</w:t>
            </w:r>
            <w:r>
              <w:rPr>
                <w:rStyle w:val="IndexLink"/>
                <w:rtl w:val="true"/>
              </w:rPr>
              <w:tab/>
            </w:r>
            <w:r>
              <w:rPr>
                <w:rStyle w:val="IndexLink"/>
              </w:rPr>
              <w:t>377</w:t>
            </w:r>
          </w:hyperlink>
        </w:p>
        <w:p>
          <w:pPr>
            <w:pStyle w:val="Contents4"/>
            <w:tabs>
              <w:tab w:val="clear" w:pos="8176"/>
              <w:tab w:val="right" w:pos="9026" w:leader="dot"/>
            </w:tabs>
            <w:rPr/>
          </w:pPr>
          <w:hyperlink w:anchor="__RefHeading___Toc488723_2281741623">
            <w:r>
              <w:rPr>
                <w:webHidden/>
                <w:rStyle w:val="IndexLink"/>
                <w:rtl w:val="true"/>
              </w:rPr>
              <w:t>المقصد الثانی</w:t>
            </w:r>
            <w:r>
              <w:rPr>
                <w:rStyle w:val="IndexLink"/>
                <w:rtl w:val="true"/>
              </w:rPr>
              <w:t xml:space="preserve">: </w:t>
            </w:r>
            <w:r>
              <w:rPr>
                <w:rStyle w:val="IndexLink"/>
                <w:rtl w:val="true"/>
              </w:rPr>
              <w:t>فی العصیر الزبیبی</w:t>
            </w:r>
            <w:r>
              <w:rPr>
                <w:rStyle w:val="IndexLink"/>
                <w:rtl w:val="true"/>
              </w:rPr>
              <w:tab/>
            </w:r>
            <w:r>
              <w:rPr>
                <w:rStyle w:val="IndexLink"/>
              </w:rPr>
              <w:t>381</w:t>
            </w:r>
          </w:hyperlink>
        </w:p>
        <w:p>
          <w:pPr>
            <w:pStyle w:val="Contents5"/>
            <w:tabs>
              <w:tab w:val="clear" w:pos="7892"/>
              <w:tab w:val="right" w:pos="9026" w:leader="dot"/>
            </w:tabs>
            <w:rPr/>
          </w:pPr>
          <w:hyperlink w:anchor="__RefHeading___Toc488725_2281741623">
            <w:r>
              <w:rPr>
                <w:webHidden/>
                <w:rStyle w:val="IndexLink"/>
                <w:rtl w:val="true"/>
              </w:rPr>
              <w:t>اشارة</w:t>
            </w:r>
            <w:r>
              <w:rPr>
                <w:rStyle w:val="IndexLink"/>
                <w:rtl w:val="true"/>
              </w:rPr>
              <w:tab/>
            </w:r>
            <w:r>
              <w:rPr>
                <w:rStyle w:val="IndexLink"/>
              </w:rPr>
              <w:t>381</w:t>
            </w:r>
          </w:hyperlink>
        </w:p>
        <w:p>
          <w:pPr>
            <w:pStyle w:val="Contents5"/>
            <w:tabs>
              <w:tab w:val="clear" w:pos="7892"/>
              <w:tab w:val="right" w:pos="9026" w:leader="dot"/>
            </w:tabs>
            <w:rPr/>
          </w:pPr>
          <w:hyperlink w:anchor="__RefHeading___Toc488727_2281741623">
            <w:r>
              <w:rPr>
                <w:webHidden/>
                <w:rStyle w:val="IndexLink"/>
                <w:rtl w:val="true"/>
              </w:rPr>
              <w:t>المقام الأوّل</w:t>
            </w:r>
            <w:r>
              <w:rPr>
                <w:rStyle w:val="IndexLink"/>
                <w:rtl w:val="true"/>
              </w:rPr>
              <w:t xml:space="preserve">: </w:t>
            </w:r>
            <w:r>
              <w:rPr>
                <w:rStyle w:val="IndexLink"/>
                <w:rtl w:val="true"/>
              </w:rPr>
              <w:t>فی حلّیته و حرمته</w:t>
            </w:r>
            <w:r>
              <w:rPr>
                <w:rStyle w:val="IndexLink"/>
                <w:rtl w:val="true"/>
              </w:rPr>
              <w:tab/>
            </w:r>
            <w:r>
              <w:rPr>
                <w:rStyle w:val="IndexLink"/>
              </w:rPr>
              <w:t>381</w:t>
            </w:r>
          </w:hyperlink>
        </w:p>
        <w:p>
          <w:pPr>
            <w:pStyle w:val="Contents6"/>
            <w:tabs>
              <w:tab w:val="clear" w:pos="7609"/>
              <w:tab w:val="right" w:pos="9026" w:leader="dot"/>
            </w:tabs>
            <w:rPr/>
          </w:pPr>
          <w:hyperlink w:anchor="__RefHeading___Toc488729_2281741623">
            <w:r>
              <w:rPr>
                <w:webHidden/>
                <w:rStyle w:val="IndexLink"/>
                <w:rtl w:val="true"/>
              </w:rPr>
              <w:t xml:space="preserve">و فیه قولان </w:t>
            </w:r>
            <w:r>
              <w:rPr>
                <w:rStyle w:val="IndexLink"/>
                <w:rtl w:val="true"/>
              </w:rPr>
              <w:t>:</w:t>
              <w:tab/>
            </w:r>
            <w:r>
              <w:rPr>
                <w:rStyle w:val="IndexLink"/>
              </w:rPr>
              <w:t>381</w:t>
            </w:r>
          </w:hyperlink>
        </w:p>
        <w:p>
          <w:pPr>
            <w:pStyle w:val="Contents6"/>
            <w:tabs>
              <w:tab w:val="clear" w:pos="7609"/>
              <w:tab w:val="right" w:pos="9026" w:leader="dot"/>
            </w:tabs>
            <w:rPr/>
          </w:pPr>
          <w:hyperlink w:anchor="__RefHeading___Toc488731_2281741623">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488733_2281741623">
            <w:r>
              <w:rPr>
                <w:webHidden/>
                <w:rStyle w:val="IndexLink"/>
                <w:rtl w:val="true"/>
              </w:rPr>
              <w:t xml:space="preserve">القول الأوّل </w:t>
            </w:r>
            <w:r>
              <w:rPr>
                <w:rStyle w:val="IndexLink"/>
                <w:rtl w:val="true"/>
              </w:rPr>
              <w:t xml:space="preserve">: </w:t>
            </w:r>
            <w:r>
              <w:rPr>
                <w:rStyle w:val="IndexLink"/>
                <w:rtl w:val="true"/>
              </w:rPr>
              <w:t>انّه حلال طاهر</w:t>
            </w:r>
            <w:r>
              <w:rPr>
                <w:rStyle w:val="IndexLink"/>
                <w:rtl w:val="true"/>
              </w:rPr>
              <w:tab/>
            </w:r>
            <w:r>
              <w:rPr>
                <w:rStyle w:val="IndexLink"/>
              </w:rPr>
              <w:t>381</w:t>
            </w:r>
          </w:hyperlink>
        </w:p>
        <w:p>
          <w:pPr>
            <w:pStyle w:val="Contents6"/>
            <w:tabs>
              <w:tab w:val="clear" w:pos="7609"/>
              <w:tab w:val="right" w:pos="9026" w:leader="dot"/>
            </w:tabs>
            <w:rPr/>
          </w:pPr>
          <w:hyperlink w:anchor="__RefHeading___Toc488735_2281741623">
            <w:r>
              <w:rPr>
                <w:webHidden/>
                <w:rStyle w:val="IndexLink"/>
                <w:rtl w:val="true"/>
              </w:rPr>
              <w:t>اشارة</w:t>
            </w:r>
            <w:r>
              <w:rPr>
                <w:rStyle w:val="IndexLink"/>
                <w:rtl w:val="true"/>
              </w:rPr>
              <w:tab/>
            </w:r>
            <w:r>
              <w:rPr>
                <w:rStyle w:val="IndexLink"/>
              </w:rPr>
              <w:t>381</w:t>
            </w:r>
          </w:hyperlink>
        </w:p>
        <w:p>
          <w:pPr>
            <w:pStyle w:val="Contents6"/>
            <w:tabs>
              <w:tab w:val="clear" w:pos="7609"/>
              <w:tab w:val="right" w:pos="9026" w:leader="dot"/>
            </w:tabs>
            <w:rPr/>
          </w:pPr>
          <w:hyperlink w:anchor="__RefHeading___Toc488737_2281741623">
            <w:r>
              <w:rPr>
                <w:webHidden/>
                <w:rStyle w:val="IndexLink"/>
                <w:rtl w:val="true"/>
              </w:rPr>
              <w:t>کلمات العلماء فیه</w:t>
            </w:r>
            <w:r>
              <w:rPr>
                <w:rStyle w:val="IndexLink"/>
                <w:rtl w:val="true"/>
              </w:rPr>
              <w:tab/>
            </w:r>
            <w:r>
              <w:rPr>
                <w:rStyle w:val="IndexLink"/>
              </w:rPr>
              <w:t>381</w:t>
            </w:r>
          </w:hyperlink>
        </w:p>
        <w:p>
          <w:pPr>
            <w:pStyle w:val="Contents6"/>
            <w:tabs>
              <w:tab w:val="clear" w:pos="7609"/>
              <w:tab w:val="right" w:pos="9026" w:leader="dot"/>
            </w:tabs>
            <w:rPr/>
          </w:pPr>
          <w:hyperlink w:anchor="__RefHeading___Toc488739_2281741623">
            <w:r>
              <w:rPr>
                <w:webHidden/>
                <w:rStyle w:val="IndexLink"/>
                <w:rtl w:val="true"/>
              </w:rPr>
              <w:t>ذکر کلام طویل من السیّد بحرالعلوم رحمه‌الله</w:t>
            </w:r>
            <w:r>
              <w:rPr>
                <w:rStyle w:val="IndexLink"/>
                <w:rtl w:val="true"/>
              </w:rPr>
              <w:tab/>
            </w:r>
            <w:r>
              <w:rPr>
                <w:rStyle w:val="IndexLink"/>
              </w:rPr>
              <w:t>389</w:t>
            </w:r>
          </w:hyperlink>
        </w:p>
        <w:p>
          <w:pPr>
            <w:pStyle w:val="Contents6"/>
            <w:tabs>
              <w:tab w:val="clear" w:pos="7609"/>
              <w:tab w:val="right" w:pos="9026" w:leader="dot"/>
            </w:tabs>
            <w:rPr/>
          </w:pPr>
          <w:hyperlink w:anchor="__RefHeading___Toc488741_2281741623">
            <w:r>
              <w:rPr>
                <w:webHidden/>
                <w:rStyle w:val="IndexLink"/>
                <w:rtl w:val="true"/>
              </w:rPr>
              <w:t>المناقشات فی کلامه رحمه‌الله</w:t>
            </w:r>
            <w:r>
              <w:rPr>
                <w:rStyle w:val="IndexLink"/>
                <w:rtl w:val="true"/>
              </w:rPr>
              <w:tab/>
            </w:r>
            <w:r>
              <w:rPr>
                <w:rStyle w:val="IndexLink"/>
              </w:rPr>
              <w:t>397</w:t>
            </w:r>
          </w:hyperlink>
        </w:p>
        <w:p>
          <w:pPr>
            <w:pStyle w:val="Contents6"/>
            <w:tabs>
              <w:tab w:val="clear" w:pos="7609"/>
              <w:tab w:val="right" w:pos="9026" w:leader="dot"/>
            </w:tabs>
            <w:rPr/>
          </w:pPr>
          <w:hyperlink w:anchor="__RefHeading___Toc488743_2281741623">
            <w:r>
              <w:rPr>
                <w:webHidden/>
                <w:rStyle w:val="IndexLink"/>
                <w:rtl w:val="true"/>
              </w:rPr>
              <w:t xml:space="preserve">المستند لهذا القول أمور </w:t>
            </w:r>
            <w:r>
              <w:rPr>
                <w:rStyle w:val="IndexLink"/>
                <w:rtl w:val="true"/>
              </w:rPr>
              <w:t>:</w:t>
              <w:tab/>
            </w:r>
            <w:r>
              <w:rPr>
                <w:rStyle w:val="IndexLink"/>
              </w:rPr>
              <w:t>398</w:t>
            </w:r>
          </w:hyperlink>
        </w:p>
        <w:p>
          <w:pPr>
            <w:pStyle w:val="Contents6"/>
            <w:tabs>
              <w:tab w:val="clear" w:pos="7609"/>
              <w:tab w:val="right" w:pos="9026" w:leader="dot"/>
            </w:tabs>
            <w:rPr/>
          </w:pPr>
          <w:hyperlink w:anchor="__RefHeading___Toc488745_2281741623">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488747_2281741623">
            <w:r>
              <w:rPr>
                <w:webHidden/>
                <w:rStyle w:val="IndexLink"/>
                <w:rtl w:val="true"/>
              </w:rPr>
              <w:t xml:space="preserve">الأوّل </w:t>
            </w:r>
            <w:r>
              <w:rPr>
                <w:rStyle w:val="IndexLink"/>
                <w:rtl w:val="true"/>
              </w:rPr>
              <w:t xml:space="preserve">: </w:t>
            </w:r>
            <w:r>
              <w:rPr>
                <w:rStyle w:val="IndexLink"/>
                <w:rtl w:val="true"/>
              </w:rPr>
              <w:t>الأصول من الإستصحاب و غیره</w:t>
            </w:r>
            <w:r>
              <w:rPr>
                <w:rStyle w:val="IndexLink"/>
                <w:rtl w:val="true"/>
              </w:rPr>
              <w:tab/>
            </w:r>
            <w:r>
              <w:rPr>
                <w:rStyle w:val="IndexLink"/>
              </w:rPr>
              <w:t>398</w:t>
            </w:r>
          </w:hyperlink>
        </w:p>
        <w:p>
          <w:pPr>
            <w:pStyle w:val="Contents6"/>
            <w:tabs>
              <w:tab w:val="clear" w:pos="7609"/>
              <w:tab w:val="right" w:pos="9026" w:leader="dot"/>
            </w:tabs>
            <w:rPr/>
          </w:pPr>
          <w:hyperlink w:anchor="__RefHeading___Toc488749_2281741623">
            <w:r>
              <w:rPr>
                <w:webHidden/>
                <w:rStyle w:val="IndexLink"/>
                <w:rtl w:val="true"/>
              </w:rPr>
              <w:t xml:space="preserve">الثانی </w:t>
            </w:r>
            <w:r>
              <w:rPr>
                <w:rStyle w:val="IndexLink"/>
                <w:rtl w:val="true"/>
              </w:rPr>
              <w:t xml:space="preserve">: </w:t>
            </w:r>
            <w:r>
              <w:rPr>
                <w:rStyle w:val="IndexLink"/>
                <w:rtl w:val="true"/>
              </w:rPr>
              <w:t>ما ذکره فی الدروس و غیره</w:t>
            </w:r>
            <w:r>
              <w:rPr>
                <w:rStyle w:val="IndexLink"/>
                <w:rtl w:val="true"/>
              </w:rPr>
              <w:tab/>
            </w:r>
            <w:r>
              <w:rPr>
                <w:rStyle w:val="IndexLink"/>
              </w:rPr>
              <w:t>398</w:t>
            </w:r>
          </w:hyperlink>
        </w:p>
        <w:p>
          <w:pPr>
            <w:pStyle w:val="Contents6"/>
            <w:tabs>
              <w:tab w:val="clear" w:pos="7609"/>
              <w:tab w:val="right" w:pos="9026" w:leader="dot"/>
            </w:tabs>
            <w:rPr/>
          </w:pPr>
          <w:hyperlink w:anchor="__RefHeading___Toc488751_2281741623">
            <w:r>
              <w:rPr>
                <w:webHidden/>
                <w:rStyle w:val="IndexLink"/>
                <w:rtl w:val="true"/>
              </w:rPr>
              <w:t xml:space="preserve">الثالث </w:t>
            </w:r>
            <w:r>
              <w:rPr>
                <w:rStyle w:val="IndexLink"/>
                <w:rtl w:val="true"/>
              </w:rPr>
              <w:t xml:space="preserve">: </w:t>
            </w:r>
            <w:r>
              <w:rPr>
                <w:rStyle w:val="IndexLink"/>
                <w:rtl w:val="true"/>
              </w:rPr>
              <w:t>ما استدلّ به الشهید الثانی رحمه‌الله</w:t>
            </w:r>
            <w:r>
              <w:rPr>
                <w:rStyle w:val="IndexLink"/>
                <w:rtl w:val="true"/>
              </w:rPr>
              <w:tab/>
            </w:r>
            <w:r>
              <w:rPr>
                <w:rStyle w:val="IndexLink"/>
              </w:rPr>
              <w:t>398</w:t>
            </w:r>
          </w:hyperlink>
        </w:p>
        <w:p>
          <w:pPr>
            <w:pStyle w:val="Contents6"/>
            <w:tabs>
              <w:tab w:val="clear" w:pos="7609"/>
              <w:tab w:val="right" w:pos="9026" w:leader="dot"/>
            </w:tabs>
            <w:rPr/>
          </w:pPr>
          <w:hyperlink w:anchor="__RefHeading___Toc488753_2281741623">
            <w:r>
              <w:rPr>
                <w:webHidden/>
                <w:rStyle w:val="IndexLink"/>
                <w:rtl w:val="true"/>
              </w:rPr>
              <w:t xml:space="preserve">القول الثانی </w:t>
            </w:r>
            <w:r>
              <w:rPr>
                <w:rStyle w:val="IndexLink"/>
                <w:rtl w:val="true"/>
              </w:rPr>
              <w:t xml:space="preserve">: </w:t>
            </w:r>
            <w:r>
              <w:rPr>
                <w:rStyle w:val="IndexLink"/>
                <w:rtl w:val="true"/>
              </w:rPr>
              <w:t>انّه حرام</w:t>
            </w:r>
            <w:r>
              <w:rPr>
                <w:rStyle w:val="IndexLink"/>
                <w:rtl w:val="true"/>
              </w:rPr>
              <w:tab/>
            </w:r>
            <w:r>
              <w:rPr>
                <w:rStyle w:val="IndexLink"/>
              </w:rPr>
              <w:t>399</w:t>
            </w:r>
          </w:hyperlink>
        </w:p>
        <w:p>
          <w:pPr>
            <w:pStyle w:val="Contents6"/>
            <w:tabs>
              <w:tab w:val="clear" w:pos="7609"/>
              <w:tab w:val="right" w:pos="9026" w:leader="dot"/>
            </w:tabs>
            <w:rPr/>
          </w:pPr>
          <w:hyperlink w:anchor="__RefHeading___Toc488755_2281741623">
            <w:r>
              <w:rPr>
                <w:webHidden/>
                <w:rStyle w:val="IndexLink"/>
                <w:rtl w:val="true"/>
              </w:rPr>
              <w:t>اشارة</w:t>
            </w:r>
            <w:r>
              <w:rPr>
                <w:rStyle w:val="IndexLink"/>
                <w:rtl w:val="true"/>
              </w:rPr>
              <w:tab/>
            </w:r>
            <w:r>
              <w:rPr>
                <w:rStyle w:val="IndexLink"/>
              </w:rPr>
              <w:t>399</w:t>
            </w:r>
          </w:hyperlink>
        </w:p>
        <w:p>
          <w:pPr>
            <w:pStyle w:val="Contents6"/>
            <w:tabs>
              <w:tab w:val="clear" w:pos="7609"/>
              <w:tab w:val="right" w:pos="9026" w:leader="dot"/>
            </w:tabs>
            <w:rPr/>
          </w:pPr>
          <w:hyperlink w:anchor="__RefHeading___Toc488757_2281741623">
            <w:r>
              <w:rPr>
                <w:webHidden/>
                <w:rStyle w:val="IndexLink"/>
                <w:rtl w:val="true"/>
              </w:rPr>
              <w:t>کلام الأصحاب فی ذلک</w:t>
            </w:r>
            <w:r>
              <w:rPr>
                <w:rStyle w:val="IndexLink"/>
                <w:rtl w:val="true"/>
              </w:rPr>
              <w:tab/>
            </w:r>
            <w:r>
              <w:rPr>
                <w:rStyle w:val="IndexLink"/>
              </w:rPr>
              <w:t>399</w:t>
            </w:r>
          </w:hyperlink>
        </w:p>
        <w:p>
          <w:pPr>
            <w:pStyle w:val="Contents6"/>
            <w:tabs>
              <w:tab w:val="clear" w:pos="7609"/>
              <w:tab w:val="right" w:pos="9026" w:leader="dot"/>
            </w:tabs>
            <w:rPr/>
          </w:pPr>
          <w:hyperlink w:anchor="__RefHeading___Toc488759_2281741623">
            <w:r>
              <w:rPr>
                <w:webHidden/>
                <w:rStyle w:val="IndexLink"/>
                <w:rtl w:val="true"/>
              </w:rPr>
              <w:t xml:space="preserve">المستند لهذا القول أمور </w:t>
            </w:r>
            <w:r>
              <w:rPr>
                <w:rStyle w:val="IndexLink"/>
                <w:rtl w:val="true"/>
              </w:rPr>
              <w:t>:</w:t>
              <w:tab/>
            </w:r>
            <w:r>
              <w:rPr>
                <w:rStyle w:val="IndexLink"/>
              </w:rPr>
              <w:t>400</w:t>
            </w:r>
          </w:hyperlink>
        </w:p>
        <w:p>
          <w:pPr>
            <w:pStyle w:val="Contents6"/>
            <w:tabs>
              <w:tab w:val="clear" w:pos="7609"/>
              <w:tab w:val="right" w:pos="9026" w:leader="dot"/>
            </w:tabs>
            <w:rPr/>
          </w:pPr>
          <w:hyperlink w:anchor="__RefHeading___Toc488761_2281741623">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488763_2281741623">
            <w:r>
              <w:rPr>
                <w:webHidden/>
                <w:rStyle w:val="IndexLink"/>
                <w:rtl w:val="true"/>
              </w:rPr>
              <w:t xml:space="preserve">الأوّل </w:t>
            </w:r>
            <w:r>
              <w:rPr>
                <w:rStyle w:val="IndexLink"/>
                <w:rtl w:val="true"/>
              </w:rPr>
              <w:t xml:space="preserve">: </w:t>
            </w:r>
            <w:r>
              <w:rPr>
                <w:rStyle w:val="IndexLink"/>
                <w:rtl w:val="true"/>
              </w:rPr>
              <w:t>الإستصحاب</w:t>
            </w:r>
            <w:r>
              <w:rPr>
                <w:rStyle w:val="IndexLink"/>
                <w:rtl w:val="true"/>
              </w:rPr>
              <w:tab/>
            </w:r>
            <w:r>
              <w:rPr>
                <w:rStyle w:val="IndexLink"/>
              </w:rPr>
              <w:t>400</w:t>
            </w:r>
          </w:hyperlink>
        </w:p>
        <w:p>
          <w:pPr>
            <w:pStyle w:val="Contents6"/>
            <w:tabs>
              <w:tab w:val="clear" w:pos="7609"/>
              <w:tab w:val="right" w:pos="9026" w:leader="dot"/>
            </w:tabs>
            <w:rPr/>
          </w:pPr>
          <w:hyperlink w:anchor="__RefHeading___Toc488765_2281741623">
            <w:r>
              <w:rPr>
                <w:webHidden/>
                <w:rStyle w:val="IndexLink"/>
                <w:rtl w:val="true"/>
              </w:rPr>
              <w:t>اشارة</w:t>
            </w:r>
            <w:r>
              <w:rPr>
                <w:rStyle w:val="IndexLink"/>
                <w:rtl w:val="true"/>
              </w:rPr>
              <w:tab/>
            </w:r>
            <w:r>
              <w:rPr>
                <w:rStyle w:val="IndexLink"/>
              </w:rPr>
              <w:t>400</w:t>
            </w:r>
          </w:hyperlink>
        </w:p>
        <w:p>
          <w:pPr>
            <w:pStyle w:val="Contents6"/>
            <w:tabs>
              <w:tab w:val="clear" w:pos="7609"/>
              <w:tab w:val="right" w:pos="9026" w:leader="dot"/>
            </w:tabs>
            <w:rPr/>
          </w:pPr>
          <w:hyperlink w:anchor="__RefHeading___Toc488767_2281741623">
            <w:r>
              <w:rPr>
                <w:webHidden/>
                <w:rStyle w:val="IndexLink"/>
                <w:rtl w:val="true"/>
              </w:rPr>
              <w:t>الجواب عنه بوجوه</w:t>
            </w:r>
            <w:r>
              <w:rPr>
                <w:rStyle w:val="IndexLink"/>
                <w:rtl w:val="true"/>
              </w:rPr>
              <w:tab/>
            </w:r>
            <w:r>
              <w:rPr>
                <w:rStyle w:val="IndexLink"/>
              </w:rPr>
              <w:t>400</w:t>
            </w:r>
          </w:hyperlink>
        </w:p>
        <w:p>
          <w:pPr>
            <w:pStyle w:val="Contents6"/>
            <w:tabs>
              <w:tab w:val="clear" w:pos="7609"/>
              <w:tab w:val="right" w:pos="9026" w:leader="dot"/>
            </w:tabs>
            <w:rPr/>
          </w:pPr>
          <w:hyperlink w:anchor="__RefHeading___Toc488769_2281741623">
            <w:r>
              <w:rPr>
                <w:webHidden/>
                <w:rStyle w:val="IndexLink"/>
                <w:rtl w:val="true"/>
              </w:rPr>
              <w:t>الحاصل من الکلام فیه</w:t>
            </w:r>
            <w:r>
              <w:rPr>
                <w:rStyle w:val="IndexLink"/>
                <w:rtl w:val="true"/>
              </w:rPr>
              <w:tab/>
            </w:r>
            <w:r>
              <w:rPr>
                <w:rStyle w:val="IndexLink"/>
              </w:rPr>
              <w:t>401</w:t>
            </w:r>
          </w:hyperlink>
        </w:p>
        <w:p>
          <w:pPr>
            <w:pStyle w:val="Contents6"/>
            <w:tabs>
              <w:tab w:val="clear" w:pos="7609"/>
              <w:tab w:val="right" w:pos="9026" w:leader="dot"/>
            </w:tabs>
            <w:rPr/>
          </w:pPr>
          <w:hyperlink w:anchor="__RefHeading___Toc488771_2281741623">
            <w:r>
              <w:rPr>
                <w:webHidden/>
                <w:rStyle w:val="IndexLink"/>
                <w:rtl w:val="true"/>
              </w:rPr>
              <w:t xml:space="preserve">الثانی </w:t>
            </w:r>
            <w:r>
              <w:rPr>
                <w:rStyle w:val="IndexLink"/>
                <w:rtl w:val="true"/>
              </w:rPr>
              <w:t xml:space="preserve">: </w:t>
            </w:r>
            <w:r>
              <w:rPr>
                <w:rStyle w:val="IndexLink"/>
                <w:rtl w:val="true"/>
              </w:rPr>
              <w:t>الأخبار المطلقة الواردة فی العصیر</w:t>
            </w:r>
            <w:r>
              <w:rPr>
                <w:rStyle w:val="IndexLink"/>
                <w:rtl w:val="true"/>
              </w:rPr>
              <w:tab/>
            </w:r>
            <w:r>
              <w:rPr>
                <w:rStyle w:val="IndexLink"/>
              </w:rPr>
              <w:t>402</w:t>
            </w:r>
          </w:hyperlink>
        </w:p>
        <w:p>
          <w:pPr>
            <w:pStyle w:val="Contents6"/>
            <w:tabs>
              <w:tab w:val="clear" w:pos="7609"/>
              <w:tab w:val="right" w:pos="9026" w:leader="dot"/>
            </w:tabs>
            <w:rPr/>
          </w:pPr>
          <w:hyperlink w:anchor="__RefHeading___Toc488773_2281741623">
            <w:r>
              <w:rPr>
                <w:webHidden/>
                <w:rStyle w:val="IndexLink"/>
                <w:rtl w:val="true"/>
              </w:rPr>
              <w:t>اشارة</w:t>
            </w:r>
            <w:r>
              <w:rPr>
                <w:rStyle w:val="IndexLink"/>
                <w:rtl w:val="true"/>
              </w:rPr>
              <w:tab/>
            </w:r>
            <w:r>
              <w:rPr>
                <w:rStyle w:val="IndexLink"/>
              </w:rPr>
              <w:t>402</w:t>
            </w:r>
          </w:hyperlink>
        </w:p>
        <w:p>
          <w:pPr>
            <w:pStyle w:val="Contents6"/>
            <w:tabs>
              <w:tab w:val="clear" w:pos="7609"/>
              <w:tab w:val="right" w:pos="9026" w:leader="dot"/>
            </w:tabs>
            <w:rPr/>
          </w:pPr>
          <w:hyperlink w:anchor="__RefHeading___Toc488775_2281741623">
            <w:r>
              <w:rPr>
                <w:webHidden/>
                <w:rStyle w:val="IndexLink"/>
                <w:rtl w:val="true"/>
              </w:rPr>
              <w:t>الجواب عنه بأمور</w:t>
            </w:r>
            <w:r>
              <w:rPr>
                <w:rStyle w:val="IndexLink"/>
                <w:rtl w:val="true"/>
              </w:rPr>
              <w:tab/>
            </w:r>
            <w:r>
              <w:rPr>
                <w:rStyle w:val="IndexLink"/>
              </w:rPr>
              <w:t>402</w:t>
            </w:r>
          </w:hyperlink>
        </w:p>
        <w:p>
          <w:pPr>
            <w:pStyle w:val="Contents6"/>
            <w:tabs>
              <w:tab w:val="clear" w:pos="7609"/>
              <w:tab w:val="right" w:pos="9026" w:leader="dot"/>
            </w:tabs>
            <w:rPr/>
          </w:pPr>
          <w:hyperlink w:anchor="__RefHeading___Toc488777_2281741623">
            <w:r>
              <w:rPr>
                <w:webHidden/>
                <w:rStyle w:val="IndexLink"/>
                <w:rtl w:val="true"/>
              </w:rPr>
              <w:t xml:space="preserve">الثالث </w:t>
            </w:r>
            <w:r>
              <w:rPr>
                <w:rStyle w:val="IndexLink"/>
                <w:rtl w:val="true"/>
              </w:rPr>
              <w:t xml:space="preserve">: </w:t>
            </w:r>
            <w:r>
              <w:rPr>
                <w:rStyle w:val="IndexLink"/>
                <w:rtl w:val="true"/>
              </w:rPr>
              <w:t>جملة من الأخبار الواردة فی صفة الشراب الحلال</w:t>
            </w:r>
            <w:r>
              <w:rPr>
                <w:rStyle w:val="IndexLink"/>
                <w:rtl w:val="true"/>
              </w:rPr>
              <w:tab/>
            </w:r>
            <w:r>
              <w:rPr>
                <w:rStyle w:val="IndexLink"/>
              </w:rPr>
              <w:t>403</w:t>
            </w:r>
          </w:hyperlink>
        </w:p>
        <w:p>
          <w:pPr>
            <w:pStyle w:val="Contents6"/>
            <w:tabs>
              <w:tab w:val="clear" w:pos="7609"/>
              <w:tab w:val="right" w:pos="9026" w:leader="dot"/>
            </w:tabs>
            <w:rPr/>
          </w:pPr>
          <w:hyperlink w:anchor="__RefHeading___Toc488779_2281741623">
            <w:r>
              <w:rPr>
                <w:webHidden/>
                <w:rStyle w:val="IndexLink"/>
                <w:rtl w:val="true"/>
              </w:rPr>
              <w:t>اشارة</w:t>
            </w:r>
            <w:r>
              <w:rPr>
                <w:rStyle w:val="IndexLink"/>
                <w:rtl w:val="true"/>
              </w:rPr>
              <w:tab/>
            </w:r>
            <w:r>
              <w:rPr>
                <w:rStyle w:val="IndexLink"/>
              </w:rPr>
              <w:t>403</w:t>
            </w:r>
          </w:hyperlink>
        </w:p>
        <w:p>
          <w:pPr>
            <w:pStyle w:val="Contents6"/>
            <w:tabs>
              <w:tab w:val="clear" w:pos="7609"/>
              <w:tab w:val="right" w:pos="9026" w:leader="dot"/>
            </w:tabs>
            <w:rPr/>
          </w:pPr>
          <w:hyperlink w:anchor="__RefHeading___Toc488781_2281741623">
            <w:r>
              <w:rPr>
                <w:webHidden/>
                <w:rStyle w:val="IndexLink"/>
                <w:rtl w:val="true"/>
              </w:rPr>
              <w:t>الجواب عنه</w:t>
            </w:r>
            <w:r>
              <w:rPr>
                <w:rStyle w:val="IndexLink"/>
                <w:rtl w:val="true"/>
              </w:rPr>
              <w:tab/>
            </w:r>
            <w:r>
              <w:rPr>
                <w:rStyle w:val="IndexLink"/>
              </w:rPr>
              <w:t>404</w:t>
            </w:r>
          </w:hyperlink>
        </w:p>
        <w:p>
          <w:pPr>
            <w:pStyle w:val="Contents6"/>
            <w:tabs>
              <w:tab w:val="clear" w:pos="7609"/>
              <w:tab w:val="right" w:pos="9026" w:leader="dot"/>
            </w:tabs>
            <w:rPr/>
          </w:pPr>
          <w:hyperlink w:anchor="__RefHeading___Toc488783_2281741623">
            <w:r>
              <w:rPr>
                <w:webHidden/>
                <w:rStyle w:val="IndexLink"/>
                <w:rtl w:val="true"/>
              </w:rPr>
              <w:t xml:space="preserve">الرابع </w:t>
            </w:r>
            <w:r>
              <w:rPr>
                <w:rStyle w:val="IndexLink"/>
                <w:rtl w:val="true"/>
              </w:rPr>
              <w:t xml:space="preserve">: </w:t>
            </w:r>
            <w:r>
              <w:rPr>
                <w:rStyle w:val="IndexLink"/>
                <w:rtl w:val="true"/>
              </w:rPr>
              <w:t>ما فی کتاب زید النَرْسی</w:t>
            </w:r>
            <w:r>
              <w:rPr>
                <w:rStyle w:val="IndexLink"/>
                <w:rtl w:val="true"/>
              </w:rPr>
              <w:tab/>
            </w:r>
            <w:r>
              <w:rPr>
                <w:rStyle w:val="IndexLink"/>
              </w:rPr>
              <w:t>410</w:t>
            </w:r>
          </w:hyperlink>
        </w:p>
        <w:p>
          <w:pPr>
            <w:pStyle w:val="Contents6"/>
            <w:tabs>
              <w:tab w:val="clear" w:pos="7609"/>
              <w:tab w:val="right" w:pos="9026" w:leader="dot"/>
            </w:tabs>
            <w:rPr/>
          </w:pPr>
          <w:hyperlink w:anchor="__RefHeading___Toc488785_2281741623">
            <w:r>
              <w:rPr>
                <w:webHidden/>
                <w:rStyle w:val="IndexLink"/>
                <w:rtl w:val="true"/>
              </w:rPr>
              <w:t>اشارة</w:t>
            </w:r>
            <w:r>
              <w:rPr>
                <w:rStyle w:val="IndexLink"/>
                <w:rtl w:val="true"/>
              </w:rPr>
              <w:tab/>
            </w:r>
            <w:r>
              <w:rPr>
                <w:rStyle w:val="IndexLink"/>
              </w:rPr>
              <w:t>410</w:t>
            </w:r>
          </w:hyperlink>
        </w:p>
        <w:p>
          <w:pPr>
            <w:pStyle w:val="Contents6"/>
            <w:tabs>
              <w:tab w:val="clear" w:pos="7609"/>
              <w:tab w:val="right" w:pos="9026" w:leader="dot"/>
            </w:tabs>
            <w:rPr/>
          </w:pPr>
          <w:hyperlink w:anchor="__RefHeading___Toc488787_2281741623">
            <w:r>
              <w:rPr>
                <w:webHidden/>
                <w:rStyle w:val="IndexLink"/>
                <w:rtl w:val="true"/>
              </w:rPr>
              <w:t>الجواب عنه سنداً و دلالة</w:t>
            </w:r>
            <w:r>
              <w:rPr>
                <w:rStyle w:val="IndexLink"/>
                <w:rtl w:val="true"/>
              </w:rPr>
              <w:tab/>
            </w:r>
            <w:r>
              <w:rPr>
                <w:rStyle w:val="IndexLink"/>
              </w:rPr>
              <w:t>411</w:t>
            </w:r>
          </w:hyperlink>
        </w:p>
        <w:p>
          <w:pPr>
            <w:pStyle w:val="Contents6"/>
            <w:tabs>
              <w:tab w:val="clear" w:pos="7609"/>
              <w:tab w:val="right" w:pos="9026" w:leader="dot"/>
            </w:tabs>
            <w:rPr/>
          </w:pPr>
          <w:hyperlink w:anchor="__RefHeading___Toc488789_2281741623">
            <w:r>
              <w:rPr>
                <w:webHidden/>
                <w:rStyle w:val="IndexLink"/>
                <w:rtl w:val="true"/>
              </w:rPr>
              <w:t xml:space="preserve">الخامس </w:t>
            </w:r>
            <w:r>
              <w:rPr>
                <w:rStyle w:val="IndexLink"/>
                <w:rtl w:val="true"/>
              </w:rPr>
              <w:t xml:space="preserve">: </w:t>
            </w:r>
            <w:r>
              <w:rPr>
                <w:rStyle w:val="IndexLink"/>
                <w:rtl w:val="true"/>
              </w:rPr>
              <w:t>ما رواه فی الکافی فی باب الطلاء</w:t>
            </w:r>
            <w:r>
              <w:rPr>
                <w:rStyle w:val="IndexLink"/>
                <w:rtl w:val="true"/>
              </w:rPr>
              <w:tab/>
            </w:r>
            <w:r>
              <w:rPr>
                <w:rStyle w:val="IndexLink"/>
              </w:rPr>
              <w:t>413</w:t>
            </w:r>
          </w:hyperlink>
        </w:p>
        <w:p>
          <w:pPr>
            <w:pStyle w:val="Contents6"/>
            <w:tabs>
              <w:tab w:val="clear" w:pos="7609"/>
              <w:tab w:val="right" w:pos="9026" w:leader="dot"/>
            </w:tabs>
            <w:rPr/>
          </w:pPr>
          <w:hyperlink w:anchor="__RefHeading___Toc488791_2281741623">
            <w:r>
              <w:rPr>
                <w:webHidden/>
                <w:rStyle w:val="IndexLink"/>
                <w:rtl w:val="true"/>
              </w:rPr>
              <w:t>اشارة</w:t>
            </w:r>
            <w:r>
              <w:rPr>
                <w:rStyle w:val="IndexLink"/>
                <w:rtl w:val="true"/>
              </w:rPr>
              <w:tab/>
            </w:r>
            <w:r>
              <w:rPr>
                <w:rStyle w:val="IndexLink"/>
              </w:rPr>
              <w:t>413</w:t>
            </w:r>
          </w:hyperlink>
        </w:p>
        <w:p>
          <w:pPr>
            <w:pStyle w:val="Contents6"/>
            <w:tabs>
              <w:tab w:val="clear" w:pos="7609"/>
              <w:tab w:val="right" w:pos="9026" w:leader="dot"/>
            </w:tabs>
            <w:rPr/>
          </w:pPr>
          <w:hyperlink w:anchor="__RefHeading___Toc488793_2281741623">
            <w:r>
              <w:rPr>
                <w:webHidden/>
                <w:rStyle w:val="IndexLink"/>
                <w:rtl w:val="true"/>
              </w:rPr>
              <w:t>الجواب عنه</w:t>
            </w:r>
            <w:r>
              <w:rPr>
                <w:rStyle w:val="IndexLink"/>
                <w:rtl w:val="true"/>
              </w:rPr>
              <w:tab/>
            </w:r>
            <w:r>
              <w:rPr>
                <w:rStyle w:val="IndexLink"/>
              </w:rPr>
              <w:t>413</w:t>
            </w:r>
          </w:hyperlink>
        </w:p>
        <w:p>
          <w:pPr>
            <w:pStyle w:val="Contents6"/>
            <w:tabs>
              <w:tab w:val="clear" w:pos="7609"/>
              <w:tab w:val="right" w:pos="9026" w:leader="dot"/>
            </w:tabs>
            <w:rPr/>
          </w:pPr>
          <w:hyperlink w:anchor="__RefHeading___Toc488795_2281741623">
            <w:r>
              <w:rPr>
                <w:webHidden/>
                <w:rStyle w:val="IndexLink"/>
                <w:rtl w:val="true"/>
              </w:rPr>
              <w:t xml:space="preserve">السادس </w:t>
            </w:r>
            <w:r>
              <w:rPr>
                <w:rStyle w:val="IndexLink"/>
                <w:rtl w:val="true"/>
              </w:rPr>
              <w:t xml:space="preserve">: </w:t>
            </w:r>
            <w:r>
              <w:rPr>
                <w:rStyle w:val="IndexLink"/>
                <w:rtl w:val="true"/>
              </w:rPr>
              <w:t>الأخبار الواردة فی العصیر</w:t>
            </w:r>
            <w:r>
              <w:rPr>
                <w:rStyle w:val="IndexLink"/>
                <w:rtl w:val="true"/>
              </w:rPr>
              <w:tab/>
            </w:r>
            <w:r>
              <w:rPr>
                <w:rStyle w:val="IndexLink"/>
              </w:rPr>
              <w:t>414</w:t>
            </w:r>
          </w:hyperlink>
        </w:p>
        <w:p>
          <w:pPr>
            <w:pStyle w:val="Contents6"/>
            <w:tabs>
              <w:tab w:val="clear" w:pos="7609"/>
              <w:tab w:val="right" w:pos="9026" w:leader="dot"/>
            </w:tabs>
            <w:rPr/>
          </w:pPr>
          <w:hyperlink w:anchor="__RefHeading___Toc488797_2281741623">
            <w:r>
              <w:rPr>
                <w:webHidden/>
                <w:rStyle w:val="IndexLink"/>
                <w:rtl w:val="true"/>
              </w:rPr>
              <w:t>اشارة</w:t>
            </w:r>
            <w:r>
              <w:rPr>
                <w:rStyle w:val="IndexLink"/>
                <w:rtl w:val="true"/>
              </w:rPr>
              <w:tab/>
            </w:r>
            <w:r>
              <w:rPr>
                <w:rStyle w:val="IndexLink"/>
              </w:rPr>
              <w:t>414</w:t>
            </w:r>
          </w:hyperlink>
        </w:p>
        <w:p>
          <w:pPr>
            <w:pStyle w:val="Contents6"/>
            <w:tabs>
              <w:tab w:val="clear" w:pos="7609"/>
              <w:tab w:val="right" w:pos="9026" w:leader="dot"/>
            </w:tabs>
            <w:rPr/>
          </w:pPr>
          <w:hyperlink w:anchor="__RefHeading___Toc488799_2281741623">
            <w:r>
              <w:rPr>
                <w:webHidden/>
                <w:rStyle w:val="IndexLink"/>
                <w:rtl w:val="true"/>
              </w:rPr>
              <w:t>الجواب عنه</w:t>
            </w:r>
            <w:r>
              <w:rPr>
                <w:rStyle w:val="IndexLink"/>
                <w:rtl w:val="true"/>
              </w:rPr>
              <w:tab/>
            </w:r>
            <w:r>
              <w:rPr>
                <w:rStyle w:val="IndexLink"/>
              </w:rPr>
              <w:t>414</w:t>
            </w:r>
          </w:hyperlink>
        </w:p>
        <w:p>
          <w:pPr>
            <w:pStyle w:val="Contents6"/>
            <w:tabs>
              <w:tab w:val="clear" w:pos="7609"/>
              <w:tab w:val="right" w:pos="9026" w:leader="dot"/>
            </w:tabs>
            <w:rPr/>
          </w:pPr>
          <w:hyperlink w:anchor="__RefHeading___Toc488801_2281741623">
            <w:r>
              <w:rPr>
                <w:webHidden/>
                <w:rStyle w:val="IndexLink"/>
                <w:rtl w:val="true"/>
              </w:rPr>
              <w:t xml:space="preserve">السابع </w:t>
            </w:r>
            <w:r>
              <w:rPr>
                <w:rStyle w:val="IndexLink"/>
                <w:rtl w:val="true"/>
              </w:rPr>
              <w:t xml:space="preserve">: </w:t>
            </w:r>
            <w:r>
              <w:rPr>
                <w:rStyle w:val="IndexLink"/>
                <w:rtl w:val="true"/>
              </w:rPr>
              <w:t>الأخبار الواردة فی أصل تحریم الخمر</w:t>
            </w:r>
            <w:r>
              <w:rPr>
                <w:rStyle w:val="IndexLink"/>
                <w:rtl w:val="true"/>
              </w:rPr>
              <w:tab/>
            </w:r>
            <w:r>
              <w:rPr>
                <w:rStyle w:val="IndexLink"/>
              </w:rPr>
              <w:t>418</w:t>
            </w:r>
          </w:hyperlink>
        </w:p>
        <w:p>
          <w:pPr>
            <w:pStyle w:val="Contents6"/>
            <w:tabs>
              <w:tab w:val="clear" w:pos="7609"/>
              <w:tab w:val="right" w:pos="9026" w:leader="dot"/>
            </w:tabs>
            <w:rPr/>
          </w:pPr>
          <w:hyperlink w:anchor="__RefHeading___Toc488803_2281741623">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488805_2281741623">
            <w:r>
              <w:rPr>
                <w:webHidden/>
                <w:rStyle w:val="IndexLink"/>
                <w:rtl w:val="true"/>
              </w:rPr>
              <w:t>الأولی فی الجواب عنها کلاّ</w:t>
            </w:r>
            <w:r>
              <w:rPr>
                <w:rStyle w:val="IndexLink"/>
                <w:rtl w:val="true"/>
              </w:rPr>
              <w:tab/>
            </w:r>
            <w:r>
              <w:rPr>
                <w:rStyle w:val="IndexLink"/>
              </w:rPr>
              <w:t>422</w:t>
            </w:r>
          </w:hyperlink>
        </w:p>
        <w:p>
          <w:pPr>
            <w:pStyle w:val="Contents6"/>
            <w:tabs>
              <w:tab w:val="clear" w:pos="7609"/>
              <w:tab w:val="right" w:pos="9026" w:leader="dot"/>
            </w:tabs>
            <w:rPr/>
          </w:pPr>
          <w:hyperlink w:anchor="__RefHeading___Toc488807_2281741623">
            <w:r>
              <w:rPr>
                <w:webHidden/>
                <w:rStyle w:val="IndexLink"/>
                <w:rtl w:val="true"/>
              </w:rPr>
              <w:t>حاصل کلمات السیّد بحرالعلوم رحمه‌الله فی المسألة</w:t>
            </w:r>
            <w:r>
              <w:rPr>
                <w:rStyle w:val="IndexLink"/>
                <w:rtl w:val="true"/>
              </w:rPr>
              <w:tab/>
            </w:r>
            <w:r>
              <w:rPr>
                <w:rStyle w:val="IndexLink"/>
              </w:rPr>
              <w:t>423</w:t>
            </w:r>
          </w:hyperlink>
        </w:p>
        <w:p>
          <w:pPr>
            <w:pStyle w:val="Contents6"/>
            <w:tabs>
              <w:tab w:val="clear" w:pos="7609"/>
              <w:tab w:val="right" w:pos="9026" w:leader="dot"/>
            </w:tabs>
            <w:rPr/>
          </w:pPr>
          <w:hyperlink w:anchor="__RefHeading___Toc488809_2281741623">
            <w:r>
              <w:rPr>
                <w:webHidden/>
                <w:rStyle w:val="IndexLink"/>
                <w:rtl w:val="true"/>
              </w:rPr>
              <w:t>المناقشات فی کلامه رحمه‌الله</w:t>
            </w:r>
            <w:r>
              <w:rPr>
                <w:rStyle w:val="IndexLink"/>
                <w:rtl w:val="true"/>
              </w:rPr>
              <w:tab/>
            </w:r>
            <w:r>
              <w:rPr>
                <w:rStyle w:val="IndexLink"/>
              </w:rPr>
              <w:t>428</w:t>
            </w:r>
          </w:hyperlink>
        </w:p>
        <w:p>
          <w:pPr>
            <w:pStyle w:val="Contents6"/>
            <w:tabs>
              <w:tab w:val="clear" w:pos="7609"/>
              <w:tab w:val="right" w:pos="9026" w:leader="dot"/>
            </w:tabs>
            <w:rPr/>
          </w:pPr>
          <w:hyperlink w:anchor="__RefHeading___Toc488811_2281741623">
            <w:r>
              <w:rPr>
                <w:webHidden/>
                <w:rStyle w:val="IndexLink"/>
                <w:rtl w:val="true"/>
              </w:rPr>
              <w:t>رأی المؤلّف و أدلّته</w:t>
            </w:r>
            <w:r>
              <w:rPr>
                <w:rStyle w:val="IndexLink"/>
                <w:rtl w:val="true"/>
              </w:rPr>
              <w:tab/>
            </w:r>
            <w:r>
              <w:rPr>
                <w:rStyle w:val="IndexLink"/>
              </w:rPr>
              <w:t>436</w:t>
            </w:r>
          </w:hyperlink>
        </w:p>
        <w:p>
          <w:pPr>
            <w:pStyle w:val="Contents6"/>
            <w:tabs>
              <w:tab w:val="clear" w:pos="7609"/>
              <w:tab w:val="right" w:pos="9026" w:leader="dot"/>
            </w:tabs>
            <w:rPr/>
          </w:pPr>
          <w:hyperlink w:anchor="__RefHeading___Toc488813_2281741623">
            <w:r>
              <w:rPr>
                <w:webHidden/>
                <w:rStyle w:val="IndexLink"/>
                <w:rtl w:val="true"/>
              </w:rPr>
              <w:t xml:space="preserve">مقامان فی إعتبار أصل زید النَرسی </w:t>
            </w:r>
            <w:r>
              <w:rPr>
                <w:rStyle w:val="IndexLink"/>
                <w:rtl w:val="true"/>
              </w:rPr>
              <w:t>:</w:t>
              <w:tab/>
            </w:r>
            <w:r>
              <w:rPr>
                <w:rStyle w:val="IndexLink"/>
              </w:rPr>
              <w:t>440</w:t>
            </w:r>
          </w:hyperlink>
        </w:p>
        <w:p>
          <w:pPr>
            <w:pStyle w:val="Contents6"/>
            <w:tabs>
              <w:tab w:val="clear" w:pos="7609"/>
              <w:tab w:val="right" w:pos="9026" w:leader="dot"/>
            </w:tabs>
            <w:rPr/>
          </w:pPr>
          <w:hyperlink w:anchor="__RefHeading___Toc488815_2281741623">
            <w:r>
              <w:rPr>
                <w:webHidden/>
                <w:rStyle w:val="IndexLink"/>
                <w:rtl w:val="true"/>
              </w:rPr>
              <w:t>اشارة</w:t>
            </w:r>
            <w:r>
              <w:rPr>
                <w:rStyle w:val="IndexLink"/>
                <w:rtl w:val="true"/>
              </w:rPr>
              <w:tab/>
            </w:r>
            <w:r>
              <w:rPr>
                <w:rStyle w:val="IndexLink"/>
              </w:rPr>
              <w:t>440</w:t>
            </w:r>
          </w:hyperlink>
        </w:p>
        <w:p>
          <w:pPr>
            <w:pStyle w:val="Contents6"/>
            <w:tabs>
              <w:tab w:val="clear" w:pos="7609"/>
              <w:tab w:val="right" w:pos="9026" w:leader="dot"/>
            </w:tabs>
            <w:rPr/>
          </w:pPr>
          <w:hyperlink w:anchor="__RefHeading___Toc488817_2281741623">
            <w:r>
              <w:rPr>
                <w:webHidden/>
                <w:rStyle w:val="IndexLink"/>
                <w:rtl w:val="true"/>
              </w:rPr>
              <w:t xml:space="preserve">المقام الأوّل </w:t>
            </w:r>
            <w:r>
              <w:rPr>
                <w:rStyle w:val="IndexLink"/>
                <w:rtl w:val="true"/>
              </w:rPr>
              <w:t xml:space="preserve">: </w:t>
            </w:r>
            <w:r>
              <w:rPr>
                <w:rStyle w:val="IndexLink"/>
                <w:rtl w:val="true"/>
              </w:rPr>
              <w:t>فی إعتبار الأصل المعروف منه و عدم إعتباره</w:t>
            </w:r>
            <w:r>
              <w:rPr>
                <w:rStyle w:val="IndexLink"/>
                <w:rtl w:val="true"/>
              </w:rPr>
              <w:tab/>
            </w:r>
            <w:r>
              <w:rPr>
                <w:rStyle w:val="IndexLink"/>
              </w:rPr>
              <w:t>441</w:t>
            </w:r>
          </w:hyperlink>
        </w:p>
        <w:p>
          <w:pPr>
            <w:pStyle w:val="Contents6"/>
            <w:tabs>
              <w:tab w:val="clear" w:pos="7609"/>
              <w:tab w:val="right" w:pos="9026" w:leader="dot"/>
            </w:tabs>
            <w:rPr/>
          </w:pPr>
          <w:hyperlink w:anchor="__RefHeading___Toc488819_2281741623">
            <w:r>
              <w:rPr>
                <w:webHidden/>
                <w:rStyle w:val="IndexLink"/>
                <w:rtl w:val="true"/>
              </w:rPr>
              <w:t xml:space="preserve">المقام الثانی </w:t>
            </w:r>
            <w:r>
              <w:rPr>
                <w:rStyle w:val="IndexLink"/>
                <w:rtl w:val="true"/>
              </w:rPr>
              <w:t xml:space="preserve">: </w:t>
            </w:r>
            <w:r>
              <w:rPr>
                <w:rStyle w:val="IndexLink"/>
                <w:rtl w:val="true"/>
              </w:rPr>
              <w:t>فی إعتبار زید النرسی</w:t>
            </w:r>
            <w:r>
              <w:rPr>
                <w:rStyle w:val="IndexLink"/>
                <w:rtl w:val="true"/>
              </w:rPr>
              <w:tab/>
            </w:r>
            <w:r>
              <w:rPr>
                <w:rStyle w:val="IndexLink"/>
              </w:rPr>
              <w:t>445</w:t>
            </w:r>
          </w:hyperlink>
        </w:p>
        <w:p>
          <w:pPr>
            <w:pStyle w:val="Contents6"/>
            <w:tabs>
              <w:tab w:val="clear" w:pos="7609"/>
              <w:tab w:val="right" w:pos="9026" w:leader="dot"/>
            </w:tabs>
            <w:rPr/>
          </w:pPr>
          <w:hyperlink w:anchor="__RefHeading___Toc488821_2281741623">
            <w:r>
              <w:rPr>
                <w:webHidden/>
                <w:rStyle w:val="IndexLink"/>
                <w:rtl w:val="true"/>
              </w:rPr>
              <w:t>تذنیبان</w:t>
            </w:r>
            <w:r>
              <w:rPr>
                <w:rStyle w:val="IndexLink"/>
                <w:rtl w:val="true"/>
              </w:rPr>
              <w:tab/>
            </w:r>
            <w:r>
              <w:rPr>
                <w:rStyle w:val="IndexLink"/>
              </w:rPr>
              <w:t>451</w:t>
            </w:r>
          </w:hyperlink>
        </w:p>
        <w:p>
          <w:pPr>
            <w:pStyle w:val="Contents6"/>
            <w:tabs>
              <w:tab w:val="clear" w:pos="7609"/>
              <w:tab w:val="right" w:pos="9026" w:leader="dot"/>
            </w:tabs>
            <w:rPr/>
          </w:pPr>
          <w:hyperlink w:anchor="__RefHeading___Toc488823_2281741623">
            <w:r>
              <w:rPr>
                <w:webHidden/>
                <w:rStyle w:val="IndexLink"/>
                <w:rtl w:val="true"/>
              </w:rPr>
              <w:t>رأی المؤلّف</w:t>
            </w:r>
            <w:r>
              <w:rPr>
                <w:rStyle w:val="IndexLink"/>
                <w:rtl w:val="true"/>
              </w:rPr>
              <w:tab/>
            </w:r>
            <w:r>
              <w:rPr>
                <w:rStyle w:val="IndexLink"/>
              </w:rPr>
              <w:t>452</w:t>
            </w:r>
          </w:hyperlink>
        </w:p>
        <w:p>
          <w:pPr>
            <w:pStyle w:val="Contents5"/>
            <w:tabs>
              <w:tab w:val="clear" w:pos="7892"/>
              <w:tab w:val="right" w:pos="9026" w:leader="dot"/>
            </w:tabs>
            <w:rPr/>
          </w:pPr>
          <w:hyperlink w:anchor="__RefHeading___Toc488825_2281741623">
            <w:r>
              <w:rPr>
                <w:webHidden/>
                <w:rStyle w:val="IndexLink"/>
                <w:rtl w:val="true"/>
              </w:rPr>
              <w:t>المقام الثانی</w:t>
            </w:r>
            <w:r>
              <w:rPr>
                <w:rStyle w:val="IndexLink"/>
                <w:rtl w:val="true"/>
              </w:rPr>
              <w:t xml:space="preserve">: </w:t>
            </w:r>
            <w:r>
              <w:rPr>
                <w:rStyle w:val="IndexLink"/>
                <w:rtl w:val="true"/>
              </w:rPr>
              <w:t>فی طهارة عصیر الزبیب بعد الغلیان</w:t>
            </w:r>
            <w:r>
              <w:rPr>
                <w:rStyle w:val="IndexLink"/>
                <w:rtl w:val="true"/>
              </w:rPr>
              <w:tab/>
            </w:r>
            <w:r>
              <w:rPr>
                <w:rStyle w:val="IndexLink"/>
              </w:rPr>
              <w:t>452</w:t>
            </w:r>
          </w:hyperlink>
        </w:p>
        <w:p>
          <w:pPr>
            <w:pStyle w:val="Contents6"/>
            <w:tabs>
              <w:tab w:val="clear" w:pos="7609"/>
              <w:tab w:val="right" w:pos="9026" w:leader="dot"/>
            </w:tabs>
            <w:rPr/>
          </w:pPr>
          <w:hyperlink w:anchor="__RefHeading___Toc488827_2281741623">
            <w:r>
              <w:rPr>
                <w:webHidden/>
                <w:rStyle w:val="IndexLink"/>
                <w:rtl w:val="true"/>
              </w:rPr>
              <w:t>اشارة</w:t>
            </w:r>
            <w:r>
              <w:rPr>
                <w:rStyle w:val="IndexLink"/>
                <w:rtl w:val="true"/>
              </w:rPr>
              <w:tab/>
            </w:r>
            <w:r>
              <w:rPr>
                <w:rStyle w:val="IndexLink"/>
              </w:rPr>
              <w:t>452</w:t>
            </w:r>
          </w:hyperlink>
        </w:p>
        <w:p>
          <w:pPr>
            <w:pStyle w:val="Contents6"/>
            <w:tabs>
              <w:tab w:val="clear" w:pos="7609"/>
              <w:tab w:val="right" w:pos="9026" w:leader="dot"/>
            </w:tabs>
            <w:rPr/>
          </w:pPr>
          <w:hyperlink w:anchor="__RefHeading___Toc488829_2281741623">
            <w:r>
              <w:rPr>
                <w:webHidden/>
                <w:rStyle w:val="IndexLink"/>
                <w:rtl w:val="true"/>
              </w:rPr>
              <w:t>تحقیق المؤلّف فی المقام</w:t>
            </w:r>
            <w:r>
              <w:rPr>
                <w:rStyle w:val="IndexLink"/>
                <w:rtl w:val="true"/>
              </w:rPr>
              <w:tab/>
            </w:r>
            <w:r>
              <w:rPr>
                <w:rStyle w:val="IndexLink"/>
              </w:rPr>
              <w:t>453</w:t>
            </w:r>
          </w:hyperlink>
        </w:p>
        <w:p>
          <w:pPr>
            <w:pStyle w:val="Contents5"/>
            <w:tabs>
              <w:tab w:val="clear" w:pos="7892"/>
              <w:tab w:val="right" w:pos="9026" w:leader="dot"/>
            </w:tabs>
            <w:rPr/>
          </w:pPr>
          <w:hyperlink w:anchor="__RefHeading___Toc488831_2281741623">
            <w:r>
              <w:rPr>
                <w:webHidden/>
                <w:rStyle w:val="IndexLink"/>
                <w:rtl w:val="true"/>
              </w:rPr>
              <w:t>المقام الثالث</w:t>
            </w:r>
            <w:r>
              <w:rPr>
                <w:rStyle w:val="IndexLink"/>
                <w:rtl w:val="true"/>
              </w:rPr>
              <w:t xml:space="preserve">: </w:t>
            </w:r>
            <w:r>
              <w:rPr>
                <w:rStyle w:val="IndexLink"/>
                <w:rtl w:val="true"/>
              </w:rPr>
              <w:t>فی أنّ المطبوخ من الزبیب مع غیره</w:t>
            </w:r>
            <w:r>
              <w:rPr>
                <w:rStyle w:val="IndexLink"/>
                <w:rtl w:val="true"/>
              </w:rPr>
              <w:tab/>
            </w:r>
            <w:r>
              <w:rPr>
                <w:rStyle w:val="IndexLink"/>
              </w:rPr>
              <w:t>454</w:t>
            </w:r>
          </w:hyperlink>
        </w:p>
        <w:p>
          <w:pPr>
            <w:pStyle w:val="Contents6"/>
            <w:tabs>
              <w:tab w:val="clear" w:pos="7609"/>
              <w:tab w:val="right" w:pos="9026" w:leader="dot"/>
            </w:tabs>
            <w:rPr/>
          </w:pPr>
          <w:hyperlink w:anchor="__RefHeading___Toc488833_2281741623">
            <w:r>
              <w:rPr>
                <w:webHidden/>
                <w:rStyle w:val="IndexLink"/>
                <w:rtl w:val="true"/>
              </w:rPr>
              <w:t>اشارة</w:t>
            </w:r>
            <w:r>
              <w:rPr>
                <w:rStyle w:val="IndexLink"/>
                <w:rtl w:val="true"/>
              </w:rPr>
              <w:tab/>
            </w:r>
            <w:r>
              <w:rPr>
                <w:rStyle w:val="IndexLink"/>
              </w:rPr>
              <w:t>454</w:t>
            </w:r>
          </w:hyperlink>
        </w:p>
        <w:p>
          <w:pPr>
            <w:pStyle w:val="Contents6"/>
            <w:tabs>
              <w:tab w:val="clear" w:pos="7609"/>
              <w:tab w:val="right" w:pos="9026" w:leader="dot"/>
            </w:tabs>
            <w:rPr/>
          </w:pPr>
          <w:hyperlink w:anchor="__RefHeading___Toc488835_2281741623">
            <w:r>
              <w:rPr>
                <w:webHidden/>
                <w:rStyle w:val="IndexLink"/>
                <w:rtl w:val="true"/>
              </w:rPr>
              <w:t>رأی المؤلّف فی المقام</w:t>
            </w:r>
            <w:r>
              <w:rPr>
                <w:rStyle w:val="IndexLink"/>
                <w:rtl w:val="true"/>
              </w:rPr>
              <w:tab/>
            </w:r>
            <w:r>
              <w:rPr>
                <w:rStyle w:val="IndexLink"/>
              </w:rPr>
              <w:t>458</w:t>
            </w:r>
          </w:hyperlink>
        </w:p>
        <w:p>
          <w:pPr>
            <w:pStyle w:val="Contents4"/>
            <w:tabs>
              <w:tab w:val="clear" w:pos="8176"/>
              <w:tab w:val="right" w:pos="9026" w:leader="dot"/>
            </w:tabs>
            <w:rPr/>
          </w:pPr>
          <w:hyperlink w:anchor="__RefHeading___Toc488837_2281741623">
            <w:r>
              <w:rPr>
                <w:webHidden/>
                <w:rStyle w:val="IndexLink"/>
                <w:rtl w:val="true"/>
              </w:rPr>
              <w:t>المقصد الثالث</w:t>
            </w:r>
            <w:r>
              <w:rPr>
                <w:rStyle w:val="IndexLink"/>
                <w:rtl w:val="true"/>
              </w:rPr>
              <w:t xml:space="preserve">: </w:t>
            </w:r>
            <w:r>
              <w:rPr>
                <w:rStyle w:val="IndexLink"/>
                <w:rtl w:val="true"/>
              </w:rPr>
              <w:t>فی العصیر التمری</w:t>
            </w:r>
            <w:r>
              <w:rPr>
                <w:rStyle w:val="IndexLink"/>
                <w:rtl w:val="true"/>
              </w:rPr>
              <w:tab/>
            </w:r>
            <w:r>
              <w:rPr>
                <w:rStyle w:val="IndexLink"/>
              </w:rPr>
              <w:t>461</w:t>
            </w:r>
          </w:hyperlink>
        </w:p>
        <w:p>
          <w:pPr>
            <w:pStyle w:val="Contents5"/>
            <w:tabs>
              <w:tab w:val="clear" w:pos="7892"/>
              <w:tab w:val="right" w:pos="9026" w:leader="dot"/>
            </w:tabs>
            <w:rPr/>
          </w:pPr>
          <w:hyperlink w:anchor="__RefHeading___Toc488839_2281741623">
            <w:r>
              <w:rPr>
                <w:webHidden/>
                <w:rStyle w:val="IndexLink"/>
                <w:rtl w:val="true"/>
              </w:rPr>
              <w:t>اشارة</w:t>
            </w:r>
            <w:r>
              <w:rPr>
                <w:rStyle w:val="IndexLink"/>
                <w:rtl w:val="true"/>
              </w:rPr>
              <w:tab/>
            </w:r>
            <w:r>
              <w:rPr>
                <w:rStyle w:val="IndexLink"/>
              </w:rPr>
              <w:t>461</w:t>
            </w:r>
          </w:hyperlink>
        </w:p>
        <w:p>
          <w:pPr>
            <w:pStyle w:val="Contents5"/>
            <w:tabs>
              <w:tab w:val="clear" w:pos="7892"/>
              <w:tab w:val="right" w:pos="9026" w:leader="dot"/>
            </w:tabs>
            <w:rPr/>
          </w:pPr>
          <w:hyperlink w:anchor="__RefHeading___Toc488841_2281741623">
            <w:r>
              <w:rPr>
                <w:webHidden/>
                <w:rStyle w:val="IndexLink"/>
                <w:rtl w:val="true"/>
              </w:rPr>
              <w:t>المقام الأوّل</w:t>
            </w:r>
            <w:r>
              <w:rPr>
                <w:rStyle w:val="IndexLink"/>
                <w:rtl w:val="true"/>
              </w:rPr>
              <w:t xml:space="preserve">: </w:t>
            </w:r>
            <w:r>
              <w:rPr>
                <w:rStyle w:val="IndexLink"/>
                <w:rtl w:val="true"/>
              </w:rPr>
              <w:t>فی حلّیته و حرمته بالغلیان و النشیش</w:t>
            </w:r>
            <w:r>
              <w:rPr>
                <w:rStyle w:val="IndexLink"/>
                <w:rtl w:val="true"/>
              </w:rPr>
              <w:tab/>
            </w:r>
            <w:r>
              <w:rPr>
                <w:rStyle w:val="IndexLink"/>
              </w:rPr>
              <w:t>461</w:t>
            </w:r>
          </w:hyperlink>
        </w:p>
        <w:p>
          <w:pPr>
            <w:pStyle w:val="Contents6"/>
            <w:tabs>
              <w:tab w:val="clear" w:pos="7609"/>
              <w:tab w:val="right" w:pos="9026" w:leader="dot"/>
            </w:tabs>
            <w:rPr/>
          </w:pPr>
          <w:hyperlink w:anchor="__RefHeading___Toc488843_2281741623">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488845_2281741623">
            <w:r>
              <w:rPr>
                <w:webHidden/>
                <w:rStyle w:val="IndexLink"/>
                <w:rtl w:val="true"/>
              </w:rPr>
              <w:t xml:space="preserve">القول الأوّل </w:t>
            </w:r>
            <w:r>
              <w:rPr>
                <w:rStyle w:val="IndexLink"/>
                <w:rtl w:val="true"/>
              </w:rPr>
              <w:t xml:space="preserve">: </w:t>
            </w:r>
            <w:r>
              <w:rPr>
                <w:rStyle w:val="IndexLink"/>
                <w:rtl w:val="true"/>
              </w:rPr>
              <w:t>انّه حلال طاهر</w:t>
            </w:r>
            <w:r>
              <w:rPr>
                <w:rStyle w:val="IndexLink"/>
                <w:rtl w:val="true"/>
              </w:rPr>
              <w:tab/>
            </w:r>
            <w:r>
              <w:rPr>
                <w:rStyle w:val="IndexLink"/>
              </w:rPr>
              <w:t>461</w:t>
            </w:r>
          </w:hyperlink>
        </w:p>
        <w:p>
          <w:pPr>
            <w:pStyle w:val="Contents6"/>
            <w:tabs>
              <w:tab w:val="clear" w:pos="7609"/>
              <w:tab w:val="right" w:pos="9026" w:leader="dot"/>
            </w:tabs>
            <w:rPr/>
          </w:pPr>
          <w:hyperlink w:anchor="__RefHeading___Toc488847_2281741623">
            <w:r>
              <w:rPr>
                <w:webHidden/>
                <w:rStyle w:val="IndexLink"/>
                <w:rtl w:val="true"/>
              </w:rPr>
              <w:t>اشارة</w:t>
            </w:r>
            <w:r>
              <w:rPr>
                <w:rStyle w:val="IndexLink"/>
                <w:rtl w:val="true"/>
              </w:rPr>
              <w:tab/>
            </w:r>
            <w:r>
              <w:rPr>
                <w:rStyle w:val="IndexLink"/>
              </w:rPr>
              <w:t>461</w:t>
            </w:r>
          </w:hyperlink>
        </w:p>
        <w:p>
          <w:pPr>
            <w:pStyle w:val="Contents6"/>
            <w:tabs>
              <w:tab w:val="clear" w:pos="7609"/>
              <w:tab w:val="right" w:pos="9026" w:leader="dot"/>
            </w:tabs>
            <w:rPr/>
          </w:pPr>
          <w:hyperlink w:anchor="__RefHeading___Toc488849_2281741623">
            <w:r>
              <w:rPr>
                <w:webHidden/>
                <w:rStyle w:val="IndexLink"/>
                <w:rtl w:val="true"/>
              </w:rPr>
              <w:t>کلام الأصحاب فیه</w:t>
            </w:r>
            <w:r>
              <w:rPr>
                <w:rStyle w:val="IndexLink"/>
                <w:rtl w:val="true"/>
              </w:rPr>
              <w:tab/>
            </w:r>
            <w:r>
              <w:rPr>
                <w:rStyle w:val="IndexLink"/>
              </w:rPr>
              <w:t>462</w:t>
            </w:r>
          </w:hyperlink>
        </w:p>
        <w:p>
          <w:pPr>
            <w:pStyle w:val="Contents6"/>
            <w:tabs>
              <w:tab w:val="clear" w:pos="7609"/>
              <w:tab w:val="right" w:pos="9026" w:leader="dot"/>
            </w:tabs>
            <w:rPr/>
          </w:pPr>
          <w:hyperlink w:anchor="__RefHeading___Toc488851_2281741623">
            <w:r>
              <w:rPr>
                <w:webHidden/>
                <w:rStyle w:val="IndexLink"/>
                <w:rtl w:val="true"/>
              </w:rPr>
              <w:t xml:space="preserve">القول الثانی </w:t>
            </w:r>
            <w:r>
              <w:rPr>
                <w:rStyle w:val="IndexLink"/>
                <w:rtl w:val="true"/>
              </w:rPr>
              <w:t xml:space="preserve">: </w:t>
            </w:r>
            <w:r>
              <w:rPr>
                <w:rStyle w:val="IndexLink"/>
                <w:rtl w:val="true"/>
              </w:rPr>
              <w:t>إنّه حرام</w:t>
            </w:r>
            <w:r>
              <w:rPr>
                <w:rStyle w:val="IndexLink"/>
                <w:rtl w:val="true"/>
              </w:rPr>
              <w:tab/>
            </w:r>
            <w:r>
              <w:rPr>
                <w:rStyle w:val="IndexLink"/>
              </w:rPr>
              <w:t>465</w:t>
            </w:r>
          </w:hyperlink>
        </w:p>
        <w:p>
          <w:pPr>
            <w:pStyle w:val="Contents6"/>
            <w:tabs>
              <w:tab w:val="clear" w:pos="7609"/>
              <w:tab w:val="right" w:pos="9026" w:leader="dot"/>
            </w:tabs>
            <w:rPr/>
          </w:pPr>
          <w:hyperlink w:anchor="__RefHeading___Toc488853_2281741623">
            <w:r>
              <w:rPr>
                <w:webHidden/>
                <w:rStyle w:val="IndexLink"/>
                <w:rtl w:val="true"/>
              </w:rPr>
              <w:t>اشارة</w:t>
            </w:r>
            <w:r>
              <w:rPr>
                <w:rStyle w:val="IndexLink"/>
                <w:rtl w:val="true"/>
              </w:rPr>
              <w:tab/>
            </w:r>
            <w:r>
              <w:rPr>
                <w:rStyle w:val="IndexLink"/>
              </w:rPr>
              <w:t>465</w:t>
            </w:r>
          </w:hyperlink>
        </w:p>
        <w:p>
          <w:pPr>
            <w:pStyle w:val="Contents6"/>
            <w:tabs>
              <w:tab w:val="clear" w:pos="7609"/>
              <w:tab w:val="right" w:pos="9026" w:leader="dot"/>
            </w:tabs>
            <w:rPr/>
          </w:pPr>
          <w:hyperlink w:anchor="__RefHeading___Toc488855_2281741623">
            <w:r>
              <w:rPr>
                <w:webHidden/>
                <w:rStyle w:val="IndexLink"/>
                <w:rtl w:val="true"/>
              </w:rPr>
              <w:t>نقل کلمات الفقهاء فی ذلک</w:t>
            </w:r>
            <w:r>
              <w:rPr>
                <w:rStyle w:val="IndexLink"/>
                <w:rtl w:val="true"/>
              </w:rPr>
              <w:tab/>
            </w:r>
            <w:r>
              <w:rPr>
                <w:rStyle w:val="IndexLink"/>
              </w:rPr>
              <w:t>465</w:t>
            </w:r>
          </w:hyperlink>
        </w:p>
        <w:p>
          <w:pPr>
            <w:pStyle w:val="Contents5"/>
            <w:tabs>
              <w:tab w:val="clear" w:pos="7892"/>
              <w:tab w:val="right" w:pos="9026" w:leader="dot"/>
            </w:tabs>
            <w:rPr/>
          </w:pPr>
          <w:hyperlink w:anchor="__RefHeading___Toc488857_2281741623">
            <w:r>
              <w:rPr>
                <w:webHidden/>
                <w:rStyle w:val="IndexLink"/>
                <w:rtl w:val="true"/>
              </w:rPr>
              <w:t xml:space="preserve">المستند للقول الأوّل أمور </w:t>
            </w:r>
            <w:r>
              <w:rPr>
                <w:rStyle w:val="IndexLink"/>
                <w:rtl w:val="true"/>
              </w:rPr>
              <w:t>:</w:t>
              <w:tab/>
            </w:r>
            <w:r>
              <w:rPr>
                <w:rStyle w:val="IndexLink"/>
              </w:rPr>
              <w:t>466</w:t>
            </w:r>
          </w:hyperlink>
        </w:p>
        <w:p>
          <w:pPr>
            <w:pStyle w:val="Contents6"/>
            <w:tabs>
              <w:tab w:val="clear" w:pos="7609"/>
              <w:tab w:val="right" w:pos="9026" w:leader="dot"/>
            </w:tabs>
            <w:rPr/>
          </w:pPr>
          <w:hyperlink w:anchor="__RefHeading___Toc488859_2281741623">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488861_2281741623">
            <w:r>
              <w:rPr>
                <w:webHidden/>
                <w:rStyle w:val="IndexLink"/>
                <w:rtl w:val="true"/>
              </w:rPr>
              <w:t xml:space="preserve">أوّلها </w:t>
            </w:r>
            <w:r>
              <w:rPr>
                <w:rStyle w:val="IndexLink"/>
                <w:rtl w:val="true"/>
              </w:rPr>
              <w:t xml:space="preserve">: </w:t>
            </w:r>
            <w:r>
              <w:rPr>
                <w:rStyle w:val="IndexLink"/>
                <w:rtl w:val="true"/>
              </w:rPr>
              <w:t>الإجماع</w:t>
            </w:r>
            <w:r>
              <w:rPr>
                <w:rStyle w:val="IndexLink"/>
                <w:rtl w:val="true"/>
              </w:rPr>
              <w:tab/>
            </w:r>
            <w:r>
              <w:rPr>
                <w:rStyle w:val="IndexLink"/>
              </w:rPr>
              <w:t>466</w:t>
            </w:r>
          </w:hyperlink>
        </w:p>
        <w:p>
          <w:pPr>
            <w:pStyle w:val="Contents6"/>
            <w:tabs>
              <w:tab w:val="clear" w:pos="7609"/>
              <w:tab w:val="right" w:pos="9026" w:leader="dot"/>
            </w:tabs>
            <w:rPr/>
          </w:pPr>
          <w:hyperlink w:anchor="__RefHeading___Toc488863_2281741623">
            <w:r>
              <w:rPr>
                <w:webHidden/>
                <w:rStyle w:val="IndexLink"/>
                <w:rtl w:val="true"/>
              </w:rPr>
              <w:t xml:space="preserve">ثانیها </w:t>
            </w:r>
            <w:r>
              <w:rPr>
                <w:rStyle w:val="IndexLink"/>
                <w:rtl w:val="true"/>
              </w:rPr>
              <w:t xml:space="preserve">: </w:t>
            </w:r>
            <w:r>
              <w:rPr>
                <w:rStyle w:val="IndexLink"/>
                <w:rtl w:val="true"/>
              </w:rPr>
              <w:t>السیرة و إستمرار العمل من المسلمین</w:t>
            </w:r>
            <w:r>
              <w:rPr>
                <w:rStyle w:val="IndexLink"/>
                <w:rtl w:val="true"/>
              </w:rPr>
              <w:tab/>
            </w:r>
            <w:r>
              <w:rPr>
                <w:rStyle w:val="IndexLink"/>
              </w:rPr>
              <w:t>467</w:t>
            </w:r>
          </w:hyperlink>
        </w:p>
        <w:p>
          <w:pPr>
            <w:pStyle w:val="Contents6"/>
            <w:tabs>
              <w:tab w:val="clear" w:pos="7609"/>
              <w:tab w:val="right" w:pos="9026" w:leader="dot"/>
            </w:tabs>
            <w:rPr/>
          </w:pPr>
          <w:hyperlink w:anchor="__RefHeading___Toc488865_2281741623">
            <w:r>
              <w:rPr>
                <w:webHidden/>
                <w:rStyle w:val="IndexLink"/>
                <w:rtl w:val="true"/>
              </w:rPr>
              <w:t xml:space="preserve">ثالثها </w:t>
            </w:r>
            <w:r>
              <w:rPr>
                <w:rStyle w:val="IndexLink"/>
                <w:rtl w:val="true"/>
              </w:rPr>
              <w:t xml:space="preserve">: </w:t>
            </w:r>
            <w:r>
              <w:rPr>
                <w:rStyle w:val="IndexLink"/>
                <w:rtl w:val="true"/>
              </w:rPr>
              <w:t>الأصول و العمومات الکثیرة الواردة فی إباحة الأشیاء و إطلاقها</w:t>
            </w:r>
            <w:r>
              <w:rPr>
                <w:rStyle w:val="IndexLink"/>
                <w:rtl w:val="true"/>
              </w:rPr>
              <w:tab/>
            </w:r>
            <w:r>
              <w:rPr>
                <w:rStyle w:val="IndexLink"/>
              </w:rPr>
              <w:t>467</w:t>
            </w:r>
          </w:hyperlink>
        </w:p>
        <w:p>
          <w:pPr>
            <w:pStyle w:val="Contents6"/>
            <w:tabs>
              <w:tab w:val="clear" w:pos="7609"/>
              <w:tab w:val="right" w:pos="9026" w:leader="dot"/>
            </w:tabs>
            <w:rPr/>
          </w:pPr>
          <w:hyperlink w:anchor="__RefHeading___Toc488867_2281741623">
            <w:r>
              <w:rPr>
                <w:webHidden/>
                <w:rStyle w:val="IndexLink"/>
                <w:rtl w:val="true"/>
              </w:rPr>
              <w:t xml:space="preserve">رابعها </w:t>
            </w:r>
            <w:r>
              <w:rPr>
                <w:rStyle w:val="IndexLink"/>
                <w:rtl w:val="true"/>
              </w:rPr>
              <w:t xml:space="preserve">: </w:t>
            </w:r>
            <w:r>
              <w:rPr>
                <w:rStyle w:val="IndexLink"/>
                <w:rtl w:val="true"/>
              </w:rPr>
              <w:t>جملة من الأخبار الواردة فی النبیذ وتعلیق حرمته علی الإسکار</w:t>
            </w:r>
            <w:r>
              <w:rPr>
                <w:rStyle w:val="IndexLink"/>
                <w:rtl w:val="true"/>
              </w:rPr>
              <w:tab/>
            </w:r>
            <w:r>
              <w:rPr>
                <w:rStyle w:val="IndexLink"/>
              </w:rPr>
              <w:t>467</w:t>
            </w:r>
          </w:hyperlink>
        </w:p>
        <w:p>
          <w:pPr>
            <w:pStyle w:val="Contents5"/>
            <w:tabs>
              <w:tab w:val="clear" w:pos="7892"/>
              <w:tab w:val="right" w:pos="9026" w:leader="dot"/>
            </w:tabs>
            <w:rPr/>
          </w:pPr>
          <w:hyperlink w:anchor="__RefHeading___Toc488869_2281741623">
            <w:r>
              <w:rPr>
                <w:webHidden/>
                <w:rStyle w:val="IndexLink"/>
                <w:rtl w:val="true"/>
              </w:rPr>
              <w:t xml:space="preserve">المستند للقول الثانی فأنواع من الأخبار </w:t>
            </w:r>
            <w:r>
              <w:rPr>
                <w:rStyle w:val="IndexLink"/>
                <w:rtl w:val="true"/>
              </w:rPr>
              <w:t>:</w:t>
              <w:tab/>
            </w:r>
            <w:r>
              <w:rPr>
                <w:rStyle w:val="IndexLink"/>
              </w:rPr>
              <w:t>474</w:t>
            </w:r>
          </w:hyperlink>
        </w:p>
        <w:p>
          <w:pPr>
            <w:pStyle w:val="Contents6"/>
            <w:tabs>
              <w:tab w:val="clear" w:pos="7609"/>
              <w:tab w:val="right" w:pos="9026" w:leader="dot"/>
            </w:tabs>
            <w:rPr/>
          </w:pPr>
          <w:hyperlink w:anchor="__RefHeading___Toc488871_2281741623">
            <w:r>
              <w:rPr>
                <w:webHidden/>
                <w:rStyle w:val="IndexLink"/>
                <w:rtl w:val="true"/>
              </w:rPr>
              <w:t>اشارة</w:t>
            </w:r>
            <w:r>
              <w:rPr>
                <w:rStyle w:val="IndexLink"/>
                <w:rtl w:val="true"/>
              </w:rPr>
              <w:tab/>
            </w:r>
            <w:r>
              <w:rPr>
                <w:rStyle w:val="IndexLink"/>
              </w:rPr>
              <w:t>474</w:t>
            </w:r>
          </w:hyperlink>
        </w:p>
        <w:p>
          <w:pPr>
            <w:pStyle w:val="Contents6"/>
            <w:tabs>
              <w:tab w:val="clear" w:pos="7609"/>
              <w:tab w:val="right" w:pos="9026" w:leader="dot"/>
            </w:tabs>
            <w:rPr/>
          </w:pPr>
          <w:hyperlink w:anchor="__RefHeading___Toc488873_2281741623">
            <w:r>
              <w:rPr>
                <w:webHidden/>
                <w:rStyle w:val="IndexLink"/>
                <w:rtl w:val="true"/>
              </w:rPr>
              <w:t xml:space="preserve">منها </w:t>
            </w:r>
            <w:r>
              <w:rPr>
                <w:rStyle w:val="IndexLink"/>
                <w:rtl w:val="true"/>
              </w:rPr>
              <w:t xml:space="preserve">: </w:t>
            </w:r>
            <w:r>
              <w:rPr>
                <w:rStyle w:val="IndexLink"/>
                <w:rtl w:val="true"/>
              </w:rPr>
              <w:t>الأخبار الواردة فی مساواة الکرم والنخل فی مص إبلیس إیّاهما</w:t>
            </w:r>
            <w:r>
              <w:rPr>
                <w:rStyle w:val="IndexLink"/>
                <w:rtl w:val="true"/>
              </w:rPr>
              <w:tab/>
            </w:r>
            <w:r>
              <w:rPr>
                <w:rStyle w:val="IndexLink"/>
              </w:rPr>
              <w:t>474</w:t>
            </w:r>
          </w:hyperlink>
        </w:p>
        <w:p>
          <w:pPr>
            <w:pStyle w:val="Contents6"/>
            <w:tabs>
              <w:tab w:val="clear" w:pos="7609"/>
              <w:tab w:val="right" w:pos="9026" w:leader="dot"/>
            </w:tabs>
            <w:rPr/>
          </w:pPr>
          <w:hyperlink w:anchor="__RefHeading___Toc488875_2281741623">
            <w:r>
              <w:rPr>
                <w:webHidden/>
                <w:rStyle w:val="IndexLink"/>
                <w:rtl w:val="true"/>
              </w:rPr>
              <w:t xml:space="preserve">منها </w:t>
            </w:r>
            <w:r>
              <w:rPr>
                <w:rStyle w:val="IndexLink"/>
                <w:rtl w:val="true"/>
              </w:rPr>
              <w:t xml:space="preserve">: </w:t>
            </w:r>
            <w:r>
              <w:rPr>
                <w:rStyle w:val="IndexLink"/>
                <w:rtl w:val="true"/>
              </w:rPr>
              <w:t>الأخبار الواردة فی البختج و الطلاء</w:t>
            </w:r>
            <w:r>
              <w:rPr>
                <w:rStyle w:val="IndexLink"/>
                <w:rtl w:val="true"/>
              </w:rPr>
              <w:tab/>
            </w:r>
            <w:r>
              <w:rPr>
                <w:rStyle w:val="IndexLink"/>
              </w:rPr>
              <w:t>474</w:t>
            </w:r>
          </w:hyperlink>
        </w:p>
        <w:p>
          <w:pPr>
            <w:pStyle w:val="Contents6"/>
            <w:tabs>
              <w:tab w:val="clear" w:pos="7609"/>
              <w:tab w:val="right" w:pos="9026" w:leader="dot"/>
            </w:tabs>
            <w:rPr/>
          </w:pPr>
          <w:hyperlink w:anchor="__RefHeading___Toc488877_2281741623">
            <w:r>
              <w:rPr>
                <w:webHidden/>
                <w:rStyle w:val="IndexLink"/>
                <w:rtl w:val="true"/>
              </w:rPr>
              <w:t xml:space="preserve">منها </w:t>
            </w:r>
            <w:r>
              <w:rPr>
                <w:rStyle w:val="IndexLink"/>
                <w:rtl w:val="true"/>
              </w:rPr>
              <w:t xml:space="preserve">: </w:t>
            </w:r>
            <w:r>
              <w:rPr>
                <w:rStyle w:val="IndexLink"/>
                <w:rtl w:val="true"/>
              </w:rPr>
              <w:t>الصحیح علی الأصحّ المرویّ فی الکافی</w:t>
            </w:r>
            <w:r>
              <w:rPr>
                <w:rStyle w:val="IndexLink"/>
                <w:rtl w:val="true"/>
              </w:rPr>
              <w:tab/>
            </w:r>
            <w:r>
              <w:rPr>
                <w:rStyle w:val="IndexLink"/>
              </w:rPr>
              <w:t>475</w:t>
            </w:r>
          </w:hyperlink>
        </w:p>
        <w:p>
          <w:pPr>
            <w:pStyle w:val="Contents6"/>
            <w:tabs>
              <w:tab w:val="clear" w:pos="7609"/>
              <w:tab w:val="right" w:pos="9026" w:leader="dot"/>
            </w:tabs>
            <w:rPr/>
          </w:pPr>
          <w:hyperlink w:anchor="__RefHeading___Toc488879_2281741623">
            <w:r>
              <w:rPr>
                <w:webHidden/>
                <w:rStyle w:val="IndexLink"/>
                <w:rtl w:val="true"/>
              </w:rPr>
              <w:t xml:space="preserve">منها </w:t>
            </w:r>
            <w:r>
              <w:rPr>
                <w:rStyle w:val="IndexLink"/>
                <w:rtl w:val="true"/>
              </w:rPr>
              <w:t xml:space="preserve">: </w:t>
            </w:r>
            <w:r>
              <w:rPr>
                <w:rStyle w:val="IndexLink"/>
                <w:rtl w:val="true"/>
              </w:rPr>
              <w:t>موثّقتا عمّار الواردتان فی النضوح</w:t>
            </w:r>
            <w:r>
              <w:rPr>
                <w:rStyle w:val="IndexLink"/>
                <w:rtl w:val="true"/>
              </w:rPr>
              <w:tab/>
            </w:r>
            <w:r>
              <w:rPr>
                <w:rStyle w:val="IndexLink"/>
              </w:rPr>
              <w:t>476</w:t>
            </w:r>
          </w:hyperlink>
        </w:p>
        <w:p>
          <w:pPr>
            <w:pStyle w:val="Contents5"/>
            <w:tabs>
              <w:tab w:val="clear" w:pos="7892"/>
              <w:tab w:val="right" w:pos="9026" w:leader="dot"/>
            </w:tabs>
            <w:rPr/>
          </w:pPr>
          <w:hyperlink w:anchor="__RefHeading___Toc488881_2281741623">
            <w:r>
              <w:rPr>
                <w:webHidden/>
                <w:rStyle w:val="IndexLink"/>
                <w:rtl w:val="true"/>
              </w:rPr>
              <w:t>مختار المؤلّف فی المقام</w:t>
            </w:r>
            <w:r>
              <w:rPr>
                <w:rStyle w:val="IndexLink"/>
                <w:rtl w:val="true"/>
              </w:rPr>
              <w:tab/>
            </w:r>
            <w:r>
              <w:rPr>
                <w:rStyle w:val="IndexLink"/>
              </w:rPr>
              <w:t>478</w:t>
            </w:r>
          </w:hyperlink>
        </w:p>
        <w:p>
          <w:pPr>
            <w:pStyle w:val="Contents4"/>
            <w:tabs>
              <w:tab w:val="clear" w:pos="8176"/>
              <w:tab w:val="right" w:pos="9026" w:leader="dot"/>
            </w:tabs>
            <w:rPr/>
          </w:pPr>
          <w:hyperlink w:anchor="__RefHeading___Toc488883_2281741623">
            <w:r>
              <w:rPr>
                <w:webHidden/>
                <w:rStyle w:val="IndexLink"/>
                <w:rtl w:val="true"/>
              </w:rPr>
              <w:t>خاتمة</w:t>
            </w:r>
            <w:r>
              <w:rPr>
                <w:rStyle w:val="IndexLink"/>
                <w:rtl w:val="true"/>
              </w:rPr>
              <w:t xml:space="preserve">: </w:t>
            </w:r>
            <w:r>
              <w:rPr>
                <w:rStyle w:val="IndexLink"/>
                <w:rtl w:val="true"/>
              </w:rPr>
              <w:t>فی حدّ شارب العصیر</w:t>
            </w:r>
            <w:r>
              <w:rPr>
                <w:rStyle w:val="IndexLink"/>
                <w:rtl w:val="true"/>
              </w:rPr>
              <w:tab/>
            </w:r>
            <w:r>
              <w:rPr>
                <w:rStyle w:val="IndexLink"/>
              </w:rPr>
              <w:t>481</w:t>
            </w:r>
          </w:hyperlink>
        </w:p>
        <w:p>
          <w:pPr>
            <w:pStyle w:val="Contents5"/>
            <w:tabs>
              <w:tab w:val="clear" w:pos="7892"/>
              <w:tab w:val="right" w:pos="9026" w:leader="dot"/>
            </w:tabs>
            <w:rPr/>
          </w:pPr>
          <w:hyperlink w:anchor="__RefHeading___Toc488885_2281741623">
            <w:r>
              <w:rPr>
                <w:webHidden/>
                <w:rStyle w:val="IndexLink"/>
                <w:rtl w:val="true"/>
              </w:rPr>
              <w:t>کلمات الفقهاء فی ذلک</w:t>
            </w:r>
            <w:r>
              <w:rPr>
                <w:rStyle w:val="IndexLink"/>
                <w:rtl w:val="true"/>
              </w:rPr>
              <w:tab/>
            </w:r>
            <w:r>
              <w:rPr>
                <w:rStyle w:val="IndexLink"/>
              </w:rPr>
              <w:t>481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696_43245"/>
      <w:bookmarkStart w:id="1" w:name="pg3696_43245"/>
      <w:bookmarkEnd w:id="1"/>
    </w:p>
    <w:p>
      <w:pPr>
        <w:pStyle w:val="Heading2"/>
        <w:numPr>
          <w:ilvl w:val="1"/>
          <w:numId w:val="1"/>
        </w:numPr>
        <w:rPr/>
      </w:pPr>
      <w:bookmarkStart w:id="2" w:name="pg3696_43245"/>
      <w:bookmarkStart w:id="3" w:name="__RefHeading___Toc488215_2281741623"/>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شفتی، اسدالله بن‌محمدباقر،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‌۱۲۹۰</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العصیریه‌فی احکام الخمر و سائر المسکرات و العصر العنبی و النمری و الزبیبی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اسدالله بن‌محمدباقر الموسوی الشفتی؛ تحقیق مهدی الشفتی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۵۲۷</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7941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اطلاعات 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۴۹۱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۵۱۲</w:t>
      </w:r>
      <w:r>
        <w:rPr>
          <w:rFonts w:ascii="IRNazanin" w:hAnsi="IRNazanin" w:eastAsia="IRNazanin"/>
          <w:color w:val="111111"/>
          <w:sz w:val="28"/>
          <w:sz w:val="28"/>
          <w:szCs w:val="28"/>
          <w:rtl w:val="true"/>
          <w:lang w:bidi="fa-IR"/>
        </w:rPr>
        <w:t>؛ همچنین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آشامیدنیهای الکلی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‌۱۳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موسوی شفتی، اسدالله بن‌محمدباقر، </w:t>
      </w:r>
      <w:r>
        <w:rPr>
          <w:rFonts w:ascii="IRNazanin" w:hAnsi="IRNazanin" w:eastAsia="IRNazanin"/>
          <w:color w:val="111111"/>
          <w:sz w:val="28"/>
          <w:sz w:val="28"/>
          <w:szCs w:val="28"/>
          <w:lang w:bidi="fa-IR"/>
        </w:rPr>
        <w:t>۱۲۲۷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۱۲۹۰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سعیدی شفتی، مهدی ، محقق</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۱۹۴</w:t>
      </w:r>
      <w:r>
        <w:rPr>
          <w:rFonts w:eastAsia="IRNazanin" w:cs="IRNazanin"/>
          <w:color w:val="111111"/>
          <w:sz w:val="28"/>
          <w:szCs w:val="28"/>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۱۳۸۴</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۳۰۵۰۶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8217_228174162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الفهارس العامّة</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الآیات الکریمة</w:t>
      </w:r>
      <w:r>
        <w:rPr>
          <w:rFonts w:eastAsia="IRNazanin" w:cs="IRNazanin"/>
          <w:color w:val="111111"/>
          <w:sz w:val="28"/>
          <w:szCs w:val="28"/>
          <w:lang w:bidi="fa-IR"/>
        </w:rPr>
        <w:t>477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الأحادیث الشریفة</w:t>
      </w:r>
      <w:r>
        <w:rPr>
          <w:rFonts w:eastAsia="IRNazanin" w:cs="IRNazanin"/>
          <w:color w:val="111111"/>
          <w:sz w:val="28"/>
          <w:szCs w:val="28"/>
          <w:lang w:bidi="fa-IR"/>
        </w:rPr>
        <w:t>479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مصادر التحقیق</w:t>
      </w:r>
      <w:r>
        <w:rPr>
          <w:rFonts w:eastAsia="IRNazanin" w:cs="IRNazanin"/>
          <w:color w:val="111111"/>
          <w:sz w:val="28"/>
          <w:szCs w:val="28"/>
          <w:lang w:bidi="fa-IR"/>
        </w:rPr>
        <w:t>491</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فهرس المحتوی</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الحمد للّه الّذی وفّقنا لإحیاء تصنیفات العلماء الأبرار</w:t>
      </w:r>
    </w:p>
    <w:p>
      <w:pPr>
        <w:pStyle w:val="BookText"/>
        <w:rPr/>
      </w:pPr>
      <w:r>
        <w:rPr>
          <w:rFonts w:ascii="IRNazanin" w:hAnsi="IRNazanin" w:eastAsia="IRNazanin"/>
          <w:color w:val="111111"/>
          <w:sz w:val="28"/>
          <w:sz w:val="28"/>
          <w:szCs w:val="28"/>
          <w:rtl w:val="true"/>
          <w:lang w:bidi="fa-IR"/>
        </w:rPr>
        <w:t>الملتقط من آثار الأئمّة الأطهار علیهم‌السلام</w:t>
      </w:r>
    </w:p>
    <w:p>
      <w:pPr>
        <w:pStyle w:val="BookText"/>
        <w:rPr/>
      </w:pPr>
      <w:r>
        <w:rPr>
          <w:rFonts w:ascii="IRNazanin" w:hAnsi="IRNazanin" w:eastAsia="IRNazanin"/>
          <w:color w:val="111111"/>
          <w:sz w:val="28"/>
          <w:sz w:val="28"/>
          <w:szCs w:val="28"/>
          <w:rtl w:val="true"/>
          <w:lang w:bidi="fa-IR"/>
        </w:rPr>
        <w:t xml:space="preserve">فهرس منشورات مکتبة مسجد السیّد حجّة الإسلام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مطالع الأنوار فی شرح شرائع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الأبرار فی أحکام الصلاة و مسائلها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فی ترجمة حجّة الإسلام الشفتی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فی إثبات الإمامة لأهل البیت علیهم‌السلام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فی أحوال رواة الأحادیث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إقامة الحدود فی زمن الغیبة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العصیریّة فی أحکام الخمر والعصیر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الغیبة فی الإمام الثانی عشر القائم الحجّة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سیطبع إن شاء اللّه تعالی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الحلیة اللاّمعة فی شرح البهجة المرضیّة </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الأولی من نسخة الأصل بخطّ المصنّف قدس‌سره </w:t>
      </w:r>
      <w:bookmarkStart w:id="7" w:name="pg3696_43249"/>
    </w:p>
    <w:p>
      <w:pPr>
        <w:pStyle w:val="Heading2"/>
        <w:numPr>
          <w:ilvl w:val="1"/>
          <w:numId w:val="1"/>
        </w:numPr>
        <w:rPr/>
      </w:pPr>
      <w:bookmarkStart w:id="8" w:name="__RefHeading___Toc488219_2281741623"/>
      <w:bookmarkStart w:id="9" w:name="_Toc3"/>
      <w:bookmarkEnd w:id="7"/>
      <w:bookmarkEnd w:id="8"/>
      <w:r>
        <w:rPr>
          <w:rtl w:val="true"/>
        </w:rPr>
        <w:t>الفهرس الإجمالی</w:t>
      </w:r>
      <w:bookmarkEnd w:id="9"/>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لمحة من حیاة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حرمة الخمر و غیرها من 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نجاسة الخمر و غیرها من 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حکم العصیر إذا غلا واشتدّ</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العصیر العنبیّ</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العصیر الزبیبیّ</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العصیر التمریّ</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خاتمة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شارب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الفهارس العامة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الصفحة الأخیرة من النسخة المحفوظة فی مکتبة آیة اللّه المرعشیّ قدس‌سره </w:t>
      </w:r>
      <w:bookmarkStart w:id="10" w:name="pg3696_43251"/>
    </w:p>
    <w:p>
      <w:pPr>
        <w:pStyle w:val="Heading2"/>
        <w:numPr>
          <w:ilvl w:val="1"/>
          <w:numId w:val="1"/>
        </w:numPr>
        <w:rPr/>
      </w:pPr>
      <w:bookmarkStart w:id="11" w:name="__RefHeading___Toc488221_2281741623"/>
      <w:bookmarkStart w:id="12" w:name="_Toc4"/>
      <w:bookmarkEnd w:id="10"/>
      <w:bookmarkEnd w:id="11"/>
      <w:r>
        <w:rPr>
          <w:rtl w:val="true"/>
        </w:rPr>
        <w:t>مقدّمة التحقیق</w:t>
      </w:r>
      <w:r>
        <w:rPr>
          <w:rtl w:val="true"/>
        </w:rPr>
        <w:t>:</w:t>
      </w:r>
      <w:bookmarkEnd w:id="12"/>
    </w:p>
    <w:p>
      <w:pPr>
        <w:pStyle w:val="Heading3"/>
        <w:numPr>
          <w:ilvl w:val="2"/>
          <w:numId w:val="1"/>
        </w:numPr>
        <w:rPr/>
      </w:pPr>
      <w:bookmarkStart w:id="13" w:name="__RefHeading___Toc488223_2281741623"/>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ربّ‌العالمین، والصلاة والسلام علی سیّد البریّة محمّد وآله الطاهرین، و لعنة اللّه علی أعدائهم أعداء الدین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لمّا کان بعد معرفة اللّه وتوحیده من العلوم والکمالات البشریة، لم‌یوجد علم أجلّ قدراً و أعظم شرفاً من علم الفقه، بل عدّ الکمال الإنسانی فی الفقاهة والفهم ؛ کما قال باقر العلوم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الکمال کلّ الکمال التفقّه فی الدین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والوصول إلی هذا المقام الرفیع من العنایات الخاصّة الإلهیّة لِمَن یسعی ویتلبّس بها، و یستحقّ لها الأجر والثواب المخصوص </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 فإنّ الفقهاء العظام لمکان الجدّ والاجتهاد والصبر والتحمّل من مشاقّ وصعوبات کانت تحیط بهم، نالوا هذه المرتبة الرفیعة والمنزلة الشریفة، و لذلک استحقّوا لدی فقدانهم أن تندبهم ملائکة السماء و سکّان الأرض لقوله علیه‌السلام </w:t>
      </w:r>
      <w:r>
        <w:rPr>
          <w:rFonts w:eastAsia="IRNazanin" w:cs="IRNazanin"/>
          <w:color w:val="111111"/>
          <w:sz w:val="28"/>
          <w:szCs w:val="28"/>
          <w:rtl w:val="true"/>
          <w:lang w:bidi="fa-IR"/>
        </w:rPr>
        <w:t xml:space="preserve">: </w:t>
      </w:r>
      <w:bookmarkStart w:id="15" w:name="pg3696_43252"/>
    </w:p>
    <w:p>
      <w:pPr>
        <w:pStyle w:val="BookText"/>
        <w:rPr/>
      </w:pPr>
      <w:bookmarkEnd w:id="15"/>
      <w:r>
        <w:rPr>
          <w:rFonts w:ascii="IRNazanin" w:hAnsi="IRNazanin" w:eastAsia="IRNazanin"/>
          <w:color w:val="111111"/>
          <w:sz w:val="28"/>
          <w:sz w:val="28"/>
          <w:szCs w:val="28"/>
          <w:rtl w:val="true"/>
          <w:lang w:bidi="fa-IR"/>
        </w:rPr>
        <w:t xml:space="preserve">إذا مات المؤمن الفقیه، بکت علیه الملائکة و بقاع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ثلم فی الإسلام ثلمة لا یسدّها شیء، لأنّ المؤمنین الفقهاء حصون الإسلام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کان منهم الفقیه الأوحد والحبر المؤیّد، العالم العامل الزاهد الورع التقی والمجتهد البصیر، مولانا و سیّدنا الحاج السیّد أسد اللّه بن السیّد محمّد باقر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المشتهر بالآفاق بحجّة الإسلام علی الإطلاق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أسکنهما اللّه بحبوبات جنّاته، وجزاهما اللّه عن الإسلام و أهله خیر الجزاء </w:t>
      </w:r>
      <w:r>
        <w:rPr>
          <w:rFonts w:eastAsia="IRNazanin" w:cs="IRNazanin"/>
          <w:color w:val="111111"/>
          <w:sz w:val="28"/>
          <w:szCs w:val="28"/>
          <w:rtl w:val="true"/>
          <w:lang w:bidi="fa-IR"/>
        </w:rPr>
        <w:t>.</w:t>
      </w:r>
    </w:p>
    <w:p>
      <w:pPr>
        <w:pStyle w:val="Heading3"/>
        <w:numPr>
          <w:ilvl w:val="2"/>
          <w:numId w:val="1"/>
        </w:numPr>
        <w:rPr/>
      </w:pPr>
      <w:bookmarkStart w:id="16" w:name="__RefHeading___Toc488225_2281741623"/>
      <w:bookmarkStart w:id="17" w:name="_Toc6"/>
      <w:bookmarkEnd w:id="16"/>
      <w:r>
        <w:rPr>
          <w:rtl w:val="true"/>
        </w:rPr>
        <w:t>حول هذا الکتاب</w:t>
      </w:r>
      <w:bookmarkEnd w:id="17"/>
    </w:p>
    <w:p>
      <w:pPr>
        <w:pStyle w:val="BookText"/>
        <w:rPr/>
      </w:pPr>
      <w:r>
        <w:rPr>
          <w:rFonts w:ascii="IRNazanin" w:hAnsi="IRNazanin" w:eastAsia="IRNazanin"/>
          <w:color w:val="111111"/>
          <w:sz w:val="28"/>
          <w:sz w:val="28"/>
          <w:szCs w:val="28"/>
          <w:rtl w:val="true"/>
          <w:lang w:bidi="fa-IR"/>
        </w:rPr>
        <w:t xml:space="preserve">لقد صنّف قدس‌سره تصانیف عدیدة، و مؤلّفات مفیدة، حاکیاً عن تضلّعه فی شتّی العلوم والفنون المتداولة، خصوصاً الفقه والرجال والحدیث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رسالة کبیرة مستقلّة، بیّن فیها مصنّفها قدس‌سره أحکام الخمر و غیرها من سائر المسکرات، والعصیر العنبیّ والتمریّ والزبیبیّ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المصنّف قدس‌سره قد عمل فی هذا الکتاب ، فی بیان قول المحقّق الحلّی رحمه‌الله فی الشرائع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 و فی تنجیسها خلاف ، الأظهر النجاسة </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 الأخبار الدالّة علی حرمة الخمر وسائر المسکرات و نجاسته، و ذکر مستند القائلین بطهارة الخمر ، و هو مذهب الصدوق وابن أبی عقیل و الجعفی و جملة من المتأخّرین، و نهض فی ردّهم والجواب عن‌الأخبار التی تستدلّ بها علی طهارة الخمر، وبیان کلّ ما دلّ علی نجاسة الخمر من الإجماع والآیة والأخبار </w:t>
      </w:r>
      <w:r>
        <w:rPr>
          <w:rFonts w:eastAsia="IRNazanin" w:cs="IRNazanin"/>
          <w:color w:val="111111"/>
          <w:sz w:val="28"/>
          <w:szCs w:val="28"/>
          <w:rtl w:val="true"/>
          <w:lang w:bidi="fa-IR"/>
        </w:rPr>
        <w:t xml:space="preserve">. </w:t>
      </w:r>
      <w:bookmarkStart w:id="18" w:name="pg3696_43253"/>
    </w:p>
    <w:p>
      <w:pPr>
        <w:pStyle w:val="BookText"/>
        <w:rPr/>
      </w:pPr>
      <w:bookmarkEnd w:id="18"/>
      <w:r>
        <w:rPr>
          <w:rFonts w:ascii="IRNazanin" w:hAnsi="IRNazanin" w:eastAsia="IRNazanin"/>
          <w:color w:val="111111"/>
          <w:sz w:val="28"/>
          <w:sz w:val="28"/>
          <w:szCs w:val="28"/>
          <w:rtl w:val="true"/>
          <w:lang w:bidi="fa-IR"/>
        </w:rPr>
        <w:t xml:space="preserve">ثمّ قال قدس‌سره فی شرح قول المحقّق رحمه‌الله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حکمها العصیر إذا غلی واشتدّ </w:t>
      </w:r>
      <w:r>
        <w:rPr>
          <w:rFonts w:eastAsia="IRNazanin" w:cs="IRNazanin"/>
          <w:color w:val="111111"/>
          <w:sz w:val="28"/>
          <w:szCs w:val="28"/>
          <w:rtl w:val="true"/>
          <w:lang w:bidi="fa-IR"/>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الحال فیه یقتضی شرح الکلام فی مواضع ؛ وبسط الکلام فی أحکام العصیر بأنواعه و أقسامه، و تعریف الغلیان والاشتداد، و تمییز الحلال عن الحرام منه، وتبیین مختاره فی العنب والزبیب المغلی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أفاد قدس‌سره فی خاتمة الکتاب بیان حدّ شارب العصیر و نقل کلمات الأصحاب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لقد أجاد فیما أفاد قدس‌سره فی تبیین موضوعاتها ، و تشریح مقاصدها ، و بیان مستنداتها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تألیفها فی سابع شهر رجب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قبل وفاته بثمان سنین ؛ فللّه درّه و طیّب اللّه رمسه، و أعلی اللّه أجره </w:t>
      </w:r>
      <w:r>
        <w:rPr>
          <w:rFonts w:eastAsia="IRNazanin" w:cs="IRNazanin"/>
          <w:color w:val="111111"/>
          <w:sz w:val="28"/>
          <w:szCs w:val="28"/>
          <w:rtl w:val="true"/>
          <w:lang w:bidi="fa-IR"/>
        </w:rPr>
        <w:t>.</w:t>
      </w:r>
    </w:p>
    <w:p>
      <w:pPr>
        <w:pStyle w:val="Heading3"/>
        <w:numPr>
          <w:ilvl w:val="2"/>
          <w:numId w:val="1"/>
        </w:numPr>
        <w:rPr/>
      </w:pPr>
      <w:bookmarkStart w:id="19" w:name="__RefHeading___Toc488227_2281741623"/>
      <w:bookmarkStart w:id="20" w:name="_Toc7"/>
      <w:bookmarkEnd w:id="19"/>
      <w:r>
        <w:rPr>
          <w:rtl w:val="true"/>
        </w:rPr>
        <w:t>منهجیّة التحقیق</w:t>
      </w:r>
      <w:bookmarkEnd w:id="20"/>
    </w:p>
    <w:p>
      <w:pPr>
        <w:pStyle w:val="BookText"/>
        <w:rPr/>
      </w:pPr>
      <w:r>
        <w:rPr>
          <w:rFonts w:ascii="IRNazanin" w:hAnsi="IRNazanin" w:eastAsia="IRNazanin"/>
          <w:color w:val="111111"/>
          <w:sz w:val="28"/>
          <w:sz w:val="28"/>
          <w:szCs w:val="28"/>
          <w:rtl w:val="true"/>
          <w:lang w:bidi="fa-IR"/>
        </w:rPr>
        <w:t xml:space="preserve">واعتمدت فی تحقیق هذا الکتاب الشریف علی نسختین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الأصلیّة المسوّدة بخطّ مصنّفها العلاّمة قدس‌سره ، والثانیة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النسخة المبیّضة الّتی أخرجها من‌المسوّدة کاتبها ؛ وکلتا النسختین المحفوظتین فیالمکتبة الخاصّة لسماحة العالم البصیر والناقد الخبیر، مرجع المحقّقین و ملجأ المدقّقین آیة اللّه السیّد محمّد علی الروضاتی حفظه اللّه تعالی </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واستدعیت من محضره الشریف بإرسال نسخة منهما إلیّ لتحقیقه و نشره، وکما أرجو وانتظر من دأبه و إکرامه ، فقد تفضّل علیّ بإهدائهما إلیّ ، و أنا أقدّم ثنائی العاطر و شکری المتواصل إلی سماحته، فجزاه اللّه خیر الجزاء، و أسأل اللّه تعالی له إعلاء الشأن وتضاعف الأجر فی العاجل والآجل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بعد الوصول إلیّ، شرعت فی تحقیق موضوعاته، و استخراج مصادره، ومقابلة النسختین معاً، و قد بذلت الوسع والطاقة فی تحقیق الکتاب و تصحیحه، ومع ذلک ما أبرئ نفسی من الخطأ والإشکال، لأنّ الإنسان محلّ السهو والنسیان إلاّ من عصمه اللّه تعالی من الزلل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دعوانا أن الحمد للّه ربّ العالمین</w:t>
      </w:r>
    </w:p>
    <w:p>
      <w:pPr>
        <w:pStyle w:val="BookText"/>
        <w:rPr/>
      </w:pPr>
      <w:r>
        <w:rPr>
          <w:rFonts w:ascii="IRNazanin" w:hAnsi="IRNazanin" w:eastAsia="IRNazanin"/>
          <w:color w:val="111111"/>
          <w:sz w:val="28"/>
          <w:sz w:val="28"/>
          <w:szCs w:val="28"/>
          <w:rtl w:val="true"/>
          <w:lang w:bidi="fa-IR"/>
        </w:rPr>
        <w:t>والصلاة والسلام علی محمّد و آله الطاهرین</w:t>
      </w:r>
    </w:p>
    <w:p>
      <w:pPr>
        <w:pStyle w:val="BookText"/>
        <w:rPr/>
      </w:pPr>
      <w:r>
        <w:rPr>
          <w:rFonts w:ascii="IRNazanin" w:hAnsi="IRNazanin" w:eastAsia="IRNazanin"/>
          <w:color w:val="111111"/>
          <w:sz w:val="28"/>
          <w:sz w:val="28"/>
          <w:szCs w:val="28"/>
          <w:rtl w:val="true"/>
          <w:lang w:bidi="fa-IR"/>
        </w:rPr>
        <w:t>السیّد مهدی الشفتی</w:t>
      </w:r>
    </w:p>
    <w:p>
      <w:pPr>
        <w:pStyle w:val="BookText"/>
        <w:rPr/>
      </w:pPr>
      <w:r>
        <w:rPr>
          <w:rFonts w:ascii="IRNazanin" w:hAnsi="IRNazanin" w:eastAsia="IRNazanin"/>
          <w:color w:val="111111"/>
          <w:sz w:val="28"/>
          <w:sz w:val="28"/>
          <w:szCs w:val="28"/>
          <w:rtl w:val="true"/>
          <w:lang w:bidi="fa-IR"/>
        </w:rPr>
        <w:t>إصفهان ـ مدرسة مسجد السیّد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21" w:name="pg3696_43255"/>
    </w:p>
    <w:p>
      <w:pPr>
        <w:pStyle w:val="Heading3"/>
        <w:numPr>
          <w:ilvl w:val="2"/>
          <w:numId w:val="1"/>
        </w:numPr>
        <w:rPr/>
      </w:pPr>
      <w:bookmarkStart w:id="22" w:name="__RefHeading___Toc488229_2281741623"/>
      <w:bookmarkStart w:id="23" w:name="_Toc8"/>
      <w:bookmarkEnd w:id="21"/>
      <w:bookmarkEnd w:id="22"/>
      <w:r>
        <w:rPr>
          <w:rtl w:val="true"/>
        </w:rPr>
        <w:t>لمحة من حیاة المؤلّف قدس‌سره</w:t>
      </w:r>
      <w:bookmarkEnd w:id="23"/>
    </w:p>
    <w:p>
      <w:pPr>
        <w:pStyle w:val="BookText"/>
        <w:rPr/>
      </w:pPr>
      <w:r>
        <w:rPr>
          <w:rFonts w:ascii="IRNazanin" w:hAnsi="IRNazanin" w:eastAsia="IRNazanin"/>
          <w:color w:val="111111"/>
          <w:sz w:val="28"/>
          <w:sz w:val="28"/>
          <w:szCs w:val="28"/>
          <w:rtl w:val="true"/>
          <w:lang w:bidi="fa-IR"/>
        </w:rPr>
        <w:t xml:space="preserve">وأسد اللّه إبن باقر أجل سیّدنا ذو ورع و مبتجل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بسم اللّه الرّحمن الرّحیم</w:t>
      </w:r>
    </w:p>
    <w:p>
      <w:pPr>
        <w:pStyle w:val="Heading3"/>
        <w:numPr>
          <w:ilvl w:val="2"/>
          <w:numId w:val="1"/>
        </w:numPr>
        <w:rPr/>
      </w:pPr>
      <w:bookmarkStart w:id="24" w:name="__RefHeading___Toc488231_2281741623"/>
      <w:bookmarkStart w:id="25" w:name="_Toc9"/>
      <w:bookmarkEnd w:id="24"/>
      <w:r>
        <w:rPr>
          <w:rtl w:val="true"/>
        </w:rPr>
        <w:t>إسمه و نسبه</w:t>
      </w:r>
      <w:bookmarkEnd w:id="25"/>
    </w:p>
    <w:p>
      <w:pPr>
        <w:pStyle w:val="BookText"/>
        <w:rPr/>
      </w:pPr>
      <w:r>
        <w:rPr>
          <w:rFonts w:ascii="IRNazanin" w:hAnsi="IRNazanin" w:eastAsia="IRNazanin"/>
          <w:color w:val="111111"/>
          <w:sz w:val="28"/>
          <w:sz w:val="28"/>
          <w:szCs w:val="28"/>
          <w:rtl w:val="true"/>
          <w:lang w:bidi="fa-IR"/>
        </w:rPr>
        <w:t xml:space="preserve">هو السیّد السند، والمولی المعظّم، العلاّمة الفقیه الورع السیّد أسد اللّه، إبن السیّد محمّد باقر، إبن السیّد محمّد 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الموسویّ الجیلانیّ الشفتیّ الإصفهانیّ</w:t>
      </w:r>
      <w:r>
        <w:rPr>
          <w:rFonts w:eastAsia="IRNazanin" w:cs="IRNazanin"/>
          <w:color w:val="111111"/>
          <w:sz w:val="28"/>
          <w:szCs w:val="28"/>
          <w:rtl w:val="true"/>
          <w:lang w:bidi="fa-IR"/>
        </w:rPr>
        <w:t>.</w:t>
      </w:r>
    </w:p>
    <w:p>
      <w:pPr>
        <w:pStyle w:val="Heading3"/>
        <w:numPr>
          <w:ilvl w:val="2"/>
          <w:numId w:val="1"/>
        </w:numPr>
        <w:rPr/>
      </w:pPr>
      <w:bookmarkStart w:id="26" w:name="__RefHeading___Toc488233_2281741623"/>
      <w:bookmarkStart w:id="27" w:name="_Toc10"/>
      <w:bookmarkEnd w:id="26"/>
      <w:r>
        <w:rPr>
          <w:rtl w:val="true"/>
        </w:rPr>
        <w:t>مولده و نشأته</w:t>
      </w:r>
      <w:bookmarkEnd w:id="27"/>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قدس‌سره علی الأصحّ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إصفهان، و نشأ بها علی أبیه العلاّمة الفقیه الورع المحقّق المدقّق الباذل السیّد محمّد باقر الشفتیّ، المعروف </w:t>
      </w:r>
      <w:bookmarkStart w:id="28" w:name="pg3696_43256"/>
    </w:p>
    <w:p>
      <w:pPr>
        <w:pStyle w:val="BookText"/>
        <w:rPr/>
      </w:pPr>
      <w:bookmarkEnd w:id="28"/>
      <w:r>
        <w:rPr>
          <w:rFonts w:ascii="IRNazanin" w:hAnsi="IRNazanin" w:eastAsia="IRNazanin"/>
          <w:color w:val="111111"/>
          <w:sz w:val="28"/>
          <w:sz w:val="28"/>
          <w:szCs w:val="28"/>
          <w:rtl w:val="true"/>
          <w:lang w:bidi="fa-IR"/>
        </w:rPr>
        <w:t xml:space="preserve">بحجّة الإسلام علی الإطلاق، من أجلاّء علماء إیران، الّذی کان أمره فی العلم والتحقیق والتدقیق والدیانة والجلالة و مکارم الأخلاق أشهر من أن یذکر و أجلّ من أن یسطر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9" w:name="__RefHeading___Toc488235_2281741623"/>
      <w:bookmarkStart w:id="30" w:name="_Toc11"/>
      <w:bookmarkEnd w:id="29"/>
      <w:r>
        <w:rPr>
          <w:rtl w:val="true"/>
        </w:rPr>
        <w:t>أقوال العلماء فی حقّه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صاحب الروضات فی ترجمة والده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فصلّی علیه قدس‌سره ولده الأفضل ، و خلفه الأسعد الأرشد ، والفقیه الأوحد ، والحبر المؤیّد ، والنور المجرّد ، والعماد الأعمد ، النفس القدسیّ ، والملک الإنسیّ ، الجلیل الأوّاه ، و محبوب الأفئدة ، و ممدوح الأفواه ، مولانا و سیّدنا السیّد أسداللّه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أجلاّء تلامذة شیخنا الأفقه، الأعلم، القمقام، قطب أرحیة هذه الأیّام، الشیخ محمّد حسن النجفی، صاحب جواهر الکلام، منصوصاً علی إجتهاده و فقاهته بلفظه و کتابته، بل محثوثاً علی الرجوع إلی ما أفتی به و حکم، فی جمیع دیار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صاحب الترجمة ـ أوفی اللّه ترحمه ـ یحبّه کثیراً و یحبّ الناس علی متابعته و إجلاله، و قد یرجّحه فی قوّة النظر علی فخرالمحقّقین إبن العلاّمة، فی جواب بعض من سأله عن أحواله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والناس متّفقون علی جلالته، متشاحون علی جماعته، مطبقون علی إرادته، </w:t>
      </w:r>
    </w:p>
    <w:p>
      <w:pPr>
        <w:pStyle w:val="BookText"/>
        <w:rPr/>
      </w:pPr>
      <w:r>
        <w:rPr>
          <w:rFonts w:ascii="IRNazanin" w:hAnsi="IRNazanin" w:eastAsia="IRNazanin"/>
          <w:color w:val="111111"/>
          <w:sz w:val="28"/>
          <w:sz w:val="28"/>
          <w:szCs w:val="28"/>
          <w:rtl w:val="true"/>
          <w:lang w:bidi="fa-IR"/>
        </w:rPr>
        <w:t xml:space="preserve">مادحون جمیل طریقته، حامدون جلیل حقّه و منّه، بل مقدّمون إیّاه علی والده الأکرم فی أغلب مکارم أخلاقه، و محامد أوصافه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الملاّ حبیب اللّه الکاشانیّ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بالفقه والزهد موصوفاً ، و بجلالة الشأن معروفاً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مع کون أسباب الریاسة مجتمعة له کان منقطعاً عن الریاسة، و تحمل المرافعات، وتکلّف التجمّلات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وصفه المحدّث القمی قدس‌سره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أسد اللّه بن محمّد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سند، مروّج الأحکام، فخر الفقهاء الأعلام، ابن سیّدنا الحجّة الإسلام ، از اجلّه تلامذه شیخ محمّد حسن صاحبِ جواهر الکلام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بزرگوارش عنایتی عظیم به او داشته و مردم را به متابعت واجلال او تحریص می‌فرموده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کافّه مردم بر جلالت او متّفق بوده‌اند و او را به ورع و تقوی و علم و حلم ستوده‌اند، و مردم در اغلب مکارم اخلاق ومحامد اوصاف او را بر پدرش مقدّم می‌داشتند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المعلّم الحبیب آبادی قدس‌سره فی مکارم الآثار ما هذا نصّه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علم و عمل و زهد و تقوی و فطانت و کیاست و شهرت و ریاست به درجه أعلی رسیده، چندان که در بعضی مراتب و مقامات از پدر بزرگوار درگذشته، و نظم شعر و حسن خطّ مزید بر مزایا و معالی او گشته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السیّد محسن الأمین قدس‌سره فی أعیان الشیعة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السیّد أسد اللّه من أجلاّء تلامیذ صاحب الجواهر، متّفق علی جلالته و إمامته، کان ورعاً تقیاً زاهداً، معرضاً عن الدنیا و عن منافسة الولاة فی الریاسات، عظیماً، نافذ القول فی بلاد إیران کلّها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قد وصفه أستاذه و شیخه الإجازة، الملاّ أحمد التربتی قدس‌سره ، بعد ذکر أحوال والده رحمهماالله ، ما هذا نصّه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أناب منابه قدس‌سره ولده، الخلف الصالح الجلیل، والعالم الفاضل النبیل، والعبد الزاهد بلا بدیل، الّذی لسان التقریر و التحریر عن عدّ مدائحه کلیل، والّذی قطع النظر عن زخارف الدنیا، وبلغ فی العلم إلی الغایة القصوی، وفی العمل إلی أعلی مراتب الإحتیاط والتقوی، آقا سیّد أسد اللّه ـ أطال اللّه له البقاء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 قال العلاّمة السیّد شفیع الجابلقی قدس‌سره فی الروضة البهیّة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الأعظم، والولی المکرم، الفاضل العالم العامل الزاهد الورع التقی، المجتهد البصیر، والعالم الخبیر، الحاج میرزا أسد اللّه ـ دام عمره الشریف و أطال اللّه بقائه ـ لم یر مثله فی الزهد والورع و التقوی ، بلغ مبلغ والده فی الزهد والمقبولیّة عند العامّة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1" w:name="pg3696_43259"/>
    </w:p>
    <w:p>
      <w:pPr>
        <w:pStyle w:val="BookText"/>
        <w:rPr/>
      </w:pPr>
      <w:bookmarkEnd w:id="3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2" w:name="__RefHeading___Toc488237_2281741623"/>
      <w:bookmarkStart w:id="33" w:name="_Toc12"/>
      <w:bookmarkEnd w:id="32"/>
      <w:r>
        <w:rPr>
          <w:rtl w:val="true"/>
        </w:rPr>
        <w:t>نشأته العلمیّة والإجتماعیّة</w:t>
      </w:r>
      <w:bookmarkEnd w:id="33"/>
    </w:p>
    <w:p>
      <w:pPr>
        <w:pStyle w:val="BookText"/>
        <w:rPr/>
      </w:pPr>
      <w:r>
        <w:rPr>
          <w:rFonts w:ascii="IRNazanin" w:hAnsi="IRNazanin" w:eastAsia="IRNazanin"/>
          <w:color w:val="111111"/>
          <w:sz w:val="28"/>
          <w:sz w:val="28"/>
          <w:szCs w:val="28"/>
          <w:rtl w:val="true"/>
          <w:lang w:bidi="fa-IR"/>
        </w:rPr>
        <w:t xml:space="preserve">قال العلاّمة الطهرانی فی الکرام البررة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رحمه‌الله فی إصفهان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 بها علی أبیه الحجّة الکبری، زعیم إیران یومذاک، نشأة سامیة، ولما درج تعلم القرائة والکتابة و بعض مقدّمات العلوم، ثمّ عیّن له والده المدرّسین فاشتغلوا بتهذیبه، وأتمّ مقدّماته فحضر علی والده الجلیل و سائر علماء إصفهان یومذاک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رحمه‌الله إلی النجف الأشرف فتخرج علی الفقیه الأکبر الشیخ محمّد حسن صاحب الجواهر ، و غیره مدّة طویلة ، حتّی شهد بجلالته ، و اتّفق علی مکانته العلمیّة، و ورعه، و صلاحه، و زهده، و تقواه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شاع عنه طیب الذکر و طبق أرجاء المصر، بعث إلیه والده قدس‌سره فی سنة وفاته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یأمره بالعودة إلی إصفهان ، فعاد إلیها ، و بعد قلیل إنتقل والده العظیم إلی رحمة ربّه، فعطفت الناس علی المترجم، و أنهالت علیه، ولاقی قبولاً تامّاً من عامّة الطبقات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وأخبرنا أستاذه العلاّمة المولی أحمد التربتی قدس‌سره عن‌بعض أحواله ووقائع‌أیّامه، فی ضمن أجازة کتبها له رحمه‌الله ، وإلیک نصّها ففیها فوائد کثیرة ونکات تاریخیّة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فجنابه ـ سلّمه اللّه ـ مع حداثة سنّه وابتلائه بمصائب ترتبت علی وفاة والده، تحمل أمور المسلمین ، واشتغل بالتدریس لأفاضل الطلاّب و المحصّلین، وصرف أوقاته فی تحقیق المسائل بالإستدلال، والردّ إلی الأخبار والأقوال علی طریقة سلیمة، و رویّة مستقیمة، و مع ذلک الشواغل لم یغفل عمّا اعتاده </w:t>
      </w:r>
    </w:p>
    <w:p>
      <w:pPr>
        <w:pStyle w:val="BookText"/>
        <w:rPr/>
      </w:pPr>
      <w:r>
        <w:rPr>
          <w:rFonts w:ascii="IRNazanin" w:hAnsi="IRNazanin" w:eastAsia="IRNazanin"/>
          <w:color w:val="111111"/>
          <w:sz w:val="28"/>
          <w:sz w:val="28"/>
          <w:szCs w:val="28"/>
          <w:rtl w:val="true"/>
          <w:lang w:bidi="fa-IR"/>
        </w:rPr>
        <w:t xml:space="preserve">من المناجات والعبادة، و لم یذهل عمّا اختاره من التواضع والزهادة، ومهما تیسّر له حضر مسجد والده لإقامة صلاة الجماعة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رحمه‌الله ساعیاً فی قضاء حوائج المسلمین بحسن الخلق و البشاشة ، و فی القضاء بین المترافعین بالتروی بل المصالحة ، فاستأنس الناس به لما شاهدوا منه جلالة القدر، و علوّ المنزلة، والتوجّه إلی أمورهم بحسن السیرة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فبینا هم فی رغد من العیش وأمن فی الوطن، أذهبت ریاح الفتن، وأذهبت فراغ النفس وراحة البدن، وفتحت أبواب الشدائد والمحن، بأن وصل الخبر أن مات محمّد شاه فی طهران، وجلس مکانه ولده مع صغره ناصرالدّین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لقلّة سنّه و عدم وصوله مرتبة الرشد والسیاسة ظهر الفتور فی أمر السلطنة، فطمع فی الملک غیر واحد من کلّ قبیلة ، فحینئذ ظهر الفساد فی کثیر من البلدان، و لاسیّما خراسان و إصفهان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خراسان فبخروج سالار بن آصف الدولة، وادعائه الملک و السلطنة، ولیس ذکر تفاصیله هنا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إصفهان فبتعدّی الأشرار والمترفین والظلمة، فلم یعتنوا بالسلطان و أمناء الدولة، فآل الأمر إلی أن أرسلوا من طهران والیاً إلی إصفهان، فلم یطیعوه، بل أهانوه و ضیّعوه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أرسلوا من طهران والیاً إلی إصفهان أمیر الجنود غلام حسین خان مع العسکر والنظام، فلم یعتنوا به و بمقامه و لا بجیشه و نظامه ، فأبرموا فی المنازعة والجدال، و أضرموا نار المحاربة والقتال، واجتمعوا فی محلة بید آباد، و أجمعوا علی الفتنة والفساد ، و أصرّوا علی النزاع ، و تمسّکوا </w:t>
      </w:r>
    </w:p>
    <w:p>
      <w:pPr>
        <w:pStyle w:val="BookText"/>
        <w:rPr/>
      </w:pPr>
      <w:r>
        <w:rPr>
          <w:rFonts w:ascii="IRNazanin" w:hAnsi="IRNazanin" w:eastAsia="IRNazanin"/>
          <w:color w:val="111111"/>
          <w:sz w:val="28"/>
          <w:sz w:val="28"/>
          <w:szCs w:val="28"/>
          <w:rtl w:val="true"/>
          <w:lang w:bidi="fa-IR"/>
        </w:rPr>
        <w:t xml:space="preserve">بشبهة الدفاع، و قتل من الطرفین جماعة کثیرة، ونهب أموال خطیرة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فتوهّم أتباع السلطان بل کثیر من أهل إصفهان أن سیّدنا المقدم آقا سیّد أسد اللّه ـ سلّمه اللّه ـ رضی بأفعالهم، و یصغی بأقوالهم، مع انّه لم یتمکّن من دفعهم، و ما دخل مواعظه فی سمعهم، لسبب لم یناسب ذکره فلم نهتک ستره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فبقی ـ سلّمه اللّه ـ متفکّراً متحیّراً إن خرج من البلد ولو خفاءاً ، استولی عسکر السلطان علی بیدآباد و بعض محلاّت أخر، و نهبوا الأموال، وقتلوا الرجال، و سفکت الدماء، و سبیت النساء مع مفاسد أخری، و إن بقی بحاله وجلس فی مکانه صار متّهماً بالداعیة و مخالفته للسلطان و أمناء الدولة ، مع ما یترتّب علیها من المفاسد العظیمة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فجزم عزمه إلی أن سافر إلی طهران لملاقاة أمناء الدولة بعد لقاء السلطان، و توسط عندهم، واستشفع لدیهم فی أمر الأشرار والمقصّرین، وإن لم تقبل شفاعته و لم یثمر وساطته، فلا أقلّ من أن ترفع الغائلة عن أهل إصفهان، و تدفع البلیّة عن کثیر من أهل الإیمان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فخرج إلی خارج البلد لنقل المکان، بعد إستمالة قلوب المقصّرین، و تهیئة الأسباب اللازمة للمسافرین فی یوم الثلثاء، غرّة شهر ربیع الأوّل من شهور سنة ستّ و ستّین و مائتین بعد الألف من الهجرة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أخرج معه جمیع الأشرار والمقصّرین و خرج معه کثیر من الطلاّب والمحصّلین، وصاحبه جماعة من العلماء والأشراف والعلویّین، و تبعه بعض إخوانه و أقاربه و جیرانه، و خرج جمع کثیر من الرجال والنساء عازمین للزیارة لما سمعوا بنقل مکانه، و صحب معه جمّ غفیر مع مال خطیر للتجارة </w:t>
      </w:r>
    </w:p>
    <w:p>
      <w:pPr>
        <w:pStyle w:val="BookText"/>
        <w:rPr/>
      </w:pPr>
      <w:r>
        <w:rPr>
          <w:rFonts w:ascii="IRNazanin" w:hAnsi="IRNazanin" w:eastAsia="IRNazanin"/>
          <w:color w:val="111111"/>
          <w:sz w:val="28"/>
          <w:sz w:val="28"/>
          <w:szCs w:val="28"/>
          <w:rtl w:val="true"/>
          <w:lang w:bidi="fa-IR"/>
        </w:rPr>
        <w:t xml:space="preserve">إلی کاشان و قم و طهران و غیرها من البلدان، فخرجوا بأجمعهم وذهبوا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وصلوا قریة مورچه خوار، علی تسع فراسخ من إصفهان، فأرسل الأمیر سپهدار جیشاً من الرجال و الرکبان، و أمرهم أن یتعاقبوهم ، و یلحقوا بهم، و یحاربوا معهم، و یستأصلوا الأشرار والمقصّرین، و أمر علیهم الغافل المتجبر، والظالم المتکبّر، قیقاوس میرزا، فتعاقبوهم، و لحقوا بهم أوّل النهار یوم الأحد ، سادس الشهر المذکور ، بعد خروجهم من مورچه خوار بقرب آب انبار، فی صحراء خالیة و فضاء صافیة، لا فیها حصن و لا جدار، و لا ماء و لا أشجار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فلمّا أحسّوا بمجیء الجیش و وروده والظالم و جنوده، توحش المقصّرون ودهش الأشرار، فاحترزوا عن التوقّف والقرار، وافترضوا التخلّف و الفرار، فذهب کلّ إلی قطر من الأقطار، و بقی من لا جرم له ولاجنایة، و ما صدر منه تقصیر و لا خیانة، فأحاطوا بهم کالکلاب العادیة، و هجموا علیهم کالذئاب الضاریة، فشرعوا فی شتمهم، و أسرعوا إلی زجرهم و لطمهم، وبادروا إلی نهبهم، وبالغوا فی سلبهم، فنهبوا أموالهم، وأذهبوا رحالهم، وغصبوا دوابهم، و سلبوا ثیابهم، و أصروا فی إیذائهم، ولم یقصروا فی جفائهم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ـ سلّمه اللّه ـ إلی إصفهان مع قلیل من أصحابه و من بقی من أحزابه، واشتدّ کربه و غمّه و حزنه و همّه، و صعبت بلیّته، حتّی أسرعت إلیه فی سنّ الشباب شیبته، و ضعفت بنیته، فعرضت له النقاهة و بعض الأمراض، و ظهرت فی مزاجه کثیر من العلل والأمراض، و لم یجد أحداً یشکو عمّا ورد علیه إلیه، و لا من یعرض ما وصل إلیه علیه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فعزم علی أن یسافر إلی خدمة أجداده الطاهرین، و یلازم عتبة آبائه الطیّبین، </w:t>
      </w:r>
    </w:p>
    <w:p>
      <w:pPr>
        <w:pStyle w:val="BookText"/>
        <w:rPr/>
      </w:pPr>
      <w:r>
        <w:rPr>
          <w:rFonts w:ascii="IRNazanin" w:hAnsi="IRNazanin" w:eastAsia="IRNazanin"/>
          <w:color w:val="111111"/>
          <w:sz w:val="28"/>
          <w:sz w:val="28"/>
          <w:szCs w:val="28"/>
          <w:rtl w:val="true"/>
          <w:lang w:bidi="fa-IR"/>
        </w:rPr>
        <w:t xml:space="preserve">و یشکو غمّه إلیهم، و یفوح همّه لدیهم، فهجم الخواصّ وازدحم عموم الناس، و سألوا منه أن لایفارقهم، و استدعوا منه المقام عندهم، فاضطرّ إلی إجابتهم، و لجأ إلی قبول مسألتهم، فقبل منهم لأجل صبرتهم لما أصابهم من الضرّ والضرر فی خدمته، و تحملهم الأذی فی جنبه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فبعد مضی مدّة تغیّر مزاجه و عسر علاجه، فاشتغل بالدواء، وخرج إلی بعض القری لتبدیل الماء والهواء، کما هو المتعارف عند المعالجین والأطبّاء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سافر من هناک إلی العتبات العالیات علی سبیل الخفاء، فتشرف إلی خدمة أجداده الطاهرین، و فاز بزیارة آبائه المعصومین، واشتغل بما کان یأمله من العبادة، و أقبل علی ما یرجوه من التوجّه والزیارة، و بعدهما علی التصنیف والتألیف والتدریس لأفاضل الطلبة، و رزقه اللّه هناک حجّ بیته الحرام، و زیارة جدّه و جدّته، و أئمّة البقیع ـ علیهم الصلاة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رجع بعد الحجّ والزیارة إلی العتبة الغرویّة، واشتغل بما کان شأنه الإشتغال به، و أقبل علی ما کان دأبه الإقبال علیه، مع الاعزاز والإجلال علی الوجه الأتمّ عند مشایخ العرب و أشراف العجم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بعد ما هاجر عن الاوطان، صعب الأمر علی أهل إصفهان، و عزّ فراقه علی أهل الإیمان، فلم یجدوا بدّاً إلاّ التوسّل بالرّحیم الرّحمن، والتوکّل علی الرئوف الحنّان، فمنّ اللّه علیهم بأن أهلک الوزیر الملقّب بالأمیر فی دارالمؤمنین کاشان، و تصدّی أمر الوزارة الخان العظیم الشأن، المدعوّ بلشکر نویس میرزا آقا خان </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فأخذ فی إصلاح ما فسد، و شرع فی ترویج ما کسد بأمر السلطان بن السلطان والخاقان بن الخاقان ناصر الدّین شاه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فأرسل رسولاً مع عرایضه </w:t>
      </w:r>
    </w:p>
    <w:p>
      <w:pPr>
        <w:pStyle w:val="BookText"/>
        <w:rPr/>
      </w:pPr>
      <w:r>
        <w:rPr>
          <w:rFonts w:ascii="IRNazanin" w:hAnsi="IRNazanin" w:eastAsia="IRNazanin"/>
          <w:color w:val="111111"/>
          <w:sz w:val="28"/>
          <w:sz w:val="28"/>
          <w:szCs w:val="28"/>
          <w:rtl w:val="true"/>
          <w:lang w:bidi="fa-IR"/>
        </w:rPr>
        <w:t xml:space="preserve">ومراسلات من السلطان و من تبعه إلی خدمته، معتذراً عمّا مضی من هتک حرمته، مستدعیاً منه العود إلی محلّ توطّن والده، و مجاورة تربته، و حراسة أهله و عشیرته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 ذلک أرسل عرایض من إصفهان إلی جنابه من أقاربه و أخوته وأصدقائه و أحبته، بل سافر جمع إلی العتبات و وصلوا إلی خدمته، و سألوا منه العود إلی موطنه، فلم یقبل، إذ کلّما أدبر شیء فأقبل، فاعتکفوا فی جواره، واکتنفوا عتبة داره، واستشفعوا بآبائه و أصروا، و لم یقنعوا بآبائه واستقروا، وأقبلوا علی الدعاء، و سألوا عن ربّهم کشف البلاء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فاستجاب اللّه دعوتهم، و أعطاهم مسألتهم، و کشف کربتهم، و تفضّل علیهم بأن فسخ عزیمته، و نقض همّته، و بدل شکیمته، و قلب حیلته، و غیّر نیّته، فقضی بمراجعته، فرضی بمعاودته، فترک المجاورة، واختار المسافرة، فرجع وفی خدمته جمع کثیر من المؤمنین و أفاضل المحصّلین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فورد ـ سلّمه اللّه ـ إصفهان یوم الجمعة، ثامن شهر رمضان لما مضی من الهجرة بعد الألف من السنین إحدی و سبعون و مأتان </w:t>
      </w:r>
      <w:r>
        <w:rPr>
          <w:rFonts w:eastAsia="IRNazanin" w:cs="IRNazanin"/>
          <w:color w:val="111111"/>
          <w:sz w:val="28"/>
          <w:szCs w:val="28"/>
          <w:rtl w:val="true"/>
          <w:lang w:bidi="fa-IR"/>
        </w:rPr>
        <w:t xml:space="preserve">(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فلمّا سمع الناس بقدومه و إقباله، أجمعوا علی إجلاله، و أسرعوا إلی إستقباله، فخرج من البلد من الرجال والنسوان عدّة آلاف، مع کون أکثرهم من الطلاّب والسادات، بل العلماء والأعاظم والأشراف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رأیت فی مدّة توطنی فی إصفهان، و هی نحو من سبع و أربعین سنة وأربعة أشهر، لأحد من العلماء بمثل هذا الإزدحام، و هجوم الناس من الخاصّ و العامّ، و فرح بقدومه کافة الأنام، و بالغوا فی إحترامه غایة الإحترام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فازداد بحمداللّه یوماً فیوماً فی القدر والمنزلة والقبول والمرتبة، فتلقّاه </w:t>
      </w:r>
      <w:bookmarkStart w:id="34" w:name="pg3696_43265"/>
    </w:p>
    <w:p>
      <w:pPr>
        <w:pStyle w:val="BookText"/>
        <w:rPr/>
      </w:pPr>
      <w:bookmarkEnd w:id="34"/>
      <w:r>
        <w:rPr>
          <w:rFonts w:ascii="IRNazanin" w:hAnsi="IRNazanin" w:eastAsia="IRNazanin"/>
          <w:color w:val="111111"/>
          <w:sz w:val="28"/>
          <w:sz w:val="28"/>
          <w:szCs w:val="28"/>
          <w:rtl w:val="true"/>
          <w:lang w:bidi="fa-IR"/>
        </w:rPr>
        <w:t xml:space="preserve">بالقبول العامّة والخاصّة، بل الأمراء و أمناء الدولة، بل العلماء وأماثل المجتهدین أظهروا وثاقته و فضیلته، واللّه أعلم حیث یجعل رسالته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فاشتغل ـ سلّمه اللّه ـ بالتدریس والتصنیف والتألیف والإفتاء والحکم والقضاء، و تبلیغ الأحکام الشرعیّة، وترویج الشریعة النبویّة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فحقّق المسائل الأصولیّة، و دقّق فی المسائل الفروعیّة، و فرّع تفریعات جدیدة، وصنّف تصنیفات حسنة، و ألّف تألیفات مستحسنة، فاجتمع فیه خلال العلم والفضیلة، و عرج إلی أعلی مراتب الإجتهاد والفقاهة، و لم یخل بشیء من ضوابط العلم والدرایة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488239_2281741623"/>
      <w:bookmarkStart w:id="36" w:name="_Toc13"/>
      <w:bookmarkEnd w:id="35"/>
      <w:r>
        <w:rPr>
          <w:rtl w:val="true"/>
        </w:rPr>
        <w:t>أساتذته و مشایخه قدس‌سره</w:t>
      </w:r>
      <w:bookmarkEnd w:id="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والده السیّد محمّد باقر بن محمّد نقی الشفتی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أحمد بن علی أکبر التربتی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حسن بن باقر النجفی، صاحب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بن محمّد باقر القزوینی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إبراهیم بن محمّد حسن الکلباسی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مرتضی بن محمّد أمین الأنصاری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نوح بن قاسم الجعفری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37" w:name="pg3696_43266"/>
    </w:p>
    <w:p>
      <w:pPr>
        <w:pStyle w:val="Heading3"/>
        <w:numPr>
          <w:ilvl w:val="2"/>
          <w:numId w:val="1"/>
        </w:numPr>
        <w:rPr/>
      </w:pPr>
      <w:bookmarkStart w:id="38" w:name="__RefHeading___Toc488241_2281741623"/>
      <w:bookmarkStart w:id="39" w:name="_Toc14"/>
      <w:bookmarkEnd w:id="37"/>
      <w:bookmarkEnd w:id="38"/>
      <w:r>
        <w:rPr>
          <w:rtl w:val="true"/>
        </w:rPr>
        <w:t>تلامذته والراوون عنه قدس‌سره</w:t>
      </w:r>
      <w:bookmarkEnd w:id="3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فتح اللّه بن محمّد جواد النمازی الشیرازی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بن محمّد حسن المجتهد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بن محمّد حسن المجتهد الموسوی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شهاب‌الدّین بن محمّد حسن المجتهد الموسوی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بن طعمة الزریجاوی النجفی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آقا النهاوندی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الملاّ علی بن قربانعلی الکنی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بن عبدالکریم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عبدالرّزاق بن کاظم اللکرودی الرشتی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عبدالحمید بن محمّد حسین مستجاب الدعوة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بن عبدالوهّاب الهمدانی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زین العابدین بن محمّد علی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حسین بن میرزا خلیل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القوجانی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بن محمّد علی الحسینی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باقر الخوانساری الجارسوقی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جعفر بن محمّد باقر الشفتی، أخ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باقر الشفتی، ولد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 </w:t>
      </w:r>
      <w:bookmarkStart w:id="40" w:name="pg3696_43267"/>
    </w:p>
    <w:p>
      <w:pPr>
        <w:pStyle w:val="BookText"/>
        <w:rPr/>
      </w:pPr>
      <w:bookmarkEnd w:id="40"/>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جواد بن محمّد صادق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حسن بن محمّد الحسینی الخاتون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rtl w:val="true"/>
          <w:lang w:bidi="fa-IR"/>
        </w:rPr>
        <w:t xml:space="preserve">: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Heading3"/>
        <w:numPr>
          <w:ilvl w:val="2"/>
          <w:numId w:val="1"/>
        </w:numPr>
        <w:rPr/>
      </w:pPr>
      <w:bookmarkStart w:id="41" w:name="__RefHeading___Toc488243_2281741623"/>
      <w:bookmarkStart w:id="42" w:name="_Toc15"/>
      <w:bookmarkEnd w:id="41"/>
      <w:r>
        <w:rPr>
          <w:rtl w:val="true"/>
        </w:rPr>
        <w:t>مجمع درسه قدس‌سره</w:t>
      </w:r>
      <w:bookmarkEnd w:id="42"/>
    </w:p>
    <w:p>
      <w:pPr>
        <w:pStyle w:val="BookText"/>
        <w:rPr/>
      </w:pPr>
      <w:r>
        <w:rPr>
          <w:rFonts w:ascii="IRNazanin" w:hAnsi="IRNazanin" w:eastAsia="IRNazanin"/>
          <w:color w:val="111111"/>
          <w:sz w:val="28"/>
          <w:sz w:val="28"/>
          <w:szCs w:val="28"/>
          <w:rtl w:val="true"/>
          <w:lang w:bidi="fa-IR"/>
        </w:rPr>
        <w:t xml:space="preserve">قد وصف مجلس درسه الملاّ حبیب اللّه الکاشانیّ قدس‌سره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مع کونه فاضلاً متبحّراً لم یکن یدرّس الأصول و المعاملات من الفقه، بل کان درسه منحصراً فی العبادات ،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والدی أوصانی بذلک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3" w:name="__RefHeading___Toc488245_2281741623"/>
      <w:bookmarkStart w:id="44" w:name="_Toc16"/>
      <w:bookmarkEnd w:id="43"/>
      <w:r>
        <w:rPr>
          <w:rtl w:val="true"/>
        </w:rPr>
        <w:t>آثاره الخیریّة</w:t>
      </w:r>
      <w:bookmarkEnd w:id="44"/>
    </w:p>
    <w:p>
      <w:pPr>
        <w:pStyle w:val="BookText"/>
        <w:rPr/>
      </w:pPr>
      <w:r>
        <w:rPr>
          <w:rFonts w:ascii="IRNazanin" w:hAnsi="IRNazanin" w:eastAsia="IRNazanin"/>
          <w:color w:val="111111"/>
          <w:sz w:val="28"/>
          <w:sz w:val="28"/>
          <w:szCs w:val="28"/>
          <w:rtl w:val="true"/>
          <w:lang w:bidi="fa-IR"/>
        </w:rPr>
        <w:t xml:space="preserve">و له قدس‌سره آثار خیریّة باقیة، من التصنیفات الجلیلة، والمصالح العامّة ؛ أمّا من أعظم مصالحه و آثاره کان إجراء ماء الفرات إلی النجف الأشرف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الأمین قدس‌سره فی أعیان الشیعة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فانّه قدس‌سره بعد ما زار النجف، و رجع إلی بلاد إیران، عزم علی إتمام ما شرع به الشیخ محمّد حسن صاحب الجواهر، وإیصال ماء الفرات إلی النجف، واستحصل المال من ثلث ترکة السردار محمّد إسماعیل خان النوری وکیل الملک کما فی المآثر و الآثار، و فی مجموعة الشبیبی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ثلث مال إسماعیل خان والی کرمان ؛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ثلاثون ألف تومان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أرسل المهندسین وشرعوا فی العمل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تمّ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فحفرت آبار بین المکان الّذی وصل إلیه فی عهد صاحب الجواهر وبین النجف فی وسط النهر الّذی کان حفره صاحب الجواهر، و مرّ بها من قبلی النجف إلی جهة المغرب، و ذلک لانّ حفر النهر إلی عمق یجری فیه الماء غیر متیسّر و لا ممکن کما مرّ ، و کان العزم علیه فی زمن صاحب الجواهر غیر مبنیّ علی فنّ و هندسة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حفر هذه الآبار وصل بینها بقناة تحت الأرض، ثمّ ظهر انّ تلک الآبار کان عمقها زائداً عن اللازم فاحتاجوا إلی طم الزائد، وأجری الماء فی تلک القناة، وجعل یصب فی المکان المنخفض غربی النجف، و عملت علیه رحی اصدر ریعها لإصلاح القناة، و بنیت هناک برکة یستقی منها السقاؤون، و بقیت الناس تنتفع بهذا الماء إلی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ذلک نحو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أرخ الشعراء ذلک ، فقال الشیخ محمّد بن الشیخ کاظم الجزائری النجفی من قصیدة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شربوا الماء زلالاً بعد شرب الآجنات</w:t>
      </w:r>
    </w:p>
    <w:p>
      <w:pPr>
        <w:pStyle w:val="BookText"/>
        <w:rPr/>
      </w:pPr>
      <w:r>
        <w:rPr>
          <w:rFonts w:ascii="IRNazanin" w:hAnsi="IRNazanin" w:eastAsia="IRNazanin"/>
          <w:color w:val="111111"/>
          <w:sz w:val="28"/>
          <w:sz w:val="28"/>
          <w:szCs w:val="28"/>
          <w:rtl w:val="true"/>
          <w:lang w:bidi="fa-IR"/>
        </w:rPr>
        <w:t xml:space="preserve">فاشرب الماء و أرخ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اشرب الماء الفرات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ascii="IRNazanin" w:hAnsi="IRNazanin" w:eastAsia="IRNazanin"/>
          <w:color w:val="111111"/>
          <w:sz w:val="28"/>
          <w:sz w:val="28"/>
          <w:szCs w:val="28"/>
          <w:rtl w:val="true"/>
          <w:lang w:bidi="fa-IR"/>
        </w:rPr>
        <w:t xml:space="preserve">و قال المیرزا محمّد بن داود الهمدانی صاحب فصوص الیواقیت فی التواریخ المنظومة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مذ أسد اللّه الهمام السری سلیل ساقی الناس من کوثر </w:t>
      </w:r>
      <w:bookmarkStart w:id="45" w:name="pg3696_43269"/>
    </w:p>
    <w:p>
      <w:pPr>
        <w:pStyle w:val="BookText"/>
        <w:rPr/>
      </w:pPr>
      <w:bookmarkEnd w:id="45"/>
      <w:r>
        <w:rPr>
          <w:rFonts w:ascii="IRNazanin" w:hAnsi="IRNazanin" w:eastAsia="IRNazanin"/>
          <w:color w:val="111111"/>
          <w:sz w:val="28"/>
          <w:sz w:val="28"/>
          <w:szCs w:val="28"/>
          <w:rtl w:val="true"/>
          <w:lang w:bidi="fa-IR"/>
        </w:rPr>
        <w:t xml:space="preserve">أجری إلی الغری ماءً مری قد أرخوه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ماء الغری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1288</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6" w:name="__RefHeading___Toc488247_2281741623"/>
      <w:bookmarkStart w:id="47" w:name="_Toc17"/>
      <w:bookmarkEnd w:id="46"/>
      <w:r>
        <w:rPr>
          <w:rtl w:val="true"/>
        </w:rPr>
        <w:t>تآلیفه القیّمة</w:t>
      </w:r>
      <w:bookmarkEnd w:id="47"/>
    </w:p>
    <w:p>
      <w:pPr>
        <w:pStyle w:val="BookText"/>
        <w:rPr/>
      </w:pPr>
      <w:r>
        <w:rPr>
          <w:rFonts w:ascii="IRNazanin" w:hAnsi="IRNazanin" w:eastAsia="IRNazanin"/>
          <w:color w:val="111111"/>
          <w:sz w:val="28"/>
          <w:sz w:val="28"/>
          <w:szCs w:val="28"/>
          <w:rtl w:val="true"/>
          <w:lang w:bidi="fa-IR"/>
        </w:rPr>
        <w:t xml:space="preserve">قد ألّف رحمه‌الله کتباً و رسائل کثیرة فی موضوعات مختلفة، من الفقه والأصول والحدیث والکلام و غیرها، و إلیک تفصیلها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الرسائل الفقهیّة</w:t>
      </w:r>
    </w:p>
    <w:p>
      <w:pPr>
        <w:pStyle w:val="BookText"/>
        <w:rPr/>
      </w:pPr>
      <w:r>
        <w:rPr>
          <w:rFonts w:ascii="IRNazanin" w:hAnsi="IRNazanin" w:eastAsia="IRNazanin"/>
          <w:color w:val="111111"/>
          <w:sz w:val="28"/>
          <w:sz w:val="28"/>
          <w:szCs w:val="28"/>
          <w:rtl w:val="true"/>
          <w:lang w:bidi="fa-IR"/>
        </w:rPr>
        <w:t xml:space="preserve">و هی مشتملة علی عدّة کثیرة من رسائله الفقهیّة الإستدلالیّة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شرائع الإسلام</w:t>
      </w:r>
    </w:p>
    <w:p>
      <w:pPr>
        <w:pStyle w:val="BookText"/>
        <w:rPr/>
      </w:pPr>
      <w:r>
        <w:rPr>
          <w:rFonts w:ascii="IRNazanin" w:hAnsi="IRNazanin" w:eastAsia="IRNazanin"/>
          <w:color w:val="111111"/>
          <w:sz w:val="28"/>
          <w:sz w:val="28"/>
          <w:szCs w:val="28"/>
          <w:rtl w:val="true"/>
          <w:lang w:bidi="fa-IR"/>
        </w:rPr>
        <w:t xml:space="preserve">فی مجلّدات کثیرة کبیرة تحتوی علی شرح هذه الکتب الفقهیّة من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ـ کتاب الطهارة ؛ ب ـ کتاب الصلاة ؛ ج ـ کتاب الحجّ ؛ د ـ کتاب الفرائض ه ـ کتاب الأمر بالمعروف والنهی عن المنکر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العصیریّة</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رسالة فی بیان أحکام الخمر و سائر المسکرات و العصیر العنبیّ والزبیبیّ والتمریّ، و هی الّتی بین یدیک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التقلید</w:t>
      </w:r>
    </w:p>
    <w:p>
      <w:pPr>
        <w:pStyle w:val="BookText"/>
        <w:rPr/>
      </w:pPr>
      <w:r>
        <w:rPr>
          <w:rFonts w:ascii="IRNazanin" w:hAnsi="IRNazanin" w:eastAsia="IRNazanin"/>
          <w:color w:val="111111"/>
          <w:sz w:val="28"/>
          <w:sz w:val="28"/>
          <w:szCs w:val="28"/>
          <w:rtl w:val="true"/>
          <w:lang w:bidi="fa-IR"/>
        </w:rPr>
        <w:t xml:space="preserve">و هی رسالة وجیزة، حسنة الوضع، فی بیان أحکام التقلید و مسائله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معرفة التکالیف</w:t>
      </w:r>
    </w:p>
    <w:p>
      <w:pPr>
        <w:pStyle w:val="BookText"/>
        <w:rPr/>
      </w:pPr>
      <w:r>
        <w:rPr>
          <w:rFonts w:ascii="IRNazanin" w:hAnsi="IRNazanin" w:eastAsia="IRNazanin"/>
          <w:color w:val="111111"/>
          <w:sz w:val="28"/>
          <w:sz w:val="28"/>
          <w:szCs w:val="28"/>
          <w:rtl w:val="true"/>
          <w:lang w:bidi="fa-IR"/>
        </w:rPr>
        <w:t xml:space="preserve">هی رسالة کبیرة محتویة علی معرفة أحکام الصلاة والزکاة والخمس والصوم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نجاة الألوار</w:t>
      </w:r>
    </w:p>
    <w:p>
      <w:pPr>
        <w:pStyle w:val="BookText"/>
        <w:rPr/>
      </w:pPr>
      <w:r>
        <w:rPr>
          <w:rFonts w:ascii="IRNazanin" w:hAnsi="IRNazanin" w:eastAsia="IRNazanin"/>
          <w:color w:val="111111"/>
          <w:sz w:val="28"/>
          <w:sz w:val="28"/>
          <w:szCs w:val="28"/>
          <w:rtl w:val="true"/>
          <w:lang w:bidi="fa-IR"/>
        </w:rPr>
        <w:t xml:space="preserve">رسالة مختصرة بمنزلة رسالته العملیّة، المشتملة علی فتاویه الشریفة، إجابة لسؤال یداللّه البختیاری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p>
    <w:p>
      <w:pPr>
        <w:pStyle w:val="BookText"/>
        <w:rPr/>
      </w:pPr>
      <w:r>
        <w:rPr>
          <w:rFonts w:ascii="IRNazanin" w:hAnsi="IRNazanin" w:eastAsia="IRNazanin"/>
          <w:color w:val="111111"/>
          <w:sz w:val="28"/>
          <w:sz w:val="28"/>
          <w:szCs w:val="28"/>
          <w:rtl w:val="true"/>
          <w:lang w:bidi="fa-IR"/>
        </w:rPr>
        <w:t xml:space="preserve">رسالة وجیزة فی مناسک الحجّ والعمرة، فارسی، و هی علی ترتیب مناسک والده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الرسالة العملیّة</w:t>
      </w:r>
    </w:p>
    <w:p>
      <w:pPr>
        <w:pStyle w:val="BookText"/>
        <w:rPr/>
      </w:pPr>
      <w:r>
        <w:rPr>
          <w:rFonts w:ascii="IRNazanin" w:hAnsi="IRNazanin" w:eastAsia="IRNazanin"/>
          <w:color w:val="111111"/>
          <w:sz w:val="28"/>
          <w:sz w:val="28"/>
          <w:szCs w:val="28"/>
          <w:rtl w:val="true"/>
          <w:lang w:bidi="fa-IR"/>
        </w:rPr>
        <w:t xml:space="preserve">وهی رسالة فارسیة من‌الطهارة إلی الصوم، انتخبها السیّد علی تلمیذ المصنّف فی حیاته، و عبّر فیها عنه بـ شیخنا و سیّدنا و مولانا دام ظلّه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الإستصحاب</w:t>
      </w:r>
    </w:p>
    <w:p>
      <w:pPr>
        <w:pStyle w:val="BookText"/>
        <w:rPr/>
      </w:pPr>
      <w:r>
        <w:rPr>
          <w:rFonts w:ascii="IRNazanin" w:hAnsi="IRNazanin" w:eastAsia="IRNazanin"/>
          <w:color w:val="111111"/>
          <w:sz w:val="28"/>
          <w:sz w:val="28"/>
          <w:szCs w:val="28"/>
          <w:rtl w:val="true"/>
          <w:lang w:bidi="fa-IR"/>
        </w:rPr>
        <w:t xml:space="preserve">و هی رسالة إستدلالیّة فی الأصول، فی بیان مباحث إستصحاب الحال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کتاب تحفة الأبرار</w:t>
      </w:r>
    </w:p>
    <w:p>
      <w:pPr>
        <w:pStyle w:val="BookText"/>
        <w:rPr/>
      </w:pPr>
      <w:r>
        <w:rPr>
          <w:rFonts w:ascii="IRNazanin" w:hAnsi="IRNazanin" w:eastAsia="IRNazanin"/>
          <w:color w:val="111111"/>
          <w:sz w:val="28"/>
          <w:sz w:val="28"/>
          <w:szCs w:val="28"/>
          <w:rtl w:val="true"/>
          <w:lang w:bidi="fa-IR"/>
        </w:rPr>
        <w:t xml:space="preserve">و هی حواش مختصرة علی کتاب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تحفة الأبرار الملتقط من آثار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والده العلاّمة قدس‌سره ، و رمزها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س 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طبعتا معاً بتحقیق الفاضل الخبیر حجّة الإسلام السیّد مهدی الرجائی ـ حفظه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النخبة فی العبادات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حواشیه رحمه‌الله علی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النخبة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هی رسالة عملیّة للعلاّمة الحاج محمّد إبراهیم الکلباسی قدس‌سره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البهجة المرضیّة فی شرح الألفیة</w:t>
      </w:r>
    </w:p>
    <w:p>
      <w:pPr>
        <w:pStyle w:val="BookText"/>
        <w:rPr/>
      </w:pPr>
      <w:r>
        <w:rPr>
          <w:rFonts w:ascii="IRNazanin" w:hAnsi="IRNazanin" w:eastAsia="IRNazanin"/>
          <w:color w:val="111111"/>
          <w:sz w:val="28"/>
          <w:sz w:val="28"/>
          <w:szCs w:val="28"/>
          <w:rtl w:val="true"/>
          <w:lang w:bidi="fa-IR"/>
        </w:rPr>
        <w:t xml:space="preserve">و هی بمنزلة إتمام شرح والده قدس‌سره علیها، و هو رحمه‌الله کتبها بأمره و أتمّها، و من المأسوف أن لا نوجد إلی الآن نسخة من هذه الحاشیة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الرجال</w:t>
      </w:r>
    </w:p>
    <w:p>
      <w:pPr>
        <w:pStyle w:val="BookText"/>
        <w:rPr/>
      </w:pPr>
      <w:r>
        <w:rPr>
          <w:rFonts w:ascii="IRNazanin" w:hAnsi="IRNazanin" w:eastAsia="IRNazanin"/>
          <w:color w:val="111111"/>
          <w:sz w:val="28"/>
          <w:sz w:val="28"/>
          <w:szCs w:val="28"/>
          <w:rtl w:val="true"/>
          <w:lang w:bidi="fa-IR"/>
        </w:rPr>
        <w:t xml:space="preserve">و هی رسالة مختصرة مشتملة علی نبذة من إصطلاحات علم الرجال و أحوالاته و أحکامه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الإمامة</w:t>
      </w:r>
    </w:p>
    <w:p>
      <w:pPr>
        <w:pStyle w:val="BookText"/>
        <w:rPr/>
      </w:pPr>
      <w:r>
        <w:rPr>
          <w:rFonts w:ascii="IRNazanin" w:hAnsi="IRNazanin" w:eastAsia="IRNazanin"/>
          <w:color w:val="111111"/>
          <w:sz w:val="28"/>
          <w:sz w:val="28"/>
          <w:szCs w:val="28"/>
          <w:rtl w:val="true"/>
          <w:lang w:bidi="fa-IR"/>
        </w:rPr>
        <w:t xml:space="preserve">و هی موسوعة کبیرة جدّاً فی الإمامة، و طبع فی مجلّد، بتحقیق الفاضل الخبیر حجّة الإسلام السیّد مهدی الرجائی ـ حفظه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الصحاح</w:t>
      </w:r>
    </w:p>
    <w:p>
      <w:pPr>
        <w:pStyle w:val="BookText"/>
        <w:rPr/>
      </w:pPr>
      <w:r>
        <w:rPr>
          <w:rFonts w:ascii="IRNazanin" w:hAnsi="IRNazanin" w:eastAsia="IRNazanin"/>
          <w:color w:val="111111"/>
          <w:sz w:val="28"/>
          <w:sz w:val="28"/>
          <w:szCs w:val="28"/>
          <w:rtl w:val="true"/>
          <w:lang w:bidi="fa-IR"/>
        </w:rPr>
        <w:t xml:space="preserve">استخرجه رحمه‌الله من عدّة کتب مشهورة،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الطرائف لإبن طاوس قدس‌سره ، شرح نهج البلاغة لإبن أبیالحدید، الصوائق المحرقة لإبن حجر العسقلانی، والصحیحین للمسلم والبخاری ؛ و أبیاته تبلغ </w:t>
      </w:r>
      <w:r>
        <w:rPr>
          <w:rFonts w:eastAsia="IRNazanin" w:cs="IRNazanin"/>
          <w:color w:val="111111"/>
          <w:sz w:val="28"/>
          <w:szCs w:val="28"/>
          <w:lang w:bidi="fa-IR"/>
        </w:rPr>
        <w:t>12000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الشیخ آقا بزرگ الطهرانی بـ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المناقب </w:t>
      </w:r>
      <w:r>
        <w:rPr>
          <w:rFonts w:eastAsia="IRNazanin" w:cs="IRNazanin"/>
          <w:color w:val="111111"/>
          <w:sz w:val="28"/>
          <w:szCs w:val="28"/>
          <w:rtl w:val="true"/>
          <w:lang w:bidi="fa-IR"/>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الغیبة</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حول الإمام الثانی عشر، القائم المهدیّ علیه‌السلام ، و إثبات إمامته، و بیان أحواله وسیرته علیه‌السلام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نوعه کتاب جامع، محتو لفوائد کثیرة، وسیطبع إن شاء اللّه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زیارة عاشوراء</w:t>
      </w:r>
    </w:p>
    <w:p>
      <w:pPr>
        <w:pStyle w:val="BookText"/>
        <w:rPr/>
      </w:pPr>
      <w:r>
        <w:rPr>
          <w:rFonts w:ascii="IRNazanin" w:hAnsi="IRNazanin" w:eastAsia="IRNazanin"/>
          <w:color w:val="111111"/>
          <w:sz w:val="28"/>
          <w:sz w:val="28"/>
          <w:szCs w:val="28"/>
          <w:rtl w:val="true"/>
          <w:lang w:bidi="fa-IR"/>
        </w:rPr>
        <w:t xml:space="preserve">قال العلاّمة الطهرانی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ولده السیّد محمّد باقر المعروف بحاج آقا انّه موجود فی مکتبته بإصفهان </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الأسف هذه النسخة الثمینة الآن مفقودة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التجوید</w:t>
      </w:r>
    </w:p>
    <w:p>
      <w:pPr>
        <w:pStyle w:val="BookText"/>
        <w:rPr/>
      </w:pPr>
      <w:r>
        <w:rPr>
          <w:rFonts w:ascii="IRNazanin" w:hAnsi="IRNazanin" w:eastAsia="IRNazanin"/>
          <w:color w:val="111111"/>
          <w:sz w:val="28"/>
          <w:sz w:val="28"/>
          <w:szCs w:val="28"/>
          <w:rtl w:val="true"/>
          <w:lang w:bidi="fa-IR"/>
        </w:rPr>
        <w:t xml:space="preserve">عدّ أرباب التراجم هذه الرسالة من تصنیفات المصنّف رحمه‌الله ، لکن نحن لم نعثر إلی الآن علی نسخة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إجازة الإمامة لصلاة الجماعة</w:t>
      </w:r>
    </w:p>
    <w:p>
      <w:pPr>
        <w:pStyle w:val="BookText"/>
        <w:rPr/>
      </w:pPr>
      <w:r>
        <w:rPr>
          <w:rFonts w:ascii="IRNazanin" w:hAnsi="IRNazanin" w:eastAsia="IRNazanin"/>
          <w:color w:val="111111"/>
          <w:sz w:val="28"/>
          <w:sz w:val="28"/>
          <w:szCs w:val="28"/>
          <w:rtl w:val="true"/>
          <w:lang w:bidi="fa-IR"/>
        </w:rPr>
        <w:t xml:space="preserve">هذه الرسالة إجازة کتبها المصنّف رحمه‌الله للسیّد ضمر عبّاس بن السیّد عابد حسین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نسخة من هذه الإجازة فی مکتبة جامع گوهرشاد فی مدینة مشهد المقدّسة، المذکورة فی فهرس مخطوطات المکتبة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إجازة الحدیث</w:t>
      </w:r>
    </w:p>
    <w:p>
      <w:pPr>
        <w:pStyle w:val="BookText"/>
        <w:rPr/>
      </w:pPr>
      <w:r>
        <w:rPr>
          <w:rFonts w:ascii="IRNazanin" w:hAnsi="IRNazanin" w:eastAsia="IRNazanin"/>
          <w:color w:val="111111"/>
          <w:sz w:val="28"/>
          <w:sz w:val="28"/>
          <w:szCs w:val="28"/>
          <w:rtl w:val="true"/>
          <w:lang w:bidi="fa-IR"/>
        </w:rPr>
        <w:t xml:space="preserve">و هی إجازة کتبها المصنّف رحمه‌الله للشیخ محمّد بن عبدالوهّاب الهمدانی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أدرجها المجاز بخطّ المجیز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الشجرة المورقة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یروی فیها عن الشیخ صاحب الجواهر، و عن والده حجّة الإسلام، و تاریخها سنة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 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فضّل مداد العلماء </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48" w:name="pg3696_43273"/>
    </w:p>
    <w:p>
      <w:pPr>
        <w:pStyle w:val="Heading3"/>
        <w:numPr>
          <w:ilvl w:val="2"/>
          <w:numId w:val="1"/>
        </w:numPr>
        <w:rPr/>
      </w:pPr>
      <w:bookmarkStart w:id="49" w:name="__RefHeading___Toc488249_2281741623"/>
      <w:bookmarkStart w:id="50" w:name="_Toc18"/>
      <w:bookmarkEnd w:id="48"/>
      <w:bookmarkEnd w:id="49"/>
      <w:r>
        <w:rPr>
          <w:rtl w:val="true"/>
        </w:rPr>
        <w:t>وفاته و مدفنه قدس‌سره</w:t>
      </w:r>
      <w:bookmarkEnd w:id="50"/>
    </w:p>
    <w:p>
      <w:pPr>
        <w:pStyle w:val="BookText"/>
        <w:rPr/>
      </w:pPr>
      <w:r>
        <w:rPr>
          <w:rFonts w:ascii="IRNazanin" w:hAnsi="IRNazanin" w:eastAsia="IRNazanin"/>
          <w:color w:val="111111"/>
          <w:sz w:val="28"/>
          <w:sz w:val="28"/>
          <w:szCs w:val="28"/>
          <w:rtl w:val="true"/>
          <w:lang w:bidi="fa-IR"/>
        </w:rPr>
        <w:t xml:space="preserve">عزم ـ قدّس اللّه نفسه الزکیّة ـ 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زیارة العتبات المقدّسة بالعراق، و لما وصل إلی کرند أدرکه الأجل بها فی شهر جمادی الثانیة، سنة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فنقل جثمانه الشریف إلی النجف الأشرف، فدفن خلف شباک الحجرة الأولی الواقعة علی یمین الداخل إلی الصحن الشریف من باب القبلة ، مقابل مرقد شیخ الطائفة المرتضی الأنصاری ـ أعلی اللّه مقامهما، و حشرهما اللّه تعالی مع سادات الأوائل و الأواخر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إلی تاریخ وفاته رحمه‌الله بحساب الجمل المیرزا محمّد الهمدانی قدس‌سره فی ضمن قصیدة بقوله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یوم جاؤوا بنعشه أمم ضجّت فاضحی تاریخه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صرخت </w:t>
      </w:r>
      <w:r>
        <w:rPr>
          <w:rStyle w:val="FootnoteAnchor"/>
          <w:rtl w:val="true"/>
        </w:rPr>
        <w:footnoteReference w:id="22"/>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51" w:name="pg3696_43274"/>
    </w:p>
    <w:p>
      <w:pPr>
        <w:pStyle w:val="Heading3"/>
        <w:numPr>
          <w:ilvl w:val="2"/>
          <w:numId w:val="1"/>
        </w:numPr>
        <w:rPr/>
      </w:pPr>
      <w:bookmarkStart w:id="52" w:name="__RefHeading___Toc488251_2281741623"/>
      <w:bookmarkStart w:id="53" w:name="_Toc19"/>
      <w:bookmarkEnd w:id="51"/>
      <w:bookmarkEnd w:id="52"/>
      <w:r>
        <w:rPr>
          <w:rtl w:val="true"/>
        </w:rPr>
        <w:t>مصادر الترجمة</w:t>
      </w:r>
      <w:bookmarkEnd w:id="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أحسن الودیعة ـ للسیّد محمّد مهدی الکاظمینی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أعیان الشیعة ـ للسیّد محسن الأمین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الإمامة ـ للمصنّف، تحقیق السیّد مهدی الرجائی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بیان المفاخر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إصفهان و ری ـ للمیرزا حسن خان الجابری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زنجان ـ للسیّد إبراهیم الموسوی الزنجانی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علماء و شعرای گیلان ـ للشیخ حسن الشمس الجیلانی </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القبور ـ للمولی عبدالکریم الجزی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تکملة نجوم السماء ـ للمیرزا محمّد مهدی اللکهنوی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اصفهان ـ للسیّد مصلح الدّین المهدوی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روضات الجنّات ـ للمیرزا محمّد باقر الخوانساری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ـ للسیّد شفیع الجابلقی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الصفاء ـ للشیخ رضا قلی خان هدایت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ریحانة الأدب ـ للمیرزا محمّد علی المدّرس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علمای معاصرین ـ لملاّ علی الخیابانی التبریزی </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فوائد الرضویّة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العلماء ـ للمیرزا محمّد التنکابنی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الکرام البررة ـ للشیخ آقا بزرگ الطهرانی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الکنی و الألقاب ـ للحاج الشیخ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لباب الألقاب ـ للشیخ حبیب اللّه الکاشانی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المآثر والآثار ـ للشیخ محمّد حسن خان إعتماد الدولة </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ماضی النجف وحاضرها ـ للشیخ جعفر آل محبوبة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معارف الرجال ـ للشیخ محمّد حرز الدّین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مکارم الآثار ـ للمیرزا محمّد علی المعلّم الحبیب 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التواریخ ـ لملاّ هاشم الخراسانی </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نخبة المقال ـ للسیّد حسین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الأحباب ـ للشیخ عبّاس القمی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نماذج من صور النسخ الخطیة للعصیریة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4" w:name="pg3696_43281"/>
      <w:bookmarkStart w:id="55" w:name="pg3696_43281"/>
      <w:bookmarkEnd w:id="55"/>
    </w:p>
    <w:p>
      <w:pPr>
        <w:pStyle w:val="Heading2"/>
        <w:numPr>
          <w:ilvl w:val="1"/>
          <w:numId w:val="1"/>
        </w:numPr>
        <w:rPr/>
      </w:pPr>
      <w:bookmarkStart w:id="56" w:name="pg3696_43281"/>
      <w:bookmarkStart w:id="57" w:name="__RefHeading___Toc488253_2281741623"/>
      <w:bookmarkStart w:id="58" w:name="_Toc20"/>
      <w:bookmarkEnd w:id="56"/>
      <w:bookmarkEnd w:id="57"/>
      <w:r>
        <w:rPr>
          <w:rtl w:val="true"/>
        </w:rPr>
        <w:t>العصیریة</w:t>
      </w:r>
      <w:bookmarkEnd w:id="58"/>
    </w:p>
    <w:p>
      <w:pPr>
        <w:pStyle w:val="Heading3"/>
        <w:numPr>
          <w:ilvl w:val="2"/>
          <w:numId w:val="1"/>
        </w:numPr>
        <w:rPr/>
      </w:pPr>
      <w:bookmarkStart w:id="59" w:name="__RefHeading___Toc488255_2281741623"/>
      <w:bookmarkStart w:id="60" w:name="_Toc21"/>
      <w:bookmarkEnd w:id="59"/>
      <w:r>
        <w:rPr>
          <w:rtl w:val="true"/>
        </w:rPr>
        <w:t>اشارة</w:t>
      </w:r>
      <w:bookmarkEnd w:id="60"/>
    </w:p>
    <w:p>
      <w:pPr>
        <w:pStyle w:val="BookText"/>
        <w:rPr/>
      </w:pPr>
      <w:r>
        <w:rPr>
          <w:rFonts w:ascii="IRNazanin" w:hAnsi="IRNazanin" w:eastAsia="IRNazanin"/>
          <w:color w:val="111111"/>
          <w:sz w:val="28"/>
          <w:sz w:val="28"/>
          <w:szCs w:val="28"/>
          <w:rtl w:val="true"/>
          <w:lang w:bidi="fa-IR"/>
        </w:rPr>
        <w:t>فی أحکام الخمر و سائر المسکرات والعصیر العنبی و التمری و الزبیبی</w:t>
      </w:r>
    </w:p>
    <w:p>
      <w:pPr>
        <w:pStyle w:val="BookText"/>
        <w:rPr/>
      </w:pPr>
      <w:r>
        <w:rPr>
          <w:rFonts w:ascii="IRNazanin" w:hAnsi="IRNazanin" w:eastAsia="IRNazanin"/>
          <w:color w:val="111111"/>
          <w:sz w:val="28"/>
          <w:sz w:val="28"/>
          <w:szCs w:val="28"/>
          <w:rtl w:val="true"/>
          <w:lang w:bidi="fa-IR"/>
        </w:rPr>
        <w:t>للعلامة الفقیه الزاهد</w:t>
      </w:r>
    </w:p>
    <w:p>
      <w:pPr>
        <w:pStyle w:val="BookText"/>
        <w:rPr/>
      </w:pPr>
      <w:r>
        <w:rPr>
          <w:rFonts w:ascii="IRNazanin" w:hAnsi="IRNazanin" w:eastAsia="IRNazanin"/>
          <w:color w:val="111111"/>
          <w:sz w:val="28"/>
          <w:sz w:val="28"/>
          <w:szCs w:val="28"/>
          <w:rtl w:val="true"/>
          <w:lang w:bidi="fa-IR"/>
        </w:rPr>
        <w:t>السید أسدالله بن محمد باقر الموسوی الشفتی</w:t>
      </w:r>
    </w:p>
    <w:p>
      <w:pPr>
        <w:pStyle w:val="BookText"/>
        <w:rPr/>
      </w:pP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تحقیق</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مهدی الشفتی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حرمة الخمر و غیرها من المسکرات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1" w:name="pg3696_43285"/>
      <w:bookmarkStart w:id="62" w:name="pg3696_43285"/>
      <w:bookmarkEnd w:id="62"/>
    </w:p>
    <w:p>
      <w:pPr>
        <w:pStyle w:val="Heading3"/>
        <w:numPr>
          <w:ilvl w:val="2"/>
          <w:numId w:val="1"/>
        </w:numPr>
        <w:rPr/>
      </w:pPr>
      <w:bookmarkStart w:id="63" w:name="pg3696_43285"/>
      <w:bookmarkStart w:id="64" w:name="__RefHeading___Toc488257_2281741623"/>
      <w:bookmarkStart w:id="65" w:name="_Toc22"/>
      <w:bookmarkEnd w:id="63"/>
      <w:bookmarkEnd w:id="64"/>
      <w:r>
        <w:rPr>
          <w:rtl w:val="true"/>
        </w:rPr>
        <w:t>حرمة الخمر و غیرها من المسکرات</w:t>
      </w:r>
      <w:bookmarkEnd w:id="65"/>
    </w:p>
    <w:p>
      <w:pPr>
        <w:pStyle w:val="Heading4"/>
        <w:numPr>
          <w:ilvl w:val="3"/>
          <w:numId w:val="1"/>
        </w:numPr>
        <w:rPr/>
      </w:pPr>
      <w:bookmarkStart w:id="66" w:name="__RefHeading___Toc488259_2281741623"/>
      <w:bookmarkStart w:id="67" w:name="_Toc23"/>
      <w:bookmarkEnd w:id="66"/>
      <w:r>
        <w:rPr>
          <w:rtl w:val="true"/>
        </w:rPr>
        <w:t>اشارة</w:t>
      </w:r>
      <w:bookmarkEnd w:id="6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صلّی اللّه علی محمّد و آله أجمعین</w:t>
      </w:r>
    </w:p>
    <w:p>
      <w:pPr>
        <w:pStyle w:val="Heading4"/>
        <w:numPr>
          <w:ilvl w:val="3"/>
          <w:numId w:val="1"/>
        </w:numPr>
        <w:rPr/>
      </w:pPr>
      <w:bookmarkStart w:id="68" w:name="__RefHeading___Toc488261_2281741623"/>
      <w:bookmarkStart w:id="69" w:name="_Toc24"/>
      <w:bookmarkEnd w:id="68"/>
      <w:r>
        <w:rPr>
          <w:rtl w:val="true"/>
        </w:rPr>
        <w:t>الأخبار الدالّة علی حرمة الخمر</w:t>
      </w:r>
      <w:bookmarkEnd w:id="69"/>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و فی تنجیسها خلاف، والأظهر النجاسة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إعلم أنّه لا خلاف بین علماء الإسلام خاصّتهم و عامّتهم فی تحریم الخمر ، أی ما یؤخذ من العنب ، سواء فی ذلک قلیله و کثیره ، و سواء أسکر أم لا ، لقلّته أو لعلاج فیه یمنع عن الإسکار، بل اتّفقت فتاویهم فی ذلک و تواترت أخبارهم علیه بحیث بلغ حدّ الضرورة من الدّین الّتی کفر مستحلّها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فی غیر حال الضرورة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أحکام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لذلک ترکنا الإستدلال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یکفی فی ذلک ما رواه فی الکافی والتهذیب، عن الحسین بن سدیر، عن أبیه،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شارب الخمر یوم القیامة مُسودّا وجهه، مدلعاً لسانه </w:t>
      </w:r>
      <w:r>
        <w:rPr>
          <w:rStyle w:val="FootnoteAnchor"/>
          <w:rtl w:val="true"/>
        </w:rPr>
        <w:footnoteReference w:id="26"/>
      </w:r>
      <w:r>
        <w:rPr>
          <w:rFonts w:ascii="Amiri" w:hAnsi="Amiri" w:eastAsia="Amiri" w:cs="Amiri"/>
          <w:color w:val="111111"/>
          <w:sz w:val="28"/>
          <w:sz w:val="28"/>
          <w:szCs w:val="28"/>
          <w:rtl w:val="true"/>
          <w:lang w:bidi="ar-SA"/>
        </w:rPr>
        <w:t xml:space="preserve">، یسیل لعابه علی صدره، حقٌّ علی اللّه عزّوجلّ أن یسقیه </w:t>
      </w:r>
      <w:r>
        <w:rPr>
          <w:rStyle w:val="FootnoteAnchor"/>
          <w:rtl w:val="true"/>
        </w:rPr>
        <w:footnoteReference w:id="27"/>
      </w:r>
      <w:r>
        <w:rPr>
          <w:rFonts w:ascii="IRNazanin" w:hAnsi="IRNazanin" w:eastAsia="IRNazanin"/>
          <w:color w:val="111111"/>
          <w:sz w:val="28"/>
          <w:sz w:val="28"/>
          <w:szCs w:val="28"/>
          <w:rtl w:val="true"/>
          <w:lang w:bidi="fa-IR"/>
        </w:rPr>
        <w:t xml:space="preserve">من بئر خبال </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بئر 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یسیل فیه صدید </w:t>
      </w:r>
      <w:r>
        <w:rPr>
          <w:rStyle w:val="FootnoteAnchor"/>
          <w:rtl w:val="true"/>
        </w:rPr>
        <w:footnoteReference w:id="29"/>
      </w:r>
      <w:r>
        <w:rPr>
          <w:rFonts w:ascii="Amiri" w:hAnsi="Amiri" w:eastAsia="Amiri" w:cs="Amiri"/>
          <w:color w:val="111111"/>
          <w:sz w:val="28"/>
          <w:sz w:val="28"/>
          <w:szCs w:val="28"/>
          <w:rtl w:val="true"/>
          <w:lang w:bidi="ar-SA"/>
        </w:rPr>
        <w:t xml:space="preserve">الزناة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بشیر،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الخمر بعد إذ </w:t>
      </w:r>
      <w:r>
        <w:rPr>
          <w:rStyle w:val="FootnoteAnchor"/>
          <w:rtl w:val="true"/>
        </w:rPr>
        <w:footnoteReference w:id="31"/>
      </w:r>
      <w:r>
        <w:rPr>
          <w:rFonts w:ascii="IRNazanin" w:hAnsi="IRNazanin" w:eastAsia="IRNazanin"/>
          <w:color w:val="111111"/>
          <w:sz w:val="28"/>
          <w:sz w:val="28"/>
          <w:szCs w:val="28"/>
          <w:rtl w:val="true"/>
          <w:lang w:bidi="fa-IR"/>
        </w:rPr>
        <w:t xml:space="preserve">حرّمها اللّه عزّوجلّ علی لسانی، فلیس بأهل أن یزوّج إذا خطب، ولا یصدق إذا حدث، و لا یشفع إذا شفع، ولایؤتمن علی‌أمانة، فمن ائتمنه علی‌أمانة فأکلها أو ضیّعها، فلیس للّذی ائتمنه </w:t>
      </w:r>
      <w:r>
        <w:rPr>
          <w:rStyle w:val="FootnoteAnchor"/>
          <w:rtl w:val="true"/>
        </w:rPr>
        <w:footnoteReference w:id="32"/>
      </w:r>
      <w:r>
        <w:rPr>
          <w:rFonts w:ascii="IRNazanin" w:hAnsi="IRNazanin" w:eastAsia="IRNazanin"/>
          <w:color w:val="111111"/>
          <w:sz w:val="28"/>
          <w:sz w:val="28"/>
          <w:szCs w:val="28"/>
          <w:rtl w:val="true"/>
          <w:lang w:bidi="fa-IR"/>
        </w:rPr>
        <w:t xml:space="preserve">أن یأجره اللّه، و لا یخلف علیه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أردت أن استبضع بضاعة إلی الیمن، فأتیت أبا جعفر علیه‌السلام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أرید أن استبضع فلاناً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بضاعة </w:t>
      </w:r>
      <w:r>
        <w:rPr>
          <w:rFonts w:eastAsia="IRNazanin" w:cs="IRNazanin"/>
          <w:color w:val="111111"/>
          <w:sz w:val="28"/>
          <w:szCs w:val="28"/>
          <w:rtl w:val="true"/>
          <w:lang w:bidi="fa-IR"/>
        </w:rPr>
        <w:t xml:space="preserve">] </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p>
    <w:p>
      <w:pPr>
        <w:pStyle w:val="BookText"/>
        <w:rPr/>
      </w:pPr>
      <w:r>
        <w:rPr>
          <w:rFonts w:ascii="IRNazanin" w:hAnsi="IRNazanin" w:eastAsia="IRNazanin"/>
          <w:color w:val="111111"/>
          <w:sz w:val="28"/>
          <w:sz w:val="28"/>
          <w:szCs w:val="28"/>
          <w:rtl w:val="true"/>
          <w:lang w:bidi="fa-IR"/>
        </w:rPr>
        <w:t xml:space="preserve">علمت أنّه یشرب الخمر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w:t>
      </w:r>
      <w:r>
        <w:rPr>
          <w:rStyle w:val="FootnoteAnchor"/>
          <w:rtl w:val="true"/>
        </w:rPr>
        <w:footnoteReference w:id="34"/>
      </w:r>
      <w:r>
        <w:rPr>
          <w:rFonts w:ascii="IRNazanin" w:hAnsi="IRNazanin" w:eastAsia="IRNazanin"/>
          <w:color w:val="111111"/>
          <w:sz w:val="28"/>
          <w:sz w:val="28"/>
          <w:szCs w:val="28"/>
          <w:rtl w:val="true"/>
          <w:lang w:bidi="fa-IR"/>
        </w:rPr>
        <w:t xml:space="preserve">من المؤمنین أنّهم یقولون ذلک،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صدقهم، فإنّ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یؤمن باللّه و یؤمن للمؤمنین </w:t>
      </w:r>
      <w:r>
        <w:rPr>
          <w:rFonts w:eastAsia="IRNazanin" w:cs="IRNazanin"/>
          <w:color w:val="111111"/>
          <w:sz w:val="28"/>
          <w:szCs w:val="28"/>
          <w:rtl w:val="true"/>
          <w:lang w:bidi="fa-IR"/>
        </w:rPr>
        <w:t xml:space="preserve">»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ان استبضعته فهلکت أو ضاعت، فلیس لک علی اللّه أن یأجرک ولایخلف علیک فاستبضعته فضیّعها فدعوت اللّه عزّوجلّ أن یأجرنی،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 xml:space="preserve">بنیَّ مَهْ، لیس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 </w:t>
      </w:r>
      <w:r>
        <w:rPr>
          <w:rFonts w:eastAsia="Amiri" w:cs="Amiri" w:ascii="Amiri" w:hAnsi="Amiri"/>
          <w:color w:val="111111"/>
          <w:sz w:val="28"/>
          <w:szCs w:val="28"/>
          <w:rtl w:val="true"/>
          <w:lang w:bidi="ar-SA"/>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علی اللّه أن یأجرک ولایخلف علیک،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اللّه عزّوجلّ یقول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تؤتوا السفهاء أموالکم الّتی جعل اللّه لکم قیاماً </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 xml:space="preserve">، فهل تعرف سفیها أسفه من شارب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لایزال العبد فی فسحة من اللّه عزّوجلّ حتّی یشرب الخمر، فإذا شربها خرق‌اللّه عنه سرباله، وکان ولیّه وأخوه إبلیس، وسمعه وبصره ویده ورجله، یسوقه إلی کلّ 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ضلال </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 xml:space="preserve">، و یصرفه عن کلّ خیر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 التهذیب عن زید بن علیّ، عن أبیه،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صلی‌الله‌علیه‌و‌آله الخمر و عاصرها، و معتصرها، و بایعها، و مشتریها، و ساقیها، وآکل ثمنها، و شاربها، و حاملها، والمحمولة إلیه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و محلّها کتاب الأطعمة والأشربة </w:t>
      </w:r>
      <w:r>
        <w:rPr>
          <w:rFonts w:eastAsia="IRNazanin" w:cs="IRNazanin"/>
          <w:color w:val="111111"/>
          <w:sz w:val="28"/>
          <w:szCs w:val="28"/>
          <w:rtl w:val="true"/>
          <w:lang w:bidi="fa-IR"/>
        </w:rPr>
        <w:t xml:space="preserve">. </w:t>
      </w:r>
      <w:bookmarkStart w:id="70" w:name="pg3696_43288"/>
    </w:p>
    <w:p>
      <w:pPr>
        <w:pStyle w:val="BookText"/>
        <w:rPr/>
      </w:pPr>
      <w:bookmarkEnd w:id="70"/>
      <w:r>
        <w:rPr>
          <w:rFonts w:ascii="IRNazanin" w:hAnsi="IRNazanin" w:eastAsia="IRNazanin"/>
          <w:color w:val="111111"/>
          <w:sz w:val="28"/>
          <w:sz w:val="28"/>
          <w:szCs w:val="28"/>
          <w:rtl w:val="true"/>
          <w:lang w:bidi="fa-IR"/>
        </w:rPr>
        <w:t xml:space="preserve">و أمّا غیرها من سائر المسکرات ، فإجماع أصحابنا ـ رضوان اللّه علیهم ـ علی حرمتها من غیر فرق بین قلیلها و کثیرها ، و إن لم یسکر قلیلها لقلّتها ، فإنّ ما أسکر کثیره فقلیله حرام عندهم ؛ سواء کان النقیع من الزبیب، أو النبیذ من التمر، أو السَکَر ـ بإهمال السین المفتوحة والراء ، مع فتحة الکاف ـ من الرطب ، أو الفضیخ ـ بالفاء و الضاد المعجمة و الیاء المثناة التحتانیّة و الخاء المعجمة علی وزن أمیر ـ من البسر، أو البِتْع ـ بالباء الموحّدة المکسورة والتاء المثناة الفوقانیّة الساکنة، و قد تفتح، والعین المهملة ـ من العسل، أو الجِعَة ـ بکسر الجیم وفتح العین المهملة من الشعیر ـ أو المِزْر ـ بکسر المیم و سکون الزاء المعجمة وبعدها راء مهملة ـ من الذرة، إلی غیر ذلک من المسکرات </w:t>
      </w:r>
      <w:r>
        <w:rPr>
          <w:rFonts w:eastAsia="IRNazanin" w:cs="IRNazanin"/>
          <w:color w:val="111111"/>
          <w:sz w:val="28"/>
          <w:szCs w:val="28"/>
          <w:rtl w:val="true"/>
          <w:lang w:bidi="fa-IR"/>
        </w:rPr>
        <w:t>.</w:t>
      </w:r>
    </w:p>
    <w:p>
      <w:pPr>
        <w:pStyle w:val="Heading4"/>
        <w:numPr>
          <w:ilvl w:val="3"/>
          <w:numId w:val="1"/>
        </w:numPr>
        <w:rPr/>
      </w:pPr>
      <w:bookmarkStart w:id="71" w:name="__RefHeading___Toc488263_2281741623"/>
      <w:bookmarkStart w:id="72" w:name="_Toc25"/>
      <w:bookmarkEnd w:id="71"/>
      <w:r>
        <w:rPr>
          <w:rtl w:val="true"/>
        </w:rPr>
        <w:t>ما دلّ علی حرمة المسکرات مطلقاً</w:t>
      </w:r>
      <w:r>
        <w:rPr>
          <w:rtl w:val="true"/>
        </w:rPr>
        <w:t>:</w:t>
      </w:r>
      <w:bookmarkEnd w:id="72"/>
    </w:p>
    <w:p>
      <w:pPr>
        <w:pStyle w:val="BookText"/>
        <w:rPr/>
      </w:pPr>
      <w:r>
        <w:rPr>
          <w:rFonts w:ascii="IRNazanin" w:hAnsi="IRNazanin" w:eastAsia="IRNazanin"/>
          <w:color w:val="111111"/>
          <w:sz w:val="28"/>
          <w:sz w:val="28"/>
          <w:szCs w:val="28"/>
          <w:rtl w:val="true"/>
          <w:lang w:bidi="fa-IR"/>
        </w:rPr>
        <w:t xml:space="preserve">و یدلّ علی ذلک أمّا علی حرمتها مطلقاً، فمضافاً إلی الإجماع المحقّق الصریح، وما یأتی إن شاء اللّه تعالی فی محلّه و سیأتی الإشارة إلی بعضها إن شاء اللّه تعالی، جملة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والتهذیب، عن خضرالصیرفی،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النبیذ علی أنّه حلال، خلّد اللّه فی النار </w:t>
      </w:r>
      <w:r>
        <w:rPr>
          <w:rStyle w:val="FootnoteAnchor"/>
          <w:rtl w:val="true"/>
        </w:rPr>
        <w:footnoteReference w:id="42"/>
      </w:r>
      <w:r>
        <w:rPr>
          <w:rFonts w:ascii="IRNazanin" w:hAnsi="IRNazanin" w:eastAsia="IRNazanin"/>
          <w:color w:val="111111"/>
          <w:sz w:val="28"/>
          <w:sz w:val="28"/>
          <w:szCs w:val="28"/>
          <w:rtl w:val="true"/>
          <w:lang w:bidi="fa-IR"/>
        </w:rPr>
        <w:t xml:space="preserve">، و من شربه علی أنّه حرام، عذب فی النار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عن یزید بن أبی زیاد، عن أبی جعفر علیه‌السلام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شرب‌المسکر فمات وفی جوفه منه شیءٌ لم‌یتب منه، بعثه‌اللّه من‌قبره مخبلاً </w:t>
      </w:r>
      <w:r>
        <w:rPr>
          <w:rStyle w:val="FootnoteAnchor"/>
          <w:rtl w:val="true"/>
        </w:rPr>
        <w:footnoteReference w:id="44"/>
      </w:r>
      <w:r>
        <w:rPr>
          <w:rFonts w:ascii="Amiri" w:hAnsi="Amiri" w:eastAsia="Amiri" w:cs="Amiri"/>
          <w:color w:val="111111"/>
          <w:sz w:val="28"/>
          <w:sz w:val="28"/>
          <w:szCs w:val="28"/>
          <w:rtl w:val="true"/>
          <w:lang w:bidi="ar-SA"/>
        </w:rPr>
        <w:t xml:space="preserve">مائلاً شدقه </w:t>
      </w:r>
      <w:r>
        <w:rPr>
          <w:rStyle w:val="FootnoteAnchor"/>
          <w:rtl w:val="true"/>
        </w:rPr>
        <w:footnoteReference w:id="45"/>
      </w:r>
      <w:r>
        <w:rPr>
          <w:rFonts w:ascii="IRNazanin" w:hAnsi="IRNazanin" w:eastAsia="IRNazanin"/>
          <w:color w:val="111111"/>
          <w:sz w:val="28"/>
          <w:sz w:val="28"/>
          <w:szCs w:val="28"/>
          <w:rtl w:val="true"/>
          <w:lang w:bidi="fa-IR"/>
        </w:rPr>
        <w:t xml:space="preserve">، سائلاً لعابه، یدعو بالویل والثبور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عن عمر بن أبان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کان حقّا علی اللّه عزّوجلّ أن یسقیه من طینة 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طینة 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فروج البغایا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أیضا، عن أبی بصیر،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شفاعتی من استخفّ بصلاته، و لا یرد علیّ الحوض، لاواللّه، لا ینال شفاعتی مَن شرب المسکر، و لا یرد علیّ الحوض، لا واللّه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عن عبدالرّحمن بن أبی عبداللّه،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انحبست صلاته أربعین یوماً، و إن مات فی الأربعین مات میتة جاهلیّة، فإن تاب تاب اللّه عزّوجلّ علیه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أیضا، عن داود بن الحصین،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یشرب المسکر فتقبل صلاته أربعین صباحاً </w:t>
      </w:r>
      <w:r>
        <w:rPr>
          <w:rStyle w:val="FootnoteAnchor"/>
          <w:rtl w:val="true"/>
        </w:rPr>
        <w:footnoteReference w:id="50"/>
      </w:r>
      <w:r>
        <w:rPr>
          <w:rFonts w:ascii="IRNazanin" w:hAnsi="IRNazanin" w:eastAsia="IRNazanin"/>
          <w:color w:val="111111"/>
          <w:sz w:val="28"/>
          <w:sz w:val="28"/>
          <w:szCs w:val="28"/>
          <w:rtl w:val="true"/>
          <w:lang w:bidi="fa-IR"/>
        </w:rPr>
        <w:t xml:space="preserve">، و إن مات فی الأربعین مات میتة جاهلیّة، و إن تاب تاب اللّه علیه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عن سعد الإسکافی،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لم یقبل منه صلاته أربعین صباحاً </w:t>
      </w:r>
      <w:r>
        <w:rPr>
          <w:rStyle w:val="FootnoteAnchor"/>
          <w:rtl w:val="true"/>
        </w:rPr>
        <w:footnoteReference w:id="52"/>
      </w:r>
      <w:r>
        <w:rPr>
          <w:rFonts w:ascii="IRNazanin" w:hAnsi="IRNazanin" w:eastAsia="IRNazanin"/>
          <w:color w:val="111111"/>
          <w:sz w:val="28"/>
          <w:sz w:val="28"/>
          <w:szCs w:val="28"/>
          <w:rtl w:val="true"/>
          <w:lang w:bidi="fa-IR"/>
        </w:rPr>
        <w:t xml:space="preserve">، و إن عاد سقاه اللّه عزّوجلّ من طینة خبال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طینة خبال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 یخرج من فروج الزناة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 عن أبی بصیر ، عن أبی الحسن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احتضر أبی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ینال شفاعتنا من استخفّ بالصلاة، و لا یرد علینا الحوض مَن أدمن هذه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 الأشربة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باسناده عن سماعة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شرب مسکرا لم یقبل منه صلاته أربعین لیلة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عن محمّد بن داذویه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أسأله عن شارب المسکر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شارب المسکر کافر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عن ابن أبی عمیر، عن کلیب الصیداوی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رسول اللّه صلی‌الله‌علیه‌و‌آله فقال </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 xml:space="preserve">. </w:t>
      </w:r>
      <w:bookmarkStart w:id="73" w:name="pg3696_43291"/>
    </w:p>
    <w:p>
      <w:pPr>
        <w:pStyle w:val="Heading4"/>
        <w:numPr>
          <w:ilvl w:val="3"/>
          <w:numId w:val="1"/>
        </w:numPr>
        <w:rPr/>
      </w:pPr>
      <w:bookmarkStart w:id="74" w:name="__RefHeading___Toc488265_2281741623"/>
      <w:bookmarkStart w:id="75" w:name="_Toc26"/>
      <w:bookmarkEnd w:id="73"/>
      <w:bookmarkEnd w:id="74"/>
      <w:r>
        <w:rPr>
          <w:rtl w:val="true"/>
        </w:rPr>
        <w:t>الأخبار الدالّة علی حرمة القلیل من المسکرات إذا لم یسکر</w:t>
      </w:r>
      <w:r>
        <w:rPr>
          <w:rtl w:val="true"/>
        </w:rPr>
        <w:t>:</w:t>
      </w:r>
      <w:bookmarkEnd w:id="75"/>
    </w:p>
    <w:p>
      <w:pPr>
        <w:pStyle w:val="BookText"/>
        <w:rPr/>
      </w:pPr>
      <w:r>
        <w:rPr>
          <w:rFonts w:ascii="IRNazanin" w:hAnsi="IRNazanin" w:eastAsia="IRNazanin"/>
          <w:color w:val="111111"/>
          <w:sz w:val="28"/>
          <w:sz w:val="28"/>
          <w:szCs w:val="28"/>
          <w:rtl w:val="true"/>
          <w:lang w:bidi="fa-IR"/>
        </w:rPr>
        <w:t xml:space="preserve">و أمّا علی حرمة القلیل منها إذا لم یسکر، فیدلّ علیه مضافاً إلی بعض الأخبار السابقة و غیره، فالصحیح المرویّ فی التهذیب، عن أحمد بن محمّد، عن علیّ بن الحکم،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من بنی عمّی، وهو من‌صلحاء موالیک، أمرنی أن أسألک عن‌النبیذ وأصفه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أصفه لک،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فما أسکر کثیره فقلیله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الحرام یحلّه کثیر الماء ؟ فردّ علیّ بکفیه مرّتین، أن لا، لا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وصفنا الخبر بالصحّة مع أنّ فی السند أحمد بن محمّد ، و یحتمل کونه إبن خالد الّذی أبعده أحمد بن محمّد بن عیسی عن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قال إبن الغضائری أنّه طعن علیه القمیّون </w:t>
      </w:r>
      <w:r>
        <w:rPr>
          <w:rStyle w:val="FootnoteAnchor"/>
          <w:rtl w:val="true"/>
        </w:rPr>
        <w:footnoteReference w:id="60"/>
      </w:r>
      <w:r>
        <w:rPr>
          <w:rFonts w:ascii="IRNazanin" w:hAnsi="IRNazanin" w:eastAsia="IRNazanin"/>
          <w:color w:val="111111"/>
          <w:sz w:val="28"/>
          <w:sz w:val="28"/>
          <w:szCs w:val="28"/>
          <w:rtl w:val="true"/>
          <w:lang w:bidi="fa-IR"/>
        </w:rPr>
        <w:t xml:space="preserve">، والّذی قال فی الفهرست و رجال النجاشی أنّه یروی عن الضعفاء و اعتمد المراسیل </w:t>
      </w:r>
      <w:r>
        <w:rPr>
          <w:rStyle w:val="FootnoteAnchor"/>
          <w:rtl w:val="true"/>
        </w:rPr>
        <w:footnoteReference w:id="61"/>
      </w:r>
      <w:r>
        <w:rPr>
          <w:rFonts w:ascii="IRNazanin" w:hAnsi="IRNazanin" w:eastAsia="IRNazanin"/>
          <w:color w:val="111111"/>
          <w:sz w:val="28"/>
          <w:sz w:val="28"/>
          <w:szCs w:val="28"/>
          <w:rtl w:val="true"/>
          <w:lang w:bidi="fa-IR"/>
        </w:rPr>
        <w:t xml:space="preserve">، و الّذی روی فی الکافی، ما یشعر بذمّ فیه ؛ فإنّه ذکر فی باب ما جاء فی الإثنی عشر، بعد حدیث طویل فی النصّ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حدّثنی محمّد بن یحیی، عن محمّد بن الحسن الصفّار، عن أحمد بن أبی عبداللّه، عن أبی هاشم، مثله سواء، قال محمّد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وددت أنّ هذا الخبر جاء من غیر جهة أحمد بن أبی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حدّثنی قبل الحیرة بعشر سنین </w:t>
      </w:r>
      <w:r>
        <w:rPr>
          <w:rStyle w:val="FootnoteAnchor"/>
          <w:rtl w:val="true"/>
        </w:rPr>
        <w:footnoteReference w:id="6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أحمد بن محمّد بن عیسی و إن أبعده عن قم أوّلاً، لکن أعاده إلی قم بعد </w:t>
      </w:r>
    </w:p>
    <w:p>
      <w:pPr>
        <w:pStyle w:val="BookText"/>
        <w:rPr/>
      </w:pPr>
      <w:r>
        <w:rPr>
          <w:rFonts w:ascii="IRNazanin" w:hAnsi="IRNazanin" w:eastAsia="IRNazanin"/>
          <w:color w:val="111111"/>
          <w:sz w:val="28"/>
          <w:sz w:val="28"/>
          <w:szCs w:val="28"/>
          <w:rtl w:val="true"/>
          <w:lang w:bidi="fa-IR"/>
        </w:rPr>
        <w:t xml:space="preserve">إبعاده عنها واعتذر إلیه ، و لمّا توفّی مشی فی جنازته حافیاً حاسراً ، لیبرء نفسه ممّا قذفه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إبعاده کما یظهر لهم ، إنّما هو لروایته عن الضعفاء و اعتماده علی المراسیل، لا لضعف فیه نفسه، و بعد کون المرویّ عنه حاله معلومة، لایضرّ هذا بحال السند، مع ما صرّحوا من أنّه ثقة فی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إبن الغضائریّ من طعن القمیّین علیه، فالّذی یظهر أنّه لیس لضعف فیه نفسه، بل لروایته عن الضعفاء، و قد عرفت ما فیه ؛ مضافاً إلی أنّ إبن الغضائریّ قال بعد ما تقدّم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الطعن فیه، إنّما الطعن فیمن یروی عنه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ذکره محمّد بن یحیی ، فمضافاً إلی أنّه لیس قدحا فیه ، لا یدلّ علی ضعف فیه ، بل الظاهر أنّه لیس إلاّ لأجل روایته عن الضعفاء و اعتماده علی المراسیل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قوّة إحتمال کونه أحمد بن محمّد بن عیسی ، لا إبن خالد، کما یدلّ علی ذلک ما رواه فیالتهذیب، فی باب صفة التیمّم و باب المسح من الوضوء، فإنّه قال فی شرح عبارة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یجزی الإنسان فی مسح رأسه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بعد أن ذکر أخباراً تدلّ علی وجوب مسح مقدّم الرأس وحمل ما یدلّ علی خلافه بما ذکره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ما ذکرناه ما رواه أحمد بن محمّد بن عیسی، عن علیّ بن حکم، عن أبی أیّوب،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مسح الرأس علی مقدّمه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شرح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یضرب بباطن کفّیه علی ظاهر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ذلک ما أخبرنی به الشیخ أیّده اللّه ، عن أحمد بن محمّد ، عن أبیه، عن سعد بن عبداللّه، عن أحمد بن محمّد بن عیسی، عن علیّ بن حکم، عن داود بن النعمان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التیمّم </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مشیخة‌الفقیه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فیه عن علیّ بن‌الحکم فقد رویته عن أبی رضی‌الله‌عنه ، عن سعد بن عبداللّه، عن أحمد بن محمّد بن عیسی، عن علیّ بن الحکم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قلت هذا علی وجه الإحتمال، مع أنّه من الظاهر بعد ملاحظة ما مرّ أنّ المراد به أحمد بن محمّد بن عیسی، لأنّه قد یظهر من رجال النجاشی أنّ المراد به إبن خالد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فیه فی علیّ بن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أبوعبداللّه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 عن محمّد بن إسماعیل و أحمد بن أبی عبداللّه، عن علیّ بن الحکم، بکتابه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والأمر سهل بعد ما مرّ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 التهذیب، عن أحمد بن محمّد، عن علیّ بن الحکم،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مبتلی بالنبیذ، معجباً به، 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أصف لک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أصفه لک،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ما أسکر کثیره فقلیله حرام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نبیذ السقایة بفناء الکعبة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کانت السقایة ، إنّما السقایة زمزم، أفَتَدری من أوّل من غیّرها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بن عبد المطّلب کانت له حبلة، أفتدری ما الحبلة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فکان ینقع الزبیب غدوة ، و یشربونه بالعشیّ ، و ینقعه بالعشیّ ، و یشربونه غدوة، یرید أن یکسر غلظ الماء عن الناس، و أن هؤلاء قد تعدوا، فلا تقربه و لاتشربه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قدح من مسکر یصب علیه الماء حتّی تذهب عاریته و یذهب سکره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لا قطرة تقطر منه فی حبّ إلاّ أهریق ذلک الحبّ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الآتیة ، بعضها الدالّة علی نجاسة المسکر مطلقاً ، فإنّ النجس لا یجوز شربه مطلقاً، والأمر فی جمیع ذلک سهل بعد الإجماع المحقّق علی الحرمة ، إذ لم نجد الخلاف إلاّ من بعض العامّة کأبی حنیفة و صاحبه أبی یوسف و محمّد بن الحسن ؛ فإنّهم أحلّوا المسکر من کلّ شیء عدا عصیر العنب ونقیعی التمر والزبیب، وأحلّوا من العصیر ما طبخ علی الثلث و من النقیعین المطبوخ مطلقاً، واستثنوا من المطبوخ القدر الذی یتعقبّه الإسکار، فلو شرب عشراً و سکر بالعاشر أختص التحریم به عندهم دون ما قبله </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محمّد بن الحسن، صاحب أبی حنیفة، أنّه اشترط فی حدّ الثلاثة طبخها علی الثلث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غیرهم من العامّة فقد ذهبوا إلی مذهبنا، کالشافعی و أحمد و مالک والثوری واللیث بن سعد و غیرهم، و قد رووا فی صحاحهم عن النبیّ صلی‌الله‌علیه‌و‌آله أخبارا تدلّ علی ذلک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و منها ما رواه أحمد عن عبداللّه بن عمرو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حرم الخمر والمیسر والکوبة والغبیراء، و 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أحمد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171</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و منها ما رواه البخاری عن سعید بن أبی بردة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له أبو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یصنع بأرضنا البتع، فقال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و تحریم قلیل ما أسکر کثیره من کلّ شیء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إبن حنبل أنّه أخرجها من عشرین صحابیّا </w:t>
      </w:r>
      <w:r>
        <w:rPr>
          <w:rStyle w:val="FootnoteAnchor"/>
          <w:rtl w:val="true"/>
        </w:rPr>
        <w:footnoteReference w:id="72"/>
      </w:r>
      <w:r>
        <w:rPr>
          <w:rFonts w:ascii="IRNazanin" w:hAnsi="IRNazanin" w:eastAsia="IRNazanin"/>
          <w:color w:val="111111"/>
          <w:sz w:val="28"/>
          <w:sz w:val="28"/>
          <w:szCs w:val="28"/>
          <w:rtl w:val="true"/>
          <w:lang w:bidi="fa-IR"/>
        </w:rPr>
        <w:t xml:space="preserve">، و قد یسمّی من المساجد مسجد الفضیخ لما أریق من الفضیخ بجنبه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إجماعهم و أخبارهم الدالّة علی حرمة الخمر یدلّ علی حرمة </w:t>
      </w:r>
    </w:p>
    <w:p>
      <w:pPr>
        <w:pStyle w:val="BookText"/>
        <w:rPr/>
      </w:pPr>
      <w:r>
        <w:rPr>
          <w:rFonts w:ascii="IRNazanin" w:hAnsi="IRNazanin" w:eastAsia="IRNazanin"/>
          <w:color w:val="111111"/>
          <w:sz w:val="28"/>
          <w:sz w:val="28"/>
          <w:szCs w:val="28"/>
          <w:rtl w:val="true"/>
          <w:lang w:bidi="fa-IR"/>
        </w:rPr>
        <w:t xml:space="preserve">کلّ مسکر، بتقریب أنّ الخمر إنّما حرّمت فی المدینة، و ما فیها خمر عنب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وفی السنن عن ابن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حرمت الخمر وما بالمدینة منها شیء، یعنی لم‌یکن بالمدینة خمر العنب حین حرمت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السنن الکبری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وانظر فتح الباری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نصب الرایة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أحکام القرآن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 وانتهی المسلمون بتحریمها عمّا کانوا یشربون من الأنبذة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ریب و لا إشکال فی حرمة الخمر و غیرها من المسکرات قلیلها و کثیرها ، من غیر فرق بین المائع منها و غیره ، لأنّ الجمیع مسکر، وقد عرفت العمومات الدالّة علی أنّ کلّ مسکر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الکلام فی غیر ما نحن فیه، و أمّا الکلام فی الطهارة والنجاسة اللّتین نحن بصددهما، فهو أن یقال إنّ هنا مقامین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 w:name="pg3696_43298"/>
      <w:bookmarkStart w:id="77" w:name="pg3696_43298"/>
      <w:bookmarkEnd w:id="77"/>
    </w:p>
    <w:p>
      <w:pPr>
        <w:pStyle w:val="Heading3"/>
        <w:numPr>
          <w:ilvl w:val="2"/>
          <w:numId w:val="1"/>
        </w:numPr>
        <w:rPr/>
      </w:pPr>
      <w:bookmarkStart w:id="78" w:name="pg3696_43298"/>
      <w:bookmarkStart w:id="79" w:name="__RefHeading___Toc488267_2281741623"/>
      <w:bookmarkStart w:id="80" w:name="_Toc27"/>
      <w:bookmarkEnd w:id="78"/>
      <w:bookmarkEnd w:id="79"/>
      <w:r>
        <w:rPr>
          <w:rtl w:val="true"/>
        </w:rPr>
        <w:t>نجاسة الخمر و غیرها من المسکرات</w:t>
      </w:r>
      <w:bookmarkEnd w:id="80"/>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488269_2281741623"/>
      <w:bookmarkStart w:id="82" w:name="_Toc28"/>
      <w:bookmarkEnd w:id="81"/>
      <w:r>
        <w:rPr>
          <w:rtl w:val="true"/>
        </w:rPr>
        <w:t>اشارة</w:t>
      </w:r>
      <w:bookmarkStart w:id="83" w:name="pg3696_43299"/>
      <w:bookmarkEnd w:id="82"/>
    </w:p>
    <w:p>
      <w:pPr>
        <w:pStyle w:val="Heading4"/>
        <w:numPr>
          <w:ilvl w:val="3"/>
          <w:numId w:val="1"/>
        </w:numPr>
        <w:rPr/>
      </w:pPr>
      <w:bookmarkStart w:id="84" w:name="__RefHeading___Toc488271_2281741623"/>
      <w:bookmarkStart w:id="85" w:name="_Toc29"/>
      <w:bookmarkEnd w:id="83"/>
      <w:bookmarkEnd w:id="84"/>
      <w:r>
        <w:rPr>
          <w:rtl w:val="true"/>
        </w:rPr>
        <w:t>المقام الأوّل</w:t>
      </w:r>
      <w:r>
        <w:rPr>
          <w:rtl w:val="true"/>
        </w:rPr>
        <w:t xml:space="preserve">: </w:t>
      </w:r>
      <w:r>
        <w:rPr>
          <w:rtl w:val="true"/>
        </w:rPr>
        <w:t>فی نجاسة الخمر</w:t>
      </w:r>
      <w:bookmarkEnd w:id="85"/>
    </w:p>
    <w:p>
      <w:pPr>
        <w:pStyle w:val="Heading5"/>
        <w:numPr>
          <w:ilvl w:val="4"/>
          <w:numId w:val="1"/>
        </w:numPr>
        <w:rPr/>
      </w:pPr>
      <w:bookmarkStart w:id="86" w:name="__RefHeading___Toc488273_2281741623"/>
      <w:bookmarkStart w:id="87" w:name="_Toc30"/>
      <w:bookmarkEnd w:id="86"/>
      <w:r>
        <w:rPr>
          <w:rtl w:val="true"/>
        </w:rPr>
        <w:t>اشارة</w:t>
      </w:r>
      <w:bookmarkEnd w:id="87"/>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وقع الخلاف فی ذلک، فالمشهور علی أنّها نجسة بل علیها دعوی الإجماع کما ستعرفها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و إبن أبی عقیل رحمهماالله إلی الطهارة </w:t>
      </w:r>
      <w:r>
        <w:rPr>
          <w:rStyle w:val="FootnoteAnchor"/>
          <w:rtl w:val="true"/>
        </w:rPr>
        <w:footnoteReference w:id="75"/>
      </w:r>
      <w:r>
        <w:rPr>
          <w:rFonts w:ascii="IRNazanin" w:hAnsi="IRNazanin" w:eastAsia="IRNazanin"/>
          <w:color w:val="111111"/>
          <w:sz w:val="28"/>
          <w:sz w:val="28"/>
          <w:szCs w:val="28"/>
          <w:rtl w:val="true"/>
          <w:lang w:bidi="fa-IR"/>
        </w:rPr>
        <w:t xml:space="preserve">، و هو المحکی عن والد الصدوق والجعفی رحمهماالله أیضا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مال إلی هذا المذهب بعض متأخّرینا ـ رحمهم اللّه ـ کالأردبیلی، و صاحب المدارک والذخیرة والمشارق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فهنا قولان </w:t>
      </w:r>
      <w:r>
        <w:rPr>
          <w:rFonts w:eastAsia="IRNazanin" w:cs="IRNazanin"/>
          <w:color w:val="111111"/>
          <w:sz w:val="28"/>
          <w:szCs w:val="28"/>
          <w:rtl w:val="true"/>
          <w:lang w:bidi="fa-IR"/>
        </w:rPr>
        <w:t>:</w:t>
      </w:r>
    </w:p>
    <w:p>
      <w:pPr>
        <w:pStyle w:val="Heading5"/>
        <w:numPr>
          <w:ilvl w:val="4"/>
          <w:numId w:val="1"/>
        </w:numPr>
        <w:rPr/>
      </w:pPr>
      <w:bookmarkStart w:id="88" w:name="__RefHeading___Toc488275_2281741623"/>
      <w:bookmarkStart w:id="89" w:name="_Toc31"/>
      <w:bookmarkEnd w:id="88"/>
      <w:r>
        <w:rPr>
          <w:rtl w:val="true"/>
        </w:rPr>
        <w:t xml:space="preserve">القول الأوّل </w:t>
      </w:r>
      <w:r>
        <w:rPr>
          <w:rtl w:val="true"/>
        </w:rPr>
        <w:t xml:space="preserve">: </w:t>
      </w:r>
      <w:r>
        <w:rPr>
          <w:rtl w:val="true"/>
        </w:rPr>
        <w:t>نجاسة الخمر</w:t>
      </w:r>
      <w:bookmarkEnd w:id="89"/>
    </w:p>
    <w:p>
      <w:pPr>
        <w:pStyle w:val="Heading6"/>
        <w:numPr>
          <w:ilvl w:val="5"/>
          <w:numId w:val="1"/>
        </w:numPr>
        <w:rPr/>
      </w:pPr>
      <w:bookmarkStart w:id="90" w:name="__RefHeading___Toc488277_2281741623"/>
      <w:bookmarkStart w:id="91" w:name="_Toc32"/>
      <w:bookmarkEnd w:id="90"/>
      <w:r>
        <w:rPr>
          <w:rtl w:val="true"/>
        </w:rPr>
        <w:t xml:space="preserve">ما یدلّ علی النجاسة </w:t>
      </w:r>
      <w:r>
        <w:rPr>
          <w:rtl w:val="true"/>
        </w:rPr>
        <w:t>:</w:t>
      </w:r>
      <w:bookmarkEnd w:id="91"/>
    </w:p>
    <w:p>
      <w:pPr>
        <w:pStyle w:val="Heading6"/>
        <w:numPr>
          <w:ilvl w:val="5"/>
          <w:numId w:val="1"/>
        </w:numPr>
        <w:rPr/>
      </w:pPr>
      <w:bookmarkStart w:id="92" w:name="__RefHeading___Toc488279_2281741623"/>
      <w:bookmarkStart w:id="93" w:name="_Toc33"/>
      <w:bookmarkEnd w:id="92"/>
      <w:r>
        <w:rPr>
          <w:rtl w:val="true"/>
        </w:rPr>
        <w:t>اشارة</w:t>
      </w:r>
      <w:bookmarkEnd w:id="9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نجسة، و یدلّ علیه أمور </w:t>
      </w:r>
      <w:r>
        <w:rPr>
          <w:rFonts w:eastAsia="Amiri" w:cs="Amiri" w:ascii="Amiri" w:hAnsi="Amiri"/>
          <w:color w:val="111111"/>
          <w:sz w:val="28"/>
          <w:szCs w:val="28"/>
          <w:rtl w:val="true"/>
          <w:lang w:bidi="ar-SA"/>
        </w:rPr>
        <w:t xml:space="preserve">: </w:t>
      </w:r>
      <w:bookmarkStart w:id="94" w:name="pg3696_43300"/>
    </w:p>
    <w:p>
      <w:pPr>
        <w:pStyle w:val="Heading6"/>
        <w:numPr>
          <w:ilvl w:val="5"/>
          <w:numId w:val="1"/>
        </w:numPr>
        <w:rPr/>
      </w:pPr>
      <w:bookmarkStart w:id="95" w:name="__RefHeading___Toc488281_2281741623"/>
      <w:bookmarkStart w:id="96" w:name="_Toc34"/>
      <w:bookmarkEnd w:id="94"/>
      <w:bookmarkEnd w:id="95"/>
      <w:r>
        <w:rPr>
          <w:rtl w:val="true"/>
        </w:rPr>
        <w:t xml:space="preserve">الأوّل </w:t>
      </w:r>
      <w:r>
        <w:rPr>
          <w:rtl w:val="true"/>
        </w:rPr>
        <w:t xml:space="preserve">: </w:t>
      </w:r>
      <w:r>
        <w:rPr>
          <w:rtl w:val="true"/>
        </w:rPr>
        <w:t>الإجماعات المنقولة و دعوی عدم الخلاف</w:t>
      </w:r>
      <w:bookmarkEnd w:id="96"/>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المحکی فی لسان جماعة أو ما یفید مفاده فی المقام ، فعن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شراب مسکر نجس بالإجماع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النزهة للشیخ نجیب الدین یحیی بن سعید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 بطهارة الخمر خلاف الإجماع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رحمه‌الله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نجسة بلا خلاف، و کلّ مسکر عندنا حکمه حکم الخمر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حرام نجسة، یحدّ شاربها، أسکّر أم لم یسکر بلا خلاف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إبن إدریس رحمه‌الله فی السرائر أنّه نفی الخلاف عن المسألة، ثمّ حکی خلاف الصدوق رحمه‌الله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مخالف لإجماع المسلمین فضلاً عن طائفتنا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السیّد المرتضی رحمه‌الله أنّه لا خلاف بین المسلمین فی نجاسة الخمر إلاّ ما یحکی عن شذاذ لا اعتبار بقولهم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العلاّمة رحمه‌الله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نجسة ، ذهب إلیه علماؤنا أجمع إلاّ إبن بابویه و إبن أبی عقیل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الشهید رحمه‌الله فی الذکری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بطهارة الخمر تمسّک بأحادیث لاتعارض القطعی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أراد بالقطعی الإجماع ، إذ لیس فی المسألة قطعیّ سواه ، فإنّ الآیة ظنّیة الدلالة، والأخبار غیر متواترة </w:t>
      </w:r>
      <w:r>
        <w:rPr>
          <w:rStyle w:val="FootnoteAnchor"/>
          <w:rtl w:val="true"/>
        </w:rPr>
        <w:footnoteReference w:id="8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فإنّ فی منع التواتر کلاماً، سلّمنا لکنّ القطع یحصل بغیر التواتر إذا کان مقروناً بقرائن تفید القطع، علی أنّه یحتمل قویّا أن یکون المراد القطع بالحجّیة، فإنّ الأخبار الدالّة علی النجاسة بعد إعتضادها بما سیأتی مضافاً إلی جامعیّتها لشرائط الحجّیة، لا تعارضها الأخبار الدالّة علی الطهارة،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عن المقداد رحمه‌الله فی التنقیح نفی الخلاف فی نجاسة العشرة المشهورة و منها الخمر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الشهید الثانی رحمه‌الله فی نجاسة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الإمامیّة، إلاّ من شذّ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حبل البهائی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أطبق علیه علماء الإسلام من الخاصّة والعامّة علی ذلک إلاّ شرذمة شاذّة منّا و منهم </w:t>
      </w:r>
      <w:r>
        <w:rPr>
          <w:rStyle w:val="FootnoteAnchor"/>
          <w:rtl w:val="true"/>
        </w:rPr>
        <w:footnoteReference w:id="89"/>
      </w:r>
      <w:r>
        <w:rPr>
          <w:rFonts w:ascii="IRNazanin" w:hAnsi="IRNazanin" w:eastAsia="IRNazanin"/>
          <w:color w:val="111111"/>
          <w:sz w:val="28"/>
          <w:sz w:val="28"/>
          <w:szCs w:val="28"/>
          <w:rtl w:val="true"/>
          <w:lang w:bidi="fa-IR"/>
        </w:rPr>
        <w:t xml:space="preserve">، لم یعتد الفریقان بمخالفتهم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7" w:name="pg3696_43302"/>
    </w:p>
    <w:p>
      <w:pPr>
        <w:pStyle w:val="BookText"/>
        <w:rPr/>
      </w:pPr>
      <w:bookmarkEnd w:id="97"/>
      <w:r>
        <w:rPr>
          <w:rFonts w:ascii="IRNazanin" w:hAnsi="IRNazanin" w:eastAsia="IRNazanin"/>
          <w:color w:val="111111"/>
          <w:sz w:val="28"/>
          <w:sz w:val="28"/>
          <w:szCs w:val="28"/>
          <w:rtl w:val="true"/>
          <w:lang w:bidi="fa-IR"/>
        </w:rPr>
        <w:t xml:space="preserve">و فی المصابیح بعد ذکر القول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القول ضعیف والقائل به شاذّ، والذی استقرّ علیه المذهب بعد الخلاف هو التنجیس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جواهرالأستاد ـ سلّمه اللّه تعالی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نقلاً وتحصیلاً، قدیما وحدیثا بیننا و بین غیرنا شهرة کادت تکون إجماعاً، بل هی کذلک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کلماتهم الظاهرة، بل الصریحة فی دعوی الإجماع </w:t>
      </w:r>
      <w:r>
        <w:rPr>
          <w:rFonts w:eastAsia="IRNazanin" w:cs="IRNazanin"/>
          <w:color w:val="111111"/>
          <w:sz w:val="28"/>
          <w:szCs w:val="28"/>
          <w:rtl w:val="true"/>
          <w:lang w:bidi="fa-IR"/>
        </w:rPr>
        <w:t>.</w:t>
      </w:r>
    </w:p>
    <w:p>
      <w:pPr>
        <w:pStyle w:val="Heading6"/>
        <w:numPr>
          <w:ilvl w:val="5"/>
          <w:numId w:val="1"/>
        </w:numPr>
        <w:rPr/>
      </w:pPr>
      <w:bookmarkStart w:id="98" w:name="__RefHeading___Toc488283_2281741623"/>
      <w:bookmarkStart w:id="99" w:name="_Toc35"/>
      <w:bookmarkEnd w:id="98"/>
      <w:r>
        <w:rPr>
          <w:rtl w:val="true"/>
        </w:rPr>
        <w:t xml:space="preserve">الثانی </w:t>
      </w:r>
      <w:r>
        <w:rPr>
          <w:rtl w:val="true"/>
        </w:rPr>
        <w:t xml:space="preserve">: </w:t>
      </w:r>
      <w:r>
        <w:rPr>
          <w:rtl w:val="true"/>
        </w:rPr>
        <w:t xml:space="preserve">قوله تعالی </w:t>
      </w:r>
      <w:r>
        <w:rPr>
          <w:rtl w:val="true"/>
        </w:rPr>
        <w:t xml:space="preserve">: « </w:t>
      </w:r>
      <w:r>
        <w:rPr>
          <w:rtl w:val="true"/>
        </w:rPr>
        <w:t xml:space="preserve">یا أیّها الّذین آمنوا إنّما الخمر </w:t>
      </w:r>
      <w:r>
        <w:rPr>
          <w:rtl w:val="true"/>
        </w:rPr>
        <w:t>... »</w:t>
      </w:r>
      <w:bookmarkEnd w:id="99"/>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فی أواخر سورة المائدة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رجس من عمل الشیطان فاجتنبوه لعلّکم تفلحون </w:t>
      </w:r>
      <w:r>
        <w:rPr>
          <w:rFonts w:eastAsia="IRNazanin" w:cs="IRNazanin"/>
          <w:color w:val="111111"/>
          <w:sz w:val="28"/>
          <w:szCs w:val="28"/>
          <w:rtl w:val="true"/>
          <w:lang w:bidi="fa-IR"/>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اشتهر الإستدلال بهذه الآیة، والإستدلال به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الرجس فی الآیة بمعنی النجس، وهو المحکی عن بعض أهل اللغة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المعتبر هو مترادف للنجس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التهذیب نفی الخلاف عن 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والرجس هو النجس بلا خلاف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نقل عنه غیر واحد أنّه ادّعی الإجماع علی ذلک </w:t>
      </w:r>
      <w:r>
        <w:rPr>
          <w:rStyle w:val="FootnoteAnchor"/>
          <w:rtl w:val="true"/>
        </w:rPr>
        <w:footnoteReference w:id="96"/>
      </w:r>
      <w:r>
        <w:rPr>
          <w:rFonts w:ascii="IRNazanin" w:hAnsi="IRNazanin" w:eastAsia="IRNazanin"/>
          <w:color w:val="111111"/>
          <w:sz w:val="28"/>
          <w:sz w:val="28"/>
          <w:szCs w:val="28"/>
          <w:rtl w:val="true"/>
          <w:lang w:bidi="fa-IR"/>
        </w:rPr>
        <w:t xml:space="preserve">، والظاهر أنّهم فهموا من کلامه هذا الإجماع، و لا یبعد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المصابیح أنّه نصّ علیه الفقهاء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تفسیر الرجس بالقذر شائع،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والرجس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و یحرّک ویفتح الراء و یکسر الجیم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فی المصباح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النَّتْنُ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الفارابی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 شیءٍ یُسْتقذر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قال النّقّاش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فی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والنَّجاسَة جعلوهما بمعنًی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الأزهری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القَذَرُ الخارج من بدن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علی هذا فقد یکون الرجس والقذر والنجاسة بمعنًی و قد یکون القذر والرجس بمعنًی غیر النجاسة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بعد ذکر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بالکسر القذر،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العقاب والغضب، کما نقله الفرّاء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کذلک یجعل اللّه الرجس علی الّذین لا یؤمنون </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بعض الأفاضل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الرجس ، و إن کان فی اللغة بمعنی القذر و هو أعمّ من النجاسة ، إلاّ أنّ الشیخ رحمه اللّه قال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الرجس هو النجس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أنّه لاخلاف بین علمائنا فی أنّه فی الآیة بمعنی النجس </w:t>
      </w:r>
      <w:r>
        <w:rPr>
          <w:rStyle w:val="FootnoteAnchor"/>
          <w:rtl w:val="true"/>
        </w:rPr>
        <w:footnoteReference w:id="10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بعض أنّ النجس والقذر مترادفان، قال فی مجمع البحرین فی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و بکسر المعجم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المتنجّس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کلّه طاهر حتّی علمت أنّه قذر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یناسب الحمل علی المیسر والأنصاب والأزلام، لعدم نجاستها قطعاً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أفراد الرجس، مع کون المسند إلیه أموراً متعدّدة و هو الخمر والمیسر والأنصاب والأزلام، أن یکون هذا خبراً عن الخمر و یکون الخبر للباقی مقدّراً، و یدلّ علیه هذا الخبر کما احتمله فی الحبل المتین و آیات الأحکام للأردبیلی </w:t>
      </w:r>
      <w:r>
        <w:rPr>
          <w:rStyle w:val="FootnoteAnchor"/>
          <w:rtl w:val="true"/>
        </w:rPr>
        <w:footnoteReference w:id="104"/>
      </w:r>
      <w:r>
        <w:rPr>
          <w:rFonts w:ascii="IRNazanin" w:hAnsi="IRNazanin" w:eastAsia="IRNazanin"/>
          <w:color w:val="111111"/>
          <w:sz w:val="28"/>
          <w:sz w:val="28"/>
          <w:szCs w:val="28"/>
          <w:rtl w:val="true"/>
          <w:lang w:bidi="fa-IR"/>
        </w:rPr>
        <w:t xml:space="preserve">؛ أو یکون کما قال فی الحبل المتین من کون الرجس خبراً عن الکلّ من قبیل عموم الإشتراک أو عموم المجاز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غایة ما یمکن أن یقال فی المقام، فإن تمّ الإجماع الظاهر من التهذیب علی هذا التفسیر فهو، وإلاّ فللمنع مجال واسع، لأنّ کون الرجس بمعنی النجس بالخصوص غیر ظاهر من کلماتهم سوی ما مرّ من النقّاش، و عبارة البارع لا یدلّ علیه،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ربّما قالوا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فلا یدلّ إلاّ علی الإستعمال، و تفسیره بما هو الأعمّ أو یحتمل العموم لا یدلّ علی ذلک کتفسیره بالقذر و نحوه، کما مرّ من المصباح المنیر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إستعمال الرجس فی غیر هذا المعنی شائع، کقوله تعالی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لیذهب عنکم الرجس </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 xml:space="preserve">، 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یجعل الرجس علی الّذین لا یعقلون </w:t>
      </w:r>
      <w:r>
        <w:rPr>
          <w:rFonts w:eastAsia="IRNazanin" w:cs="IRNazanin"/>
          <w:color w:val="111111"/>
          <w:sz w:val="28"/>
          <w:szCs w:val="28"/>
          <w:rtl w:val="true"/>
          <w:lang w:bidi="fa-IR"/>
        </w:rPr>
        <w:t xml:space="preserve">» </w:t>
      </w:r>
      <w:r>
        <w:rPr>
          <w:rStyle w:val="FootnoteAnchor"/>
          <w:rtl w:val="true"/>
        </w:rPr>
        <w:footnoteReference w:id="107"/>
      </w:r>
      <w:r>
        <w:rPr>
          <w:rFonts w:ascii="IRNazanin" w:hAnsi="IRNazanin" w:eastAsia="IRNazanin"/>
          <w:color w:val="111111"/>
          <w:sz w:val="28"/>
          <w:sz w:val="28"/>
          <w:szCs w:val="28"/>
          <w:rtl w:val="true"/>
          <w:lang w:bidi="fa-IR"/>
        </w:rPr>
        <w:t xml:space="preserve">، و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فزادتهم رجساً إلی رجسهم </w:t>
      </w:r>
      <w:r>
        <w:rPr>
          <w:rFonts w:eastAsia="IRNazanin" w:cs="IRNazanin"/>
          <w:color w:val="111111"/>
          <w:sz w:val="28"/>
          <w:szCs w:val="28"/>
          <w:rtl w:val="true"/>
          <w:lang w:bidi="fa-IR"/>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 وغیر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ما فی القاموس من تفسیر الرجس بغیر معنی القذر المناسب للمقام، فإنّه قال فیه بعد ما مرّ النقل منه فی بیان معانیه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والمأثم، و کلّ ما استقذر من العمل والعمل المؤدی إلی العذاب، والشکّ، والعقاب، والغضب، و رجس کفرح و کرم، رجاسة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عملاً قبیحاً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حمل الرجس علی الأمور المذکورة ، فالأظهر أن یکون الرجس إسم جنس ، و یحتمل أن یکون المضاف محذوفاً ، أی تعاطی الخمر والمیسر ، أو إستعمالها، أو الخوض فیها والإشتغال بها، أو شأنها، إلی غیر ذلک، و یکون هو المرجع للضمیر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مَ یرجع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المضاف المحذوف ، کأنّه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شأن الخمر والمیسر ، أو تعاطیهما، أو ما أشبه ذلک، و لذلک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رجس من عمل الشیطان </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عمل الشیطان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یقتضی أن یکون المضاف مقدّراً و یکون من الأعمال، و کون العمل بمعنی المعمول خلاف الظاهر </w:t>
      </w:r>
      <w:r>
        <w:rPr>
          <w:rFonts w:eastAsia="IRNazanin" w:cs="IRNazanin"/>
          <w:color w:val="111111"/>
          <w:sz w:val="28"/>
          <w:szCs w:val="28"/>
          <w:rtl w:val="true"/>
          <w:lang w:bidi="fa-IR"/>
        </w:rPr>
        <w:t xml:space="preserve">. </w:t>
      </w:r>
      <w:bookmarkStart w:id="100" w:name="pg3696_43306"/>
    </w:p>
    <w:p>
      <w:pPr>
        <w:pStyle w:val="BookText"/>
        <w:rPr/>
      </w:pPr>
      <w:bookmarkEnd w:id="100"/>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المطابق لما فهمه الفحول من الأصحاب من الآیة، و فهمهم فی ذلک حجّة، و فیه أیضا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 التهذیب، من أنّ الأمر بالإجتناب المطلق إنّما یکون بترک جمیع الإستعمالات، و هو المطابق لمعنی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فاجتنبوه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فأمر باجتناب ذلک علی کلّ حال، و ظاهر أمر اللّه علی الوجوب، و اجتناب ما یتناول اللفظ علی کلّ وجه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الأمر المذکور لا یختصّ بالخمر مع أنّ الظاهر من الإجتناب من کلّ شیء ما یناسبه، و شاع المزاولة له، و هو الشرب فی الخمر ونحوه فی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روایة خیران الخادم، فإنّ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فإنّه رجس حتّی تغسله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أنّ الرجس بمعنی النجس، و فیه إشارة إلی الآیة، فتتمّ الإستدلال بالآیة من کون الرجس بمعنی النجس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یقال فی وجه الإستدلال بالآیة، والعمدة النقل السابق من بعض أهل اللغة کالنقّاش، والإجماع الظاهر من الشیخ رحمه‌الله بتأیید هذه الروایة، و فهم جملة من الفحول </w:t>
      </w:r>
      <w:r>
        <w:rPr>
          <w:rFonts w:eastAsia="IRNazanin" w:cs="IRNazanin"/>
          <w:color w:val="111111"/>
          <w:sz w:val="28"/>
          <w:szCs w:val="28"/>
          <w:rtl w:val="true"/>
          <w:lang w:bidi="fa-IR"/>
        </w:rPr>
        <w:t>.</w:t>
      </w:r>
    </w:p>
    <w:p>
      <w:pPr>
        <w:pStyle w:val="Heading6"/>
        <w:numPr>
          <w:ilvl w:val="5"/>
          <w:numId w:val="1"/>
        </w:numPr>
        <w:rPr/>
      </w:pPr>
      <w:bookmarkStart w:id="101" w:name="__RefHeading___Toc488285_2281741623"/>
      <w:bookmarkStart w:id="102" w:name="_Toc36"/>
      <w:bookmarkEnd w:id="101"/>
      <w:r>
        <w:rPr>
          <w:rtl w:val="true"/>
        </w:rPr>
        <w:t xml:space="preserve">الثالث </w:t>
      </w:r>
      <w:r>
        <w:rPr>
          <w:rtl w:val="true"/>
        </w:rPr>
        <w:t xml:space="preserve">: </w:t>
      </w:r>
      <w:r>
        <w:rPr>
          <w:rtl w:val="true"/>
        </w:rPr>
        <w:t xml:space="preserve">جملة من الأخبار و هی علی أصناف </w:t>
      </w:r>
      <w:r>
        <w:rPr>
          <w:rtl w:val="true"/>
        </w:rPr>
        <w:t>:</w:t>
      </w:r>
      <w:bookmarkEnd w:id="102"/>
    </w:p>
    <w:p>
      <w:pPr>
        <w:pStyle w:val="Heading6"/>
        <w:numPr>
          <w:ilvl w:val="5"/>
          <w:numId w:val="1"/>
        </w:numPr>
        <w:rPr/>
      </w:pPr>
      <w:bookmarkStart w:id="103" w:name="__RefHeading___Toc488287_2281741623"/>
      <w:bookmarkStart w:id="104" w:name="_Toc37"/>
      <w:bookmarkEnd w:id="103"/>
      <w:r>
        <w:rPr>
          <w:rtl w:val="true"/>
        </w:rPr>
        <w:t xml:space="preserve">تقسیم الأخبار إلی أصناف </w:t>
      </w:r>
      <w:r>
        <w:rPr>
          <w:rtl w:val="true"/>
        </w:rPr>
        <w:t>:</w:t>
      </w:r>
      <w:bookmarkEnd w:id="104"/>
    </w:p>
    <w:p>
      <w:pPr>
        <w:pStyle w:val="Heading6"/>
        <w:numPr>
          <w:ilvl w:val="5"/>
          <w:numId w:val="1"/>
        </w:numPr>
        <w:rPr/>
      </w:pPr>
      <w:bookmarkStart w:id="105" w:name="__RefHeading___Toc488289_2281741623"/>
      <w:bookmarkStart w:id="106" w:name="_Toc38"/>
      <w:bookmarkEnd w:id="105"/>
      <w:r>
        <w:rPr>
          <w:rtl w:val="true"/>
        </w:rPr>
        <w:t xml:space="preserve">أوّلها </w:t>
      </w:r>
      <w:r>
        <w:rPr>
          <w:rtl w:val="true"/>
        </w:rPr>
        <w:t xml:space="preserve">: </w:t>
      </w:r>
      <w:r>
        <w:rPr>
          <w:rtl w:val="true"/>
        </w:rPr>
        <w:t>الأخبار الواردة فی باقی المسکرات</w:t>
      </w:r>
      <w:bookmarkEnd w:id="10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باقی المسکرات و سیأتی إن شاء اللّه تعالی، مثل </w:t>
      </w:r>
      <w:bookmarkStart w:id="107" w:name="pg3696_43307"/>
    </w:p>
    <w:p>
      <w:pPr>
        <w:pStyle w:val="BookText"/>
        <w:rPr/>
      </w:pPr>
      <w:bookmarkEnd w:id="107"/>
      <w:r>
        <w:rPr>
          <w:rFonts w:ascii="IRNazanin" w:hAnsi="IRNazanin" w:eastAsia="IRNazanin"/>
          <w:color w:val="111111"/>
          <w:sz w:val="28"/>
          <w:sz w:val="28"/>
          <w:szCs w:val="28"/>
          <w:rtl w:val="true"/>
          <w:lang w:bidi="fa-IR"/>
        </w:rPr>
        <w:t xml:space="preserve">قوله علیه‌السلام فی روایة أبی بصیر الواردة فی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 یبل المیل ینجس حبّا من ماء یقولها ثلاثاً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 قوله علیه‌السلام فی روایة هشام بن الحکم الواردة فی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فإنّه خمر مجهول، و إذا أصاب ثوبک فاغسله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والتقریب فیها ظاهر، لأنّ النجاسة لو ثبت فی غیر الخمر، ففی الخمر بطریق أولی </w:t>
      </w:r>
      <w:r>
        <w:rPr>
          <w:rFonts w:eastAsia="IRNazanin" w:cs="IRNazanin"/>
          <w:color w:val="111111"/>
          <w:sz w:val="28"/>
          <w:szCs w:val="28"/>
          <w:rtl w:val="true"/>
          <w:lang w:bidi="fa-IR"/>
        </w:rPr>
        <w:t>.</w:t>
      </w:r>
    </w:p>
    <w:p>
      <w:pPr>
        <w:pStyle w:val="Heading6"/>
        <w:numPr>
          <w:ilvl w:val="5"/>
          <w:numId w:val="1"/>
        </w:numPr>
        <w:rPr/>
      </w:pPr>
      <w:bookmarkStart w:id="108" w:name="__RefHeading___Toc488291_2281741623"/>
      <w:bookmarkStart w:id="109" w:name="_Toc39"/>
      <w:bookmarkEnd w:id="108"/>
      <w:r>
        <w:rPr>
          <w:rtl w:val="true"/>
        </w:rPr>
        <w:t xml:space="preserve">ثانیها </w:t>
      </w:r>
      <w:r>
        <w:rPr>
          <w:rtl w:val="true"/>
        </w:rPr>
        <w:t xml:space="preserve">: </w:t>
      </w:r>
      <w:r>
        <w:rPr>
          <w:rtl w:val="true"/>
        </w:rPr>
        <w:t>الأخبار الواردة فی أنّها بمنزلة المیتة</w:t>
      </w:r>
      <w:bookmarkEnd w:id="109"/>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أنّها بمنزلة المیتة، کالخبر المرویّ فی التهذیب فی کتاب الأطعمة والأشربة، عن هارون بن حمزة الغنوی، عن أبی عبداللّه علیه‌السلام فی رجل إشتکی عینیه فنعت له کحل یعجن بالخمر،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خبیث بمنزلة المیتة، فإن کان مضطرّا فلیکتحل به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عن الحلبی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علیه‌السلام عن دواء یعجن بالخمر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لا أحبّ أن أنظر إلیه فکیف أتداوی به ؟ بمنزلة شحم الخنزیر أو لحم الخنزیر ترون أناساً یتداون به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 ذلک من الأخبار </w:t>
      </w:r>
      <w:r>
        <w:rPr>
          <w:rFonts w:eastAsia="IRNazanin" w:cs="IRNazanin"/>
          <w:color w:val="111111"/>
          <w:sz w:val="28"/>
          <w:szCs w:val="28"/>
          <w:rtl w:val="true"/>
          <w:lang w:bidi="fa-IR"/>
        </w:rPr>
        <w:t>.</w:t>
      </w:r>
    </w:p>
    <w:p>
      <w:pPr>
        <w:pStyle w:val="Heading6"/>
        <w:numPr>
          <w:ilvl w:val="5"/>
          <w:numId w:val="1"/>
        </w:numPr>
        <w:rPr/>
      </w:pPr>
      <w:bookmarkStart w:id="110" w:name="__RefHeading___Toc488293_2281741623"/>
      <w:bookmarkStart w:id="111" w:name="_Toc40"/>
      <w:bookmarkEnd w:id="110"/>
      <w:r>
        <w:rPr>
          <w:rtl w:val="true"/>
        </w:rPr>
        <w:t xml:space="preserve">ثالثها </w:t>
      </w:r>
      <w:r>
        <w:rPr>
          <w:rtl w:val="true"/>
        </w:rPr>
        <w:t xml:space="preserve">: </w:t>
      </w:r>
      <w:r>
        <w:rPr>
          <w:rtl w:val="true"/>
        </w:rPr>
        <w:t>الأخبار الواردة فی منع جمیع الإستعمالات المناسبة لکونها نجسة</w:t>
      </w:r>
      <w:bookmarkEnd w:id="11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منع جمیع الإستعمالات المناسبة لکونها نجسة الّتی یحصل الظنّ القویّ فی حرمة جمیع الإستعمالات </w:t>
      </w:r>
      <w:r>
        <w:rPr>
          <w:rFonts w:eastAsia="IRNazanin" w:cs="IRNazanin"/>
          <w:color w:val="111111"/>
          <w:sz w:val="28"/>
          <w:szCs w:val="28"/>
          <w:rtl w:val="true"/>
          <w:lang w:bidi="fa-IR"/>
        </w:rPr>
        <w:t xml:space="preserve">. </w:t>
      </w:r>
      <w:bookmarkStart w:id="112" w:name="pg3696_43308"/>
    </w:p>
    <w:p>
      <w:pPr>
        <w:pStyle w:val="Heading6"/>
        <w:numPr>
          <w:ilvl w:val="5"/>
          <w:numId w:val="1"/>
        </w:numPr>
        <w:rPr/>
      </w:pPr>
      <w:bookmarkStart w:id="113" w:name="__RefHeading___Toc488295_2281741623"/>
      <w:bookmarkStart w:id="114" w:name="_Toc41"/>
      <w:bookmarkEnd w:id="112"/>
      <w:bookmarkEnd w:id="113"/>
      <w:r>
        <w:rPr>
          <w:rtl w:val="true"/>
        </w:rPr>
        <w:t xml:space="preserve">رابعها </w:t>
      </w:r>
      <w:r>
        <w:rPr>
          <w:rtl w:val="true"/>
        </w:rPr>
        <w:t xml:space="preserve">: </w:t>
      </w:r>
      <w:r>
        <w:rPr>
          <w:rtl w:val="true"/>
        </w:rPr>
        <w:t>الأخبار الواردة فی وجوب نزح البئر إذا وقع فیها الخمر</w:t>
      </w:r>
      <w:bookmarkEnd w:id="114"/>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وجوب نزح البئر إذا وقع فیها الخمر، الصحیح المرویّ فی الکافی والتهذیب ، عن الحلبی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سقط فی البئر شیء صغیر فمات فیها، فانزح منها دلاء،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وقع فیها جنب، فانزح منها سبع دلاء، و إن مات فیها بعیر أو صبّ فیها خمر، فلینزح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 التهذیب، عن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سقط فی البئر دابّة صغیرة أو نزل فیها جنب، نزح منها سبع دلاء، فإن مات فیها ثور أو نحوه أو صبّ فیها خمر، نزح الماء کلّه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فیه، عن معاویة بن عمّار، عن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البئر یبول فیها الصبیّ أو یصبّ فیها بول أو 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ینزح الماء کلّه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فیه، عن حریز،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بئر قطر فیها قطرة دم أو 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والخمر والمیّت و لحم الخنزیر فی ذلک کلّه واحد ینزح منه عشرون دلواً، فإن غلبت الریح نزحت حتّی تطیب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Heading6"/>
        <w:numPr>
          <w:ilvl w:val="5"/>
          <w:numId w:val="1"/>
        </w:numPr>
        <w:rPr/>
      </w:pPr>
      <w:bookmarkStart w:id="115" w:name="__RefHeading___Toc488297_2281741623"/>
      <w:bookmarkStart w:id="116" w:name="_Toc42"/>
      <w:bookmarkEnd w:id="115"/>
      <w:r>
        <w:rPr>
          <w:rtl w:val="true"/>
        </w:rPr>
        <w:t xml:space="preserve">خامسها </w:t>
      </w:r>
      <w:r>
        <w:rPr>
          <w:rtl w:val="true"/>
        </w:rPr>
        <w:t xml:space="preserve">: </w:t>
      </w:r>
      <w:r>
        <w:rPr>
          <w:rtl w:val="true"/>
        </w:rPr>
        <w:t>بعض الأخبار المقرّرة لنجاستها</w:t>
      </w:r>
      <w:bookmarkEnd w:id="116"/>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المقرّرة لنجاستها کالصحیح المرویّ فی التهذیب،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الصادق علیه‌السلام و أنا حاضر، إنّی أعیر ثوبی و أنا أعلم أنّه یشرب الخمر و یأکل الخنزیر فیرده علیّ فأغسله قبل أن أصلّی فیه ، فقال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و لا تغسله من أجل ذلک، فإنّک أعرته إیّاه و هو </w:t>
      </w:r>
      <w:bookmarkStart w:id="117" w:name="pg3696_43309"/>
    </w:p>
    <w:p>
      <w:pPr>
        <w:pStyle w:val="BookText"/>
        <w:rPr/>
      </w:pPr>
      <w:bookmarkEnd w:id="117"/>
      <w:r>
        <w:rPr>
          <w:rFonts w:ascii="IRNazanin" w:hAnsi="IRNazanin" w:eastAsia="IRNazanin"/>
          <w:color w:val="111111"/>
          <w:sz w:val="28"/>
          <w:sz w:val="28"/>
          <w:szCs w:val="28"/>
          <w:rtl w:val="true"/>
          <w:lang w:bidi="fa-IR"/>
        </w:rPr>
        <w:t xml:space="preserve">ظاهر، و لم تستیقن أنّه نجس، فلا بأس أن تصلّی فیه حتّی تستیقن أنّه نجسة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488299_2281741623"/>
      <w:bookmarkStart w:id="119" w:name="_Toc43"/>
      <w:bookmarkEnd w:id="118"/>
      <w:r>
        <w:rPr>
          <w:rtl w:val="true"/>
        </w:rPr>
        <w:t xml:space="preserve">سادسها </w:t>
      </w:r>
      <w:r>
        <w:rPr>
          <w:rtl w:val="true"/>
        </w:rPr>
        <w:t xml:space="preserve">: </w:t>
      </w:r>
      <w:r>
        <w:rPr>
          <w:rtl w:val="true"/>
        </w:rPr>
        <w:t>الأخبار المصرّحة لها بالنجاسة أو الظاهرة منها ذلک</w:t>
      </w:r>
      <w:bookmarkEnd w:id="119"/>
    </w:p>
    <w:p>
      <w:pPr>
        <w:pStyle w:val="Heading6"/>
        <w:numPr>
          <w:ilvl w:val="5"/>
          <w:numId w:val="1"/>
        </w:numPr>
        <w:rPr/>
      </w:pPr>
      <w:bookmarkStart w:id="120" w:name="__RefHeading___Toc488301_2281741623"/>
      <w:bookmarkStart w:id="121" w:name="_Toc44"/>
      <w:bookmarkEnd w:id="120"/>
      <w:r>
        <w:rPr>
          <w:rtl w:val="true"/>
        </w:rPr>
        <w:t>اشارة</w:t>
      </w:r>
      <w:bookmarkEnd w:id="121"/>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المصرّحة لها بالنجاسة أو الظاهرة منها ذلک </w:t>
      </w:r>
      <w:r>
        <w:rPr>
          <w:rFonts w:eastAsia="IRNazanin" w:cs="IRNazanin"/>
          <w:color w:val="111111"/>
          <w:sz w:val="28"/>
          <w:szCs w:val="28"/>
          <w:rtl w:val="true"/>
          <w:lang w:bidi="fa-IR"/>
        </w:rPr>
        <w:t>.</w:t>
      </w:r>
    </w:p>
    <w:p>
      <w:pPr>
        <w:pStyle w:val="Heading6"/>
        <w:numPr>
          <w:ilvl w:val="5"/>
          <w:numId w:val="1"/>
        </w:numPr>
        <w:rPr/>
      </w:pPr>
      <w:bookmarkStart w:id="122" w:name="__RefHeading___Toc488303_2281741623"/>
      <w:bookmarkStart w:id="123" w:name="_Toc45"/>
      <w:bookmarkEnd w:id="122"/>
      <w:r>
        <w:rPr>
          <w:rtl w:val="true"/>
        </w:rPr>
        <w:t xml:space="preserve">فمنها </w:t>
      </w:r>
      <w:r>
        <w:rPr>
          <w:rtl w:val="true"/>
        </w:rPr>
        <w:t xml:space="preserve">: </w:t>
      </w:r>
      <w:r>
        <w:rPr>
          <w:rtl w:val="true"/>
        </w:rPr>
        <w:t>الصحیح المرویّ عن علیّ بن مهزیار</w:t>
      </w:r>
      <w:bookmarkEnd w:id="123"/>
    </w:p>
    <w:p>
      <w:pPr>
        <w:pStyle w:val="Heading6"/>
        <w:numPr>
          <w:ilvl w:val="5"/>
          <w:numId w:val="1"/>
        </w:numPr>
        <w:rPr/>
      </w:pPr>
      <w:bookmarkStart w:id="124" w:name="__RefHeading___Toc488305_2281741623"/>
      <w:bookmarkStart w:id="125" w:name="_Toc46"/>
      <w:bookmarkEnd w:id="124"/>
      <w:r>
        <w:rPr>
          <w:rtl w:val="true"/>
        </w:rPr>
        <w:t>اشارة</w:t>
      </w:r>
      <w:bookmarkEnd w:id="125"/>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الکافی والتهذیب والإستبصار، عن علیّ بن مهزیار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فی کتاب عبداللّه بن محمّد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روی زرارة عن أبی جعفر و أبی عبداللّه علیهماالسلام فی الخمر یصیب ثوب الرجل ،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بأن یصلّی فیه، إنّما حرّم شربها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غیر زرارة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یعنی المسکر، فاغسله إن عرفت موضعه، وإن لم تعرف موضعه فاغسله کلّه ، و إن صلّیت فیه فأعد صلاتک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فاعلمنی ما آخذ به ؟ فوقع بخطّه علیه‌السلام و قراءته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عبداللّه علیه‌السلام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26" w:name="__RefHeading___Toc488307_2281741623"/>
      <w:bookmarkStart w:id="127" w:name="_Toc47"/>
      <w:bookmarkEnd w:id="126"/>
      <w:r>
        <w:rPr>
          <w:rtl w:val="true"/>
        </w:rPr>
        <w:t xml:space="preserve">الکلام فی سند الحدیث </w:t>
      </w:r>
      <w:r>
        <w:rPr>
          <w:rtl w:val="true"/>
        </w:rPr>
        <w:t>:</w:t>
      </w:r>
      <w:bookmarkEnd w:id="127"/>
    </w:p>
    <w:p>
      <w:pPr>
        <w:pStyle w:val="BookText"/>
        <w:rPr/>
      </w:pPr>
      <w:r>
        <w:rPr>
          <w:rFonts w:ascii="IRNazanin" w:hAnsi="IRNazanin" w:eastAsia="IRNazanin"/>
          <w:color w:val="111111"/>
          <w:sz w:val="28"/>
          <w:sz w:val="28"/>
          <w:szCs w:val="28"/>
          <w:rtl w:val="true"/>
          <w:lang w:bidi="fa-IR"/>
        </w:rPr>
        <w:t xml:space="preserve">و قد رواه فی التهذیبین عن الکافی ، و قد رواه فیه بأسانید ثلاثة ، عن علیّ بن مهزیار ،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الحسین بن محمّد ، عن عبداللّه بن عامر ، عن علیّ بن مهزیار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کلاهما أی الحسین و عبداللّه ثقتان ؛ أمّا الحسین، فلأنّ الظاهر أنّه الحسین بن محمّد بن عامر بن عمران بن أبی بکر الأشعریّ القمّی أبوعبداللّه، و فی کثیر من الکتب حذف الجدّ و هو عامر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عمران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بعض الکتب ذکرهما، أی الحسین بن محمّد بن عامر والحسین بن محمّد بن عمران، فی ترجمتین مستقلّتین، و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بکونه ذلک ، أی الحسین بن محمّد الأشعریّ القمّی ، فی الکافی فی باب أنّ الأئمّة علیهم‌السلام هم المحسودون </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ذلک أیضا من روایته عن عبداللّه بن عامر </w:t>
      </w:r>
      <w:r>
        <w:rPr>
          <w:rStyle w:val="FootnoteAnchor"/>
          <w:rtl w:val="true"/>
        </w:rPr>
        <w:footnoteReference w:id="124"/>
      </w:r>
      <w:r>
        <w:rPr>
          <w:rFonts w:ascii="Amiri" w:hAnsi="Amiri" w:eastAsia="Amiri" w:cs="Amiri"/>
          <w:color w:val="111111"/>
          <w:sz w:val="28"/>
          <w:sz w:val="28"/>
          <w:szCs w:val="28"/>
          <w:rtl w:val="true"/>
          <w:lang w:bidi="ar-SA"/>
        </w:rPr>
        <w:t xml:space="preserve">، لأنّ الظاهر أنّه عمّه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الشیخ رحمه‌الله فی باب من لم‌یرو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أحمد بن عامر الأشعریّ، یروی عن عمّه عبداللّه بن عامر، وإبن أبیعمیر </w:t>
      </w:r>
      <w:r>
        <w:rPr>
          <w:rStyle w:val="FootnoteAnchor"/>
          <w:rtl w:val="true"/>
        </w:rPr>
        <w:footnoteReference w:id="125"/>
      </w:r>
      <w:r>
        <w:rPr>
          <w:rFonts w:ascii="IRNazanin" w:hAnsi="IRNazanin" w:eastAsia="IRNazanin"/>
          <w:color w:val="111111"/>
          <w:sz w:val="28"/>
          <w:sz w:val="28"/>
          <w:szCs w:val="28"/>
          <w:rtl w:val="true"/>
          <w:lang w:bidi="fa-IR"/>
        </w:rPr>
        <w:t>، روی عنه‌الکلینی</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أیضا من مشیختی التهذیب والإستبصار، بملاحظة ما ذکره فی باب من لم یرو عن الأئمّة علیهم‌السلام ، لأنّ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ذکرته عن الحسین بن محمّد، فقد رویته بهذه الأسانید عن محمّد بن یعقوب، عن الحسین بن محمّد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فی باب من لم یرو عن الأئمّة علیهم‌السلام ، و فی رجال النجاشی إسقاط الجدّ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محمّد بن عمران </w:t>
      </w:r>
      <w:r>
        <w:rPr>
          <w:rStyle w:val="FootnoteAnchor"/>
          <w:rtl w:val="true"/>
        </w:rPr>
        <w:footnoteReference w:id="128"/>
      </w:r>
      <w:r>
        <w:rPr>
          <w:rFonts w:ascii="IRNazanin" w:hAnsi="IRNazanin" w:eastAsia="IRNazanin"/>
          <w:color w:val="111111"/>
          <w:sz w:val="28"/>
          <w:sz w:val="28"/>
          <w:szCs w:val="28"/>
          <w:rtl w:val="true"/>
          <w:lang w:bidi="fa-IR"/>
        </w:rPr>
        <w:t xml:space="preserve">، و لیس محمّد إبن عمران، کما یظهر من الشیخ رحمه‌الله و غیره فی عمّه عبداللّه </w:t>
      </w:r>
      <w:r>
        <w:rPr>
          <w:rStyle w:val="FootnoteAnchor"/>
          <w:rtl w:val="true"/>
        </w:rPr>
        <w:footnoteReference w:id="129"/>
      </w:r>
      <w:r>
        <w:rPr>
          <w:rFonts w:ascii="Amiri" w:hAnsi="Amiri" w:eastAsia="Amiri" w:cs="Amiri"/>
          <w:color w:val="111111"/>
          <w:sz w:val="28"/>
          <w:sz w:val="28"/>
          <w:szCs w:val="28"/>
          <w:rtl w:val="true"/>
          <w:lang w:bidi="ar-SA"/>
        </w:rPr>
        <w:t xml:space="preserve">، و فی ترجمة معلّی بن محمّد البصریّ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کما أنّ فی رجال الشیخ رحمه‌الله ، فی باب من لم یرو عن الأئمّة علیهم‌السلام ، الموجود عندی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بدل محمّد ، و کیف کان فالحسین بن محمّد هذا ثقة ، کما صرّح به فی رجال النجاشی و الخلاصة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المصابیح أنّه من أجلاّء الرواة و مشاهیر الثقات ،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ورجال سندها من أجلاّء الرواة و مشاهیر الثقات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عبداللّه بن عامر، فهو عبداللّه بن عامر بن عمران بن أبی عمرو الأشعریّ أبو محمّد ؛ و فی رجال النجاشی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من وجوه أصحابنا، ثقة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یظهر ممّا ذکروه من نَسَبِه أنّ الصحیح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أبوعمرو، بدل أبی بکر </w:t>
      </w:r>
      <w:r>
        <w:rPr>
          <w:rStyle w:val="FootnoteAnchor"/>
          <w:rtl w:val="true"/>
        </w:rPr>
        <w:footnoteReference w:id="134"/>
      </w:r>
      <w:r>
        <w:rPr>
          <w:rFonts w:ascii="IRNazanin" w:hAnsi="IRNazanin" w:eastAsia="IRNazanin"/>
          <w:color w:val="111111"/>
          <w:sz w:val="28"/>
          <w:sz w:val="28"/>
          <w:szCs w:val="28"/>
          <w:rtl w:val="true"/>
          <w:lang w:bidi="fa-IR"/>
        </w:rPr>
        <w:t xml:space="preserve">، فی ذکر نسب الحسین إبن أخی عبداللّه هذا، أو بالعکس، والأوّل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أحمد بن محمّد، عن علیّ بن 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هما أیضا ثقتان، لأنّ محمّد بن یحیی هو محمّد بن یحیی أبوجعفر العطّار الّذی قال فی رجال النجاشی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أصحابنا فی زمانه ، ثقة ، عین ، کثیر الحدیث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أحمد بن محمّد هذا هو أحمد بن محمّد بن عیسی، ففی الفهرست فی ترجمة أحمد بن محمّد بن عیسی بعد ذکر 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بجمیع کتبه و روایاته عدّة من أصحابنا منهم الحسین بن عبیداللّه و إبن أبی جیّد، عن أحمد بن محمّد بن </w:t>
      </w:r>
      <w:bookmarkStart w:id="128" w:name="pg3696_43312"/>
    </w:p>
    <w:p>
      <w:pPr>
        <w:pStyle w:val="BookText"/>
        <w:rPr/>
      </w:pPr>
      <w:bookmarkEnd w:id="128"/>
      <w:r>
        <w:rPr>
          <w:rFonts w:ascii="IRNazanin" w:hAnsi="IRNazanin" w:eastAsia="IRNazanin"/>
          <w:color w:val="111111"/>
          <w:sz w:val="28"/>
          <w:sz w:val="28"/>
          <w:szCs w:val="28"/>
          <w:rtl w:val="true"/>
          <w:lang w:bidi="fa-IR"/>
        </w:rPr>
        <w:t xml:space="preserve">یحیی العطّار، عن أبیه، و سعد بن عبداللّه عنه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أبوالعبّاس أحمد بن علیّ بن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بها أبوالحسن بن داود، عن محمّد بن یعقوب، عن علیّ بن إبراهیم، و محمّد بن یحیی و علیّ بن موسی بن جعفر و داود بن کورة و أحمد بن إدریس، عن أحمد بن محمّد بن عیسی بکتبه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عن سهل بن زیاد، عن علیّ بن مهزیار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محمّد، فالظاهر أنّه علیّ بن محمّد بن إبراهیم العلاّن، و ستعرف حاله و حال سهل 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علیّ بن مهزیار، فجلالته معلومة </w:t>
      </w:r>
      <w:r>
        <w:rPr>
          <w:rFonts w:eastAsia="IRNazanin" w:cs="IRNazanin"/>
          <w:color w:val="111111"/>
          <w:sz w:val="28"/>
          <w:szCs w:val="28"/>
          <w:rtl w:val="true"/>
          <w:lang w:bidi="fa-IR"/>
        </w:rPr>
        <w:t>.</w:t>
      </w:r>
    </w:p>
    <w:p>
      <w:pPr>
        <w:pStyle w:val="Heading6"/>
        <w:numPr>
          <w:ilvl w:val="5"/>
          <w:numId w:val="1"/>
        </w:numPr>
        <w:rPr/>
      </w:pPr>
      <w:bookmarkStart w:id="129" w:name="__RefHeading___Toc488309_2281741623"/>
      <w:bookmarkStart w:id="130" w:name="_Toc48"/>
      <w:bookmarkEnd w:id="129"/>
      <w:r>
        <w:rPr>
          <w:rtl w:val="true"/>
        </w:rPr>
        <w:t xml:space="preserve">الکلام فی دلالة الحدیث </w:t>
      </w:r>
      <w:r>
        <w:rPr>
          <w:rtl w:val="true"/>
        </w:rPr>
        <w:t>:</w:t>
      </w:r>
      <w:bookmarkEnd w:id="130"/>
    </w:p>
    <w:p>
      <w:pPr>
        <w:pStyle w:val="BookText"/>
        <w:rPr/>
      </w:pPr>
      <w:r>
        <w:rPr>
          <w:rFonts w:ascii="IRNazanin" w:hAnsi="IRNazanin" w:eastAsia="IRNazanin"/>
          <w:color w:val="111111"/>
          <w:sz w:val="28"/>
          <w:sz w:val="28"/>
          <w:szCs w:val="28"/>
          <w:rtl w:val="true"/>
          <w:lang w:bidi="fa-IR"/>
        </w:rPr>
        <w:t xml:space="preserve">و أمّا وجه دلالة الخبر فظاهر، لأنّ الأخذ بقول أبی عبداللّه علیه‌السلام هو قوله الأخیر المنفرد به، والقول الأوّل و إن کان قوله أیضا إلاّ أنّه قول أبیه علیه‌السلام أیضا، والإختصاص بالإسناد إلیه یدلّ علی أنّ المقصود قوله المختصّ به و هو الأخیر کما لا یخفی، و یکون القول الأوّل خارجاً مخرج التقیّة </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التهذیب فی وجه الإستدلال بالخبر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علیه‌السلام أمر بالأخذ بقول أبی عبداللّه علیه‌السلام علی الإنفراد والعدول عن قوله مع قول أبی جعفر علیه‌السلام ، فلو لا أنّ قوله علیه‌السلام مع قول أبی جعفر علیه‌السلام خرج مخرج التقیة لکان الأخذ بقولهما علیهماالسلام معا أولی و أحری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 xml:space="preserve">. </w:t>
      </w:r>
      <w:bookmarkStart w:id="131" w:name="pg3696_43313"/>
    </w:p>
    <w:p>
      <w:pPr>
        <w:pStyle w:val="BookText"/>
        <w:rPr/>
      </w:pPr>
      <w:bookmarkEnd w:id="131"/>
      <w:r>
        <w:rPr>
          <w:rFonts w:ascii="IRNazanin" w:hAnsi="IRNazanin" w:eastAsia="IRNazanin"/>
          <w:color w:val="111111"/>
          <w:sz w:val="28"/>
          <w:sz w:val="28"/>
          <w:szCs w:val="28"/>
          <w:rtl w:val="true"/>
          <w:lang w:bidi="fa-IR"/>
        </w:rPr>
        <w:t xml:space="preserve">و مثله قال فی الإستبصار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 خروج الأوّل مخرج التقیة ما ستعرف من کون مذهب العامّة علی الطهارة </w:t>
      </w:r>
      <w:r>
        <w:rPr>
          <w:rFonts w:eastAsia="IRNazanin" w:cs="IRNazanin"/>
          <w:color w:val="111111"/>
          <w:sz w:val="28"/>
          <w:szCs w:val="28"/>
          <w:rtl w:val="true"/>
          <w:lang w:bidi="fa-IR"/>
        </w:rPr>
        <w:t>.</w:t>
      </w:r>
    </w:p>
    <w:p>
      <w:pPr>
        <w:pStyle w:val="Heading6"/>
        <w:numPr>
          <w:ilvl w:val="5"/>
          <w:numId w:val="1"/>
        </w:numPr>
        <w:rPr/>
      </w:pPr>
      <w:bookmarkStart w:id="132" w:name="__RefHeading___Toc488311_2281741623"/>
      <w:bookmarkStart w:id="133" w:name="_Toc49"/>
      <w:bookmarkEnd w:id="132"/>
      <w:r>
        <w:rPr>
          <w:rtl w:val="true"/>
        </w:rPr>
        <w:t xml:space="preserve">و منها </w:t>
      </w:r>
      <w:r>
        <w:rPr>
          <w:rtl w:val="true"/>
        </w:rPr>
        <w:t xml:space="preserve">: </w:t>
      </w:r>
      <w:r>
        <w:rPr>
          <w:rtl w:val="true"/>
        </w:rPr>
        <w:t>الخبر المرویّ عن خیران الخادم</w:t>
      </w:r>
      <w:bookmarkEnd w:id="133"/>
    </w:p>
    <w:p>
      <w:pPr>
        <w:pStyle w:val="Heading6"/>
        <w:numPr>
          <w:ilvl w:val="5"/>
          <w:numId w:val="1"/>
        </w:numPr>
        <w:rPr/>
      </w:pPr>
      <w:bookmarkStart w:id="134" w:name="__RefHeading___Toc488313_2281741623"/>
      <w:bookmarkStart w:id="135" w:name="_Toc50"/>
      <w:bookmarkEnd w:id="134"/>
      <w:r>
        <w:rPr>
          <w:rtl w:val="true"/>
        </w:rPr>
        <w:t>اشارة</w:t>
      </w:r>
      <w:bookmarkEnd w:id="135"/>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1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الکتب الثلاثة، عن خیران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أسأله عن الثوب یصیب الخمر و لحم الخنزیر ، أَیُصلّی فیه أم لا ؟ فإنّ أصحابنا قد اختلفوا فیه،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فإنّ اللّه تعالی حرّم شربها،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فإنّه رجس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6" w:name="__RefHeading___Toc488315_2281741623"/>
      <w:bookmarkStart w:id="137" w:name="_Toc51"/>
      <w:bookmarkEnd w:id="136"/>
      <w:r>
        <w:rPr>
          <w:rtl w:val="true"/>
        </w:rPr>
        <w:t xml:space="preserve">الکلام فی سند الحدیث </w:t>
      </w:r>
      <w:r>
        <w:rPr>
          <w:rtl w:val="true"/>
        </w:rPr>
        <w:t>:</w:t>
      </w:r>
      <w:bookmarkEnd w:id="137"/>
    </w:p>
    <w:p>
      <w:pPr>
        <w:pStyle w:val="BookText"/>
        <w:rPr/>
      </w:pPr>
      <w:r>
        <w:rPr>
          <w:rFonts w:ascii="IRNazanin" w:hAnsi="IRNazanin" w:eastAsia="IRNazanin"/>
          <w:color w:val="111111"/>
          <w:sz w:val="28"/>
          <w:sz w:val="28"/>
          <w:szCs w:val="28"/>
          <w:rtl w:val="true"/>
          <w:lang w:bidi="fa-IR"/>
        </w:rPr>
        <w:t xml:space="preserve">والسند فیه کالسند الأخیر فی الروایة السابقة، أورداه فی التهذیب والإستبصار عن محمّد بن یعقوب، عن علیّ بن محمّد، عن سهل بن زیاد، عن خیران الخادم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علیّ بن محمّد، فالظاهر أنّه علیّ بن محمّد بن إبراهیم بن أبان الرازیّ الکلینیّ، المعروف بعلاّن ـ بالعین المهملة ـ المکنّی بأبی الحسن،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 سهل، و هو من أشخاص العدّة الّتی روت عن سهل، فإنّ للکلینیّ عدّة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عن أحمد بن محمّد بن عیسی، و عدّة عن أحمد بن محمّد بن خالد، و عدّة عن سهل بن زیاد ؛ والعلاّن المذکور من العدّة الأخیرة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الفائدة الثالثة من فوائد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الصدوق محمّد بن </w:t>
      </w:r>
    </w:p>
    <w:p>
      <w:pPr>
        <w:pStyle w:val="BookText"/>
        <w:rPr/>
      </w:pPr>
      <w:r>
        <w:rPr>
          <w:rFonts w:ascii="IRNazanin" w:hAnsi="IRNazanin" w:eastAsia="IRNazanin"/>
          <w:color w:val="111111"/>
          <w:sz w:val="28"/>
          <w:sz w:val="28"/>
          <w:szCs w:val="28"/>
          <w:rtl w:val="true"/>
          <w:lang w:bidi="fa-IR"/>
        </w:rPr>
        <w:t xml:space="preserve">یعقوب الکلینیّ فی کتابه الکافی فی أخبار کثیرة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من أصحابنا، عن أحمد بن محمّد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بقولی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یحیی، وعلیّ بن موسی الکمندانیّ، و داود بن کورة، و أحمد بن إدریس، و علیّ بن إبراهیم بن هاشم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ذکرته فی کتابی المشار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أحمد بن محمّد بن خالد البرقی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علیّ بن إبراهیم، و علیّ بن محمّد بن عبداللّه بن أذینة، و أحمد بن عبداللّه بن أمیّة، و علیّ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ذکرته فی کتابی المشار إلیه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عدّة من أصحابنا، عن سهل بن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علیّ بن محمّد بن علاّن، و محمّد بن أبی عبداللّه، و محمّد بن الحسن، ومحمّد بن عقیل الکلینیّ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الفاضل الأسترآبادیّ رحمه‌الله ، بعد نقل ما مرّ من الخلاصة، فی الفائدة الأولی من الفوائد المذکورة فی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إتّفقت النسخ علی علیّ بن محمّد بن علاّن، والموجود فی الرجال علیّ بن محمّد المعروف بعلاّن ، فالظاهر أنّه علیّ بن محمّد بن علاّن </w:t>
      </w:r>
      <w:r>
        <w:rPr>
          <w:rStyle w:val="FootnoteAnchor"/>
          <w:rtl w:val="true"/>
        </w:rPr>
        <w:footnoteReference w:id="14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والموجود من نسخة الخلاصة الموجودة عندی علیّ بن محمّد فقط ، بدون ذکر الجدّ و لا اللقب ، و فیها آثار الصحّة ؛ و کیف کان، فالظاهر أنّه المراد و إن سقط عن القلم ، مع أنّ شهادة الفاضل المذکور علی إتّفاق النسخ مقدّمة علی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إذا عرفت ذلک، فالظاهر أنّ علیّ بن محمّد فی ما إذا لم یکن فی ضمن العدّة، کما فیما نحن فیه و غیره، هو هذا العلاّن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کما یظهر من الخلاصة، أنّ العلاّن هذا هو خال الکلینیّ ؛ قال فی ترجمة محمّد 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خاله علان الکلینیّ الرازیّ ، فالظاهر أنّه روی من خاله لکونه من قرائبه الثقة المعروف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الکلینی کمحمّد بن یعقوب، کما یظهر من الخلاصة، والظاهر أنّه یروی عنه المتّحد معه فی البلد والموطن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رازیّ کسهل، فالظاهر أنّه الّذی یروی عنه سهل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المصرّح به فی کلام جماعة من العلماء کما حکی عنهم الوالد العلاّمة روحی فداه، فی رسالته فی العدّة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بن محمّد هذا هو علیّ بن محمّد بن إبراهیم المذکور، لأنّه الّذی صرّح به جماعة من العلماء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أشار إلیه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شهادة الطبقة، لأنّه کان فی زمن الغیبة الصغری و مات فیها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أخبار القائم علیه‌السلام </w:t>
      </w: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عَلاّن فی طریق مکّة، و کان إستأذن الصاحب علیه‌السلام فی الحجّ ، فخرج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عنه فی هذه السنة، فخالف </w:t>
      </w:r>
      <w:r>
        <w:rPr>
          <w:rStyle w:val="FootnoteAnchor"/>
          <w:rtl w:val="true"/>
        </w:rPr>
        <w:footnoteReference w:id="14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فیها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إطّراد عادة ثقة الإسلام بإطلاق علیّ بن </w:t>
      </w:r>
    </w:p>
    <w:p>
      <w:pPr>
        <w:pStyle w:val="BookText"/>
        <w:rPr/>
      </w:pPr>
      <w:r>
        <w:rPr>
          <w:rFonts w:ascii="IRNazanin" w:hAnsi="IRNazanin" w:eastAsia="IRNazanin"/>
          <w:color w:val="111111"/>
          <w:sz w:val="28"/>
          <w:sz w:val="28"/>
          <w:szCs w:val="28"/>
          <w:rtl w:val="true"/>
          <w:lang w:bidi="fa-IR"/>
        </w:rPr>
        <w:t xml:space="preserve">محمّد حال الروایة عنه ، بخلاف ما إذا کانت الروایة عن غیره ، فإنّه قد یطلقه ، وقد یقیّده بإبن بندار أو إبن عبداللّه، و هو الأکثر </w:t>
      </w:r>
      <w:r>
        <w:rPr>
          <w:rStyle w:val="FootnoteAnchor"/>
          <w:rtl w:val="true"/>
        </w:rPr>
        <w:footnoteReference w:id="14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یعترض علی ذلک من لا خبرة له، من أنّه یحتمل أن یکون المراد فی حال الإطلاق غیره، لانّه قد یطلق فی الغیر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انّه بعد شیوع إستعماله مطلقاً فی العلاّن، یکون فی حال الإطلاق منصرفاً إلی ما شاع إطلاقه علیه کما لا یخفی ، لأنّ المدار فی الإنصراف الشیوع فی الإستعمال والإستعمال علی حسبه، و ذلک کما إذا قلت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الغالب فی إستعمال هذا اللفظ علی الکاظم علیه‌السلام ، وإن کان فی حقّ غیره قد یستعمل مطلقاً، وقد یستعمل بانضمام إسمه، فإذا أطلق کان اللفظ منصرفاً إلیه، وإن کان غیره عالماً یستعمل اللفظ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تبیّن العادة من ثقة الإسلام علی ذلک بحیث لم یصرّح باللقب فی علاّن أبدا و یصرّح فی غیره فی بعض الأوقات، یکون هذه مرجّحة لکون علیّ بن محمّد هو العلاّن، و مثل هذا، بل أقلّ من ذلک، یکفی فی مقام التمییز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نوقش فی بعض ما مرّ، فانضمام الجمیع کاف فی التمییز والحکم بکون علیّ بن محمّد الراوی عن سهل هو العلاّن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یقرب فی النظر جدّا أن یکون علیّ بن محمّد هذا هو علیّ بن محمّد بن بندار، لوجوه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المحکیّ عن ذخیرة المجلسیّ رحمه‌الله أنّ علیّ بن محمّد بن بندار هو </w:t>
      </w:r>
    </w:p>
    <w:p>
      <w:pPr>
        <w:pStyle w:val="BookText"/>
        <w:rPr/>
      </w:pPr>
      <w:r>
        <w:rPr>
          <w:rFonts w:ascii="IRNazanin" w:hAnsi="IRNazanin" w:eastAsia="IRNazanin"/>
          <w:color w:val="111111"/>
          <w:sz w:val="28"/>
          <w:sz w:val="28"/>
          <w:szCs w:val="28"/>
          <w:rtl w:val="true"/>
          <w:lang w:bidi="fa-IR"/>
        </w:rPr>
        <w:t xml:space="preserve">شیخ الکلینیّ، والظاهر أنّه یروی عن شیخه هذا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صرّح ببندار فی مواضع من الکافی ، منه ما فی باب السواک من کتاب الطهارة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 عن إبراهیم بن إسحاق الأحمر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ما فی باب الخضاب من کتاب الزیّ والتجمّل منه،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و محمّد بن الحسن بن بندار، عن إبراهیم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الفیروزج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إبراهیم بن إسحاق الأحمر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فی باب اللباس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أحمد بن أبی عبداللّه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فی باب النبیذ من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و علیّ بن محمّد بن بندار جمیعاً، عن إبراهیم بن إسحاق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ما فی باب من إضطرّ إلی الخمر للدواء من الکتاب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أحمد بن أبی عبداللّه، عن عدّة من أصحابنا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 ما فی باب الأسوقة و فضل سویق الحنطة من کتاب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و غیره، عن أحمد بن أبی عبداللّه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ما فی الباب المذکور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محمّد بن بندار، عن أحمد بن أبی عبداللّه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 ما فی باب البصل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بندار، عن أبیه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من‌الموارد، و قد جمع هذه الموارد الوالد روحی فداه، فی الرسالة المعمولة فی بیان عدّة الکافی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جمع بین علیّ بن محمّد بن بندار، و محمّد بن الحسن فی المواضع المذکورة فی باب الخضاب و باب النبیذ، و قد شاع روایة محمّد بن الحسن و علیّ بن محمّد معا عن سهل بن زیاد، کما شاع روایة محمّد بن الحسن فقط عنه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باب النهی عن الصفة بغیر ما وصف به نفسه جلّ و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 محمّد بن الحسن، عن سهل بن زیاد، عن أحمد بن بشر البرقی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أیضا ما رواه فی باب معانی الأسماء و إشتقاقها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و محمّد بن الحسن، عن سهل بن زیاد </w:t>
      </w:r>
      <w:r>
        <w:rPr>
          <w:rStyle w:val="FootnoteAnchor"/>
          <w:rtl w:val="true"/>
        </w:rPr>
        <w:footnoteReference w:id="161"/>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باب العرش والکرسیّ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سهل بن زیاد، عن إبن محبوب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النوادر بعد باب لزوم الحجّة علی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سهل بن زیاد، عن إبن سنان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الموارد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یخفی علیک أنّ ما فی بعض مواضع الکافی من تبدیل الحسن بالحسین فی محمّد بن الحسن، إشتباه من النسّاخ کما لا یخفی علی المتتبّع، و کیف کان فبعد ملاحظة هذه الموارد یحصل الظنّ بکون المراد من علیّ بن محمّد المطلق حال إشتراکه مع محمّد بن الحسن و حال إنفراده فی الروایة عن سهل ، هو الصفّار أو إبن بندار، کما یظهر من بعض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ذکر فی بعض المواضع جدّ علیّ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و هو کثیر، فمن ذلک ما فی کتاب العقل والجهل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عن إبراهیم بن إسحاق الأحمر، عن محمّد بن سلیمان الدیلمیّ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 ما فی باب التسلیم و فضل المسلمین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عن أحمد بن محمّد البرقی، عن أبیه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 ما فی باب مولد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عبداللّه ، عن الیساریّ، عن محمّد بن جمهور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الموارد الشایعة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علیّ بن محمّد بن بندار ، لأنّ بندار لقب لعبداللّه جدّ علیّ ، المکنّی بأبی القاسم ؛ قال فی الخلاصة فی ترجمة محمّد بن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بالیاء بعد الباء، 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بغیر یاء إبن عمران الخبابی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البرقی أبوعبداللّه الملقّب بماجیلویه ، بالجیم والیاء المنقّطة تحتها نقطتین قبل اللام و بعد الواو أیضا، و أبوالقاسم یلقّب بندار، بالنون بعد الباء والدال المهملة والراء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من أصحابنا القمیّین، ثقة، عالم، فقیه، عارف بالأدب والشعر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فی النجاشی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الخلاصة فی ترجمة علیّ بن محمّد بن أبی القاسم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عمران البرقی، المعروف أبوه بماجیلویه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أبی القاسم عبداللّه بن عمران البرقی، المعروف أبوه بماجیلویه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والظاهر سقوط الأب هنا، و کیف کان فیظهر من ذلک أنّ علیّ بن محمّد بن </w:t>
      </w:r>
    </w:p>
    <w:p>
      <w:pPr>
        <w:pStyle w:val="BookText"/>
        <w:rPr/>
      </w:pPr>
      <w:r>
        <w:rPr>
          <w:rFonts w:ascii="IRNazanin" w:hAnsi="IRNazanin" w:eastAsia="IRNazanin"/>
          <w:color w:val="111111"/>
          <w:sz w:val="28"/>
          <w:sz w:val="28"/>
          <w:szCs w:val="28"/>
          <w:rtl w:val="true"/>
          <w:lang w:bidi="fa-IR"/>
        </w:rPr>
        <w:t xml:space="preserve">بندار هو علیّ بن محمّد بن عبداللّه المذکور فی صدر أسانید الکافی أیضا، فیکون الثلاثة واحدة، یذکر مرّة مطلقاً، و مرّة مقیّد ببندار، و مرّة بإبن عبداللّه، والمطلق یحمل علی المقیّد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یمکن أن یقال فی هذا المقام، لکنّ النفس بعد ذلک فی تزلزل لعدم ذکر بندار ولا إبن عبداللّه فی إحدی من الروایات إذا کان المرویّ عنه هو سهل بن زیاد علی حسب التتبّع و إن لم تتمکّن من إستیفائه، فمن ذلک یحصل الظنّ علی المغایرة و لا سیّما بعد کثرة ذکر إبن عبداللّه و بندار فیما إذا لم یکن الروایة عن سهل، کما لا یخفی علی المتتبّع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الأمر فی ذلک سهل بعد کون الثلاثة ثقات،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إبراهیم المعروف بعلاّن، و علیّ بن محمّد بن بندار، و علیّ بن محمّد بن عبداللّه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بتوثیقه فی رجال النجاشی والخلاصة بأنّه ثقة، عین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روی فی رجال النجاشی ما یشعر بذمّ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قتل علاّن بطریق مکّة و کان إستأذن الصاحب علیه‌السلام فی الحجّ، فخرج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توقّف عنه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فخالف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أنّه لا دلالة علی ذمّ فیه بعد تصریح الراوی لهذا الخبر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عین، فلعلّ النهی والأمر بالتوقّف أمر تنزیهیّ أو إرشادیّ، کما هو الظاهر، حفظا لنفسه عن القتل، فتأمّل </w:t>
      </w:r>
      <w:r>
        <w:rPr>
          <w:rFonts w:eastAsia="IRNazanin" w:cs="IRNazanin"/>
          <w:color w:val="111111"/>
          <w:sz w:val="28"/>
          <w:szCs w:val="28"/>
          <w:rtl w:val="true"/>
          <w:lang w:bidi="fa-IR"/>
        </w:rPr>
        <w:t xml:space="preserve">. </w:t>
      </w:r>
      <w:bookmarkStart w:id="138" w:name="pg3696_43322"/>
    </w:p>
    <w:p>
      <w:pPr>
        <w:pStyle w:val="BookText"/>
        <w:rPr/>
      </w:pPr>
      <w:bookmarkEnd w:id="138"/>
      <w:r>
        <w:rPr>
          <w:rFonts w:ascii="IRNazanin" w:hAnsi="IRNazanin" w:eastAsia="IRNazanin"/>
          <w:color w:val="111111"/>
          <w:sz w:val="28"/>
          <w:sz w:val="28"/>
          <w:szCs w:val="28"/>
          <w:rtl w:val="true"/>
          <w:lang w:bidi="fa-IR"/>
        </w:rPr>
        <w:t xml:space="preserve">و أمّا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صرّح فی محکیّ الوجیزة أنّه من مشایخ الکلینیّ </w:t>
      </w:r>
      <w:r>
        <w:rPr>
          <w:rStyle w:val="FootnoteAnchor"/>
          <w:rtl w:val="true"/>
        </w:rPr>
        <w:footnoteReference w:id="174"/>
      </w:r>
      <w:r>
        <w:rPr>
          <w:rFonts w:ascii="IRNazanin" w:hAnsi="IRNazanin" w:eastAsia="IRNazanin"/>
          <w:color w:val="111111"/>
          <w:sz w:val="28"/>
          <w:sz w:val="28"/>
          <w:szCs w:val="28"/>
          <w:rtl w:val="true"/>
          <w:lang w:bidi="fa-IR"/>
        </w:rPr>
        <w:t xml:space="preserve">، و إن لم أتحقّق منها لکنّه محقّق فی فرضنا ، لأنّه فی صدر السند ، فتدبّر ؛ و هذا یکفی فی الحکم بحسن حاله، مع أنّ الظاهر أنّه إبن أبی القاسم ماجیلویه ؛ و قد صرّح فی الخلاصة بأنّه ثقة، فاضل، فقیه، أدیب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النجاشی بناء علی ما تقدّم من حذف الأب و هو محمّد، کما هو الظاهر من العلاّمة رحمه‌الله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فاضل، فقیه، أدیب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9" w:name="__RefHeading___Toc488317_2281741623"/>
      <w:bookmarkStart w:id="140" w:name="_Toc52"/>
      <w:bookmarkEnd w:id="139"/>
      <w:r>
        <w:rPr>
          <w:rtl w:val="true"/>
        </w:rPr>
        <w:t xml:space="preserve">تحقیق الحال فی سهل بن زیاد الآدمی </w:t>
      </w:r>
      <w:r>
        <w:rPr>
          <w:rtl w:val="true"/>
        </w:rPr>
        <w:t>:</w:t>
      </w:r>
      <w:bookmarkEnd w:id="140"/>
    </w:p>
    <w:p>
      <w:pPr>
        <w:pStyle w:val="BookText"/>
        <w:rPr/>
      </w:pPr>
      <w:r>
        <w:rPr>
          <w:rFonts w:ascii="IRNazanin" w:hAnsi="IRNazanin" w:eastAsia="IRNazanin"/>
          <w:color w:val="111111"/>
          <w:sz w:val="28"/>
          <w:sz w:val="28"/>
          <w:szCs w:val="28"/>
          <w:rtl w:val="true"/>
          <w:lang w:bidi="fa-IR"/>
        </w:rPr>
        <w:t xml:space="preserve">و أمّا سهل بن زیاد، فهو سهل بن زیاد الآدمیّ الرازیّ، المکنّی بأبی سعید، الراوی عن أبی جعفر الجواد و أبی الحسن الهادیّ و أبی محمّد العسکریّ علیهم‌السلام ، کما یظهر من الکشی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أصحاب أبی الحسن الثالث علیه‌السلام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تحقیق الحال فیه یحتاج إلی شرح المقال فیه، فإنّ الأمر فیه مشکل </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کلماتهم فیه مختلفة، فمنهم من یظهر منه أنّه ضعیف فی نفسه، ومنهم من یظهر منه أنّه ثقة فی نفسه، و منهم من یظهر منه أنّه ضعیف فی حدیثه، و منهم من یظهر منه التوقّف فیه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الأولی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کما یظهر من الغضائریّ والنجاشی، و سیأتی عبارة الغضائریّ ؛ و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أحمد بن محمّد بن عیسی یشهد علیه بالغلوّ والکذب، و أخرجه من قم إلی الریّ و کان یسکنها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شاذان، علی ما ذکره الکشّی عن علیّ بن محمّد القتیبیّ، عن الفضل بن شاذان، فی ترجمة صالح بن أبی حمّاد الرازیّ أبی الخیر ؛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بن محمّد القتیبیّ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الفضل بن شاذان یقول فی أبی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صالح بن أسلمة أبی حمّاد الرازی أبوالخیر کما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محمّد الفضل یرتضیه و یمدحه، و لا یرتضی أبا سعید الآدمیّ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أحمق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الغضائریّ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أبو سعید الآدمیّ الرازیّ کان ضعیفاً جدّا، فاسد الروایة والمذهب، و کان أحمد بن محمّد بن عیسی الأشعریّ أخرجه من قم، و أظهر البرائة منه، و نهی الناس عن السماع منه والروایة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و یروی المراسیل و یعتمد المجاهیل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فی فهرسته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الآدمیّ الرازیّ یکنّی أباسعید، ضعیف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رحمه‌الله فی المعتبر، فی مسألة التوضّی بماء الورد، کما حکی عنه الوالد روحی فداه </w:t>
      </w:r>
      <w:r>
        <w:rPr>
          <w:rStyle w:val="FootnoteAnchor"/>
          <w:rtl w:val="true"/>
        </w:rPr>
        <w:footnoteReference w:id="1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الطعن فی السند، فإنّ سهلاً و محمّد بن </w:t>
      </w:r>
    </w:p>
    <w:p>
      <w:pPr>
        <w:pStyle w:val="BookText"/>
        <w:rPr/>
      </w:pPr>
      <w:r>
        <w:rPr>
          <w:rFonts w:ascii="IRNazanin" w:hAnsi="IRNazanin" w:eastAsia="IRNazanin"/>
          <w:color w:val="111111"/>
          <w:sz w:val="28"/>
          <w:sz w:val="28"/>
          <w:szCs w:val="28"/>
          <w:rtl w:val="true"/>
          <w:lang w:bidi="fa-IR"/>
        </w:rPr>
        <w:t xml:space="preserve">عیسی ضعیفان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مقام البحث عن الجریدة للمیّت أیضا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سهل ضعیف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مسألة إمساس الکافور مساجد المیّت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الروایات کلّها ضعف، لأنّ سهل ضعیف، والحسین بن المختار واقفیّ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مقام البحث عن الإسراج عند المیّت إن مات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سهل ضعیف، و عثمان بن عیسی واقفیّ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کتاب الفرائض من الشرائع، فی مقام بیان مقدار التربّص فی مال المفقود، قال مشیرا إلی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طریقها سهل بن زیاد، و هو ضعیف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نکت النهایة، بعد أن أورد روایة إقتضت التفریق بین الزوج والزوجة فیما إذا دخل بها قبل أن یبلغ تسع سنین،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سهل ضعیف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رحمه‌الله فی جملة من کتبه الفقهیّة، کما حکی عنه الوالد روحی فداه </w:t>
      </w:r>
      <w:r>
        <w:rPr>
          <w:rStyle w:val="FootnoteAnchor"/>
          <w:rtl w:val="true"/>
        </w:rPr>
        <w:footnoteReference w:id="191"/>
      </w:r>
      <w:r>
        <w:rPr>
          <w:rFonts w:ascii="IRNazanin" w:hAnsi="IRNazanin" w:eastAsia="IRNazanin"/>
          <w:color w:val="111111"/>
          <w:sz w:val="28"/>
          <w:sz w:val="28"/>
          <w:szCs w:val="28"/>
          <w:rtl w:val="true"/>
          <w:lang w:bidi="fa-IR"/>
        </w:rPr>
        <w:t xml:space="preserve">، قال فی المختلف فی بحث الصلاة علی الإموات عند التکلّم فی إستحباب رفع الیدین فی التکبیرات الخمس ما هذا لفظه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یونس فی طریقها سهل بن زیاد، و هو ضعیف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المنتهی فی مسألة قضاء صوم أوّل الشهر والتصدّق من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طریق هذه الروایة سهل بن زیاد، و هو ضعیف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بعض الکلمات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تعلیقة المولی البهبهانیّ رحمه‌الله أنّ هذا القول هو المشهور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الثانیة </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رحمه‌الله فی رجاله فیما یذکر أصحاب الهادیّ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الآدمیّ، یکنّی أبا سعید، ثقة، رازیّ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من الأجلاّء الراوین عنه کعلیّ بن محمّد ذلک الّذی تقدّم، ومحمّد بن أبی عبداللّه، و محمّد بن الحسن، و محمّد بن عقیل الکلینیّ، الّذین هم المراد بعدّة الکافی، کما صرّح هو به علی ما نقل فی الخلاصة عنه </w:t>
      </w:r>
      <w:r>
        <w:rPr>
          <w:rStyle w:val="FootnoteAnchor"/>
          <w:rtl w:val="true"/>
        </w:rPr>
        <w:footnoteReference w:id="198"/>
      </w:r>
      <w:r>
        <w:rPr>
          <w:rFonts w:ascii="IRNazanin" w:hAnsi="IRNazanin" w:eastAsia="IRNazanin"/>
          <w:color w:val="111111"/>
          <w:sz w:val="28"/>
          <w:sz w:val="28"/>
          <w:szCs w:val="28"/>
          <w:rtl w:val="true"/>
          <w:lang w:bidi="fa-IR"/>
        </w:rPr>
        <w:t xml:space="preserve">؛ و محمّد بن أحمد بن یحیی، و أحمد بن أبی عبداللّه، کما یظهر من الفهرست </w:t>
      </w:r>
      <w:r>
        <w:rPr>
          <w:rStyle w:val="FootnoteAnchor"/>
          <w:rtl w:val="true"/>
        </w:rPr>
        <w:footnoteReference w:id="199"/>
      </w:r>
      <w:r>
        <w:rPr>
          <w:rFonts w:ascii="IRNazanin" w:hAnsi="IRNazanin" w:eastAsia="IRNazanin"/>
          <w:color w:val="111111"/>
          <w:sz w:val="28"/>
          <w:sz w:val="28"/>
          <w:szCs w:val="28"/>
          <w:rtl w:val="true"/>
          <w:lang w:bidi="fa-IR"/>
        </w:rPr>
        <w:t xml:space="preserve">، فتأمّل فی هذا، و علیّ بن محمّد المتقدّم، و أبوالحسن العبّاس بن الفضل بن محمّد الهاشمیّ الصالحیّ، عن أبیه، عنه، و جماعة أخری کما یظهر من النجاشی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الکلینیّ، الثقة الجلیل الضابط الأمین، حیث یظهر منه الإعتماد بأحادیثه، فإنّ الکافی مملوّ من أحادیثه، و قد ذکر فی أوائله ما ذکر، واشتهر ذلک الکتاب ما اشتهر، و إلاّ سقط عنه کثیر من أخباره، کلاّ و حاشا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مشایخنا القدماء العظام ؛ قال فی التعلیقة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نجد من أحد من المشایخ القدماء تأمّلاً فی حدیثه بسببه، حتّی أنّ الشیخ مع أنّه کثیرا مّا تأمّل فی أحادیث جماعة بسببهم لم یتّفق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کتبه مرّة ذلک بالنسبة إلیه، بل و فی خصوص الحدیث الّذی هو واقع فی سنده ربما یطعن ، بل و یتکلّف فی الطعن من غیر جهة، و لا یتأمّل فیه أصلاً </w:t>
      </w:r>
      <w:r>
        <w:rPr>
          <w:rStyle w:val="FootnoteAnchor"/>
          <w:rtl w:val="true"/>
        </w:rPr>
        <w:footnoteReference w:id="20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مشیخة التهذیب والإستبصار إعتماد المشایخ العظام علیه، قال فی مشیخة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ذکرته عن سهل بن زیاد فقد رویته بهذه الأسانید عن محمّد بن یعقوب، عن عدّة من أصحابنا، منهم علیّ بن محمّد و غیره، عن سهل بن زیاد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بمثله فی مشیخة الإستبصار إلاّ أنّ فیها علی النسخة الموجودة عندی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بهذا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بدل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هذه الأسانید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والمشار إلیه بکلمة الإشارة الأسانید المذکورة أوّلاً فی طریقه إلی محمّد بن یعقوب، لأنّه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به الشیخ أبوعبداللّه محمّد بن محمّد بن النعمان رحمهماالله ، عن أبی القاسم جعفر بن محمّد بن قولویه، عن محمّد بن یعقوب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أخبرنا به أیضا الحسین بن عبیداللّه، عن أبی غالب أحمد بن محمّد الزراریّ، </w:t>
      </w:r>
    </w:p>
    <w:p>
      <w:pPr>
        <w:pStyle w:val="BookText"/>
        <w:rPr/>
      </w:pPr>
      <w:r>
        <w:rPr>
          <w:rFonts w:ascii="IRNazanin" w:hAnsi="IRNazanin" w:eastAsia="IRNazanin"/>
          <w:color w:val="111111"/>
          <w:sz w:val="28"/>
          <w:sz w:val="28"/>
          <w:szCs w:val="28"/>
          <w:rtl w:val="true"/>
          <w:lang w:bidi="fa-IR"/>
        </w:rPr>
        <w:t xml:space="preserve">و أبی محمّد هارون بن موسی التلعکبریّ، و أبی القاسم جعفر بن محمّد بن قولویه، و أبی عبداللّه أحمد بن أبی رافع الصیمریّ، و أبی الفضل الشیبانیّ و غیرهم، کلّهم عن یعقوب الکلینیّ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أخبرنا به أیضا أحمد بن عبدون المعروف بابن الحاشر، عن أحمد بن رافع، وأبی الحسین عبدالکریم بن عبداللّه نصر البزاز بتنیس </w:t>
      </w:r>
      <w:r>
        <w:rPr>
          <w:rStyle w:val="FootnoteAnchor"/>
          <w:rtl w:val="true"/>
        </w:rPr>
        <w:footnoteReference w:id="203"/>
      </w:r>
      <w:r>
        <w:rPr>
          <w:rFonts w:ascii="IRNazanin" w:hAnsi="IRNazanin" w:eastAsia="IRNazanin"/>
          <w:color w:val="111111"/>
          <w:sz w:val="28"/>
          <w:sz w:val="28"/>
          <w:szCs w:val="28"/>
          <w:rtl w:val="true"/>
          <w:lang w:bidi="fa-IR"/>
        </w:rPr>
        <w:t xml:space="preserve">و بغداد، عن أبی جعفر محمّد بن یعقوب الکلینیّ جمیع مصنّفاته سماعاً و إجازة ببغداد، بباب الکوفة، بدرب السلسلة، سنة سبع و عشرین و ثلاثمأة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السعید المفید رحمه‌الله ، فإنّه فی رسالته فی الردّ علی الصدوق حیث ذکر حدیثا دالاًّ علی مطلب الصدوق، و سنده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عن سهل بن زیاد الآدمیّ، عن محمّد بن إسماعیل، عن بعض أصحابه، طعن علی الخبر المذکور بوجوه کثیرة، و بذل جهده فی الإتیان بها، و تشبّث فی طرحه، و أنّه لا أصل له بما أمکنه و قدر علیه، و لم یقدح فی سنده إلاّ من جهة الإرسال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هکذا فی التعلیقة أیضا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ظهر من مشیختی التهذیب والإستبصار إعتماد المفید علیه أیضا، کما یظهر ذلک من النجاشی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محمّد بن محمّد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فإنّ الظاهر أنّ محمّد بن محمّد هو محمّد بن محمّد بن النعمان المفید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المولی البهبهانیّ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إشتهر الآن ضعفه، ولا یخلو من نظر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أمارات الوثاقة والإعتماد والقوّة الّتی مرّت الإشارة إلیها مجتمعة فیه کثیرة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الوالد الحبر الفقیه، العلاّمة بلا نظیر وشبیه روحی فداه، فی رسالته </w:t>
      </w:r>
      <w:r>
        <w:rPr>
          <w:rStyle w:val="FootnoteAnchor"/>
          <w:rtl w:val="true"/>
        </w:rPr>
        <w:footnoteReference w:id="210"/>
      </w:r>
      <w:r>
        <w:rPr>
          <w:rFonts w:ascii="IRNazanin" w:hAnsi="IRNazanin" w:eastAsia="IRNazanin"/>
          <w:color w:val="111111"/>
          <w:sz w:val="28"/>
          <w:sz w:val="28"/>
          <w:szCs w:val="28"/>
          <w:rtl w:val="true"/>
          <w:lang w:bidi="fa-IR"/>
        </w:rPr>
        <w:t xml:space="preserve">، حیث أنّه أجاب عن الوجوه القادحة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بعد ملاحظة إطباق أئمّة الرجال علی المقالات المذکورة، واشتهار الحکم بالضعف بین الأجلّة، یشکل التعلّق بحدیثه عند إنتفاء المؤیّد الخارجی، و أمّا معه، فلا یبعد التعویل علی 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یرجّح قوله عند المعارضة بالضعیف الّذی لم یثبت فی حقّه مثل الأمور المذکورة کلاًّ أو بعضا، کما یتّفق فی کثیر من الأوقات، والحمد لخالق الأرضین والسماوات </w:t>
      </w:r>
      <w:r>
        <w:rPr>
          <w:rStyle w:val="FootnoteAnchor"/>
          <w:rtl w:val="true"/>
        </w:rPr>
        <w:footnoteReference w:id="21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فجعله من أصحاب القول الأوّل أولی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الثالثة </w:t>
      </w:r>
      <w:r>
        <w:rPr>
          <w:rStyle w:val="FootnoteAnchor"/>
          <w:rtl w:val="true"/>
        </w:rPr>
        <w:footnoteReference w:id="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أبوسعید الآدمیّ الرازیّ کان ضعیفا فی الحدیث، غیر معتمد فیه </w:t>
      </w:r>
      <w:r>
        <w:rPr>
          <w:rStyle w:val="FootnoteAnchor"/>
          <w:rtl w:val="true"/>
        </w:rPr>
        <w:footnoteReference w:id="2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ما مرّ منه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لعلّ هذا هو الأظهر من کلّ من صرّح بالضعف، کما ستعرف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ومن‌الرابعة </w:t>
      </w:r>
      <w:r>
        <w:rPr>
          <w:rStyle w:val="FootnoteAnchor"/>
          <w:rtl w:val="true"/>
        </w:rPr>
        <w:footnoteReference w:id="2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رحمه‌الله فی رجاله، فی باب یذکر فیه أصحاب‌الجواد علیه‌السلام ، لأنّه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الآدمیّ یکنّی أبا سعید من أهل الریّ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باب یذکر فیه أصحاب العسکریّ علیه‌السلام أنّه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سهل بن زیاد الآدمیّ یکنّی أبا سعید الرازیّ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العلاّمة رحمه‌الله فی الخلاصة، لأنّه قال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إختلف قول الشیخ الطوسی رحمه‌الله فیه، فقال فی موضع أنّه ثقة، و قال فی عدّة مواضع أنّه ضعیف، وقال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ضعیف فی الحدیث، غیر معتمد فیه ؛ إلی آخر کلام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إبن الغضائریّ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 کلامه السابق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لم یذکر فیه بشیء، نعم ذکره فی القسم الثانی من کتابه کابن داود، و هذا لایدلّ علی إختیار القدح فیه، فإنّ القسم الثانی من کتابه الخلاصة فی من ترکت روایته أو توقّف فیه، کما صرّح به فی أوائلها </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لا دلالة فی عدم ذکر حال طریق الشیخ إلیه فی کتابیه و کذا الشیخ الصدوق رحمه‌الله ، حیث یذکر الفائدة الثامنة من فوائد الخلاصة، لأنّه قال فی مبدأ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نذکر فی هذه الفائدة علی سبیل الإجمال صحّة طرقهما إلی کلّ واحد واحد ممّن یوثّق به، أو یحسن حاله، أو وثّق و إن کان علی مذهب فاسد، </w:t>
      </w:r>
      <w:bookmarkStart w:id="141" w:name="pg3696_43330"/>
    </w:p>
    <w:p>
      <w:pPr>
        <w:pStyle w:val="BookText"/>
        <w:rPr/>
      </w:pPr>
      <w:bookmarkEnd w:id="141"/>
      <w:r>
        <w:rPr>
          <w:rFonts w:ascii="IRNazanin" w:hAnsi="IRNazanin" w:eastAsia="IRNazanin"/>
          <w:color w:val="111111"/>
          <w:sz w:val="28"/>
          <w:sz w:val="28"/>
          <w:szCs w:val="28"/>
          <w:rtl w:val="true"/>
          <w:lang w:bidi="fa-IR"/>
        </w:rPr>
        <w:t xml:space="preserve">أو لم یحضرنی حاله، دون من تردّ روایته و یترک قوله، و إن کان الطریق فاسدا ذکرناه، و إن کان فی الطریق من لا یحضرنی معرفة حاله من جرح أو تعدیل ترکناه أیضا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نسب إلی العلاّمة رحمه‌الله من أنّه من القادحین فیه، لذکره فی القسم الثانی من کتابه وعدم ذکر الطریق للشیخ والصدوق إلیه، کما تری، والحکم للّه العلیّ الأعلی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الأواخر علی ما یظهر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و باللّه التوفیق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غایة ما دلّ علی القدح و الضعف فیه،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أحمد بن محمّد بن عیسی إیاّه عن قم إلی الریّ، والشهادة علیه بالغلوّ والکذب، کما فی رجال النجاشی </w:t>
      </w:r>
      <w:r>
        <w:rPr>
          <w:rStyle w:val="FootnoteAnchor"/>
          <w:rtl w:val="true"/>
        </w:rPr>
        <w:footnoteReference w:id="220"/>
      </w:r>
      <w:r>
        <w:rPr>
          <w:rFonts w:ascii="IRNazanin" w:hAnsi="IRNazanin" w:eastAsia="IRNazanin"/>
          <w:color w:val="111111"/>
          <w:sz w:val="28"/>
          <w:sz w:val="28"/>
          <w:szCs w:val="28"/>
          <w:rtl w:val="true"/>
          <w:lang w:bidi="fa-IR"/>
        </w:rPr>
        <w:t xml:space="preserve">، و إخراجه إیّاه عن قم، و إظهار البرائة منه، و نهی الناس عن السماع منه والروایة عنه، کما فی رجال إبن الغضائریّ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 عن الفضل بن شاذان، من أنّه لایرضی عنه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أحمق</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تضعیف إبن الغضائریّ والشیخ والمصنّف والعلاّمة، و جملة آخرین </w:t>
      </w:r>
      <w:r>
        <w:rPr>
          <w:rFonts w:eastAsia="IRNazanin" w:cs="IRNazanin"/>
          <w:color w:val="111111"/>
          <w:sz w:val="28"/>
          <w:szCs w:val="28"/>
          <w:rtl w:val="true"/>
          <w:lang w:bidi="fa-IR"/>
        </w:rPr>
        <w:t>.</w:t>
      </w:r>
    </w:p>
    <w:p>
      <w:pPr>
        <w:pStyle w:val="Heading6"/>
        <w:numPr>
          <w:ilvl w:val="5"/>
          <w:numId w:val="1"/>
        </w:numPr>
        <w:rPr/>
      </w:pPr>
      <w:bookmarkStart w:id="142" w:name="__RefHeading___Toc488319_2281741623"/>
      <w:bookmarkStart w:id="143" w:name="_Toc53"/>
      <w:bookmarkEnd w:id="142"/>
      <w:r>
        <w:rPr>
          <w:rtl w:val="true"/>
        </w:rPr>
        <w:t>تحقیق المؤلّف حول الوجوه القادحة منه و ردّها</w:t>
      </w:r>
      <w:bookmarkEnd w:id="14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الجواب أمّا عن الأوّل، فأمّا عن إخراج أحمد بن محمّد بن عیسی إیّاه عن قم، فبأنّه لا دلالة فیه علی ضعف فیه، فإنّه أخرج أحمد بن محمّد بن خالد لروایته عن الضعفاء و هکذا غیره، مضافاً إلی ما ستعرف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عن نسبة الکذب والغلوّ إلیه، أو إظهار البرائة منه، و نهی الناس عن السماع والروایة، فتارة بما قال بعض المحقّقین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عیسی أخرج جماعة من قم باعتبار روایتهم عن الضعفاء، و إیرادهم المراسیل، و کان إجتهادا منه، والظاهر خطأه، و لکن کان رئیس قم، والناس مع المشهورین إلاّ من عصمه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کنت تلاحظ ما رواه الکافی فی باب النصّ علی الهادیّ علیه‌السلام ، وإنکاره النصّ للتعصّب الجاهلیّة بأنّه لم قدّمتم علیّ ، و ذکر هذا العذر بعد الإعتراف به لما کنت تروی عنه شیئا، و لکنّه تاب، و نرجو أن یکون تاب اللّه علیه </w:t>
      </w:r>
      <w:r>
        <w:rPr>
          <w:rStyle w:val="FootnoteAnchor"/>
          <w:rtl w:val="true"/>
        </w:rPr>
        <w:footnoteReference w:id="22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یقدح فیه ما ذکره الشیخ رحمه‌الله فی إختیار الکشی، و أخباره مذکورة هناک، و فیه نظر و تأمّل، فقد ذکرنا الروایة المذکورة و غیرها فی أوائل الکتاب فی مقام نذکر شرح حاله و ذکرنا الجواب عنها ؛ کیف و هو المعروف بالوثاقة، المشهور بالعدالة، فالکلام المذکور المشعرة بالقدح فیه لایلیق بمثل المحقّقین، نعم أن یکون ذلک عن خطأ فی الإجتهاد کما أشار إلیه أوّلاً، کما ستعرف </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بما قال المولی البهبهانیّ رحمه‌الله فی أوائل التعلیقة، فی الفائدة الثانیة من فوائده حیث یذکر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من الطیّارة </w:t>
      </w:r>
      <w:r>
        <w:rPr>
          <w:rStyle w:val="FootnoteAnchor"/>
          <w:rtl w:val="true"/>
        </w:rPr>
        <w:footnoteReference w:id="224"/>
      </w:r>
      <w:r>
        <w:rPr>
          <w:rFonts w:ascii="IRNazanin" w:hAnsi="IRNazanin" w:eastAsia="IRNazanin"/>
          <w:color w:val="111111"/>
          <w:sz w:val="28"/>
          <w:sz w:val="28"/>
          <w:szCs w:val="28"/>
          <w:rtl w:val="true"/>
          <w:lang w:bidi="fa-IR"/>
        </w:rPr>
        <w:t xml:space="preserve">، و من أهل الارتفاع و أمثالهما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إعلم انّ الظاهر أنّ کثیرا من القدماء سیّما القمّیّین منهم والغضائریّ کانوا یعتقدون للأئمّة علیهم‌السلام منزلة خاصّة من الرفعة والجلالة، و مرتبة معیّنة من العصمة والکمال، بحسب إجتهادهم و رأیهم، و ما کانوا یجوّزون التعدّی عنها، و کانوا یعدّون التعدّی إرتفاعا و غلوّا علی حسب معتقدهم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حتّی أنّهم جعلوا مثل نفی السهو عنهم غلوّا، بل ربما جعلوا مطلق التفویض إلیهم، أو التفویض الّذی اختلف فیه کما سنذکر، أو المبالغة فی معجزاتهم، و نقل العجائب من خوارق العادات عنهم، أو الإغراق فی شأنهم و إجلالهم و تنزیههم عن کثیر من النقائص، و إظهار کثیر قدرة لهم، و ذکر علمهم بمکنونات السماء والأرض إرتفاعاً أو مورثا للتهمة به، سیّما بجهة أنّ الغلاة کانوا مختفین فی الشیعة، مخلوطین بهم، مدلّسین </w:t>
      </w:r>
      <w:r>
        <w:rPr>
          <w:rStyle w:val="FootnoteAnchor"/>
          <w:rtl w:val="true"/>
        </w:rPr>
        <w:footnoteReference w:id="22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جواب متین، یشهد بذلک ما ذکروه فی رجال النجاشی والخلاصة فی الحسین بن یزید،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قوم من القمیّین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غلا فی آخر عمره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 علیهم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رأینا له روایة تدلّ علی هذا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ذکروه فی ترجمة داود بن کثیر </w:t>
      </w:r>
      <w:r>
        <w:rPr>
          <w:rStyle w:val="FootnoteAnchor"/>
          <w:rtl w:val="true"/>
        </w:rPr>
        <w:footnoteReference w:id="227"/>
      </w:r>
      <w:r>
        <w:rPr>
          <w:rFonts w:ascii="IRNazanin" w:hAnsi="IRNazanin" w:eastAsia="IRNazanin"/>
          <w:color w:val="111111"/>
          <w:sz w:val="28"/>
          <w:sz w:val="28"/>
          <w:szCs w:val="28"/>
          <w:rtl w:val="true"/>
          <w:lang w:bidi="fa-IR"/>
        </w:rPr>
        <w:t xml:space="preserve">، فإنّه مع ما ورد فیه أنّ أبا عبداللّه علیه‌السلام أمر أصحابه أن ینزلوه منزلة المقداد من رسول اللّه صلی‌الله‌علیه‌و‌آله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نزّلوا داود الرقّی منّی بمنزلة المقداد من رسول اللّه صلی‌الله‌علیه‌و‌آله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علیه‌السلام حیث نظر إلی داود و قد 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سرّه أن ینظر إلی رجل من أصحاب القائم علیه‌السلام ، فلینظر إلی هذا </w:t>
      </w:r>
      <w:r>
        <w:rPr>
          <w:rStyle w:val="FootnoteAnchor"/>
          <w:rtl w:val="true"/>
        </w:rPr>
        <w:footnoteReference w:id="2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غیر ذلک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یذکر الغلاة أنّه من أرکانهم ، و یروی عنه المناکیر من الغلوّ، و ینسب إلیه أقاویلهم </w:t>
      </w:r>
      <w:r>
        <w:rPr>
          <w:rStyle w:val="FootnoteAnchor"/>
          <w:rtl w:val="true"/>
        </w:rPr>
        <w:footnoteReference w:id="23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ذلک قوله علیه‌السلام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یاداود إذا حدثت عنّا بالحدیث فاشتهرت به فأنکره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ذکروه فی محمّد بن أورمة ؛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القمیّون و غمزوا علیه، ورموه بالغلوّ، حتّی دسّ علیه من یفتکّ به فوجدوه یصلّی من أوّل اللیل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لیالی عدة </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 فتوقّفوا عنه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الغضائریّ إنّه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إتّهمه القمیّون بالغلوّ ، و حدیثه نقیّ لا فساد فیه ، ولم 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شیئا ینسب إلیه تضطرب فیه النفس إلاّ أوراقاً فی تفسیر الباطن و ما یلیق بحدیثه و أظنّها موضوعة علیه ، و رأیت کتاباً خرج من أبی الحسن علیّ بن محمّد علیهماالسلام إلی القمیّین فی برائته ممّا قذف به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ذکروه فی داود بن القاسم ، فإنّه مع جلالة شأنه و عظم منزلته عند الأئمّة علیهم‌السلام کما ذکروه </w:t>
      </w:r>
      <w:r>
        <w:rPr>
          <w:rStyle w:val="FootnoteAnchor"/>
          <w:rtl w:val="true"/>
        </w:rPr>
        <w:footnoteReference w:id="2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تدلّ روایته علی إرتفاع فی القول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لنعم ما قال المحقّق الأسترآبادیّ بعد نقل کلام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تعلّق به فی الطعن علیه فیه تردّد، لأنّ داود کان شاهدا فیحکی عمّا رأی و من بعد لا یری ما یری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ذکره إبن الغضائریّ فی الحسین بن شاذویه ؛ فانّ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ثقة قلیل الحدیث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قمیّ، زعم القمیّون أنّه کان غالیا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له کتاباً فی الصلاة سدیدا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ذکروه فی المعلّی بن خنیس من أنّ الغلاة یضیفون إلیه کثیراً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ضعّفه فی النجاشی </w:t>
      </w:r>
      <w:r>
        <w:rPr>
          <w:rStyle w:val="FootnoteAnchor"/>
          <w:rtl w:val="true"/>
        </w:rPr>
        <w:footnoteReference w:id="243"/>
      </w:r>
      <w:r>
        <w:rPr>
          <w:rFonts w:ascii="IRNazanin" w:hAnsi="IRNazanin" w:eastAsia="IRNazanin"/>
          <w:color w:val="111111"/>
          <w:sz w:val="28"/>
          <w:sz w:val="28"/>
          <w:szCs w:val="28"/>
          <w:rtl w:val="true"/>
          <w:lang w:bidi="fa-IR"/>
        </w:rPr>
        <w:t xml:space="preserve">، مع أنّه قد ورد فیه أحادیث تدلّ علی مدحه، و انّ هذا لروایته الأخبار الخفیّة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ما رواه المفضّل بن عمر الجعفی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یوم صلب فیه المعلّی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لا تری هذا الخطب الجلیل الّذی نزل بالشیعة فی هذا الیوم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معلّی بن خنیس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معلّی قد کنت أتوقّع ذلک، لأنّه أذاع سرّنا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ذکروه فی إسحاق بن الحسن بن بکران أنّه ضعیف فی مذهبه </w:t>
      </w:r>
      <w:r>
        <w:rPr>
          <w:rStyle w:val="FootnoteAnchor"/>
          <w:rtl w:val="true"/>
        </w:rPr>
        <w:footnoteReference w:id="245"/>
      </w:r>
      <w:r>
        <w:rPr>
          <w:rFonts w:ascii="IRNazanin" w:hAnsi="IRNazanin" w:eastAsia="IRNazanin"/>
          <w:color w:val="111111"/>
          <w:sz w:val="28"/>
          <w:sz w:val="28"/>
          <w:szCs w:val="28"/>
          <w:rtl w:val="true"/>
          <w:lang w:bidi="fa-IR"/>
        </w:rPr>
        <w:t xml:space="preserve">،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بالکوفة مجاوراً و کان یروی کتاب الکلینیّ عنه ، و کان فی هذا الوقت علوّاً فلم أسمع منه شیئا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وأعجب منه أنّه یذکر بعد ذلک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الردّ علی الغلاة، و کتاب نفی السهو عن النبیّ صلی‌الله‌علیه‌و‌آله وکتاب عدد الأئمّة علیهم‌السلام </w:t>
      </w:r>
      <w:r>
        <w:rPr>
          <w:rStyle w:val="FootnoteAnchor"/>
          <w:rtl w:val="true"/>
        </w:rPr>
        <w:footnoteReference w:id="247"/>
      </w:r>
      <w:r>
        <w:rPr>
          <w:rFonts w:ascii="IRNazanin" w:hAnsi="IRNazanin" w:eastAsia="IRNazanin"/>
          <w:color w:val="111111"/>
          <w:sz w:val="28"/>
          <w:sz w:val="28"/>
          <w:szCs w:val="28"/>
          <w:rtl w:val="true"/>
          <w:lang w:bidi="fa-IR"/>
        </w:rPr>
        <w:t>، ولعلّ نسبة الغلوّ إلیه لأجل کتابه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ذکروه فی یونس بن عبدالرّحمن من طعن القمیّین علیه </w:t>
      </w:r>
      <w:r>
        <w:rPr>
          <w:rStyle w:val="FootnoteAnchor"/>
          <w:rtl w:val="true"/>
        </w:rPr>
        <w:footnoteReference w:id="248"/>
      </w:r>
      <w:r>
        <w:rPr>
          <w:rFonts w:ascii="Amiri" w:hAnsi="Amiri" w:eastAsia="Amiri" w:cs="Amiri"/>
          <w:color w:val="111111"/>
          <w:sz w:val="28"/>
          <w:sz w:val="28"/>
          <w:szCs w:val="28"/>
          <w:rtl w:val="true"/>
          <w:lang w:bidi="ar-SA"/>
        </w:rPr>
        <w:t xml:space="preserve">، مع أنّ وثاقته وجلالته ظاهرة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تری أنّ الشیخ الصدوق الّذی هو من أعاظم القمیّین قال فی کتابه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رحمه‌الله أنّ الغلاة والمفوّضة لعنهم اللّه، ینکرون سهو النبیّ صلی‌الله‌علیه‌و‌آله 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جاز أن یسهو علیه‌السلام فی الصلاة لجاز أن یسهو فی التبلیغ، لأنّ الصلاة علیه فریضة کما أنّ التبلیغ علیه فریضة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لا یلزمنا، و ذلک لأنّ جمیع الأحوال المشترکة تقع علی النبیّ صلی‌الله‌علیه‌و‌آله فیها ما یقع علی غیره، و هو متعبّد بالصلاة کغیره ممّن لیس بنبیّ، و لیس کلّ من سواه بنبیّ کهُوَ، فالحالة الّتی اختصّ بها هی النبوّة، والتبلیغ من شرائطها، و لا یجوز أن یقع علیه فی التبلیغ ما یقع علیه فی الصلاة، لأنّها عبادة مخصوصة والصلاة عبادة مشترکة </w:t>
      </w:r>
      <w:r>
        <w:rPr>
          <w:rStyle w:val="FootnoteAnchor"/>
          <w:rtl w:val="true"/>
        </w:rPr>
        <w:footnoteReference w:id="249"/>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یظهر من آخر کلامه ما لعلّه موافق، فإنّ آخر کلامه ما یدلّ علی جواز الإسهاء دون السهو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سهو النبیّ صلی‌الله‌علیه‌و‌آله کسهونا، لأنّ سهوه من اللّه عزّوجلّ، و إنّما أسهاه لیعلم أنّه بشر مخلوق فلا یتخذّ ربّا معبودا دونه، و لیعلم الناس بسهوه حکم السهو متی سهواً ؛ و سهونا من الشیطان و لیس للشیطان علی النبیّ صلی‌الله‌علیه‌و‌آله ، والأئمّة صلوات اللّه علیهم، سلطان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شیخنا محمّد بن الحسن بن أحمد بن الولید رضی‌الله‌عنه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درجة فی الغلوّ نفی السهو عن النبیّ صلی‌الله‌علیه‌و‌آله ، و لو جاز أن تردّ الأخبار الواردة فی هذا المعنی لجاز أن تردّ جمیع الأخبار الواردة، و فی ردّها إبطال الدین والشریعة، و أنا أحتسب الأجر فی تصنیف کتاب منفرد فی إثبات سهو النبیّ صلی‌الله‌علیه‌و‌آله ، والردّ علی منکریه، إن شاء اللّه تعالی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تارة بما ذکره فیه أیضا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القدماء کانوا مختلفین فی مسائل الأصولیّة أیضا فربما کان شیء عند بعضهم فاسداً کفرا أو غلوّا أو تفویضا أو جبرا أو تشبیها أو غیر ذلک، و کان عند آخر ممّا یجب إعتقاده أو لا هذا و لا ذاک، وربما کان منشأ جرحهم بالأمور المذکورة وجدان الروایة الظاهرة فیها منهم، کما أشرنا آنفاً، أو ادّعاء أرباب المذاهب کونه منهم، أو روایتهم عنه، و ربما کان المنشأ روایتهم المناکیر عنه، إلی غیر ذلک ؛ فعلی هذا ربما یحصل التأمّل فی جرحهم بأمثال الأمور المذکورة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یظهر للمتتبّع فی کتب الرجال، و لا سیّما الکشّی، صدق هذا الکلام، و أحمد بن محمّد بن عیسی حاله معلوم فی مثل ذلک و کذا غیره من القمیّین، حتّی أنّ الأئمّة علیهم‌السلام قد یقررونهم علی ذلک، و یعلمون فی أصحابهم ذلک، فإنّ من أصحابهم من کان أعرف بقدرهم و أخبر بسرّهم، و من أصحابهم من هو دون ذلک و هکذا، فمن ذلک قد یطعن الدنیّ علی من فوقه و بالعکس، و لمّا کان کلّهم علی الصواب بمقتضی درجات عقولهم، و مراتب أفهامهم، و کون الواجب </w:t>
      </w:r>
    </w:p>
    <w:p>
      <w:pPr>
        <w:pStyle w:val="BookText"/>
        <w:rPr/>
      </w:pPr>
      <w:r>
        <w:rPr>
          <w:rFonts w:ascii="IRNazanin" w:hAnsi="IRNazanin" w:eastAsia="IRNazanin"/>
          <w:color w:val="111111"/>
          <w:sz w:val="28"/>
          <w:sz w:val="28"/>
          <w:szCs w:val="28"/>
          <w:rtl w:val="true"/>
          <w:lang w:bidi="fa-IR"/>
        </w:rPr>
        <w:t xml:space="preserve">معرفة صدقهم، و کونهم فی مقام النبیّ صلی‌الله‌علیه‌و‌آله ، و هم المبلّغون الأحکام إلی الناس، لم‌ینکروا علیهم فی ما یقول کلٌّ علی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أنّه قد یؤدّی تصدیق العارف إلی إعتقاد الألوهیّة فی حقّهم، لأنّهم کانوا معتقدین فیهم الصدق، فلو ادّعوا ما ادّعوا لصدّق منهم الناقص عقله، واعتقد فیهم ما یختصّ باللّه عزّوجلّ کما زعم فیهم الغلاة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والإمام علیه‌السلام قد یأتی بلفظ یوهم التصدیق فیما یعیبونه علی الآخر ؛ ألا تری ما رواه الکشّی، عن حمزة بن حمران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أنّک برئت من عمّی یعنی زرارة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لم نبرأ من زرارة، لکنّهم یجیئون ویذکرون ویروون عنه، فلو سکت عنه ألزمونیه، 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هذا فأنا إلی اللّه منه بریء </w:t>
      </w:r>
      <w:r>
        <w:rPr>
          <w:rStyle w:val="FootnoteAnchor"/>
          <w:rtl w:val="true"/>
        </w:rPr>
        <w:footnoteReference w:id="252"/>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یقصدون صلوات اللّه علیهم من ذلک حفظ شیعتهم عن أذیّة الأعداء ، کما یظهر من أخبار زرارة أیضا حیث قال فی روایة منها مخاطبا لعبد اللّه بن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 منّی علی والدک السلام 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إنّما أعیبک دفاعاً منّی عنک، فإنّ الناس والعدوّ یسارعون إلی کلّ من قرّبناه، و حمدنا مکانه لإدخال الأذی فیمن نحبّه و نقرّبه </w:t>
      </w:r>
      <w:r>
        <w:rPr>
          <w:rStyle w:val="FootnoteAnchor"/>
          <w:rtl w:val="true"/>
        </w:rPr>
        <w:footnoteReference w:id="253"/>
      </w:r>
      <w:r>
        <w:rPr>
          <w:rFonts w:ascii="IRNazanin" w:hAnsi="IRNazanin" w:eastAsia="IRNazanin"/>
          <w:color w:val="111111"/>
          <w:sz w:val="28"/>
          <w:sz w:val="28"/>
          <w:szCs w:val="28"/>
          <w:rtl w:val="true"/>
          <w:lang w:bidi="fa-IR"/>
        </w:rPr>
        <w:t xml:space="preserve">؛ إلی آخر الخبر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یمکن بملاحظة قدح بعض الأصحاب بعضهم بالغلوّ و نحوه ممّا یقرّبه، الحکم بضعف ذلک الرجل، فلابدّ من ملاحظة الأمر و کذا ملاحظة ذمّ الإمام علیه‌السلام بعض الأصحاب، فلابدّ من ملاحظة غیره من سائر الأخبار، فإنّ الخفایا غیر مستورة علی السالک البصیر والناقد الخبیر </w:t>
      </w:r>
      <w:r>
        <w:rPr>
          <w:rFonts w:eastAsia="IRNazanin" w:cs="IRNazanin"/>
          <w:color w:val="111111"/>
          <w:sz w:val="28"/>
          <w:szCs w:val="28"/>
          <w:rtl w:val="true"/>
          <w:lang w:bidi="fa-IR"/>
        </w:rPr>
        <w:t xml:space="preserve">. </w:t>
      </w:r>
      <w:bookmarkStart w:id="144" w:name="pg3696_43338"/>
    </w:p>
    <w:p>
      <w:pPr>
        <w:pStyle w:val="BookText"/>
        <w:rPr/>
      </w:pPr>
      <w:bookmarkEnd w:id="144"/>
      <w:r>
        <w:rPr>
          <w:rFonts w:ascii="IRNazanin" w:hAnsi="IRNazanin" w:eastAsia="IRNazanin"/>
          <w:color w:val="111111"/>
          <w:sz w:val="28"/>
          <w:sz w:val="28"/>
          <w:szCs w:val="28"/>
          <w:rtl w:val="true"/>
          <w:lang w:bidi="fa-IR"/>
        </w:rPr>
        <w:t xml:space="preserve">و تارة بأنّ الغلوّ و عدمه إنّما یتبیّن بملاحظة الأخبار الواردة عن الرجل الّذی نسب إلیه ذلک، فانظر إلی أخبار سهل بن زیاد </w:t>
      </w:r>
      <w:r>
        <w:rPr>
          <w:rFonts w:eastAsia="IRNazanin" w:cs="IRNazanin"/>
          <w:color w:val="111111"/>
          <w:sz w:val="28"/>
          <w:szCs w:val="28"/>
          <w:rtl w:val="true"/>
          <w:lang w:bidi="fa-IR"/>
        </w:rPr>
        <w:t>.</w:t>
      </w:r>
    </w:p>
    <w:p>
      <w:pPr>
        <w:pStyle w:val="Heading6"/>
        <w:numPr>
          <w:ilvl w:val="5"/>
          <w:numId w:val="1"/>
        </w:numPr>
        <w:rPr/>
      </w:pPr>
      <w:bookmarkStart w:id="145" w:name="__RefHeading___Toc488321_2281741623"/>
      <w:bookmarkStart w:id="146" w:name="_Toc54"/>
      <w:bookmarkEnd w:id="145"/>
      <w:r>
        <w:rPr>
          <w:rtl w:val="true"/>
        </w:rPr>
        <w:t>ذکر الروایات الواردة عنه</w:t>
      </w:r>
      <w:bookmarkEnd w:id="146"/>
    </w:p>
    <w:p>
      <w:pPr>
        <w:pStyle w:val="BookText"/>
        <w:rPr/>
      </w:pPr>
      <w:r>
        <w:rPr>
          <w:rFonts w:ascii="IRNazanin" w:hAnsi="IRNazanin" w:eastAsia="IRNazanin"/>
          <w:color w:val="111111"/>
          <w:sz w:val="28"/>
          <w:sz w:val="28"/>
          <w:szCs w:val="28"/>
          <w:rtl w:val="true"/>
          <w:lang w:bidi="fa-IR"/>
        </w:rPr>
        <w:t xml:space="preserve">الروایات الواردة عن سهل بن زیاد الآدمی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روی عنه فی رجال الکشّی فی ترجمة علیّ بن حسکة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الحسن بن بندار القمّی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سهل بن زیاد الآدمیّ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بعض أصحابنا إلی أبی الحسن العسکریّ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یا سیّدی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 بن حسکة یدّعی أنّه من أولیائک، و أنّک أنت الأوّل القدیم، و أنّه بابک و نبیّک، أمرته أن یدعوا لی ذلک، و یزعم أنّ الصلاة والزکاة والحجّ والصوم کلّ ذلک معرفتک ومعرفة من کان فی مثل حال إبن حسکة فیما یدّعی من البابیة والنبوّة، فهو من کامل سقط عنه الإستبعاد بالصوم والصلاة والحجّ و ذکر جمیع شرائع الدّین أنّ معنی ذلک کلّه ما یثبت لک، و مال إلیه ناس کثیر، فإن رأیت أن تمنّ علی موالیک بجواب فی ذلک تنجیهم من الهلکة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 إبن حسکة، علیه لعنة اللّه، و یحسبک أنّی لا أعرفه فی موالی، ما له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بعث اللّه محمّدا والأنبیاء قبله إلاّ بالحنیفیّة والصلاة والزکاة والحجّ والصیام والولایة، و ما دعا محمّد صلی‌الله‌علیه‌و‌آله إلاّ إلی اللّه وحده لا شریک له، و کذلک نحن الأوصیاء من ولده عبید اللّه و لا نشرک به شیئا، إن أطعناه رحمنا، و إن عصیناه عذبنا، ما لنا علی اللّه من حجّة، بل الحجّة للّه عزّوجلّ علینا و علی جمیع خلقه، أبرء إلی اللّه ممّن یقول ذلک، وانتفی إلی اللّه من هذا القول، فاهجروهم </w:t>
      </w:r>
    </w:p>
    <w:p>
      <w:pPr>
        <w:pStyle w:val="BookText"/>
        <w:rPr/>
      </w:pPr>
      <w:r>
        <w:rPr>
          <w:rFonts w:ascii="IRNazanin" w:hAnsi="IRNazanin" w:eastAsia="IRNazanin"/>
          <w:color w:val="111111"/>
          <w:sz w:val="28"/>
          <w:sz w:val="28"/>
          <w:szCs w:val="28"/>
          <w:rtl w:val="true"/>
          <w:lang w:bidi="fa-IR"/>
        </w:rPr>
        <w:t xml:space="preserve">لعنهم اللّه، والجأوهم إلی ضیق الطریق </w:t>
      </w:r>
      <w:r>
        <w:rPr>
          <w:rStyle w:val="FootnoteAnchor"/>
          <w:rtl w:val="true"/>
        </w:rPr>
        <w:footnoteReference w:id="254"/>
      </w:r>
      <w:r>
        <w:rPr>
          <w:rFonts w:ascii="Amiri" w:hAnsi="Amiri" w:eastAsia="Amiri" w:cs="Amiri"/>
          <w:color w:val="111111"/>
          <w:sz w:val="28"/>
          <w:sz w:val="28"/>
          <w:szCs w:val="28"/>
          <w:rtl w:val="true"/>
          <w:lang w:bidi="ar-SA"/>
        </w:rPr>
        <w:t xml:space="preserve">، و إن وجدت من أحد منهم خلوة فاشدخ رأسه بالصخرة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باب فرض طاعة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عن سهل بن زیاد، عن محمّد بن عیسی، عن فضالة، عن عبداللّه بن سنان، عن إسماعیل بن جابر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أعرض علیک دینی الّذی أدین اللّه عزّوجلّ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 لا إله إلاّ اللّه وحده لا شریک له و أنّ محمّدا عبده و رسوله، والإقرار بما جاء به من عنداللّه، فإنّ علیّا کان إماما فرض اللّه طاعته، ثمّ کان بعده الحسن إماما فرض اللّه طاعته، ثمّ کان الحسین بعده إماما فرض اللّه طاعته ، ثمّ کان علیّ بن الحسین إماما بعدهم ، حتّی إنتهی الأمر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یرحمک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دین اللّه و دین ملائکته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تتبّعت فی أصول الکافی، فلم أجد خبرا یدلّ علی غلوّه، مع أنّ من أعاظم الغلاة عبداللّه بن سبا و هو ممّن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علیه‌السلام لم یمت و لم یقتل، و إنّما قتل إبن ملجم شیطاناً </w:t>
      </w:r>
      <w:r>
        <w:rPr>
          <w:rStyle w:val="FootnoteAnchor"/>
          <w:rtl w:val="true"/>
        </w:rPr>
        <w:footnoteReference w:id="257"/>
      </w:r>
      <w:r>
        <w:rPr>
          <w:rFonts w:ascii="IRNazanin" w:hAnsi="IRNazanin" w:eastAsia="IRNazanin"/>
          <w:color w:val="111111"/>
          <w:sz w:val="28"/>
          <w:sz w:val="28"/>
          <w:szCs w:val="28"/>
          <w:rtl w:val="true"/>
          <w:lang w:bidi="fa-IR"/>
        </w:rPr>
        <w:t>؛ و قد روی سهل فی الکافی، فی باب أنّ الأئمّة علیهم‌السلام یعلمون متی یموتون، عن محمّد بن عبدالحمید،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أمیرالمؤمنین علیه‌السلام قد عرف قاتله واللیلة الّتی یقتل فیها، والموضع الّذی یقتل فیه، </w:t>
      </w:r>
    </w:p>
    <w:p>
      <w:pPr>
        <w:pStyle w:val="BookText"/>
        <w:rPr/>
      </w:pPr>
      <w:r>
        <w:rPr>
          <w:rFonts w:ascii="IRNazanin" w:hAnsi="IRNazanin" w:eastAsia="IRNazanin"/>
          <w:color w:val="111111"/>
          <w:sz w:val="28"/>
          <w:sz w:val="28"/>
          <w:szCs w:val="28"/>
          <w:rtl w:val="true"/>
          <w:lang w:bidi="fa-IR"/>
        </w:rPr>
        <w:t xml:space="preserve">وقوله لما سمع صیاح الاوّز </w:t>
      </w:r>
      <w:r>
        <w:rPr>
          <w:rStyle w:val="FootnoteAnchor"/>
          <w:rtl w:val="true"/>
        </w:rPr>
        <w:footnoteReference w:id="258"/>
      </w:r>
      <w:r>
        <w:rPr>
          <w:rFonts w:ascii="IRNazanin" w:hAnsi="IRNazanin" w:eastAsia="IRNazanin"/>
          <w:color w:val="111111"/>
          <w:sz w:val="28"/>
          <w:sz w:val="28"/>
          <w:szCs w:val="28"/>
          <w:rtl w:val="true"/>
          <w:lang w:bidi="fa-IR"/>
        </w:rPr>
        <w:t>فی الدار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صوائح تتبعها نوائح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قول أمّ کلثوم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صلّیت اللیلة داخل الدار و أمرت غیرک یصلّی بالناس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فأبی علیها، و کثر دخوله و خروجه تلک اللیلة بلا سلاح، و قد عرف علیه‌السلام أنّ إبن ملجم لعنه اللّه قاتله بالسیف کان هذا ممّا لم یجز </w:t>
      </w:r>
      <w:r>
        <w:rPr>
          <w:rStyle w:val="FootnoteAnchor"/>
          <w:rtl w:val="true"/>
        </w:rPr>
        <w:footnoteReference w:id="2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کان و لکنّه خیر </w:t>
      </w:r>
      <w:r>
        <w:rPr>
          <w:rStyle w:val="FootnoteAnchor"/>
          <w:rtl w:val="true"/>
        </w:rPr>
        <w:footnoteReference w:id="260"/>
      </w:r>
      <w:r>
        <w:rPr>
          <w:rFonts w:ascii="IRNazanin" w:hAnsi="IRNazanin" w:eastAsia="IRNazanin"/>
          <w:color w:val="111111"/>
          <w:sz w:val="28"/>
          <w:sz w:val="28"/>
          <w:szCs w:val="28"/>
          <w:rtl w:val="true"/>
          <w:lang w:bidi="fa-IR"/>
        </w:rPr>
        <w:t xml:space="preserve">فی تلک اللیلة لتمضی مقادیر اللّه عزّوجلّ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 ثمّ إنّ الغلاة ، کما حکی الوالد العلاّمة روحی فداه ، عن الشهرستانیّ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الغلاة هم الّذین أفرطوا فی تعظیم الإمام علیّ بن أبی طالب علیه‌السلام و أولاده الأئمّة علیهم‌السلام ، حتّی شبهوهم باللّه تعالی </w:t>
      </w:r>
      <w:r>
        <w:rPr>
          <w:rStyle w:val="FootnoteAnchor"/>
          <w:rtl w:val="true"/>
        </w:rPr>
        <w:footnoteReference w:id="2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المعنی هو المعروف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بالغلاة من اعتقد إلهیّة علیّ علیه‌السلام ، أو أحد الأئمّة علیهم‌السلام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أین روایات سهل من تلک العقائد الباطلة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أیدلّ علی ذلک روایته فی باب لولا أنّ الأئمّة علیهم‌السلام یزدادون لنفد ما عندهم، عن أحمد بن محمّد بن أبی نصر، عن صفوان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جعفر بن محمّد علیهماالسلام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أنّا نزداد لأنفدنا </w:t>
      </w:r>
      <w:r>
        <w:rPr>
          <w:rStyle w:val="FootnoteAnchor"/>
          <w:rtl w:val="true"/>
        </w:rPr>
        <w:footnoteReference w:id="265"/>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 ما رواه فی باب أنّ الأئمّة علیهم‌السلام عندهم جمیع الکتب الّتی نزلت من عنداللّه عزّوجلّ و یعرفونها علی اختلاف ألسنتها، باسناده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أتینا باب أبی عبداللّه علیه‌السلام و نحن نرید الإذن علیه، فسمعناه یتکلّم بکلام لیس بالعربیّة، فتوهّمنا أنّه بالسریانیّة، ثمّ بکی فبکینا لبکائه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خرج إلینا الغلام فأذن لنا فدخلنا علیه،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أتیناک نرید الإذن علیک فسمعناک یتکلّم بکلام لیس بالعربیّة فتوهّمنا أنّه بالسریانیّة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بکیت فبکینا لبکائک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ذکرت إلیاس النبیّ علیه‌السلام و کان من عبّاد أنبیاء بنی إسرائیل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کان یقول فی سجوده، ثمّ اندفع فیه بالسریانیّة فلاواللّه ما رأینا قسّا و لا جاثلیقا أفصح لهجة منه به، ثمّ فسّره لنا بالعربیّة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یقول فی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أتراک معذّبی بنارک و قد أظمأت لک هواجری، أتراک معذّبی و قد عفّرت لک فی التراب وجهی، أتراک معذّبی و قد إجتنبت لک المعاصی، أتراک معذّبی و قد أسهرت لک لیلی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أن ارفع رأسک فإنّی غیر معذّبک،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أعذّبک ثمّ عذّبتنی ما ذا ؟ أَلستُ عبدک و أنت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فأوحی اللّه إلیه أن ارفع رأسک فإنّی غیر معذّبک، إنّی إذا وعدت وعدا وفیت به </w:t>
      </w:r>
      <w:r>
        <w:rPr>
          <w:rStyle w:val="FootnoteAnchor"/>
          <w:rtl w:val="true"/>
        </w:rPr>
        <w:footnoteReference w:id="266"/>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الکلام فی شهادة أحمد بن محمّد بن عیسی علیه بالغلوّ، کما فی رجال النجاشی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شهادته بالکذب، ففیه أوّلاً انّ الکذب علی ما ذکره المحقّقون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الإخبار بخلاف الواقع </w:t>
      </w:r>
      <w:r>
        <w:rPr>
          <w:rStyle w:val="FootnoteAnchor"/>
          <w:rtl w:val="true"/>
        </w:rPr>
        <w:footnoteReference w:id="267"/>
      </w:r>
      <w:r>
        <w:rPr>
          <w:rFonts w:ascii="IRNazanin" w:hAnsi="IRNazanin" w:eastAsia="IRNazanin"/>
          <w:color w:val="111111"/>
          <w:sz w:val="28"/>
          <w:sz w:val="28"/>
          <w:szCs w:val="28"/>
          <w:rtl w:val="true"/>
          <w:lang w:bidi="fa-IR"/>
        </w:rPr>
        <w:t xml:space="preserve">، سواء کان مطابقاً للإعتقاد أو مخالفاً له أیضا، فیحتمل أن یکون </w:t>
      </w:r>
    </w:p>
    <w:p>
      <w:pPr>
        <w:pStyle w:val="BookText"/>
        <w:rPr/>
      </w:pPr>
      <w:r>
        <w:rPr>
          <w:rFonts w:ascii="IRNazanin" w:hAnsi="IRNazanin" w:eastAsia="IRNazanin"/>
          <w:color w:val="111111"/>
          <w:sz w:val="28"/>
          <w:sz w:val="28"/>
          <w:szCs w:val="28"/>
          <w:rtl w:val="true"/>
          <w:lang w:bidi="fa-IR"/>
        </w:rPr>
        <w:t xml:space="preserve">سهل من‌القبیل الأوّل، و لا قدح له فیه حینئذ، و کونه خلاف الواقع غیر معلوم أیضا کما عرفت، لأنّه بناء علی معتقده من کونه غالیاً والأخبار الناشیة من الغلوّ کذب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إظهار البرائة عنه، و نهی الناس عن السماع منه والروایة عنه، کما فی الغضائریّ </w:t>
      </w:r>
      <w:r>
        <w:rPr>
          <w:rStyle w:val="FootnoteAnchor"/>
          <w:rtl w:val="true"/>
        </w:rPr>
        <w:footnoteReference w:id="268"/>
      </w:r>
      <w:r>
        <w:rPr>
          <w:rFonts w:ascii="IRNazanin" w:hAnsi="IRNazanin" w:eastAsia="IRNazanin"/>
          <w:color w:val="111111"/>
          <w:sz w:val="28"/>
          <w:sz w:val="28"/>
          <w:szCs w:val="28"/>
          <w:rtl w:val="true"/>
          <w:lang w:bidi="fa-IR"/>
        </w:rPr>
        <w:t xml:space="preserve">، فإنّما هو لأجل الإعتقاد المذکور فیه، لا من جهة تعمّده الکذب والإفتراء فی جمیع أخباره، بل لأجل إشتمال أخباره باعتقاده علی الغلوّ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 الثانی، و هو ما قاله الفضل بن شاذان فی حقّه أنّه أحمق وکان لا یرضی منه، بما قال الوالد ـ روحی فداه ـ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المعهود من إطلاق هذا اللفظ أنّه فی مقام التنبیه علی البلادة، لا الفسق أو فساد العقیدة، و دلالة عدم الإرتضاء علی القدح غیر ظاهرة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 الثالث، و هو تضعیف الجماعة من الأجلّة إیّاه،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إبن الغضائریّ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جدّا، فاسد الروایة والمذهب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قال الوالد روحی فداه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یبعد أن یکون الداعی لحکمه، بأنّه کان ضعیفاً جدّا إلی آخره، کلام إبن عیسی </w:t>
      </w:r>
      <w:r>
        <w:rPr>
          <w:rStyle w:val="FootnoteAnchor"/>
          <w:rtl w:val="true"/>
        </w:rPr>
        <w:footnoteReference w:id="270"/>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الشیخ رحمه‌الله ، فکلامه فی الفهرست معارض لکلامه فی رجاله، والّذی یظهر کون تصنیف الرجال متأخّرا عن تصنیف الفهرست، والعبرة بالمتأخّر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الرجال فی ترجمة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کثیرة ذکرناها فی الفهرست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ترجمة محمّد بن یعقوب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کتبه فی الفهرست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ترجمة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أکثر من مأتی مصنّف ذکرناها فی الفهرست </w:t>
      </w:r>
      <w:r>
        <w:rPr>
          <w:rStyle w:val="FootnoteAnchor"/>
          <w:rtl w:val="true"/>
        </w:rPr>
        <w:footnoteReference w:id="273"/>
      </w:r>
      <w:r>
        <w:rPr>
          <w:rFonts w:ascii="IRNazanin" w:hAnsi="IRNazanin" w:eastAsia="IRNazanin"/>
          <w:color w:val="111111"/>
          <w:sz w:val="28"/>
          <w:sz w:val="28"/>
          <w:szCs w:val="28"/>
          <w:rtl w:val="true"/>
          <w:lang w:bidi="fa-IR"/>
        </w:rPr>
        <w:t xml:space="preserve">؛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النجاشی ، فلم یصرّح بضعف فیه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ضعیف فی الحدیث ، غیر معتمد فیه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ذکروا فی شأن جملة من أهل‌الرجال کأحمد بن محمّد بن خالد، ومحمّدبن أحمد بن یحیی، أنّه ثقة فی نفسه ، و یروی عن الضعفاء ، و یعتمد المراسیل ، فیکون ضعیفا فی حدیثه ، کما قد یقولون عکس ذلک أنّه فاسد المذهب ، ثقة فی الروایة کما فی جمع من الفطحیّة والواقفیّة و غیرهم، أو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فاسد المذهب ضعیف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بین الأمرین نسبة عموماً من وجه، و لم یظهر من النجاشی سوی ضعف فی حدیثه، فبعد کون المرویّ عنه ثقة، عدلاً، لا یقدح الخبر بشیء، لأنّ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فی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یروی عن کلّ أحد، کما قاله بعض المحقّقین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ذکره من حکایة الغلوّ والکذب، فإنّما حکاه عن شیخیه أحمد بن علیّ بن نوح و أحمد بن الحسین، عن أحمد بن محمّد بن عیسی، و قد عرفت الحال فیه، و لم یدلّ هذا علی إختیار شیخیه ذلک </w:t>
      </w:r>
      <w:r>
        <w:rPr>
          <w:rFonts w:eastAsia="IRNazanin" w:cs="IRNazanin"/>
          <w:color w:val="111111"/>
          <w:sz w:val="28"/>
          <w:szCs w:val="28"/>
          <w:rtl w:val="true"/>
          <w:lang w:bidi="fa-IR"/>
        </w:rPr>
        <w:t xml:space="preserve">. </w:t>
      </w:r>
      <w:bookmarkStart w:id="147" w:name="pg3696_43344"/>
    </w:p>
    <w:p>
      <w:pPr>
        <w:pStyle w:val="Heading6"/>
        <w:numPr>
          <w:ilvl w:val="5"/>
          <w:numId w:val="1"/>
        </w:numPr>
        <w:rPr/>
      </w:pPr>
      <w:bookmarkStart w:id="148" w:name="__RefHeading___Toc488323_2281741623"/>
      <w:bookmarkStart w:id="149" w:name="_Toc55"/>
      <w:bookmarkEnd w:id="147"/>
      <w:bookmarkEnd w:id="148"/>
      <w:r>
        <w:rPr>
          <w:rtl w:val="true"/>
        </w:rPr>
        <w:t>الإستدلال لتوثیقه بأمور والمناقشة فی بعضها</w:t>
      </w:r>
      <w:bookmarkEnd w:id="149"/>
    </w:p>
    <w:p>
      <w:pPr>
        <w:pStyle w:val="BookText"/>
        <w:rPr/>
      </w:pPr>
      <w:r>
        <w:rPr>
          <w:rFonts w:ascii="IRNazanin" w:hAnsi="IRNazanin" w:eastAsia="IRNazanin"/>
          <w:color w:val="111111"/>
          <w:sz w:val="28"/>
          <w:sz w:val="28"/>
          <w:szCs w:val="28"/>
          <w:rtl w:val="true"/>
          <w:lang w:bidi="fa-IR"/>
        </w:rPr>
        <w:t xml:space="preserve">و یحتمل أن یکون ما قاله من أنّه ضعیف فی الحدیث، غیر معتمد فیه، هو کلام شیخیه أیضا کنقله ممّا مرّ عن أحمد بن محمّد بن عیسی، فحینئذ لم یظهر مختاره فی حقّ سهل، فیکون من المتوقّفین فی حقّه، و کلامهما هذا لا یدلّ علی قدح فیه لکن فیه أنّه ینافی ما ذکره فی الخلاصة من نسبة الضعف إلی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تضعیف المصنّف والعلاّمة رحمهماالله فی کتبهما الفقهیّة، فالظاهر أنّ المنشأ ما مرّ من کلام أحمد بن محمّد بن عیسی، و قد عرفت الحال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غایة ما یمکن أن یقال فی ردّ الوجوه القادحة فیه، و کلماتهم الظاهرة فی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یمکن الإستدلال لتوثیقه، مضافا إلی ما مرّ من ظهور الوثاقة من جماعة فضلاء عن تصریح الشیخ و بعض آخر،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قد کاتب أبا محمّد العسکریّ علیه‌السلام علی ید محمّد بن عبدالحمید العطّار، کما صرّح به فی رجال النجاشی نقلاً عن شیخه، و محمّد بن عبدالحمید ممّن وثّقه النجاشی والعلاّمة،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ثقة من أصحابنا الکوفیّین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فهذا یدلّ علی کونه من المعتمدین المعتنین، والظاهر المداومة له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کثیر الروایة ، و قد وردت الأخبار عن الأئمّة الأطهار علیهم‌السلام علی أنّ منزلة الرجال علی قدر روایتهم عنّا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الکشّی فی أوّل رجاله عن حمدویه بن نصیر، عن محمّد بن الحسین بن أبی الخطّاب ، عن محمّد بن سنان ، عن حذیفة بن منصور ،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الرجال منّا علی قدر روایتهم عنّا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أیضا عن إبراهیم بن محمّد بن العبّاس الختلی، عن أحمد بن إدریس القمّی المعلّم، عن محمّد بن أحمد بن یحیی بن عمران، عن سلیمان الخطاب، عن محمّد بن محمّد، عن بعض رجاله، عن محمّد بن عمران العجلی، عن علیّ بن حنظلة،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الرجال منّا علی قدر روایتهم عنّا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أیضا عن محمّد بن سعید الکشی و أبی جعفر محمّد بن أبی عوف النجاریّ، عن أبی علیّ محمّد بن أحمد بن حمّاد المروزیّ المحمودیّ، یرفعه،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شیعتنا بقدر ما یحسنون من روایتهم عنّا، فإنّا لا نعدّ الفقیه منهم فقیها حتّی یکون محدّثاً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یکون المؤمن محدّثاً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مفهّماً والمفهّم المحدّث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باب النوادر من کتاب فضل العلم، عن محمّد بن الحسن ، عن سهل بن زیاد ، عن إبن سنان ، عن محمّد بن مروان العجلی ، عن علی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الناس علی قدر روایاتهم عنّا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فتأمّل فانّ فی السند سهلاً، والظاهر أنّه هو المذکور فی رجال الکشی أیضا، ووجه الدلالة فی هذه الأخبار له ظاهر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إکثار روایة الأجلاّء عنه کما تقدّم، و هذا غیر ما تقدّم سابقاً، لأنّ الکلام هناک فی تعداد الموثّقین له، لا فی وجه التوثیق، فإنّ إکثار روایة العدّة المذکورة عنه، و روایة الکلینیّ عنهم و غیرهم، یدلّ علی إعتمادهم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 یظهر من حال الرواة السابقین کونه من مشایخ الإجازة، وهذا یدلّ علی الوثاقة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الوجوه، و إن کان بعضها موردا للمناقشة کالأوّل بأنّ المکاتبة ولو بید عبدالحمید الثقة إلی الإمام علیه‌السلام ، لایدلّ علی وثاقته، و لم یظهر المداومة علی ذلک، و لو ظهرت فلا یدلّ علی الوثاقة أیضا، لأنّه لم یتبیّن عدم جواز إرسال کتاب غیر الثقة، والإجابة مطلقاً مستحبّة، و لو سلّمنا غلوّه فلیس بحدّ الکفر قطعاً کما یظهر للمتتبّع فی حال 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کالثانی بأنّا نجد کثیراً ممّن قلّ روایته أوثق ممّن کثرت روایته بکثیر، فلعلّ المراد من الخبر کثرة علمه فإنّ العلم مخزنه أهل البیت علیهم‌السلام ، و عبّر بکثرة الروایة عن کثرة العلم والفهم، کما یدلّ علیه روایة المروزیّ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لا یدلّ هذا علی الوثاقة ، فإنّ غیره أکثر منه بکثیر ، فلعلّ غایة منزلته بقدر روایته ما لا یبلغ به درجة الوثاقة ، لکنّ الظاهر أنّ ما یظهر من أهل الروایات من الإعتماد علیه ثابت ، معلوم بینهم ، و إن کان المشهور فی أهل الرجال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ما عرفت عدم إطباق أهل الرجال علی ذلک، فإنّ الشیخ رحمه‌الله و هو من أعاظمهم قد صرّح فیه بالوثاقة، والنجاشی الّذی هو من أعظم العظماء فی فنّ الرجال، قد قال فیه ما قال من ضعف الحدیث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صرّح من الأواخر الثقة الجلیل، والفاضل النبیل، الّذی لیس له فی هذا الفنّ ثانی، الآقا محمّد باقر البهبهانیّ فی تعلیقته بما عرفت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شرح المفاتیح فی هذا المبحث بأنّه ثقة علی الأصحّ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فخرالعلماء و أعلم الفقهاء، ودیعة اللّه فی أرضه، و ملجأ العالم فی طوله و أرضه، بحرالعلوم و منبعها، و مخزن الرسوم و مبدعها، السیّد محمّد مهدی قدّس اللّه روحه الزکیّ، حیث قال بعد ذکر الروایة الّتی نحن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نصّ معلّل، معتبر الأسناد، متکرّر فی کتب الحدیث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الروایة السابقة الّتی هی من أحد طرقها هذا الطریق الّذی نحن فی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والروایة عالیة السند، نقیّة الطریق، متعدّدة الطرق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رجال سندها من أجلاّء الرواة، و مشاهیر الثقات، فلا یسوغ العدول عنها مع إمکان کونه ضعیفا عند أکثر أهل الرجال </w:t>
      </w:r>
      <w:r>
        <w:rPr>
          <w:rStyle w:val="FootnoteAnchor"/>
          <w:rtl w:val="true"/>
        </w:rPr>
        <w:footnoteReference w:id="284"/>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مبدأ رجالنا رجال الکشی، و هو لم یذکر فیه بشیء إلاّ فی ترجمة صالح، وهو حکایة عن الفضل بن شاذان، و قد عرفت الحال فیها، فإنّها لا تدلّ علی قدح فیه یضرّ بعدالته و وثاقته ؛ و بعده النجاشی، و قد عرفت أنّه علی أحد الإحتمالین السابقین منه لم نقل فیه بشیء، و أمّا علی الإحتمال الآخر فإنّما قال بالضعف فی حدیثه لا فیه، والکلام إنّما هو فی حاله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بعده الشیخ رحمه‌الله و قد عرفت إختلاف کلمتیه، و بعده العلاّمة رحمه‌الله و ما عرفت منه سوی التوقّف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إبن الغضائریّ قد قال فیه ما قال، فهو المنحصر بالتصریح فیه من مخالفة فی کلماته، لکن لما قلّ من یسلم من قلم قدحه یسهّل الأمر فی تضعیفه، و لایبقی تمام الإعتماد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أمکننا فی التکلّم فی وثاقته، و لکنّ الّذی أظنّ أنّه کان غیر ثقة عند قدماء الرواة کأحمد بن محمّد بن عیسی، والفضل بن شاذان، و محمّد بن الحسن بن الولید، و من ضاهاهم کأحمد بن علیّ بن نوح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أحمد بن محمّد بن عیسی، فقد عرفت و کذا الفضل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محمّد بن الحسن بن الولید، فلأنّه ذکره من مستثنیات رجال محمّد بن أحمد بن یحیی صاحب کتاب نوادر الحکمة، فلاحظ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أحمد بن علیّ بن نوح، فلأنّه الظاهر من نقل النجاشی کلام أحمد منه مع عدم تکلّم فی ردّه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رحمه‌الله و إن صرّح فی الرجال فی ذی الوثاقة، لکن قد عرفت التصریح بضعفه فی الفهرست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الوالد العلاّمة عنه فی الإستبصار </w:t>
      </w:r>
      <w:r>
        <w:rPr>
          <w:rStyle w:val="FootnoteAnchor"/>
          <w:rtl w:val="true"/>
        </w:rPr>
        <w:footnoteReference w:id="289"/>
      </w:r>
      <w:r>
        <w:rPr>
          <w:rFonts w:ascii="IRNazanin" w:hAnsi="IRNazanin" w:eastAsia="IRNazanin"/>
          <w:color w:val="111111"/>
          <w:sz w:val="28"/>
          <w:sz w:val="28"/>
          <w:szCs w:val="28"/>
          <w:rtl w:val="true"/>
          <w:lang w:bidi="fa-IR"/>
        </w:rPr>
        <w:t xml:space="preserve">أنّه قال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الخبر الأوّل فروایة أبی سعید الآدمی، و هو ضعیف جدّا عند نقّاد الحدیث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غیرهم کالنجاشی والعلاّمة، لا أقلّ لهم من التوقّف فی الأمر، و هذا یکفی فی </w:t>
      </w:r>
      <w:bookmarkStart w:id="150" w:name="pg3696_43349"/>
    </w:p>
    <w:p>
      <w:pPr>
        <w:pStyle w:val="BookText"/>
        <w:rPr/>
      </w:pPr>
      <w:bookmarkEnd w:id="150"/>
      <w:r>
        <w:rPr>
          <w:rFonts w:ascii="IRNazanin" w:hAnsi="IRNazanin" w:eastAsia="IRNazanin"/>
          <w:color w:val="111111"/>
          <w:sz w:val="28"/>
          <w:sz w:val="28"/>
          <w:szCs w:val="28"/>
          <w:rtl w:val="true"/>
          <w:lang w:bidi="fa-IR"/>
        </w:rPr>
        <w:t xml:space="preserve">عدم الحکم، و کلمات من صرّح بالوثاقة کالشیخ معارض بکلام نفسه أو بکلام من صرّح بالضعف </w:t>
      </w:r>
      <w:r>
        <w:rPr>
          <w:rFonts w:eastAsia="IRNazanin" w:cs="IRNazanin"/>
          <w:color w:val="111111"/>
          <w:sz w:val="28"/>
          <w:szCs w:val="28"/>
          <w:rtl w:val="true"/>
          <w:lang w:bidi="fa-IR"/>
        </w:rPr>
        <w:t>.</w:t>
      </w:r>
    </w:p>
    <w:p>
      <w:pPr>
        <w:pStyle w:val="Heading6"/>
        <w:numPr>
          <w:ilvl w:val="5"/>
          <w:numId w:val="1"/>
        </w:numPr>
        <w:rPr/>
      </w:pPr>
      <w:bookmarkStart w:id="151" w:name="__RefHeading___Toc488325_2281741623"/>
      <w:bookmarkStart w:id="152" w:name="_Toc56"/>
      <w:bookmarkEnd w:id="151"/>
      <w:r>
        <w:rPr>
          <w:rtl w:val="true"/>
        </w:rPr>
        <w:t>رأی المؤلّف فیه</w:t>
      </w:r>
      <w:bookmarkEnd w:id="152"/>
    </w:p>
    <w:p>
      <w:pPr>
        <w:pStyle w:val="BookText"/>
        <w:rPr/>
      </w:pPr>
      <w:r>
        <w:rPr>
          <w:rFonts w:ascii="IRNazanin" w:hAnsi="IRNazanin" w:eastAsia="IRNazanin"/>
          <w:color w:val="111111"/>
          <w:sz w:val="28"/>
          <w:sz w:val="28"/>
          <w:szCs w:val="28"/>
          <w:rtl w:val="true"/>
          <w:lang w:bidi="fa-IR"/>
        </w:rPr>
        <w:t xml:space="preserve">فإذن لم یحصل وثوق به، و لم یعلم وثاقته ، فرجع الأمر إلی ما کان ، لکن ما استفدناه من قبول روایاته عند العلماء السابقین مؤیّدا بتصریح الآخرین بالوثاقة یدلّ علی وثاقة له فیالجملة، مع ملاحظة کون رئیس‌القادحین أحمد المعلوم طریقته، و کذا محمّد بن الحسین ، لأنّه من رؤساء القم ، و حال أهله معلومة لدی العارف </w:t>
      </w:r>
      <w:r>
        <w:rPr>
          <w:rFonts w:eastAsia="IRNazanin" w:cs="IRNazanin"/>
          <w:color w:val="111111"/>
          <w:sz w:val="28"/>
          <w:szCs w:val="28"/>
          <w:rtl w:val="true"/>
          <w:lang w:bidi="fa-IR"/>
        </w:rPr>
        <w:t>.</w:t>
      </w:r>
    </w:p>
    <w:p>
      <w:pPr>
        <w:pStyle w:val="Heading6"/>
        <w:numPr>
          <w:ilvl w:val="5"/>
          <w:numId w:val="1"/>
        </w:numPr>
        <w:rPr/>
      </w:pPr>
      <w:bookmarkStart w:id="153" w:name="__RefHeading___Toc488327_2281741623"/>
      <w:bookmarkStart w:id="154" w:name="_Toc57"/>
      <w:bookmarkEnd w:id="153"/>
      <w:r>
        <w:rPr>
          <w:rtl w:val="true"/>
        </w:rPr>
        <w:t xml:space="preserve">تحقیق الحال فی خیران الخادم </w:t>
      </w:r>
      <w:r>
        <w:rPr>
          <w:rtl w:val="true"/>
        </w:rPr>
        <w:t>:</w:t>
      </w:r>
      <w:bookmarkEnd w:id="154"/>
    </w:p>
    <w:p>
      <w:pPr>
        <w:pStyle w:val="BookText"/>
        <w:rPr/>
      </w:pPr>
      <w:r>
        <w:rPr>
          <w:rFonts w:ascii="IRNazanin" w:hAnsi="IRNazanin" w:eastAsia="IRNazanin"/>
          <w:color w:val="111111"/>
          <w:sz w:val="28"/>
          <w:sz w:val="28"/>
          <w:szCs w:val="28"/>
          <w:rtl w:val="true"/>
          <w:lang w:bidi="fa-IR"/>
        </w:rPr>
        <w:t xml:space="preserve">و أمّا خیران الخادم، فهو خیران الخادم القراطیسی، و هو ثقة کما صرّح به الشیخ رحمه‌الله فی رجاله فی أصحاب الهادیّ علیه‌السلام ، والعلاّمة رحمه‌الله فی 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 الخادم ثقة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 الخادم من أصحاب أبی الحسن الثالث علیه‌السلام ، ثقة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روی فی رجال الکشی روایات تدلّ علی مدحه و وثاقته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الرجل المکتوب إلیه هذه المکاتبة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إلی الرجل أسأله، إلی آخره، فالظاهر أنّه الجواد أو الهادیّ علیهماالسلام ، کما أنّ الأظهر هوالأخیر فإنّه کماصرّح به فی رجال الکشی 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الخیران هذا مسائل یرویها عنه أی عن الجواد علیه‌السلام ، و عن أبی الحسن الثالث علیه‌السلام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أصحاب أبی الحسن علیه‌السلام ، و لم یذکره الشیخ إلاّ من أصحابه علیه‌السلام ، فإذن الظاهر أنّه الهادی علیه‌السلام ، و یحتمل کون المراد به الرضا علیه‌السلام ، فإنّ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خیران مولی الرضا علیه‌السلام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یظهر من الکافی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فی الثوب و هو غیر طاهر، روایته عن أبی عبداللّه علیه‌السلام ، کما لعلّنا سنذکر الروایة فی المقام، والظاهر أنّ فی طریق الإسناد سقطاً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الکشّی فی ترجمة خیران الخادم عن محمّد بن مسعود، عن سلیمان بن حفص، عن أبی بصیر حمّاد بن عبداللّه القندی، عن إبراهیم بن مهزیار، عن علیّ بن مهزیار </w:t>
      </w:r>
      <w:r>
        <w:rPr>
          <w:rStyle w:val="FootnoteAnchor"/>
          <w:rtl w:val="true"/>
        </w:rPr>
        <w:footnoteReference w:id="29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إلیّ خیران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وجّهت إلیک ثمانیة دراهم کانت أهدیت إلیّ من طرسوس دراهم منهم، و کرهت أن أردّها علی صاحبها أو أحدث فیها حدثاً دون أمرک، فهل تأمرنی فی قبول مثلها أم لا، لأعرفه إن شاء اللّه تعالی وانتهی إلی أمرک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قرأته، اقبل منهم إذا أهدی إلیک دراهم أو غیرها، فإنّ رسول اللّه صلی‌الله‌علیه‌و‌آله لم یرد هدیّة علی یهودیّ و لا نصرانیّ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المراد بالرجل هنا هو إبن مهزیار، أو رجل آخر مثله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أنّه مخالف للظاهر و ما فهمه الأصحاب منه لا یقدح بعد کون الرجل مثل علیّ بن مهزیار الثقة و نحوه ؛ و أیضا أنّ مثل خیران لا یکتب هذه المسائل إلاّ إلی رجل به الوثوق و علیه الإعتماد غایته </w:t>
      </w:r>
      <w:r>
        <w:rPr>
          <w:rFonts w:eastAsia="IRNazanin" w:cs="IRNazanin"/>
          <w:color w:val="111111"/>
          <w:sz w:val="28"/>
          <w:szCs w:val="28"/>
          <w:rtl w:val="true"/>
          <w:lang w:bidi="fa-IR"/>
        </w:rPr>
        <w:t xml:space="preserve">. </w:t>
      </w:r>
      <w:bookmarkStart w:id="155" w:name="pg3696_43351"/>
    </w:p>
    <w:p>
      <w:pPr>
        <w:pStyle w:val="BookText"/>
        <w:rPr/>
      </w:pPr>
      <w:bookmarkEnd w:id="155"/>
      <w:r>
        <w:rPr>
          <w:rFonts w:ascii="IRNazanin" w:hAnsi="IRNazanin" w:eastAsia="IRNazanin"/>
          <w:color w:val="111111"/>
          <w:sz w:val="28"/>
          <w:sz w:val="28"/>
          <w:szCs w:val="28"/>
          <w:rtl w:val="true"/>
          <w:lang w:bidi="fa-IR"/>
        </w:rPr>
        <w:t xml:space="preserve">هذا، مضافا إلی ما فی التهذیب هکذا إلی الرجل علیه‌السلام ، و لعلّه هکذا فی الکافی أیضا، مع أنّ الرجل کأنّه مصطلح و معهود بینهم فی الهادی علیه‌السلام ، واکتفی فیه بالمعهودیّة مع إحتمال التعبیر بهذا للتقیّة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الظاهر، بل المقطوع به أنّ القول القاطع لإختلاف الأصحاب هو قول الإمام علیه‌السلام ، و إلاّ فغیره من جملة الأصحاب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الکلام فی سند الخبر </w:t>
      </w:r>
      <w:r>
        <w:rPr>
          <w:rFonts w:eastAsia="IRNazanin" w:cs="IRNazanin"/>
          <w:color w:val="111111"/>
          <w:sz w:val="28"/>
          <w:szCs w:val="28"/>
          <w:rtl w:val="true"/>
          <w:lang w:bidi="fa-IR"/>
        </w:rPr>
        <w:t>.</w:t>
      </w:r>
    </w:p>
    <w:p>
      <w:pPr>
        <w:pStyle w:val="Heading6"/>
        <w:numPr>
          <w:ilvl w:val="5"/>
          <w:numId w:val="1"/>
        </w:numPr>
        <w:rPr/>
      </w:pPr>
      <w:bookmarkStart w:id="156" w:name="__RefHeading___Toc488329_2281741623"/>
      <w:bookmarkStart w:id="157" w:name="_Toc58"/>
      <w:bookmarkEnd w:id="156"/>
      <w:r>
        <w:rPr>
          <w:rtl w:val="true"/>
        </w:rPr>
        <w:t xml:space="preserve">الکلام فی دلالة الحدیث </w:t>
      </w:r>
      <w:r>
        <w:rPr>
          <w:rtl w:val="true"/>
        </w:rPr>
        <w:t>:</w:t>
      </w:r>
      <w:bookmarkEnd w:id="157"/>
    </w:p>
    <w:p>
      <w:pPr>
        <w:pStyle w:val="BookText"/>
        <w:rPr/>
      </w:pPr>
      <w:r>
        <w:rPr>
          <w:rFonts w:ascii="IRNazanin" w:hAnsi="IRNazanin" w:eastAsia="IRNazanin"/>
          <w:color w:val="111111"/>
          <w:sz w:val="28"/>
          <w:sz w:val="28"/>
          <w:szCs w:val="28"/>
          <w:rtl w:val="true"/>
          <w:lang w:bidi="fa-IR"/>
        </w:rPr>
        <w:t>و أمّا الکلام فی دلالة الخبر، فقد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لحم الخنزیر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یمنع عن الإستدلال به لإحتمال أن یکون الجواب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راجعا إلیهما أو إلی الأوّل ، و الخبر إنّما یصحّ الإستدلال به إذا کان الجواب راجعا إلی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إنّ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إلی الثوب الّذی یصیبه الخمر و لحم الخنزیر، و لم یعلم من ذلک أنّ المنع لإصابة الخمر إیّاه، فلعلّه لإصابة لحم الخنزیر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تارة بأنّ الواو هنا بمعنی أو، سلّمنا أن تکون بمعناها من الجمع المطلق، لکن الجمع إمّا فی السؤال أو فی المسئول عنه أو فیهما معا، فإن کان فی السؤال فقط، فلا بأس بالإستدلال به أیضا، لأنّه فی المعنی یکون المسئول عنه أحدهما، و إن کان الجمع فی المسئول عنه فقط، أو فیه و فی السؤال معا، 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إصابة لحم الخنزیر فقط، لا توجب نجاسة الثوب و عدم جواز </w:t>
      </w:r>
    </w:p>
    <w:p>
      <w:pPr>
        <w:pStyle w:val="BookText"/>
        <w:rPr/>
      </w:pPr>
      <w:r>
        <w:rPr>
          <w:rFonts w:ascii="IRNazanin" w:hAnsi="IRNazanin" w:eastAsia="IRNazanin"/>
          <w:color w:val="111111"/>
          <w:sz w:val="28"/>
          <w:sz w:val="28"/>
          <w:szCs w:val="28"/>
          <w:rtl w:val="true"/>
          <w:lang w:bidi="fa-IR"/>
        </w:rPr>
        <w:t>الصلاة فیه إلاّ إذا تعدّی منه الرطوبة أو الدسومة إلی الثوب، و ترک الإستفصال فی الخبر عن ذلک والجواب عن ترک الصلاة فیه بقول مطلق، یقتضی کون الجواب عن غیره و هو الخمر، و کذا لو أصابه اللحم والخمر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الجواب راجع إلی الثانی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السؤال مطلق بالنسبة إلی التعدیة و عدمها، و لکن الخمر لمیعانها لا یمکن الإصابة فیها إلاّ بالتعدیة، فیکون الإصابة بالنسبة إلیها إصابة متعدّیة، بخلاف الإصابة فی لحم الخنزیر، فإنّ التعدیة غیر لازمة فیه بل الغالب عدمها، فالجواب عن ذلک بترک الصلاة علی وجه الإطلاق لابدّ أن یکون عمّا لایختلف فیه طریق الإصابة و تکون الإصابة فیه سبباً للتعدیة ، و هذا لا یکون إلاّ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السؤال مشتمل إلی ما هو الصریح فی ذلک من وجهین ـ و هو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أصحابنا قد اختلفوا فیه،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فإنّ اللّه تعالی حرّم شربها،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شربها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 أصحابنا إختلفوا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إختلاف الأصحاب لایکون إلاّ فی الخمر و إلاّ فلحم الخنزیر نجس بلا خلاف، و حینئذ تمّ الإستدلال بهذا الخبر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ولیعلم أنّ هذه الروایة مرویّة فی الکتب الثلاثة الکافی، والتهذیب، والإستبصار، أمّا فی الکافی، ففی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یصلّی فی الثوب و هو غیر طاهر، و هی علی ما ذکرناه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أصحابنا قد إختلفوا فیه فقال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فإنّ اللّه إنّما حرّم شربها، و قال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فیه فإنّه رجس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bookmarkStart w:id="158" w:name="pg3696_43353"/>
    </w:p>
    <w:p>
      <w:pPr>
        <w:pStyle w:val="BookText"/>
        <w:rPr/>
      </w:pPr>
      <w:bookmarkEnd w:id="158"/>
      <w:r>
        <w:rPr>
          <w:rFonts w:ascii="IRNazanin" w:hAnsi="IRNazanin" w:eastAsia="IRNazanin"/>
          <w:color w:val="111111"/>
          <w:sz w:val="28"/>
          <w:sz w:val="28"/>
          <w:szCs w:val="28"/>
          <w:rtl w:val="true"/>
          <w:lang w:bidi="fa-IR"/>
        </w:rPr>
        <w:t xml:space="preserve">و أمّا فی التهذیب فقد رواه فی موضعین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یجوز الصلاة فیه من اللباس و المکان و ما لا یجوز من الزیادات، و هو کالکافی من إشتماله علی القول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قول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والخمر و نبیذ التمر و کلّ مسکر نجس إذا أصاب ثوب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الرجل أسأله عن الثوب یصیبه الخمر ولحم الخنزیر أَیصلّی فیه أم لا ؟ فإنّ أصحابنا قد إختلفوا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فکتب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لاتصلّ فیه فإنّه رجس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ورواه فی الإستبصار فی باب الخمر یصیب الثوب أو النبیذ المسکر، هکذا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وما ذکرناه من أحد الوجهین، إنّما یتمّ إذا کان الروایة علی ما فی الکافی وأحد موضعی التهذیب، والأمر ظاهر لا یخفی ؛ و لا سیّما بعد الإقتران بفهم الأصحاب منها ما ذکرناه من کون النظر فی الجواب ، بل السؤال ، إلی خصوص الخمر </w:t>
      </w:r>
      <w:r>
        <w:rPr>
          <w:rFonts w:eastAsia="IRNazanin" w:cs="IRNazanin"/>
          <w:color w:val="111111"/>
          <w:sz w:val="28"/>
          <w:szCs w:val="28"/>
          <w:rtl w:val="true"/>
          <w:lang w:bidi="fa-IR"/>
        </w:rPr>
        <w:t>.</w:t>
      </w:r>
    </w:p>
    <w:p>
      <w:pPr>
        <w:pStyle w:val="Heading6"/>
        <w:numPr>
          <w:ilvl w:val="5"/>
          <w:numId w:val="1"/>
        </w:numPr>
        <w:rPr/>
      </w:pPr>
      <w:bookmarkStart w:id="159" w:name="__RefHeading___Toc488331_2281741623"/>
      <w:bookmarkStart w:id="160" w:name="_Toc59"/>
      <w:bookmarkEnd w:id="159"/>
      <w:r>
        <w:rPr>
          <w:rtl w:val="true"/>
        </w:rPr>
        <w:t xml:space="preserve">و منها </w:t>
      </w:r>
      <w:r>
        <w:rPr>
          <w:rtl w:val="true"/>
        </w:rPr>
        <w:t xml:space="preserve">: </w:t>
      </w:r>
      <w:r>
        <w:rPr>
          <w:rtl w:val="true"/>
        </w:rPr>
        <w:t>الخبر المرویّ عن عمّار بن موسی</w:t>
      </w:r>
      <w:bookmarkEnd w:id="160"/>
    </w:p>
    <w:p>
      <w:pPr>
        <w:pStyle w:val="Heading6"/>
        <w:numPr>
          <w:ilvl w:val="5"/>
          <w:numId w:val="1"/>
        </w:numPr>
        <w:rPr/>
      </w:pPr>
      <w:bookmarkStart w:id="161" w:name="__RefHeading___Toc488333_2281741623"/>
      <w:bookmarkStart w:id="162" w:name="_Toc60"/>
      <w:bookmarkEnd w:id="161"/>
      <w:r>
        <w:rPr>
          <w:rtl w:val="true"/>
        </w:rPr>
        <w:t>اشارة</w:t>
      </w:r>
      <w:bookmarkEnd w:id="162"/>
    </w:p>
    <w:p>
      <w:p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التهذیب فی شرح عبارة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أوانی الخمر والأشربة المسکرة کلّها 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محمّد بن یحیی، عن محمّد بن أحمد، عن أحمد بن الحسن، عن عمرو بن سعید، عن مصدّق بن صدقة، عن عمّار بن موسی،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الدن یکون فیه الخمر، هل یصلح أن یکون فیه الخلّ أو ماء کامخ </w:t>
      </w:r>
      <w:r>
        <w:rPr>
          <w:rStyle w:val="FootnoteAnchor"/>
          <w:rtl w:val="true"/>
        </w:rPr>
        <w:footnoteReference w:id="302"/>
      </w:r>
      <w:r>
        <w:rPr>
          <w:rFonts w:ascii="IRNazanin" w:hAnsi="IRNazanin" w:eastAsia="IRNazanin"/>
          <w:color w:val="111111"/>
          <w:sz w:val="28"/>
          <w:sz w:val="28"/>
          <w:szCs w:val="28"/>
          <w:rtl w:val="true"/>
          <w:lang w:bidi="fa-IR"/>
        </w:rPr>
        <w:t xml:space="preserve">أو زیتون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الإبریق و غیره یکون فیه خمر ، أیصلح أن یکون فیه ماء ؟ قال علیه‌السلام </w:t>
      </w:r>
      <w:r>
        <w:rPr>
          <w:rFonts w:eastAsia="IRNazanin" w:cs="IRNazanin"/>
          <w:color w:val="111111"/>
          <w:sz w:val="28"/>
          <w:szCs w:val="28"/>
          <w:rtl w:val="true"/>
          <w:lang w:bidi="fa-IR"/>
        </w:rPr>
        <w:t xml:space="preserve">: </w:t>
      </w:r>
      <w:bookmarkStart w:id="163" w:name="pg3696_43354"/>
    </w:p>
    <w:p>
      <w:pPr>
        <w:pStyle w:val="BookText"/>
        <w:rPr/>
      </w:pPr>
      <w:bookmarkEnd w:id="163"/>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قدح أو إناء یشرب فیه الخمر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تغسله ثلاث مرّات، سئل أیجزیه أن یصیب فیه الماء ؟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فیه فی التهذیب، فی باب الأطعمة أیضا بالاسناد المذکور، و لم یذکر فیه فی صدر السند محمّد بن یحیی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یحیی، إلی آخره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الکافی أیضا فی باب الأمانی، عن محمّد بن یحیی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والکلام فیه فی السند والدلالة </w:t>
      </w:r>
      <w:r>
        <w:rPr>
          <w:rFonts w:eastAsia="IRNazanin" w:cs="IRNazanin"/>
          <w:color w:val="111111"/>
          <w:sz w:val="28"/>
          <w:szCs w:val="28"/>
          <w:rtl w:val="true"/>
          <w:lang w:bidi="fa-IR"/>
        </w:rPr>
        <w:t>.</w:t>
      </w:r>
    </w:p>
    <w:p>
      <w:pPr>
        <w:pStyle w:val="Heading6"/>
        <w:numPr>
          <w:ilvl w:val="5"/>
          <w:numId w:val="1"/>
        </w:numPr>
        <w:rPr/>
      </w:pPr>
      <w:bookmarkStart w:id="164" w:name="__RefHeading___Toc488335_2281741623"/>
      <w:bookmarkStart w:id="165" w:name="_Toc61"/>
      <w:bookmarkEnd w:id="164"/>
      <w:r>
        <w:rPr>
          <w:rtl w:val="true"/>
        </w:rPr>
        <w:t xml:space="preserve">الکلام فی سند الحدیث </w:t>
      </w:r>
      <w:r>
        <w:rPr>
          <w:rtl w:val="true"/>
        </w:rPr>
        <w:t>:</w:t>
      </w:r>
      <w:bookmarkEnd w:id="165"/>
    </w:p>
    <w:p>
      <w:pPr>
        <w:pStyle w:val="BookText"/>
        <w:rPr/>
      </w:pPr>
      <w:r>
        <w:rPr>
          <w:rFonts w:ascii="IRNazanin" w:hAnsi="IRNazanin" w:eastAsia="IRNazanin"/>
          <w:color w:val="111111"/>
          <w:sz w:val="28"/>
          <w:sz w:val="28"/>
          <w:szCs w:val="28"/>
          <w:rtl w:val="true"/>
          <w:lang w:bidi="fa-IR"/>
        </w:rPr>
        <w:t xml:space="preserve">أمّا الکلام فی الأوّل،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إشتمل السند علی أشخاص عدیدة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یحیی ؛ و هو محمّد بن یحیی أبوجعفر العطّار الّذی صرّح فی رجال النجاشی والخلاصة أنّه ثقة، عین، کثیر الحدیث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الکشی، فی باب من لم 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روی عنه الکلینیّ، کثیر الروایة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ثانیهم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یحیی ؛ و هو محمّد بن أحمد بن یحیی بن عمران بن عبداللّه بن سعد بن مالک الأشعریّ القمّی الّذی تعرّضنا لتحقیق حاله فی أوائل الکتاب، و هو ثقة، جلیل القدر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 و لعلّه أحمد بن الحسن بن علیّ بن محمّد بن فضّال الکوفی، و هو ثقة فی الحدیث کما فی الفهرست والخلاصة </w:t>
      </w:r>
      <w:r>
        <w:rPr>
          <w:rStyle w:val="FootnoteAnchor"/>
          <w:rtl w:val="true"/>
        </w:rPr>
        <w:footnoteReference w:id="308"/>
      </w:r>
      <w:r>
        <w:rPr>
          <w:rFonts w:ascii="IRNazanin" w:hAnsi="IRNazanin" w:eastAsia="IRNazanin"/>
          <w:color w:val="111111"/>
          <w:sz w:val="28"/>
          <w:sz w:val="28"/>
          <w:szCs w:val="28"/>
          <w:rtl w:val="true"/>
          <w:lang w:bidi="fa-IR"/>
        </w:rPr>
        <w:t xml:space="preserve">، و إن کان فطحیّا کما فیهما و فی غیرهما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رجال الکشّی فی ترجمة عبداللّه بن بکیر بن أعین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بکیر و جماعة من الفطحیّة هم فقهاء أصحابنا، منهم إبن بکیر، وإبن فضّال یعنی الحسن بن علیّ، و عمّار الساباطیّ، و علیّ بن أسباط، وبنوالحسن بن علیّ بن فضّال، علیّ و أخواه، و یونس بن یعقوب، و معاویة بن حکیم، و عدّة من أجلّة الفقهاء العلماء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رابعهم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سعید الزیّات المداینی ؛ و هو ثقة کما فی رجال النجاشی والخلاصة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فطحیّ کما فی رجال الکشّی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 بن الصباح عمرو بن سعید فطحیّ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خامسهم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بن صدقة ؛ و هو أیضا ثقة و إن کان یظهر منهم کونه فطحیّا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بن صدقة، و معاویة بن حکیم، و محمّد بن الولید الخزاز، و محمّد بن سالم بن عبدالحمید، هؤلاء کلّهم فطحیّة و هم من أجلّة العلماء والفقهاء والعدول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سادسهم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بن موسی الساباطیّ ؛ و هو أیضا ثقة، کما فی رجال النجاشی والخلاصة، و إن کان فطحیّا کما فی رجال الکشّی والفهرست 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کبیر، جیّد، معتمد، کما فی الفهرست والخلاصة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یظهر من الإستبصار، فی باب السهو فی صلاة المغرب، ضعفه حیث أنّه بعد أن ذکر الخبرین الدالّین علی أنّ من شکّ فی المغرب فلم یدر إثنین صلّی أم ثلاثاً، صحّ صلاته، یتشهّد و یسلّم ثمّ یصلّی رکعة،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فیهما واحد و هو عمّار الساباطیّ ، و هو ضعیف ، فاسد المذهب ، لا یعمل علی ما یختصّ بروایته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انّ المنشأ فی ذلک فساد مذهبه کما یرشد إلیه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فاسد المذهب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 هو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هو الداعی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یختصّ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کما ستعرف </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یظهر انّه تابع بعضاً من أهل النقل فی ذلک کما یظهر من کلامه فی التهذیب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ذکره فی الإستبصار ینافی کلامه فی مواضع آخر، قال فی التهذیب فی باب بیع الواحد بالإثنین ، بعد ذکر 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الأخبار أربعة ، منها الأصل فیها عمّار بن موسی الساباطیّ و هو واحد، و قد ضعّفه جماعة من أهل النقل، و ذکروا أنّ ما ینفرد بنقله لا یعمل به لأنّه کان فطحیّا، غیر أنّا لا نطعن علیه بهذه الطریقة لأنّه و إن کان کذلک فهو ثقة فی النقل، لایطعن علیه فیه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عن الشیخ فی مواضع من کتبه أنّ الإمامیّة مجتمعة علی العمل بما یرویه السکونی و عمّار و مَن ماثلهما من الثقات </w:t>
      </w:r>
      <w:r>
        <w:rPr>
          <w:rStyle w:val="FootnoteAnchor"/>
          <w:rtl w:val="true"/>
        </w:rPr>
        <w:footnoteReference w:id="3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فی عدّته نقل إجماع الشیعة علی العمل بروایته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المفید فی رسالته فی الردّ علی أصحاب العدد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رواة الحدیث بأنّ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شهور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تسعة و عشرین یوماً و یکون ثلاثین، فهم فقهاء أصحاب أبی جعفر محمّد بن علیّ علیهماالسلام ، و أبی عبداللّه جعفر بن محمّد علیهماالسلام ، والأعلام والرؤساء المأخوذ عنهم الحلال والحرام والفتیا والأحکام، الّذین لا یطعن علیهم، و لا طریق إلی ذمّ واحد منهم، و هم أصحاب الأصول المدوّنة والمصنّفات المشهورة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أن شرع فی ذکرهم و ذکر روایاتهم والرواة الّذین ذکر الروایات عنهم أشخاص منهم عمّار الساباطیّ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ظهر لک من الکشّی ذلک أیضاً </w:t>
      </w:r>
      <w:r>
        <w:rPr>
          <w:rFonts w:eastAsia="IRNazanin" w:cs="IRNazanin"/>
          <w:color w:val="111111"/>
          <w:sz w:val="28"/>
          <w:szCs w:val="28"/>
          <w:rtl w:val="true"/>
          <w:lang w:bidi="fa-IR"/>
        </w:rPr>
        <w:t xml:space="preserve">. </w:t>
      </w:r>
      <w:bookmarkStart w:id="166" w:name="pg3696_43358"/>
    </w:p>
    <w:p>
      <w:pPr>
        <w:pStyle w:val="BookText"/>
        <w:rPr/>
      </w:pPr>
      <w:bookmarkEnd w:id="166"/>
      <w:r>
        <w:rPr>
          <w:rFonts w:ascii="IRNazanin" w:hAnsi="IRNazanin" w:eastAsia="IRNazanin"/>
          <w:color w:val="111111"/>
          <w:sz w:val="28"/>
          <w:sz w:val="28"/>
          <w:szCs w:val="28"/>
          <w:rtl w:val="true"/>
          <w:lang w:bidi="fa-IR"/>
        </w:rPr>
        <w:t xml:space="preserve">فقد ظهر لک ممّا مرّ أنّ ما ذکره من الطعن فیه بأنّه ضعیف، فاسد المذهب، لایعمل بما یختصّ بروایته، لیس إلاّ لأجل ما ذکر جماعة من أهل النقل، و إنّما قالوا ذلک من الضعف و عدم العمل بما یختصّ بروایته لأجل کونه فطحیّا کما ظهر من کلامه فی التهذیب، و حیث أنّ الفطحیّة لیست قادحة فی وثاقة الرجل بعد التصریح بالوثاقة من الأجلاّء کالمفید والنجاشی والعلاّمة، کان الظاهر حجّیة قوله، و لاسیّما بعد أن صرّح الشیخ فی الفهرست بأنّ کتابه معتمد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الروایة الّتی نحن فیها ، لیست ممّا اختصّ عمّار بروایته کماعرفت و تعرفه إن شاء اللّه تعالی، فالخبر موثّق معتبر فی أعلی درجة الإعتبار </w:t>
      </w:r>
      <w:r>
        <w:rPr>
          <w:rFonts w:eastAsia="IRNazanin" w:cs="IRNazanin"/>
          <w:color w:val="111111"/>
          <w:sz w:val="28"/>
          <w:szCs w:val="28"/>
          <w:rtl w:val="true"/>
          <w:lang w:bidi="fa-IR"/>
        </w:rPr>
        <w:t>.</w:t>
      </w:r>
    </w:p>
    <w:p>
      <w:pPr>
        <w:pStyle w:val="Heading6"/>
        <w:numPr>
          <w:ilvl w:val="5"/>
          <w:numId w:val="1"/>
        </w:numPr>
        <w:rPr/>
      </w:pPr>
      <w:bookmarkStart w:id="167" w:name="__RefHeading___Toc488337_2281741623"/>
      <w:bookmarkStart w:id="168" w:name="_Toc62"/>
      <w:bookmarkEnd w:id="167"/>
      <w:r>
        <w:rPr>
          <w:rtl w:val="true"/>
        </w:rPr>
        <w:t xml:space="preserve">الکلام فی دلالة الحدیث </w:t>
      </w:r>
      <w:r>
        <w:rPr>
          <w:rtl w:val="true"/>
        </w:rPr>
        <w:t>:</w:t>
      </w:r>
      <w:bookmarkEnd w:id="168"/>
    </w:p>
    <w:p>
      <w:pPr>
        <w:pStyle w:val="BookText"/>
        <w:rPr/>
      </w:pPr>
      <w:r>
        <w:rPr>
          <w:rFonts w:ascii="IRNazanin" w:hAnsi="IRNazanin" w:eastAsia="IRNazanin"/>
          <w:color w:val="111111"/>
          <w:sz w:val="28"/>
          <w:sz w:val="28"/>
          <w:szCs w:val="28"/>
          <w:rtl w:val="true"/>
          <w:lang w:bidi="fa-IR"/>
        </w:rPr>
        <w:t xml:space="preserve">و أمّا دلالة الخبر علی نجاسة الخمر، فظاهرة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المفهوم من قوله علیه‌السلام فی موضعین من الخبر أنّه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غسل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المفهوم منه وجود البأس مع عدم الغسل، و لیس إلاّ لنجاسته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عن القدح أو الإناء الّذی یشرب فیه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یجزیه حتّی یدلکه بیده و یغسله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السؤال عن أنّه یجزیه صبّ الماء أم لا ؟</w:t>
      </w:r>
    </w:p>
    <w:p>
      <w:pPr>
        <w:pStyle w:val="Heading6"/>
        <w:numPr>
          <w:ilvl w:val="5"/>
          <w:numId w:val="1"/>
        </w:numPr>
        <w:rPr/>
      </w:pPr>
      <w:bookmarkStart w:id="169" w:name="__RefHeading___Toc488339_2281741623"/>
      <w:bookmarkStart w:id="170" w:name="_Toc63"/>
      <w:bookmarkEnd w:id="169"/>
      <w:r>
        <w:rPr>
          <w:rtl w:val="true"/>
        </w:rPr>
        <w:t xml:space="preserve">و منها </w:t>
      </w:r>
      <w:r>
        <w:rPr>
          <w:rtl w:val="true"/>
        </w:rPr>
        <w:t xml:space="preserve">: </w:t>
      </w:r>
      <w:r>
        <w:rPr>
          <w:rtl w:val="true"/>
        </w:rPr>
        <w:t>ما رواه فی الإستبصار</w:t>
      </w:r>
      <w:bookmarkEnd w:id="170"/>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الإستبصار فی باب الخمر یصیب الثوب بالسند السابق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 فی بیت فیه خمر و لا مسکر، لأنّ الملائکة </w:t>
      </w:r>
      <w:bookmarkStart w:id="171" w:name="pg3696_43359"/>
    </w:p>
    <w:p>
      <w:pPr>
        <w:pStyle w:val="BookText"/>
        <w:rPr/>
      </w:pPr>
      <w:bookmarkEnd w:id="171"/>
      <w:r>
        <w:rPr>
          <w:rFonts w:ascii="IRNazanin" w:hAnsi="IRNazanin" w:eastAsia="IRNazanin"/>
          <w:color w:val="111111"/>
          <w:sz w:val="28"/>
          <w:sz w:val="28"/>
          <w:szCs w:val="28"/>
          <w:rtl w:val="true"/>
          <w:lang w:bidi="fa-IR"/>
        </w:rPr>
        <w:t xml:space="preserve">لاتدخله، و لا تصلّ فی ثوب أصابه خمر أو مسکر حتّی یغسل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التهذیب فی باب الأطعمة بالاسناد المذکور مع زیادة، قال بعد ذکر الخبر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عن عمّار بن موسی، عن أبی عبداللّه علیه‌السلام فی الإناء یشرب منه النبیذ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 سبع مرّات و کذلک الکلب ؛ و عن الرجل أصابه عطش حتّی خاف علی نفسه فأصاب خمراً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منه قوته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وسئل عن‌المائدة إذا شرب علیها الخمر المسکر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المائدة، وسئل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قام رجل علی مائدة منصوبة یؤکل ممّا علیها و مع الرجل مسکر لم یسق أحداً ممّن علیها بعد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حتّی یشرب علیها و أن یرجع بعد ما یشرب فالوذج فکُل فإنّها مائدة أخری، یعنی کُل الفالوذج، و لا تصلّ فی بیت فیه خمر ولا مسکر، لأنّ الملائکة لا یدخله، و لا تصلّ فی ثوب أصابه خمر أو مسکر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شرح قول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والخمر و نبیذ التمر و کلّ مسکر نجس </w:t>
      </w:r>
      <w:r>
        <w:rPr>
          <w:rFonts w:eastAsia="IRNazanin" w:cs="IRNazanin"/>
          <w:color w:val="111111"/>
          <w:sz w:val="28"/>
          <w:szCs w:val="28"/>
          <w:rtl w:val="true"/>
          <w:lang w:bidi="fa-IR"/>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الموثّق کالسابق، ظاهر الدلالة علی المطلوب کما لا یخفی </w:t>
      </w:r>
      <w:r>
        <w:rPr>
          <w:rFonts w:eastAsia="IRNazanin" w:cs="IRNazanin"/>
          <w:color w:val="111111"/>
          <w:sz w:val="28"/>
          <w:szCs w:val="28"/>
          <w:rtl w:val="true"/>
          <w:lang w:bidi="fa-IR"/>
        </w:rPr>
        <w:t>.</w:t>
      </w:r>
    </w:p>
    <w:p>
      <w:pPr>
        <w:pStyle w:val="Heading6"/>
        <w:numPr>
          <w:ilvl w:val="5"/>
          <w:numId w:val="1"/>
        </w:numPr>
        <w:rPr/>
      </w:pPr>
      <w:bookmarkStart w:id="172" w:name="__RefHeading___Toc488341_2281741623"/>
      <w:bookmarkStart w:id="173" w:name="_Toc64"/>
      <w:bookmarkEnd w:id="172"/>
      <w:r>
        <w:rPr>
          <w:rtl w:val="true"/>
        </w:rPr>
        <w:t xml:space="preserve">و منها </w:t>
      </w:r>
      <w:r>
        <w:rPr>
          <w:rtl w:val="true"/>
        </w:rPr>
        <w:t xml:space="preserve">: </w:t>
      </w:r>
      <w:r>
        <w:rPr>
          <w:rtl w:val="true"/>
        </w:rPr>
        <w:t>ما رواه فی الکافی</w:t>
      </w:r>
      <w:bookmarkEnd w:id="173"/>
    </w:p>
    <w:p>
      <w:pPr>
        <w:pStyle w:val="Heading6"/>
        <w:numPr>
          <w:ilvl w:val="5"/>
          <w:numId w:val="1"/>
        </w:numPr>
        <w:rPr/>
      </w:pPr>
      <w:bookmarkStart w:id="174" w:name="__RefHeading___Toc488343_2281741623"/>
      <w:bookmarkStart w:id="175" w:name="_Toc65"/>
      <w:bookmarkEnd w:id="174"/>
      <w:r>
        <w:rPr>
          <w:rtl w:val="true"/>
        </w:rPr>
        <w:t>اشارة</w:t>
      </w:r>
      <w:bookmarkEnd w:id="17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فیالکافی فی باب الرجل یصلّی فیالثوب وهو غیر طاهر </w:t>
      </w:r>
      <w:r>
        <w:rPr>
          <w:rStyle w:val="FootnoteAnchor"/>
          <w:rtl w:val="true"/>
        </w:rPr>
        <w:footnoteReference w:id="324"/>
      </w:r>
      <w:r>
        <w:rPr>
          <w:rFonts w:ascii="IRNazanin" w:hAnsi="IRNazanin" w:eastAsia="IRNazanin"/>
          <w:color w:val="111111"/>
          <w:sz w:val="28"/>
          <w:sz w:val="28"/>
          <w:szCs w:val="28"/>
          <w:rtl w:val="true"/>
          <w:lang w:bidi="fa-IR"/>
        </w:rPr>
        <w:t xml:space="preserve">، وفی التهذیب فی الباب المذکور فی شرح العبارة المذکورة </w:t>
      </w:r>
      <w:r>
        <w:rPr>
          <w:rStyle w:val="FootnoteAnchor"/>
          <w:rtl w:val="true"/>
        </w:rPr>
        <w:footnoteReference w:id="325"/>
      </w:r>
      <w:r>
        <w:rPr>
          <w:rFonts w:ascii="IRNazanin" w:hAnsi="IRNazanin" w:eastAsia="IRNazanin"/>
          <w:color w:val="111111"/>
          <w:sz w:val="28"/>
          <w:sz w:val="28"/>
          <w:szCs w:val="28"/>
          <w:rtl w:val="true"/>
          <w:lang w:bidi="fa-IR"/>
        </w:rPr>
        <w:t xml:space="preserve">، و فی الإستبصار فی الباب المذکور و هو باب ما یصیب الثوب، عن علیّ بن إبراهیم، عن محمّد بن عیسی، عن یونس، عن بعض من رواه،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w:t>
      </w:r>
      <w:bookmarkStart w:id="176" w:name="pg3696_43360"/>
    </w:p>
    <w:p>
      <w:pPr>
        <w:pStyle w:val="BookText"/>
        <w:rPr/>
      </w:pPr>
      <w:bookmarkEnd w:id="176"/>
      <w:r>
        <w:rPr>
          <w:rFonts w:ascii="IRNazanin" w:hAnsi="IRNazanin" w:eastAsia="IRNazanin"/>
          <w:color w:val="111111"/>
          <w:sz w:val="28"/>
          <w:sz w:val="28"/>
          <w:szCs w:val="28"/>
          <w:rtl w:val="true"/>
          <w:lang w:bidi="fa-IR"/>
        </w:rPr>
        <w:t xml:space="preserve">خمر أو نبیذ مسکر فاغسله إن عرفت موضعه، و إن لم‌تعرف موضعه فاغسله کلّه، فإن صلّیت فیه فأعد صلاتک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77" w:name="__RefHeading___Toc488345_2281741623"/>
      <w:bookmarkStart w:id="178" w:name="_Toc66"/>
      <w:bookmarkEnd w:id="177"/>
      <w:r>
        <w:rPr>
          <w:rtl w:val="true"/>
        </w:rPr>
        <w:t xml:space="preserve">الکلام فی سند الحدیث </w:t>
      </w:r>
      <w:r>
        <w:rPr>
          <w:rtl w:val="true"/>
        </w:rPr>
        <w:t>:</w:t>
      </w:r>
      <w:bookmarkEnd w:id="178"/>
    </w:p>
    <w:p>
      <w:pPr>
        <w:pStyle w:val="BookText"/>
        <w:rPr/>
      </w:pPr>
      <w:r>
        <w:rPr>
          <w:rFonts w:ascii="IRNazanin" w:hAnsi="IRNazanin" w:eastAsia="IRNazanin"/>
          <w:color w:val="111111"/>
          <w:sz w:val="28"/>
          <w:sz w:val="28"/>
          <w:szCs w:val="28"/>
          <w:rtl w:val="true"/>
          <w:lang w:bidi="fa-IR"/>
        </w:rPr>
        <w:t xml:space="preserve">والسند من الشیخ إلی علیّ صحیح کما لا یخفی ، و علیّ بن إبراهیم أیضا واضح الأمر والوثاقة والجلالة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محمّد بن عیسی، فهو العبیدی، و قد حرّرنا فی أوائل الکتاب أو فی موضع آخر منه فیه، و رجّحنا وثاقته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یونس، فهو یونس بن عبدالرّحمن الّذی قال الفضل بن شاذان فی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 نشأ فی الإسلام رجل من سائر الناس کان أفقه من سلمان الفارسیّ، و لا نشأ رجل بعده أفقه من یونس بن عبدالرّحمن رحمه‌الله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والتقطه الفضل هذا من کلام الرضا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یونس فی زمانه کسلمان الفارسیّ فی زمانه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الّذی قال عبدالعزیز بن المهتدی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خیر قمی رأیته، و کان وکیل الرضا علیه‌السلام و خاصّته،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سألت الرضا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لا ألقاک فی کلّ وقت فممّن آخذ معالم دینی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عن یونس بن عبدالرّحمن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179" w:name="pg3696_43361"/>
    </w:p>
    <w:p>
      <w:pPr>
        <w:pStyle w:val="BookText"/>
        <w:rPr/>
      </w:pPr>
      <w:bookmarkEnd w:id="179"/>
      <w:r>
        <w:rPr>
          <w:rFonts w:ascii="IRNazanin" w:hAnsi="IRNazanin" w:eastAsia="IRNazanin"/>
          <w:color w:val="111111"/>
          <w:sz w:val="28"/>
          <w:sz w:val="28"/>
          <w:szCs w:val="28"/>
          <w:rtl w:val="true"/>
          <w:lang w:bidi="fa-IR"/>
        </w:rPr>
        <w:t xml:space="preserve">وبالجملة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جلالته ظاهرة باهرة، و وثاقته جلیّة غیر خفیّة، و قد شرحنا المقال فی وصفه أوائل الکتاب، و دفعنا ما قیل فیه و بعض الأخبار الواردة فیه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فمثل هذا الرجل العظیم القدر لا یروی إلاّ من مثل الثقة المعتمد، فهذه الروایة وما ضاهاها لا ینبغی جعلها من المراسیل ، بل الأولی عدّها من الصحاح أو کالصحاح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کونه من أصحاب الإجماع، کما ذکره الکشّی فی باب تسمیة الفقهاء من أصحاب الکاظم والرضا علیهماالسلام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0" w:name="__RefHeading___Toc488347_2281741623"/>
      <w:bookmarkStart w:id="181" w:name="_Toc67"/>
      <w:bookmarkEnd w:id="180"/>
      <w:r>
        <w:rPr>
          <w:rtl w:val="true"/>
        </w:rPr>
        <w:t xml:space="preserve">و منها </w:t>
      </w:r>
      <w:r>
        <w:rPr>
          <w:rtl w:val="true"/>
        </w:rPr>
        <w:t xml:space="preserve">: </w:t>
      </w:r>
      <w:r>
        <w:rPr>
          <w:rtl w:val="true"/>
        </w:rPr>
        <w:t>الخبر الوارد فی الفقّاع</w:t>
      </w:r>
      <w:bookmarkEnd w:id="181"/>
    </w:p>
    <w:p>
      <w:pPr>
        <w:pStyle w:val="Heading6"/>
        <w:numPr>
          <w:ilvl w:val="5"/>
          <w:numId w:val="1"/>
        </w:numPr>
        <w:rPr/>
      </w:pPr>
      <w:bookmarkStart w:id="182" w:name="__RefHeading___Toc488349_2281741623"/>
      <w:bookmarkStart w:id="183" w:name="_Toc68"/>
      <w:bookmarkEnd w:id="182"/>
      <w:r>
        <w:rPr>
          <w:rtl w:val="true"/>
        </w:rPr>
        <w:t>اشارة</w:t>
      </w:r>
      <w:bookmarkEnd w:id="183"/>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الآتی الوارد فی الفقّاع فإنّ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هشام بن حکم أنّه سأل أبا عبداللّه علیه‌السلام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فإنّه خمر مجهول، فإذا أصاب ثوبک فاغسله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488351_2281741623"/>
      <w:bookmarkStart w:id="185" w:name="_Toc69"/>
      <w:bookmarkEnd w:id="184"/>
      <w:r>
        <w:rPr>
          <w:rtl w:val="true"/>
        </w:rPr>
        <w:t>وجه الإستدلال به</w:t>
      </w:r>
      <w:bookmarkEnd w:id="185"/>
    </w:p>
    <w:p>
      <w:pPr>
        <w:pStyle w:val="BookText"/>
        <w:rPr/>
      </w:pPr>
      <w:r>
        <w:rPr>
          <w:rFonts w:ascii="IRNazanin" w:hAnsi="IRNazanin" w:eastAsia="IRNazanin"/>
          <w:color w:val="111111"/>
          <w:sz w:val="28"/>
          <w:sz w:val="28"/>
          <w:szCs w:val="28"/>
          <w:rtl w:val="true"/>
          <w:lang w:bidi="fa-IR"/>
        </w:rPr>
        <w:t xml:space="preserve">و وجه الإستدلال به، مضافاً إلی ما مرّ، أنّ تفریع حکم الغسل بکونه خمراً یدلّ بأحسن الدلالة و أبینها علی نجاسة الخمر بطریق أولی </w:t>
      </w:r>
      <w:r>
        <w:rPr>
          <w:rFonts w:eastAsia="IRNazanin" w:cs="IRNazanin"/>
          <w:color w:val="111111"/>
          <w:sz w:val="28"/>
          <w:szCs w:val="28"/>
          <w:rtl w:val="true"/>
          <w:lang w:bidi="fa-IR"/>
        </w:rPr>
        <w:t>.</w:t>
      </w:r>
    </w:p>
    <w:p>
      <w:pPr>
        <w:pStyle w:val="Heading6"/>
        <w:numPr>
          <w:ilvl w:val="5"/>
          <w:numId w:val="1"/>
        </w:numPr>
        <w:rPr/>
      </w:pPr>
      <w:bookmarkStart w:id="186" w:name="__RefHeading___Toc488353_2281741623"/>
      <w:bookmarkStart w:id="187" w:name="_Toc70"/>
      <w:bookmarkEnd w:id="186"/>
      <w:r>
        <w:rPr>
          <w:rtl w:val="true"/>
        </w:rPr>
        <w:t xml:space="preserve">و منها </w:t>
      </w:r>
      <w:r>
        <w:rPr>
          <w:rtl w:val="true"/>
        </w:rPr>
        <w:t xml:space="preserve">: </w:t>
      </w:r>
      <w:r>
        <w:rPr>
          <w:rtl w:val="true"/>
        </w:rPr>
        <w:t>ما رواه فی التهذیب عن زکریّا بن آدم</w:t>
      </w:r>
      <w:bookmarkEnd w:id="187"/>
    </w:p>
    <w:p>
      <w:pPr>
        <w:pStyle w:val="Heading6"/>
        <w:numPr>
          <w:ilvl w:val="5"/>
          <w:numId w:val="1"/>
        </w:numPr>
        <w:rPr/>
      </w:pPr>
      <w:bookmarkStart w:id="188" w:name="__RefHeading___Toc488355_2281741623"/>
      <w:bookmarkStart w:id="189" w:name="_Toc71"/>
      <w:bookmarkEnd w:id="188"/>
      <w:r>
        <w:rPr>
          <w:rtl w:val="true"/>
        </w:rPr>
        <w:t>اشارة</w:t>
      </w:r>
      <w:bookmarkEnd w:id="18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الباب المذکور، فی شرح العبارة المذکورة، بوثاقة رجاله سوی الحسین بن مبارک، و هو لم‌یصرّح فیه بوثاقته، و قد ذکروا أنّه صاحب کتاب روی عنه البرقی، عن زکریّا بن آدم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علیه‌السلام عن قطرة خمر أو نبیذ مسکر قطرت فی قدر فیه لحم کثیر و مرق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یهراق المرق أو یطعمه أهل الذمّة أو الکلب، واللحم إغسله و کُلْه </w:t>
      </w:r>
      <w:r>
        <w:rPr>
          <w:rFonts w:eastAsia="IRNazanin" w:cs="IRNazanin"/>
          <w:color w:val="111111"/>
          <w:sz w:val="28"/>
          <w:szCs w:val="28"/>
          <w:rtl w:val="true"/>
          <w:lang w:bidi="fa-IR"/>
        </w:rPr>
        <w:t xml:space="preserve">. </w:t>
      </w:r>
      <w:bookmarkStart w:id="190" w:name="pg3696_43362"/>
    </w:p>
    <w:p>
      <w:pPr>
        <w:pStyle w:val="BookText"/>
        <w:rPr/>
      </w:pPr>
      <w:bookmarkEnd w:id="190"/>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قطر فیه 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تأکله النار إن شاء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فخمر أو نبیذ قطر فی عجین أو دم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أبیعه من الیهود والنصاری وأبین لهم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فإنّهم یستحلّون 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هو بتلک المنزلة إذا قطر فی شیء من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أکره أن آکله إذا قطر فی شیء من طعامی هذه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1" w:name="__RefHeading___Toc488357_2281741623"/>
      <w:bookmarkStart w:id="192" w:name="_Toc72"/>
      <w:bookmarkEnd w:id="191"/>
      <w:r>
        <w:rPr>
          <w:rtl w:val="true"/>
        </w:rPr>
        <w:t xml:space="preserve">الکلام فی دلالة الحدیث </w:t>
      </w:r>
      <w:r>
        <w:rPr>
          <w:rtl w:val="true"/>
        </w:rPr>
        <w:t>:</w:t>
      </w:r>
      <w:bookmarkEnd w:id="192"/>
    </w:p>
    <w:p>
      <w:pPr>
        <w:pStyle w:val="BookText"/>
        <w:rPr/>
      </w:pPr>
      <w:r>
        <w:rPr>
          <w:rFonts w:ascii="IRNazanin" w:hAnsi="IRNazanin" w:eastAsia="IRNazanin"/>
          <w:color w:val="111111"/>
          <w:sz w:val="28"/>
          <w:sz w:val="28"/>
          <w:szCs w:val="28"/>
          <w:rtl w:val="true"/>
          <w:lang w:bidi="fa-IR"/>
        </w:rPr>
        <w:t xml:space="preserve">و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الروایة ضعیف الدلالة، لأنّ الأمر بإهراق المرق أو إطعامه أهل الذمّة والکلب لعلّه لمکان حرمة الخمر، و کذلک الحکم بالفساد فی العجین بالنسبة إلی الخمر کما ربما یشعر لذلک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فإنّهم یستحلّون 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انّ الإستدلال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واللحم فاغسله، لا 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یهراق المرق،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أن یکون الغسل لأجل ما علیه من ماء المرق المخلوط بالخمر أو النبیذ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بقاء الحرمة إذا کان الواقع قطرة من الخمر فی قدر کبیر فیه مرق کثیر لثبوت الإستهلاک حینئذ، فالمنع إنّما هو لمکان النجاسة لا الحرمة، وإن کان یمکن دفعه بأنّ الإستهلاک غیر مسلّم فی مثل القدر و لا سیّما بعد کثرة اللحم فیه کما یشهد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لحم کثیر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قطر فیه 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الدم تأکله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السؤال إنّما کان عن النجاسة لا عن الحرمة، و لولا إلاّ التقریر </w:t>
      </w:r>
      <w:bookmarkStart w:id="193" w:name="pg3696_43363"/>
    </w:p>
    <w:p>
      <w:pPr>
        <w:pStyle w:val="BookText"/>
        <w:rPr/>
      </w:pPr>
      <w:bookmarkEnd w:id="193"/>
      <w:r>
        <w:rPr>
          <w:rFonts w:ascii="IRNazanin" w:hAnsi="IRNazanin" w:eastAsia="IRNazanin"/>
          <w:color w:val="111111"/>
          <w:sz w:val="28"/>
          <w:sz w:val="28"/>
          <w:szCs w:val="28"/>
          <w:rtl w:val="true"/>
          <w:lang w:bidi="fa-IR"/>
        </w:rPr>
        <w:t xml:space="preserve">لکفی بعد ذکر ما مرّ ، مضافاً إلی فهم الأصحاب منه النجاسة لا الحرمة، صحّ الإستدلال به أیضا، مضافاً إلی ما یظهر منه من ذکرها والدم، و حملهما علی حدّ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الوارد فی الفقّاع</w:t>
      </w:r>
    </w:p>
    <w:p>
      <w:pPr>
        <w:pStyle w:val="Heading6"/>
        <w:numPr>
          <w:ilvl w:val="5"/>
          <w:numId w:val="1"/>
        </w:numPr>
        <w:rPr/>
      </w:pPr>
      <w:bookmarkStart w:id="194" w:name="__RefHeading___Toc488359_2281741623"/>
      <w:bookmarkStart w:id="195" w:name="_Toc73"/>
      <w:bookmarkEnd w:id="194"/>
      <w:r>
        <w:rPr>
          <w:rtl w:val="true"/>
        </w:rPr>
        <w:t xml:space="preserve">الإستدلال فی المقام بروایات أخر </w:t>
      </w:r>
      <w:r>
        <w:rPr>
          <w:rtl w:val="true"/>
        </w:rPr>
        <w:t>:</w:t>
      </w:r>
      <w:bookmarkEnd w:id="195"/>
    </w:p>
    <w:p>
      <w:pPr>
        <w:pStyle w:val="BookText"/>
        <w:rPr/>
      </w:pPr>
      <w:r>
        <w:rPr>
          <w:rFonts w:ascii="IRNazanin" w:hAnsi="IRNazanin" w:eastAsia="IRNazanin"/>
          <w:color w:val="111111"/>
          <w:sz w:val="28"/>
          <w:sz w:val="28"/>
          <w:szCs w:val="28"/>
          <w:rtl w:val="true"/>
          <w:lang w:bidi="fa-IR"/>
        </w:rPr>
        <w:t xml:space="preserve">و قد یستدلّ فی المقام بروایات أخر قاصرة عن الدلالة علی المطلوب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فی الباب المذکور، أی باب تطهیر الثیاب والبدن، فی شرح عبارة المقنعة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أوانی الخمر و الأشربة المسکرة کلّها نجسة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باسناده، بل بأسانیده، عن محمّد بن یعقوب، عن عدّة من أصحابنا، عن أحمد بن محمّد بن عیسی ، عن الحسین بن سعید ، عن فضالة بن أیّوب ، عن عمر بن أبان الکلبی، عن محمّد بن مسلم، عن أحدهما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نبیذ قد سکن غلیانه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صلی‌الله‌علیه‌و‌آله عن الدبّاء والمُزفّت و زدتم أنتم الغضار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والمزفّت </w:t>
      </w:r>
      <w:r>
        <w:rPr>
          <w:rStyle w:val="FootnoteAnchor"/>
          <w:rtl w:val="true"/>
        </w:rPr>
        <w:footnoteReference w:id="335"/>
      </w:r>
      <w:r>
        <w:rPr>
          <w:rFonts w:ascii="IRNazanin" w:hAnsi="IRNazanin" w:eastAsia="IRNazanin"/>
          <w:color w:val="111111"/>
          <w:sz w:val="28"/>
          <w:sz w:val="28"/>
          <w:szCs w:val="28"/>
          <w:rtl w:val="true"/>
          <w:lang w:bidi="fa-IR"/>
        </w:rPr>
        <w:t xml:space="preserve">یعنی الزفت الّذی یکون فی الزق و یصب فی الخوابی لیکون أجود للخمر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فیه أیضا فی باب الصید و الذباحة و الأطعمة ، باسناده عن الحسین بن سعید، عن فضالة بن أیّوب ، عن عمر بن أبان ، عن محمّد بن مسلم ، عن أحدهما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نبیذ سکن غلیانه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الظروف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صلی‌الله‌علیه‌و‌آله عن‌الدّباء والمزفت و زدتم أنتم الحنتم ، یعنی الغضار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والمزفّت یعنی الزفت الّذی یکون فی الزقّ ویصبّ فی الخوابی لیکون أجود للخمر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الجرار الخضر والرصاص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بها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فی باب الصید والذبائح والأطعمة، بأسناده عن الحسن بن محبوب، عن خالد بن جریر ، عن أبی الربیع الشامی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رسول‌اللّه صلی‌الله‌علیه‌و‌آله عن کلّ مسکر و کلّ مسکر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فالظروف الّتی یصنع فیها؟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صلی‌الله‌علیه‌و‌آله عن الدّباء والمزفت والحنتم والنقیر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ذلک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الدُّبّاء </w:t>
      </w:r>
      <w:r>
        <w:rPr>
          <w:rStyle w:val="FootnoteAnchor"/>
          <w:rtl w:val="true"/>
        </w:rPr>
        <w:footnoteReference w:id="338"/>
      </w:r>
      <w:r>
        <w:rPr>
          <w:rFonts w:ascii="IRNazanin" w:hAnsi="IRNazanin" w:eastAsia="IRNazanin"/>
          <w:color w:val="111111"/>
          <w:sz w:val="28"/>
          <w:sz w:val="28"/>
          <w:szCs w:val="28"/>
          <w:rtl w:val="true"/>
          <w:lang w:bidi="fa-IR"/>
        </w:rPr>
        <w:t xml:space="preserve">القرع، و المزفت الدنان، والحنتم الجرار الزرق، والنقیر خشب کان أهل الجاهلیّة ینقرونها حتّی یصیر لها أجواف ینبذون فیها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الروایتان الأولیان، فالظاهر بل المقطوع به أنّهما واحدة مرویّة عن الکافی، و ما فی الکافی إنّما تنطبق الروایة علی النهج المرویّ فی باب الصید والذبائح والأطعمة، لا کما رواه فی باب تطهیر الثیاب </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فالظاهر بل المقطوع به أنّ فی الروایة کما فی هذا الباب سقطاً و سهواً فی النقل لإشتمال روایة الکافی </w:t>
      </w:r>
      <w:r>
        <w:rPr>
          <w:rStyle w:val="FootnoteAnchor"/>
          <w:rtl w:val="true"/>
        </w:rPr>
        <w:footnoteReference w:id="340"/>
      </w:r>
      <w:r>
        <w:rPr>
          <w:rFonts w:ascii="IRNazanin" w:hAnsi="IRNazanin" w:eastAsia="IRNazanin"/>
          <w:color w:val="111111"/>
          <w:sz w:val="28"/>
          <w:sz w:val="28"/>
          <w:szCs w:val="28"/>
          <w:rtl w:val="true"/>
          <w:lang w:bidi="fa-IR"/>
        </w:rPr>
        <w:t xml:space="preserve">الّتی هی الأصل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کلّ مسکر 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الظروف فقال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إلی آخره، فسقط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کما هو کثیرا ما یتّفق هذا الإشتباه من الکُتّاب سهواً للنظر لشباهة الکلمتین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مع ذلک لا یطابق الجواب والسؤال، فإنّ بین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سألته عن نبیذ قد سکن غلیانه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فی الجواب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رسول اللّه علیه‌السلام عن الدُّبّاء والمزفت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لیس إرتباط سؤال و جواب کما لا یخفی، و لکنّ الأمر فی ذلک سهل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استدلّ بهذه الروایة الشیخ فی التهذیب فی المقام المذکور فی أوّل الأخبار الّتی یستدلّ بها و جملة آخرین کما رأیت من بعضهم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وجه الإستدلال بها أنّ نهی رسول اللّه صلی‌الله‌علیه‌و‌آله إنّما هو لمکان نجاسة الخمر، و إلاّ فلا وجه لحرمة إستعمال الظروف بعد کونها خالیة عن الخمر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أنّ المنع أعمّ من النجاسة، فلعلّه کالمنع عن الأکل فی المائدة الّتی فیها الخمر کمامرّت روایته وسیأتی، وکالمنع عن‌الصلاة فی البیت الّذی فیه‌الخمر، ونحو ذلک من النواهی الواردة فی المقام، فیمکن أن یقال بقوّة الحمل علی الکراهة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ذلک لمکان ما یبس منها تحت الظروف ممّا بقیت أجرامها ، وقد عرفت من الأخبار أنّ قطراتها و أجرامها کلّها حرام، کما فی التراب و نحوه من المحرّمات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شدّة المنع فی الخمر بحیث لا یبعد الحکم بحرمة الأکل والشرب من أوانی الخمر مطلقاً و لو غسلت، بهذه الروایات و أمثالها، لو لم یکن هناک لها معارض و لم یکن فیه مخالفة للإجماع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فانظر إلی ما رواه فی التهذیب فی باب الذبائح والأطعمة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جراح المداینی،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کان یؤمن باللّه والیوم الآخر فلا یأکل علی مائدة یشرب علیها الخمر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فی الباب عن هارون بن الجهم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مع أبی عبداللّه علیه‌السلام بالحیرة حین قدم علی أبی جعفر علیه‌السلام فختن بعض القواد ابناً له و صنع طعاماً و دعی الناس، و کان أبوعبداللّه علیه‌السلام فیمن دعی، فبینما هو علی المائدة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 و معه عدّة علی المائدة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 xml:space="preserve">فاستسقی رجل منهم ماء فأتی بقدح فیه شراب لهم، فلمّا صار القدح فی ید الرجل قام أبوعبداللّه علیه‌السلام عن المائدة، فسئل عن قیامه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 مَن جلس علی مائدة یشرب فیها الخمر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علی أنّه لو کان علیه النهی هی النجاسة لکان یرتفع بالغسل والتطهیر بالماء مع أنّ النهی مطلق، فالأظهر الحمل علی الکراهة کما لعلّه یظهر لک إن شاء اللّه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یجوز الصلاة فیه من اللباس و المکان، بأسناده الصحیح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مهزیار، عن فضالة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الثقة و هو فضالة بن أیّوب </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أباعبداللّه علیه‌السلام عن الّذی یعیر ثوبه لمن یعلم أنّه یأکل الجرّی و یشرب الخمر فیردّه، أیصلّی فیه قبل أن یغسله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یصلّی فیه حتّی یغسله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وجه الإستدلال فیه ظاهر، و وجه ضعفه أنّ الظاهر أنّ المراد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یعلم أنّه یأکل الجرّی و یشرب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الکافر الّذی یحلّل أکلهما کالذمّی کما ستعرف من الروایة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الخبر محمول علی الکراهة قطعاً بمعنی إستحباب الغسل لعدم القطع بوصول الخمر إلی الثوب و لو کان المستعیر خمّاراً، لعدم معلومیّة لبسه، و عدم معلومیّة شرب الخمر بعد فرض لبسه، و عدم معلومیّة وصول الخمر إلیه بعد شربه، و لما رواه فی التهذیب بسند صحیح عن عبداللّه بن سنان الراوی لهذه الروایة بما یقرب هذه الروایة،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أبی أباعبداللّه علیه‌السلام إنّی أعیر الذمّی ثوبی و أنا أعلم أنّه یشرب الخمر و یأکل لحم الخنزیر فیردّ علیّ فأغسله قبل أن أصلّی فیه ؟ فقال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و لا تغسله من أجل ذلک فإنّک أعرته إیّاه و هو طاهر، ولم تستیقن أنّه نجّسه، فلا بأس أن یصلّی فیه حتّی تستیقن أنّه نجّسه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تغسله من أجل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ربما یشعر بوجوب الغسل من جهة أخری من غیر جهة العلم بشربه الخمر و أکله الخنزیر، فیجمع بین الروایتین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مع کونه منافیاً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بأس أن تصلّی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الوجه المناسب للإستدلال به لیس إلاّ العلم بکونه یشرب الخمر الکاشف عن کون الخمر نجساً، و إلاّ فلا وجه للإستدلال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تغسله من أجل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إلی ما ذکرنا أوّلاً </w:t>
      </w:r>
    </w:p>
    <w:p>
      <w:pPr>
        <w:pStyle w:val="BookText"/>
        <w:rPr/>
      </w:pPr>
      <w:r>
        <w:rPr>
          <w:rFonts w:ascii="IRNazanin" w:hAnsi="IRNazanin" w:eastAsia="IRNazanin"/>
          <w:color w:val="111111"/>
          <w:sz w:val="28"/>
          <w:sz w:val="28"/>
          <w:szCs w:val="28"/>
          <w:rtl w:val="true"/>
          <w:lang w:bidi="fa-IR"/>
        </w:rPr>
        <w:t xml:space="preserve">من أنّه إعارة للکافر فیکون الغسل إستظهاراً و إحتیاطاً عن إستعماله بالرطوبة کما هو الغالب، بل ربما یحصل القطع العادی بذلک، فلعلّ فی الخبر إشارة إلی ذلک بعد الحمل علی الوجوب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 تستیقن أنّه 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أنّه نجسة من الجهة المذکورة کما هو ظاهر السؤال، فتدبّر وتأمّل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 ما إذا کان الوجه أکله لحم الخنزیر و شربه الخمر، لأنّ الغالب فیه عدم وصول شیء منهما إلی الثوب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لما ذکرناه الصحیح المرویّ فی التهذیب فی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الثیاب السابریّة یعملها المجوس وهم أخباث </w:t>
      </w:r>
      <w:r>
        <w:rPr>
          <w:rStyle w:val="FootnoteAnchor"/>
          <w:rtl w:val="true"/>
        </w:rPr>
        <w:footnoteReference w:id="348"/>
      </w:r>
      <w:r>
        <w:rPr>
          <w:rFonts w:ascii="IRNazanin" w:hAnsi="IRNazanin" w:eastAsia="IRNazanin"/>
          <w:color w:val="111111"/>
          <w:sz w:val="28"/>
          <w:sz w:val="28"/>
          <w:szCs w:val="28"/>
          <w:rtl w:val="true"/>
          <w:lang w:bidi="fa-IR"/>
        </w:rPr>
        <w:t xml:space="preserve">، وهم یشربون الخمر ونساؤهم علی تلک‌الحال ألبسها، ولاأغسلها و أصلّی فیها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فقطعت له قمیصاً و خطته و فتلت له إزراراً و ردآء من السابری </w:t>
      </w:r>
      <w:r>
        <w:rPr>
          <w:rStyle w:val="FootnoteAnchor"/>
          <w:rtl w:val="true"/>
        </w:rPr>
        <w:footnoteReference w:id="349"/>
      </w:r>
      <w:r>
        <w:rPr>
          <w:rFonts w:ascii="IRNazanin" w:hAnsi="IRNazanin" w:eastAsia="IRNazanin"/>
          <w:color w:val="111111"/>
          <w:sz w:val="28"/>
          <w:sz w:val="28"/>
          <w:szCs w:val="28"/>
          <w:rtl w:val="true"/>
          <w:lang w:bidi="fa-IR"/>
        </w:rPr>
        <w:t xml:space="preserve">، ثمّ بعثت بها إلیه فی یوم الجمعة حین ارتفع النهار، فکأنّه عرف ما أرید، فخرج فیها إلی الجمعة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فی الکافی ما یتوهّم منه روایة روایتنا هذه، و 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الّذی یعیر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عن خیران الخادم حیث أنّه بعد أن ذکر روایة خیران السابقة و 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کتبت إلی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 أباعبداللّه علیه‌السلام عن الّذی یعیر ثوبه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ظاهره أنّ المرجع لهذا الضمیر المستتر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الخیرانی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تری، لأنّ الخیرانی لم یرو عن أبی عبداللّه علیه‌السلام و لا عن إبنه الطاهر الکاظم علیه‌السلام و إنّما المعروف أنّه من أصحاب الجواد والهادی علیهماالسلام ، و قد عرفت أنّ النجاشی جعله من أصحاب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السند محذوف إذ المرجع قبل ذلک ما یناسب المقام، و لیس عندی الکافی، والخیرانی إنّما روی ذلک عن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باب أنّ رسول اللّه صلی‌الله‌علیه‌و‌آله حرّم کلّ مسکر، و فی التهذیب فی باب الذبائح و الأطعمة ، عن عمر بن حنظلة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قدح من مسکر یصب علیه‌الماء حتّی تذهب عادیته ویذهب سکره؟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ولا قطرة تقطر منه فی حبّ إلاّ أهریق ذلک الحبّ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والسند معتبر بعمر بن حنظلة بل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لیس فیه ما یدلّ علی النجاسة، و وجوب الإهراق لا یدلّ علی النجاسة إذ هو أعمّ من الحرمة، بل دلالته علی الحرمة أظهر، فإنّ الظاهر أنّ السؤال عن جواز الشرب کما لایخفی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قدح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تذهب عادیته و یذهب سکره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فی باب الذبائح والأطعمة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علیه‌السلام عن آنیة أهل الذمّة والمجوس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لاتأکلوا فیآنیتهم ولامن طعامهم الّذی یطبخونه، ولا فی آنیتهم الّتی یشربون فیها الخمر</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bookmarkStart w:id="196" w:name="pg3696_43370"/>
    </w:p>
    <w:p>
      <w:pPr>
        <w:pStyle w:val="BookText"/>
        <w:rPr/>
      </w:pPr>
      <w:bookmarkEnd w:id="196"/>
      <w:r>
        <w:rPr>
          <w:rFonts w:ascii="IRNazanin" w:hAnsi="IRNazanin" w:eastAsia="IRNazanin"/>
          <w:color w:val="111111"/>
          <w:sz w:val="28"/>
          <w:sz w:val="28"/>
          <w:szCs w:val="28"/>
          <w:rtl w:val="true"/>
          <w:lang w:bidi="fa-IR"/>
        </w:rPr>
        <w:t xml:space="preserve">و فیه أنّ لقائل أن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المنع من جهة إستعمالهم تلک الآنیة، والنجاسة إنّما هی من هذه الجهة لا من جهة کونها ظروفاً للخمر کما فی الطعام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یدفع ذلک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تأکلوا من آنیتهم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 فی الحکم من الجهة المذکورة و هی جهة نجاستهم،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فی آنیتهم الّتی یشربون فیها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لاتأکلوا من آنیتهم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الحکم من جهة أخری غیر جهة کونهم نجساً لکفرهم،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هذا وجه دلالة ضعیفة لایجوز الإعتماد علیه بنفسه </w:t>
      </w:r>
      <w:r>
        <w:rPr>
          <w:rFonts w:eastAsia="IRNazanin" w:cs="IRNazanin"/>
          <w:color w:val="111111"/>
          <w:sz w:val="28"/>
          <w:szCs w:val="28"/>
          <w:rtl w:val="true"/>
          <w:lang w:bidi="fa-IR"/>
        </w:rPr>
        <w:t>.</w:t>
      </w:r>
    </w:p>
    <w:p>
      <w:pPr>
        <w:pStyle w:val="Heading6"/>
        <w:numPr>
          <w:ilvl w:val="5"/>
          <w:numId w:val="1"/>
        </w:numPr>
        <w:rPr/>
      </w:pPr>
      <w:bookmarkStart w:id="197" w:name="__RefHeading___Toc488361_2281741623"/>
      <w:bookmarkStart w:id="198" w:name="_Toc74"/>
      <w:bookmarkEnd w:id="197"/>
      <w:r>
        <w:rPr>
          <w:rtl w:val="true"/>
        </w:rPr>
        <w:t xml:space="preserve">ما یجاب عن هذه الأدلّة </w:t>
      </w:r>
      <w:r>
        <w:rPr>
          <w:rtl w:val="true"/>
        </w:rPr>
        <w:t>:</w:t>
      </w:r>
      <w:bookmarkEnd w:id="198"/>
    </w:p>
    <w:p>
      <w:pPr>
        <w:pStyle w:val="Heading6"/>
        <w:numPr>
          <w:ilvl w:val="5"/>
          <w:numId w:val="1"/>
        </w:numPr>
        <w:rPr/>
      </w:pPr>
      <w:bookmarkStart w:id="199" w:name="__RefHeading___Toc488363_2281741623"/>
      <w:bookmarkStart w:id="200" w:name="_Toc75"/>
      <w:bookmarkEnd w:id="199"/>
      <w:r>
        <w:rPr>
          <w:rtl w:val="true"/>
        </w:rPr>
        <w:t>الجواب عن الإجماعات المنقولة و دعوی عدم الخلاف</w:t>
      </w:r>
      <w:bookmarkEnd w:id="200"/>
    </w:p>
    <w:p>
      <w:pPr>
        <w:pStyle w:val="BookText"/>
        <w:rPr/>
      </w:pPr>
      <w:r>
        <w:rPr>
          <w:rFonts w:ascii="IRNazanin" w:hAnsi="IRNazanin" w:eastAsia="IRNazanin"/>
          <w:color w:val="111111"/>
          <w:sz w:val="28"/>
          <w:sz w:val="28"/>
          <w:szCs w:val="28"/>
          <w:rtl w:val="true"/>
          <w:lang w:bidi="fa-IR"/>
        </w:rPr>
        <w:t xml:space="preserve">وقد یجاب عن هذه الأدلّة، أمّا عن الإجماعات المنقولة ودعوی عدم الخلاف، فأمّا عن دعوی عدم الخلاف کما فی الخلاف والمبسوط والسرائر والتنقیح، فبأنّ الخلاف بعد تحقّق وجوده والعلم به کما فیما نحن فیه ، لا عبرة بهذه الدعوی و لا إعتماد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الإجماعات کما فی السرائر والنزهة و نحوهما، فتارة بما قاله المحقّق الخوانساریّ رحمه‌الله فی مشارق أنواره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کلامه إنّ الإجماع الّذی یدّعی أصحابنا إمّا أن یکون فی زمان الغیبة أو زمان حضور الأئمّة علیهم‌السلام ، فإن کان فی زمان الغیبة ، فالتمسّک بمثل هذا الإجماع مشکل ، إذ بعد ما فرض أنّا علمنا أو ظنّنا أنّ جمیع العلماء الإمامیّة ذهبوا إلی قول فلا حجّیة فیه، لأنّ العبرة عندنا بقول المعصوم علیه‌السلام ، فقول جمیع العلماء مع الخلو عن قول المعصوم علیه‌السلام لا حجّیة فیه </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حینئذ یجب علی المعصوم علیه‌السلام أن یظهر القول بخلاف ما أجمعوا </w:t>
      </w:r>
    </w:p>
    <w:p>
      <w:pPr>
        <w:pStyle w:val="BookText"/>
        <w:rPr/>
      </w:pPr>
      <w:r>
        <w:rPr>
          <w:rFonts w:ascii="IRNazanin" w:hAnsi="IRNazanin" w:eastAsia="IRNazanin"/>
          <w:color w:val="111111"/>
          <w:sz w:val="28"/>
          <w:sz w:val="28"/>
          <w:szCs w:val="28"/>
          <w:rtl w:val="true"/>
          <w:lang w:bidi="fa-IR"/>
        </w:rPr>
        <w:t xml:space="preserve">علیه لو کان باطلاً ، فلمّا لم یظهر ظهر أنّه حقّ، لیس ممّا لا یخلو عن المناقشة ، ولا سیّما إذا کان فی المسألة روایة شاذّة، بخلاف ما ذهبوا إلیه لعدم الفرق بینها وبین إظهار قول مخالف لأقوالهم بعنوان أنّه قول فقیه، و قد یکفی فی ذلک مخالفة معلوم النسب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فی زمان‌الحضور فإن کان مع عدم الإمام فیهم فلاحجّیة فیه کالسابق، و إن کان معه فهو حجّة لکن لا فائدة لدعوی الإجماع، إذ الحجّة هو قوله علیه‌السلام ، و ضمّ قول الأصحاب حینئذ لعلّه لإفادة تأیید الحکم و تقویته أو لأنّ معتقدهم فی الإجماع أنّه لو اتّفق العلماء علی شیء یجب علی الإمام إظهار الخلاف لو کان القول باطلاً فاطلقوا القول بالإجماع بناء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یکون المراد بالإجماع الشهرة و تکون الشهرة معتبرة عندهم بقرینة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المجمع علیه بین أصحابک واترک الشاذّ النادر، إذ المجمع علیه لا ریب فیه، فإنّ المجمع علیه بمعنی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الإحتمال الأخیر بعیدة، لأنّه یوهم خلاف ظاهر اللفظ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ما حاصله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ما یمکن أن یقال إنّ من الإجماعات ما وصل إلی حدّ حصل القطع بأنّ الإمام علیه‌السلام قائل به و أنّه من طریقته و سنّته، و هذا لا کلام فی حجّیته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لم یصل إلی ذلک الحدّ فإن کان جمع من أجلّة الأصحاب إدّعوه ولم یظهر من أحد منهم دعوی مخالفة لدعواهم، و کذا لم یظهر أیضا خلاف بین أصحابنا المتقدّمین ، فلا یبعد حینئذ القول بحجّیته لحصول الظنّ القویّ به ، لأنّ ما ادّعوه من الإجماع و إن فرضنا أنّه لیس بمعنی أنّ الإمام علیه‌السلام قائل به لأنّ المفروض عدم القطع به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لا شکّ أنّ حکماً من الأحکام إذا لم یظهر به قائل من أصحابنا الإمامیّة و کان فتاویهم و أقوالهم متطابقة، فحینئذ یحصل الظنّ بأنّهم أخذوا خلافه من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العادة لم تجر بأنّ ما لا یکون کذلک لم یقع فیه خلاف بینهم مع کثرتهم سیّما إذا وجدت الروایات المتعارضة عن الأئمّة علیهم‌السلام فی طرفی المسألة و خصوصاً إذا کانت الروایات الدالّة علی ما أجمعوا علیه ضعیفة شاذّة نادرة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إحتمال أن یکون مخالف من المتقدّمین و لم یصل خلافه، بعید جدّا لما نری من شدّة إجتهادهم فی تتبّع الأقاویل و تفحّص المذاهب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یحصل الظنّ القویّ بذلک لو لم یحصل القطع، و مثل هذا الظنّ لایقصر عن الظنّ الّذی یحصل من الخبر الواحد، فحینئذ لو تعارض هذا الإجماع مع الخبر الصحیح یحکم بالتساقط و یرجع إلی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عدم ظهور الخلاف من القدماء أو المتأخّرین ، و أمّا مع الظهور فلا حجّیة فیه إلاّ أن یکون شاذّا نادراً بحیث یلحق بالشاذّ النادر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تعلم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ما نحن فیه لیس من الإجماعات القطعیّة الّتی لا کلام فیها کمسح الرجلین، و لا من القسم الآخر الّذی ذکرنا أنّ الظاهر حجّیته، لظهور الخلاف من الصدوق والحسن والجعفیّ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 یدّع جمع من‌الأصحاب الإجماع فی نجاسة الخمر بحیث لم‌یظهر خلافه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لیس بدعوی الإجماع فی کلام القدماء سوی الشیخ، فإنّه قال به فی المبسوط والإستبصار والسیّد المرتضی أیضاً علی ما نقله العلاّمة منه لیس فی کلامه دعوی الاجماع،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مخالف شاذّ نادر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وبالجملة مثل هذا الإجماع أو الشهرة لایصلح حجّة علیحدّه، بل إن کان و لابدّ فللتأیید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هذا حاصل ما أفاده رحمه‌الله ، و فیه نظر من وجوه لیس المقام مقام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ما ینفعنا فی المقام أنّ حصول القطع من الإجماع برأی المعصوم علیه‌السلام ممّا لا ینبغی إنکاره، فإنّه بعد ملاحظة إتّفاقهم أو دعوی الإتّفاق من غیر واحد بحیث لاینکرها أحد مع أنّ من دیدنهم نقل الخلاف ولو کان شاذّا حتّی من العامّة، وکونهم فی مقام النقض والإبرام، و بیان الدلیل والإستدلال، و إنکار الدعاوی الّتی تتبیّن خلافها، یحصل القطع بأنّه قول الإمام علیه‌السلام ، وهذا هو المسمّی بالإجماع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لایقدح فی حصول الإجماع و لا القطع بقول المعصوم علیه‌السلام خلاف، شاذّ، نادر جدّاً، و لا سیّما بعد وجود الروایات الدالّة علی الخلاف لأنّ ذهابهم و هم أعاظم العلماء و أفاخم الفقهاء علی شیء، و إن شذّ من شذّ منهم علی شیء، وطرح القول الآخر، و عدم العنایة به و بالروایات الواردة علیه، یدلّ علی کون الحکم واضحاً ظاهراً لدیهم من إمامهم إلیهم ؛ و إنّما المخالف ذهب لما رأی من ظاهر الروایات و لا سیّما من کان مخالفاً لهم فی جملة من الأحکام کالعمّانی والصدوق رحمهماالله ممّا قد علم بالضرورة، واستقرّ الإجماع بعدهم علی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فانظر إلی العلماء عصراً بعد عصر، و خلفاً بعد سلف، و هم آلاف ألوف قد ذهبوا إلی نجاسة الخمر ، مع کون روایات تدلّ علی الطهارة بمرآهم و مسمعهم ، وقد سمعوا و رأوا ذهاب مثل الصدوق والعمّانیّ علی مخالفتهم و طهارتها، و مع ذلک لم یعتنوا إلی خلافهما و روایاتهما، و حکموا بعنوان البتّ والیقین لا الحدس والتخمین بنجاستها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لا یحصل فی ذلک القطع بالإجماع و رأی المعصوم علیه‌السلام ، فضلاً عمّا إذا نقل الإجماع جملة من الأجلاّء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سیّما بعد الإلتفات إلی المخالف و رمیه بأنّه ذهب إلی خلاف الإجماع کما فی السرائر، أو إستثنائه من الإجماع و رمیه بالشذوذ کما فی التذکرة والذکری </w:t>
      </w:r>
      <w:r>
        <w:rPr>
          <w:rFonts w:eastAsia="IRNazanin" w:cs="IRNazanin"/>
          <w:color w:val="111111"/>
          <w:sz w:val="28"/>
          <w:szCs w:val="28"/>
          <w:rtl w:val="true"/>
          <w:lang w:bidi="fa-IR"/>
        </w:rPr>
        <w:t xml:space="preserve">. </w:t>
      </w:r>
      <w:bookmarkStart w:id="201" w:name="pg3696_43374"/>
    </w:p>
    <w:p>
      <w:pPr>
        <w:pStyle w:val="BookText"/>
        <w:rPr/>
      </w:pPr>
      <w:bookmarkEnd w:id="201"/>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یمکن فی المقام دعوی تحصیل الإجماع فضلاً عن نقله الثابت حجّیّته، و لا یضرّه وجود الخلاف، فإنّ الخلاف غیر قادح فیه لإمکان تقدّم الإجماع علی المخالف، فیکون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مخالفاً للإجماع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لکون الأصحاب مجمعین علی خطائه، أو لظهور فساد مستنده، فإنّ الظاهر أنّ مستند الصدوق رحمه‌الله هو بعض أخبار الطهارة، وسیأتی ما فیها، فلاعبرة حینئذ بهذا الخلاف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مرّ فی الإعتراض علی دعوی عدم الخلاف، ففیه أنّ الخلاف لو شذّ ووهن أشدّ الشذوذ و أبین التوهین، یرفع النظر عنه بالمرّة بحیث لایلتفت إلیه فیدّعی فی المسألة عدم الخلاف، أو یکون وجوده کعدمه فیکون بمنزلة العدم و إن کان ملتفتاً إلیه حال الدعوی، و ما نحن فیه یمکن أن یکون من أحد القسمین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وبالجملة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فالإعتراض علی الإجماعات و دعوی عدم الخلاف لایلیق بالخبیر البصیر بالطریقة کما لا یخفی </w:t>
      </w:r>
      <w:r>
        <w:rPr>
          <w:rFonts w:eastAsia="IRNazanin" w:cs="IRNazanin"/>
          <w:color w:val="111111"/>
          <w:sz w:val="28"/>
          <w:szCs w:val="28"/>
          <w:rtl w:val="true"/>
          <w:lang w:bidi="fa-IR"/>
        </w:rPr>
        <w:t>.</w:t>
      </w:r>
    </w:p>
    <w:p>
      <w:pPr>
        <w:pStyle w:val="Heading6"/>
        <w:numPr>
          <w:ilvl w:val="5"/>
          <w:numId w:val="1"/>
        </w:numPr>
        <w:rPr/>
      </w:pPr>
      <w:bookmarkStart w:id="202" w:name="__RefHeading___Toc488365_2281741623"/>
      <w:bookmarkStart w:id="203" w:name="_Toc76"/>
      <w:bookmarkEnd w:id="202"/>
      <w:r>
        <w:rPr>
          <w:rtl w:val="true"/>
        </w:rPr>
        <w:t>الجواب عن الآیة</w:t>
      </w:r>
      <w:bookmarkEnd w:id="203"/>
    </w:p>
    <w:p>
      <w:pPr>
        <w:pStyle w:val="BookText"/>
        <w:rPr/>
      </w:pPr>
      <w:r>
        <w:rPr>
          <w:rFonts w:ascii="IRNazanin" w:hAnsi="IRNazanin" w:eastAsia="IRNazanin"/>
          <w:color w:val="111111"/>
          <w:sz w:val="28"/>
          <w:sz w:val="28"/>
          <w:szCs w:val="28"/>
          <w:rtl w:val="true"/>
          <w:lang w:bidi="fa-IR"/>
        </w:rPr>
        <w:t xml:space="preserve">و أمّا عن الآیة، فأمّا عن الوجه الأوّل عن وجوه الإستدلال بها و هو کون الرجس بمعنی النجس، فتارة بما قاله فی المشارق والذخیرة و نحوهما </w:t>
      </w:r>
      <w:r>
        <w:rPr>
          <w:rStyle w:val="FootnoteAnchor"/>
          <w:rtl w:val="true"/>
        </w:rPr>
        <w:footnoteReference w:id="3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بمنع کون الرجس بمعنی النجس، و قول الشیخ فی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الرجس هو النجس بلا خلاف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 xml:space="preserve">، لا حجّیة فیه، لأنّ أهل اللغة لم یذکروا النجس فی معناه، بل ذکروا له معان آخر لایقرب منه أیضا سوی ما ذکروا من القذر، و إثبات أنّه حقیقة فی القذر مجاز فی غیره، یحتاج إلی دلیل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لکن القذر فی کلامهم أعمّ من النجس بالمعنی الشرعیّ فلیس هوالنجس </w:t>
      </w:r>
    </w:p>
    <w:p>
      <w:pPr>
        <w:pStyle w:val="BookText"/>
        <w:rPr/>
      </w:pPr>
      <w:r>
        <w:rPr>
          <w:rFonts w:ascii="IRNazanin" w:hAnsi="IRNazanin" w:eastAsia="IRNazanin"/>
          <w:color w:val="111111"/>
          <w:sz w:val="28"/>
          <w:sz w:val="28"/>
          <w:szCs w:val="28"/>
          <w:rtl w:val="true"/>
          <w:lang w:bidi="fa-IR"/>
        </w:rPr>
        <w:t xml:space="preserve">بالمعنی المصطلح، بل هو ما یستقذره الطبع و یستکرهه، و هو غیر معنی النجس المصطلح ، مع أنّه لو فرض أنّهم ذکروا النجس فی معناه أیضا لأشکل الحکم ، إذ لم یعلم أنّ النجس فی اللغة بالمعنی المصطلح المراد هنا بین الفقهاء و کونه فی العرف أو الشرع بهذا المعنی، إذ لا دلیل علیه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قد تقدّم فی وجه الإستدلال بالآیة أنّه المنقول عن بعض أهل اللغة، ونقله فی المصباح المنیر عن النقّاش، و فی البارع کما تقدّم نقله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ربّما قالوا الرجاسة والنجاسة بمعنًی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والشیخ الجلیل، العالم باللسان، العارف بالتفسیر، قد ادّعی عدم الخلاف فی کونه هنا بمعنی النجس، و حکی عنه دعوی الإجماع علی ذلک، و لعلّه من کلامه فی التهذیب من دعوی عدم الخلاف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حکی عن الفقهاء من کون الرجس بمعنی النجس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المعتبر دعوی الترادف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لکنّ القذر بمعنی النجس ؛ قال الأزهریّ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النجس الخارج من بدن الإنسان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یستدلّ له بما روی أنّ النبیّ صلی‌الله‌علیه‌و‌آله لمّا خلع نعلیه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جبرئیل أنّ بهما قذراً، و فی روایة دم حَلَمَة، والقَذَرُ هنا دم الحلمة و هو نجس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القذر النجاسة، و بکسر المعجم، المتنجّس، و منه شیء قذر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النجاسة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سلّمنا، لکن ذکروا أنّ القذر ما یستقذره الطبع و ما لم یکن نظیفاً، و معلوم أنّ الخمر بظاهرها کظاهر الکافر لیست قذراً بهذا المعنی، فلابدّ من الحمل علی القذارة الباطنیّة و لازمه النجاسة، إذ عدم النظافة الشرعیّة والقذارة الباطنیّة الشرعیّة عبارتان عن النجاسة، مع أنّ إستعمال القذر فی معنی النجس کثیر فی الأخبار مثل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ماء طاهر إلاّ ما علمت أنّه قذر </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أبی بصیر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الجنب یجعل الرکوة أو التور فیدخل إصبعه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یده قذرة فاهرقه و إن کان لم یصبها قذر فلیغتسل منه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سماعة عنه علیه‌السلام عن رجل معه إناءان فیهما ماء وقع فی أحدهما قذر لا یدری أیّهما هو ؟ و لیس یقدر علی ماء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یهریقهما و یتیمّم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ألا تری أنّه علیه‌السلام لم یسأله عن حقیقة القذر و إنّما فهم منه النجاسة فحکم بالإهراق والتیمّم ؛ إلی غیر ذلک من الأخبار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کون الرجس له معان آخر سوی القذر و لم یثبت کونه حقیقة فیه مجازاً فیغیره، لا یضرّ بالحال بعد کون غیره من المعانی غیر مناسب للمقام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لو کان بمعنی الرجس عند أهل اللغة أیضا لا یفید فائدة بعد عدم معلومیّة کون النجس اللغوی هو النجس المصطلح الشرعی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النجس لیس له حقیقة شرعیّة، و لا بین الفقهاء له حقیقة متشرّعة، بل هو علی معناه اللغوی، لکنّ النجاسة هی أمر تختلف باعتبار المعتبر باختلاف ما به تتحقّق القذارة والنجاسة، فإنّ اللّه تعالی نظره إلی الباطن لا الظاهر، فقد یکون النظیف عنده نجساً کظاهر الکافر، وما به الوسخ ومنه یستکره‌الطبع طاهراً کظاهر المؤمن الّذی قد ابتلی بمرض یزداد به الوسخ یوماً فیوماً ولم‌یقدر علی تطهیر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أنّ البلغم الخارج من الإنسان قد یکون أشد قذارة واستکراهاً للطبع من البول مع أنّه طاهر عنده و هذا نجس، و ذلک لأنّه مطّلع علی ما فی البول و غیره من النجاسات من شدّة القذارة الباطنیّة و لیس هذه القذارة والرجاسة فی غیرها، و لذا حکم بأنّ هذا نجس و ذلک طاهر، فلیس هذا إصطلاحاً فی معنی الطهارة والنجاسة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بعد أنّ المستعمل هو الشارع یکون إنّما یتکلّم باصطلاحه و بما هو المعتبر عنده و إن کان اللفظ من الألفاظ اللغویّة والمعنی من معانیهم کما لا یخفی </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بما قالوا أیضا أنّه لا یجوز أن یکون المراد بالرجس فیها النجس لأنّه وقع خبراً للمیسر والأنصاب والأزلام ، و لیس فیه غیر الخمر نجساً قطعاً ، و إحتمال أنّ الرجس خبر للخمر و قدّر خبر المذکورات بما یناسبه ، إحتمال فاسد، لأنّ المقدّر یجب أن یکون کالمذکور ، فلو حمل الرجس علی النجس یجب أن یکون الرجس المقدّر أیضا کذلک، و کذا إحتمال کون المراد أنّ کلاًّ من المذکورات رجس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حینئذ لایصحّ الحمل علی النجس و إلاّ یلزم إستعمال اللفظ فی معنییه الحقیقیّن أو الحقیقة والمجاز، سواء قلنا بارتکاب التجوّز فی الإسناد بالنسبة إلی البعض، أو قلنا بأنّ حمل الرجس علی معنی النجس و غیره علی سبیل عموم المجاز أو الإشتراک، و أرادة کلّ منهما بالنسبة إلی البعض مع عدم قرینة دالّة علیه فی نهایة البعد، غیر لائق بأوضاع الألفاظ واستعمالاتها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إمّا أن یراد بالنجس الإثم ، أو العمل المستقذر ، أو القذر الّذی یعاف منه العقول کما یوجد فی کلام جماعة من المفسّرین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أنّا قد ذکرنا فی بیان الإستدلال بها أنّ الرجس إسم جنس یطلق علی الواحد والجمیع، فیمکن أن یقال بأنّ ظاهر الآیة یقتضی النجاسة فی الجمیع، و عدم نجاسة غیر الخمر بالإجماع لا یقتضی عدم نجاسة الخمر أیضا،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لکن أیّ مانع من التغلیب فی جانب الخمر کما یشعر بذلک تقدیمها فی الذکر کمایقال فی نظائره، کما یمکن أن یکون المراد المجموع من حیث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أیّ مانع من کون هذا خبرا للخمر و خبر الباقی مقدّراً یدلّ علیه هذا الموجود، و یکفی فی ذلک الإتّحاد فی اللفظ و لا یجب الإتّحاد فی اللفظ والمعنی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غایة ما یقال فی هذا الوجه فی الإستدلال بالآیة، و إن کان فیه شیء أشرنا إلیه فی مقام بیان الإستدلال بها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الوجه الثانی من وجهی الإستدلال بها و هو أنّه تعالی أمر بالإجتناب و هو موجب للتباعد المستلزم للمنع من الإقتراب لجمیع الأنواع ، </w:t>
      </w:r>
    </w:p>
    <w:p>
      <w:pPr>
        <w:pStyle w:val="BookText"/>
        <w:rPr/>
      </w:pPr>
      <w:r>
        <w:rPr>
          <w:rFonts w:ascii="IRNazanin" w:hAnsi="IRNazanin" w:eastAsia="IRNazanin"/>
          <w:color w:val="111111"/>
          <w:sz w:val="28"/>
          <w:sz w:val="28"/>
          <w:szCs w:val="28"/>
          <w:rtl w:val="true"/>
          <w:lang w:bidi="fa-IR"/>
        </w:rPr>
        <w:t xml:space="preserve">لأنّ معنی إجتنابها کونه فی جانب غیر جانبها، فیستلزم المنع من شربه، و ملاقاته، وتطهیر البدن والثوب عنه علی تقدیر إصابته لهما، و غیر ذلک من أحکام النجس، فتارة بما ذکره صاحب المعالم والذخیرة والمشارق </w:t>
      </w:r>
      <w:r>
        <w:rPr>
          <w:rStyle w:val="FootnoteAnchor"/>
          <w:rtl w:val="true"/>
        </w:rPr>
        <w:footnoteReference w:id="369"/>
      </w:r>
      <w:r>
        <w:rPr>
          <w:rFonts w:ascii="IRNazanin" w:hAnsi="IRNazanin" w:eastAsia="IRNazanin"/>
          <w:color w:val="111111"/>
          <w:sz w:val="28"/>
          <w:sz w:val="28"/>
          <w:szCs w:val="28"/>
          <w:rtl w:val="true"/>
          <w:lang w:bidi="fa-IR"/>
        </w:rPr>
        <w:t xml:space="preserve">من أنّ هذا مبنیّ علی تحقیق مرجع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واجتنبوه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ذکر المفسّرون فیه وجوهاً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عائداً إلی عمل الشیطان ذکره الإمام الطبرسی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راجعاً إلی المضاف المحذوف المتعاطی ، کما ذکره صاحب الکشّاف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راجعاً إلی الرجس، إحتمله الطبرسی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عائداً إلی المذکورات من الخمر و عواطفه بتأویل ما ذکر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لایخفی أنّ تعمیم الإجتناب المنهیّ عنه بحیث یمکن جعله دلیلاً فی موضع النزاع إنّما یتمّ علی بعض هذه الوجوه، و لا ترجیح له علی غیره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أورد علیه </w:t>
      </w:r>
      <w:r>
        <w:rPr>
          <w:rStyle w:val="FootnoteAnchor"/>
          <w:rtl w:val="true"/>
        </w:rPr>
        <w:footnoteReference w:id="3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تعمیم الإجتناب المنهی عنه بحیث یمکن جعله دلیلاً فی موضع النزاع، یستقیم علی جمیع الوجوه المذکورة، مثلاً یمکن أن یقال علی تقدیر رجوع الضمیر إلی التعاطی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تعاطی الخمر یجب الإجتناب عنه مطلقاً، و من جملة تعاطیه مزاولتها و مباشرتها فی الصلاة و نحوها </w:t>
      </w:r>
      <w:r>
        <w:rPr>
          <w:rFonts w:eastAsia="IRNazanin" w:cs="IRNazanin"/>
          <w:color w:val="111111"/>
          <w:sz w:val="28"/>
          <w:szCs w:val="28"/>
          <w:rtl w:val="true"/>
          <w:lang w:bidi="fa-IR"/>
        </w:rPr>
        <w:t xml:space="preserve">. </w:t>
      </w:r>
      <w:bookmarkStart w:id="204" w:name="pg3696_43380"/>
    </w:p>
    <w:p>
      <w:pPr>
        <w:pStyle w:val="BookText"/>
        <w:rPr/>
      </w:pPr>
      <w:bookmarkEnd w:id="204"/>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هذا یلزم أن یکون الأمور المذکورة الآخر من المیسر و غیره أیضا نجسة لجریان الدلیل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بعض أنواع التعاطی فی الأشیاء الآخر بدلیل خارج لا یستلزم خروجه فیما لا دلیل علیه أیضا، و هو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الإجتناب عن کلّ شیء بحسبه، فالإجتناب عن الخمر أو تعاطیه إجتناب عن شربه، لا النظر إلیه و نحو ذلک کالإجتناب عن البواقی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ینافی الإجتناب المطلق فی الآیة، والحمل علی ترک الشرب فقط خلاف الإطلاق، والتقیید یحتاج إلی دلیل، و کون المتعارف شربه فیکون الإجتناب إجتناباً عن شربه لا یقتضی ذلک، و لا سیّما بعد کون المتعارف تعاطیه وبیعه و شرائه و نحو ذلک أیضا، مع أنّ الظاهر من الآیة الإجتناب عنه بقول مطلق کما یشعر إلیه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لعلّکم تفلحون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مع سائر إستعمالاته لا فلاح </w:t>
      </w:r>
      <w:r>
        <w:rPr>
          <w:rFonts w:eastAsia="IRNazanin" w:cs="IRNazanin"/>
          <w:color w:val="111111"/>
          <w:sz w:val="28"/>
          <w:szCs w:val="28"/>
          <w:rtl w:val="true"/>
          <w:lang w:bidi="fa-IR"/>
        </w:rPr>
        <w:t>.</w:t>
      </w:r>
    </w:p>
    <w:p>
      <w:pPr>
        <w:pStyle w:val="Heading6"/>
        <w:numPr>
          <w:ilvl w:val="5"/>
          <w:numId w:val="1"/>
        </w:numPr>
        <w:rPr/>
      </w:pPr>
      <w:bookmarkStart w:id="205" w:name="__RefHeading___Toc488367_2281741623"/>
      <w:bookmarkStart w:id="206" w:name="_Toc77"/>
      <w:bookmarkEnd w:id="205"/>
      <w:r>
        <w:rPr>
          <w:rtl w:val="true"/>
        </w:rPr>
        <w:t>الجواب عن الأخبار</w:t>
      </w:r>
      <w:bookmarkEnd w:id="206"/>
    </w:p>
    <w:p>
      <w:pPr>
        <w:pStyle w:val="BookText"/>
        <w:rPr/>
      </w:pPr>
      <w:r>
        <w:rPr>
          <w:rFonts w:ascii="IRNazanin" w:hAnsi="IRNazanin" w:eastAsia="IRNazanin"/>
          <w:color w:val="111111"/>
          <w:sz w:val="28"/>
          <w:sz w:val="28"/>
          <w:szCs w:val="28"/>
          <w:rtl w:val="true"/>
          <w:lang w:bidi="fa-IR"/>
        </w:rPr>
        <w:t xml:space="preserve">و أمّا عن الأخبار، فتارة علی وجه الإحتمال، و هو کما ذکره فی الذخیرة من أنّها معارضة بمثلها أو أقوی منها، و هو أخبار الطهارة و حملها علی الإستحباب غیر 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البیّن انّ حمل الأوامر والنواهی فی أخبارنا علی الإستحباب والکراهة شائع ذائع کأنّه الحقیقة کما أشرنا إلیه مراراً، فالجمع بین الأخبار بهذا الوجه أوجه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بما فیه أیضا من أنّ أخبار الطهارة معتضدة بالأصل والعمومات الدالّة </w:t>
      </w:r>
    </w:p>
    <w:p>
      <w:pPr>
        <w:pStyle w:val="BookText"/>
        <w:rPr/>
      </w:pPr>
      <w:r>
        <w:rPr>
          <w:rFonts w:ascii="IRNazanin" w:hAnsi="IRNazanin" w:eastAsia="IRNazanin"/>
          <w:color w:val="111111"/>
          <w:sz w:val="28"/>
          <w:sz w:val="28"/>
          <w:szCs w:val="28"/>
          <w:rtl w:val="true"/>
          <w:lang w:bidi="fa-IR"/>
        </w:rPr>
        <w:t xml:space="preserve">علی طهوریّة المیاه علی سبیل العموم، و من جملتها الملاقی للخمر، بل بظاهر القرآن أیضا فإنّه إذا وجد ماءا ملاقیاً للخمر یلزم بمقتضی القول بالتنجیس الإجتناب عنه، و مقتضی الآیات الوضوء والغسل به و عدم العدول إلی التیمّم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وتارة بما فی مجمع‌الفائدة من أنّه لیس فیالأخبار ما یصلح حجّة إلاّ المکاتبة، و دلالتها غیر صریحة، لأنّ قول أبی عبداللّه علیه‌السلام کان مع قول أبی جعفر علیه‌السلام أیضا، نعم إنفراده یشعر بأنّه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لیس بصریح، ففیها إجمال مّا و لا یصلح للاحتجاج فی مثل هذه المسألة بانفرادها لما ستقف علیه، و إن صلحت للإحتجاج للطهور فی الجملة لکنّها مکاتبة، والمشافهة خیر منها </w:t>
      </w:r>
      <w:r>
        <w:rPr>
          <w:rStyle w:val="FootnoteAnchor"/>
          <w:rtl w:val="true"/>
        </w:rPr>
        <w:footnoteReference w:id="37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ذکره فی الذخیرة من أنّ ما دلّ منها علی غسل الإناء من الخمر غیر دالّ علی النجاسة لجواز أن یکون ذلک تعبّدیّا و یکون الغرض التنزّه عن الأجزاء الخمریّة الّتی قلّما یقع الإنفکاک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تعلیل التنزّه عن آنیة أهل الکتاب بأنّهم یشربون فیها الخمر، و کذا ما دلّ علی نزح ماء البئر إذا صبّ فیها خمر، و کذا المنع ممّا وقع فیه الخمر من المرق والطبیخ والعجین، لجواز أن یکون ذلک للإحتراز عن الأجزاء الخمریّة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یمکن المناقشة بأنّ الأمر بغسل الثیاب فیما دلّ علیه غیر دالّ علی النجاسة أیضا، و کذا الأمر بإعادة الصلاة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بمنزلة الشحم و نظائره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واضح الدلالة علی النجاسة لجواز أن یکون المراد أنّه بمنزلته فی التحریم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خبر عبداللّه بن سنان غیر واضح الدلالة علی أنّ السائل یعتقد نجاسة الخمر لجواز أن یکون ذکره للخمر مع لحم الخنزیر بناء علی أنّه یعتقد إستحباب التحرّز عنه </w:t>
      </w:r>
      <w:r>
        <w:rPr>
          <w:rStyle w:val="FootnoteAnchor"/>
          <w:rtl w:val="true"/>
        </w:rPr>
        <w:footnoteReference w:id="37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بما ذکره فی المشارق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الروایات فما یتعلّق منها بالبئر ففیه أنّه قد تقدّم فی بحث البئر انّ روایات النزح معارضة بما یدلّ علی خلافها، ولایبعد حملها علی الإستحباب، بل هو الظاهر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تقدیر حملها علی الإستحباب لا یبقی دلالتها علی نجاسة الخمر، إذ إستحباب النزح لعلّه لأجل الإستقذار الّذی فیه، لکن لا بحیث یکون واصلاً إلی حدّ النجاسة الّتی بالمعنی المراد ههنا، أو لأجل إمتزاج ماء البئر بالأجزاء الخمریّة الّتی لا یکاد یسلم شارب ماء البئر من شربها، بل علی تقدیر حمل أمر النزح علی الوجوب أیضا لایبعد أن یقال لعلّه للتعبّد أو للإستقذار المذکور لا للنجاسة، لکن فیهما بعد، أو لأجل الإمتزاج المذکور، و لیس ببعید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علیّ بن مهزیار، ففیه انّ صیغة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لها فی الوجوب فی عرف أئمّتنا علیهم‌السلام ، نعم إذا وردت فی روایات متعدّدة صیغة الأمر و لم یوجد ما یدلّ علی الإستحباب فی روایة أخری بل و لم یظهر أیضا قول من الأصحاب بالإستحباب ، فحینئذ لا یبعد أن یقال بظهورها فی الوجوب کما ذکرنا سابقاً ، و فیما نحن فیه لیس کذلک إذ یوجد الروایات الدالّة علی الإستحباب و کذا القول بخلاف الوجوب من الأصحاب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أیضا أن یقال انّه لا ظهور للروایة فی أنّ المراد بقول أبی عبداللّه علیه‌السلام </w:t>
      </w:r>
      <w:bookmarkStart w:id="207" w:name="pg3696_43383"/>
    </w:p>
    <w:p>
      <w:pPr>
        <w:pStyle w:val="BookText"/>
        <w:rPr/>
      </w:pPr>
      <w:bookmarkEnd w:id="207"/>
      <w:r>
        <w:rPr>
          <w:rFonts w:ascii="IRNazanin" w:hAnsi="IRNazanin" w:eastAsia="IRNazanin"/>
          <w:color w:val="111111"/>
          <w:sz w:val="28"/>
          <w:sz w:val="28"/>
          <w:szCs w:val="28"/>
          <w:rtl w:val="true"/>
          <w:lang w:bidi="fa-IR"/>
        </w:rPr>
        <w:t xml:space="preserve">هو قوله الّذی إنفرد به علیه‌السلام ، إذ لعلّه یکون قوله الّذی مع قول أبی جعفر علیه‌السلام و یکون التعبیر بهذه العبارة المشتبهة للتقیّة ، إذ سیجیء أنّه یمکن أن یکون التقیّة فی القول بالنجاسة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صحیحة محمّد بن مسلم، ففیها أنّ النهی لا یدلّ علی الحرمة کما ذکرنا فی الأمر، و أیضا یجوز أن یکون النهی عن الأکل فی آنیتهم الّتی یشربون فیها الخمر باعتبار أنّها قلّما ینفکّ عن الأجزاء الخمریّة الّتی ربما لا یسلم الطعام الموضوع فیها عن مخالطتها والإمتزاج بها </w:t>
      </w:r>
      <w:r>
        <w:rPr>
          <w:rFonts w:eastAsia="IRNazanin" w:cs="IRNazanin"/>
          <w:color w:val="111111"/>
          <w:sz w:val="28"/>
          <w:szCs w:val="28"/>
          <w:rtl w:val="true"/>
          <w:lang w:bidi="fa-IR"/>
        </w:rPr>
        <w:t>.</w:t>
      </w:r>
    </w:p>
    <w:p>
      <w:pPr>
        <w:pStyle w:val="Heading6"/>
        <w:numPr>
          <w:ilvl w:val="5"/>
          <w:numId w:val="1"/>
        </w:numPr>
        <w:rPr/>
      </w:pPr>
      <w:bookmarkStart w:id="208" w:name="__RefHeading___Toc488369_2281741623"/>
      <w:bookmarkStart w:id="209" w:name="_Toc78"/>
      <w:bookmarkEnd w:id="208"/>
      <w:r>
        <w:rPr>
          <w:rtl w:val="true"/>
        </w:rPr>
        <w:t>إیراد المؤلّف علی ما یجاب عن هذه الأدلّة</w:t>
      </w:r>
      <w:bookmarkEnd w:id="209"/>
    </w:p>
    <w:p>
      <w:pPr>
        <w:pStyle w:val="BookText"/>
        <w:rPr/>
      </w:pPr>
      <w:r>
        <w:rPr>
          <w:rFonts w:ascii="IRNazanin" w:hAnsi="IRNazanin" w:eastAsia="IRNazanin"/>
          <w:color w:val="111111"/>
          <w:sz w:val="28"/>
          <w:sz w:val="28"/>
          <w:szCs w:val="28"/>
          <w:rtl w:val="true"/>
          <w:lang w:bidi="fa-IR"/>
        </w:rPr>
        <w:t xml:space="preserve">و أمّا صحیحة إبن سنان، ففیها أیضا أنّ النهی عن الصلاة لا ظهور له فی الحرمة علی ما مرّ ، مع أنّ صحیحتها الأخری المنقولة قرینة علی حمل النهی الوارد فی هذه الصحیحة علی الإستحباب، و مع الحمل علی الإستحباب لا یبقی الدلالة علی النجاسة، إذ الإستحباب یکفیه القذارة الغیرالواصلة إلی حدّ النجاسة کما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صحیحتها الأخری الدالّة بظاهرها أنّه قرّر الإمام علیه‌السلام السائل بأنّ الخمر ینجّس الثوب، ففیها أنّ کونه من باب التقریر الّذی یکون حجّة، منظور فیه، إذ یجوز أن یکون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تقدیر التنزّل والإستظهار، و لا نسلّم أنّه حینئذ یکون من باب الإغراء بالقبیح أو من باب تأخیر البیان عن وقت الحاجة، وهو ظاهر </w:t>
      </w:r>
      <w:r>
        <w:rPr>
          <w:rStyle w:val="FootnoteAnchor"/>
          <w:rtl w:val="true"/>
        </w:rPr>
        <w:footnoteReference w:id="37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جمیع ما مرّ عنهم نظر ؛ أمّا ما ذکره فی الذخیرة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أنّه بعد تسلیم کون أخبار الطهارة معارضة لأخبار النجاسة مع أنّه ممنوع کما ستعرف، یکون أخبار الطهارة مقدّمة راجحة علی تلک الأخبار من جهة الإعتضاد بالشهرة العظیمة والإجماعات المحکیّة و غیرها ممّا سیأتی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إعترف هو أیضا حیث قال بعد ذکر ما مرّ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ترجیح أخبار النجاسة لإشتهارها بین الطائفة و إعتضادها بالإجماع المنقول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لو لا الشهرة العظیمة و الإجماع المنقول کان القول بالطهارة متّجها، لکنّ الشهرة والإجماع المذکور یمنعنا من الإجتزاء علیه و إن کان له رجحان مّا، فإذن الإحتیاط و ترک الفتوی فیه متّجه </w:t>
      </w:r>
      <w:r>
        <w:rPr>
          <w:rStyle w:val="FootnoteAnchor"/>
          <w:rtl w:val="true"/>
        </w:rPr>
        <w:footnoteReference w:id="380"/>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والحمل علی الإستحباب لا داعی له، بل لا وجه له بعد کون الأمر حقیقة فی الوجوب و لو کان هذا مجازا سائغا شائعا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داع للجمع حتّی یحمل علی الإستحباب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نسلّم قاعدة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مهما أمکن أولی من الطرح، و لا سیّما بعد ظهور محمل بیّن للأخبار الدالّة علی النجاسة من الحمل علی التقیّة و نحوها کما ستعرف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الحمل علی الإستحباب والحکم به حکم لم یدلّ علیه دلیل من الأدلّة الشرعیّة، و کیف یجری أحد بالحکم به من دون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الإستحباب حکم شرعیّ کالوجوب والتحریم فیتوقّف الحکم به علی دلیل واضح و إلاّ کان قولاً علی اللّه من غیر علم، و قد إستفاضت الآیات القرآنیّة والسنّة النبویّة بالنهی عنه، و إختلاف الأخبار لیس من الأدلّة الّتی توجب الحکم بالإستحباب </w:t>
      </w:r>
      <w:r>
        <w:rPr>
          <w:rStyle w:val="FootnoteAnchor"/>
          <w:rtl w:val="true"/>
        </w:rPr>
        <w:footnoteReference w:id="38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الجمع بینها لا یقتضی جواز هذا الحکم، مع أنّ هذا وجه علاج للتعارض بین الأدلّة لم ینصّ علیه فی النصوص ، و لم یصرّح به أحد من العلماء الفحول ، </w:t>
      </w:r>
    </w:p>
    <w:p>
      <w:pPr>
        <w:pStyle w:val="BookText"/>
        <w:rPr/>
      </w:pPr>
      <w:r>
        <w:rPr>
          <w:rFonts w:ascii="IRNazanin" w:hAnsi="IRNazanin" w:eastAsia="IRNazanin"/>
          <w:color w:val="111111"/>
          <w:sz w:val="28"/>
          <w:sz w:val="28"/>
          <w:szCs w:val="28"/>
          <w:rtl w:val="true"/>
          <w:lang w:bidi="fa-IR"/>
        </w:rPr>
        <w:t>نعم قد یجوز هذا الوجه للجمع، بل یتعیّن لو کان له شاهد متین، فیکون العمل بذلک الشاهد و هو الحجّة حقیقة فی الإستحباب، أو تکون هناک قرائن توجب القطع بالحکم، أو توجب الظنّ القطعیّ الّذی هو حجّة فی مباحث الألفاظ بحیث تعرف الألفاظ عن ظواهرها وحقائقها، أو ممّا یحصل هناک للفقیه الماهر بانضمام تراکم ظنونه ظنّ متأخم‌بالعلم یحصل کمال الإطمینان له، ولیس ما نحن فیه من‌ذلک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 جملة من الأخبار المذکورة لم تقبل الحمل علی الإستحباب کخبر خیران الخادم، و خبر علیّ بن مهزیار، فإنّه مع أنّ الأمر بالغسل و إعادة الصلاة إنّما یناسب الوجوب لا الإستحباب ، لأنّ هذا التأکید و لا سیّما التعلیل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بعید عن الإستحباب، لا یلائم التقریر المستفاد من الإمام علیه‌السلام إعتقاد السائل، إذ السائل إنّما هو إعتقد الوجوب و لذا التبس له الأمر وکتب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المصرّح به فیهما إختلاف الأصحاب فی الحکم المذکور و مع کون خلافهم فی الإستحباب دون الوجوب یسهّل الأمر و لا یشکل بحیث یحتاج إلی مراجعة الإمام علیه‌السلام والمکاتبة إلیه بهذا الوجه من الکتابة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أنّ الظاهر من قوله فی صحیحة علیّ بن مهزیار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فاعلمنی ما آخذ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القولین متخالفان غیر متوافقان، و مع الحمل علی الإستحباب لا خلاف بینهما، لأنّه لا منافاة بین الطهارة و إستحباب الغسل، و صحّة الصلاة و إستحباب الإعادة ؛ و هذا هو الظاهر أیضا من جواب الإمام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بقول أبی عبداللّه علیه‌السلام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أصرح من هذین الخبرین فی الوجوب الخبران المشتمل أحدهما أنّه بمنزلة المیتة، والآخر أنّه بمنزلة شحم الخنزیر، و أصرح من الجمیع الخبر الوارد فی النبیذ المشتمل علی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یبل المیل ینجس حبّا من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الثابت منه نجاسة الخمر بطریق أولی و بعدم القول بالفصل، إلی غیر 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ما ذکره فیه </w:t>
      </w:r>
      <w:r>
        <w:rPr>
          <w:rStyle w:val="FootnoteAnchor"/>
          <w:rtl w:val="true"/>
        </w:rPr>
        <w:footnoteReference w:id="382"/>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أخبار الطهارة معتضدة بالأصل والعمومات، فبأنّ مثل هذه العمومات البعیدة لا تصیر عضداً لمثل هذه الأخبار بحیث أن یکون به الترجیح، بل و فی التأیید بها کلام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الأصل، فإنّ فی کون الأصل سبباً للترجیح ما فیه، مع أنّ لهم کلاماً فی تقدیم المقرر والناقل، و لا سیّما بعد کون أصالة الإشتغال بالطهارة بالماء الطاهر، والصلاة بالوضوء کذلک، و طهارة البدن عن النجاسات، معتضد علی خلافها، فتکون هذه عضداً لأخبار النجاسة، فکلّ ذلک لا یسوی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مجمع الفائدة من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الأخبار ما یصلح حجّة إلاّ المکاتبة و دلالتها غیر صریحة، 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التامّة السند والدلالة غیر منحصرة به، فإنّ من الصحاح المکاتبة، و خبر خیران علی ما تقدّم، و دلالة الأوّل کما تقدّم ظاهر و لا حاجة إلی الصراحة فی الحجّیة، فإنّ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بقول 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قول السائل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عن أبی جعفر و أبی عبداللّه علیهماالسلام کذا و عن أبی عبداللّه علیه‌السلام 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دلالة واضحة علی أنّ المراد القول الأخیر، وإحتمال الأوّل إحتمال فاسد أو بعید جدّا بحیث لا ینافی الظهور الّذی هو حجّة، فلا وجه لجعل الروایة بسبب هذا الإحتمال الضعیف مجملاً، و إلاّ لانسدّ باب الإستدلال، فإنّ أوسع شیء باب الإحتمال، و لصارت جملة من الظواهر مدفوعة بطعن الإجمال </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مضافاً إلی أنّه یظهر منه عدم إنکار ظهور الخبر و لکنّه أنکر الصراحة ولاینکرها کما لا یضرّنا أیضا، مع أنّه قد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أنّه لایصلح للإحتجاج فی هذه </w:t>
      </w:r>
    </w:p>
    <w:p>
      <w:pPr>
        <w:pStyle w:val="BookText"/>
        <w:rPr/>
      </w:pPr>
      <w:r>
        <w:rPr>
          <w:rFonts w:ascii="IRNazanin" w:hAnsi="IRNazanin" w:eastAsia="IRNazanin"/>
          <w:color w:val="111111"/>
          <w:sz w:val="28"/>
          <w:sz w:val="28"/>
          <w:szCs w:val="28"/>
          <w:rtl w:val="true"/>
          <w:lang w:bidi="fa-IR"/>
        </w:rPr>
        <w:t xml:space="preserve">المسألة بانفرادها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الدالّ علی أنّه یصلح مع الإنضمام بغیرها و قد مرّ غیرها کخبر خیران وخبری عمّار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تقدیم المشافهة علی المکاتبة محلّ الإنکار، لأنّ المشافهة أبعد عن الخطأ والحیل فیها، بخلاف المکاتبة لإمکان کونها من غیر الإمام علیه‌السلام و إن کان الخطّ شبیهاً بخطّ الإمام علیه‌السلام ، أو أنّ فیه تصحیفاً من المصحفین أو نحو ذلک، و هذه الإحتمالات لاتأتی فی المشافهات، لکن مثل هذه الإحتمالات تأتی فیالمشافهة لکونها أقرب فی إحتمال التقیّة الشایعة منهم المقدّم علی جملة من الإحتمالات، و إحتمال الإشتباه فی السمع قائم و مثل هذا الإحتمال بعید فی المکاتبة جدّا، و غیر ذلک من الإحتمالات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وجه لتقدیم المشافهة علی المکاتبة علی کلّ حال مع حصول القطع بکون الکتابة بخطّ الإمام علیه‌السلام ، و لا سیّما إذا کان الطریق منحصراً بالکتابة بحیث لا یمکن لقاء الإمام علیه‌السلام لغیبته أو لنحو ذلک ، فالإطمینان بالکتابة کثیرا مّا أزید من الإطمینان من السماع من العدل بل العدلین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الذخیرة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 أنّ ما ذکره أوّلاً من إحتمال التعبّد، بعید جدّاً بأن یکون الخمر طاهراً، و یلزم غسل أوانیه، و إهراق ما فیها من باب التعبّد الصرف کما لا یخفی ، بل هذا فاسد لدی العارف بألسنتهم ، فإنّ نظیر ذلک کثیر فیالشرع وافتهموا منه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إحتمال التنزّه عن الأجزاء الخمریّة، فهو إحتمال غیر إحتمال التعبّد، بل ینافیه، فجعله بیان لغرض التعبّد کما یقتضیه ظاهر کلامه، کما تری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الإحتمال قد ذکرناه فی بعض الأخبار السابقة کخبر محمّد بن مسلم </w:t>
      </w:r>
    </w:p>
    <w:p>
      <w:pPr>
        <w:pStyle w:val="BookText"/>
        <w:rPr/>
      </w:pPr>
      <w:r>
        <w:rPr>
          <w:rFonts w:ascii="IRNazanin" w:hAnsi="IRNazanin" w:eastAsia="IRNazanin"/>
          <w:color w:val="111111"/>
          <w:sz w:val="28"/>
          <w:sz w:val="28"/>
          <w:szCs w:val="28"/>
          <w:rtl w:val="true"/>
          <w:lang w:bidi="fa-IR"/>
        </w:rPr>
        <w:t xml:space="preserve">المشتمل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نهی رسول اللّه صلی‌الله‌علیه‌و‌آله عن الدُّبّاء والمزفّت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خبر أبی الربیع الشامیّ الّذی هو مثله، و روایة عمر بن حنظلة المشتملة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واللّه و لا قطرة تقطر منه فی حبّ إلاّ أهریق ذلک الحبّ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یحتمل فی هذه الأخبار أن یکون الباعث للمنع وجود الأجزاء الخمریّة فی تلک الأوانی المقتضی للأکل، أو الشرب فیها شرب بعض الأجزاء الخمریّة، لکن هذه الأخبار الثلاثة لم یذکرها فی الذخیرة، نعم ذکر روایة زکریّا بن آدم ولولا ما یستفاد من ظاهرها من النجاسة لم نقل فیها أیضا بالدلالة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روایة عمّار الّتی ذکرها فیها و تکون محطّ نظره، فلا وجه لهذا الحمل فیها، لأنّ فیها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قال فی قدح أو إناء یشرب فیه 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 ثلاث مرّات، سئل أیجزیه أن یصبّ فیه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حتّی یدلکه بیده و یغسله ثلاث 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کان الوجه للمنع هو وجود الأجزاء الخمریّة لاکتفی بالغسل الواحد أو بالغسل الواحد عقیب الدلک لذهاب تلک الأجزاء حینئذ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 أخبار غسل الثوب، و إعادة الصلاة مع الصلاة فی الثوب الّذی أصابه الخمر الظاهرة فی النجاسة، علی مجرّد التعبّد، خلاف ما یقتضیه المعهود من ذلک و فهم الأصحاب فی المقام و غیره ، بل خلاف ظاهر اللفظ و خلاف ما هو المصرّح به، أو بمنزلة التصریح بالنجاسة فی غیر ذلک من الأخبار کقوله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یبل المیل ینجس حبّا من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 ذلک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 ما دلّ علی تنزیلها منزلة شحم الخنزیر والمیتة، علی مجرّد التحریم أی تحریم الشرب، ینافی عموم المنزلة المستفاد منه، مع أنّه لم یظهر أن یکون المقصود أکل ما فیه الخمر و لا شربه، بل إنّما سئل فی الأوّل من روایتی المنزلة، وهی صحیحة الحلبی، عن التداوی به، والتداوی أعمّ من الأکل والشرب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ألا تری إنّه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أحبّ أن أنظر إلیه فکیف أتداوی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الظاهر منه أنّ المقصود مطلق التداوی به و لو بالطلاء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فی الثانیة منهما عن التکحل بالکحل المعجون بالخمر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عبداللّه بن سنان، فإن أراد الروایة الأولی المذکورة فیها وهی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سأل أبی أباعبداللّه علیه‌السلام عن الّذی یعیر ثوبه لمن یعلم أنّه یأکل الخنزیر و یشرب الخمر فیردّه، أیصلّی فیه قبل أن یغسله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تصلّی حتّی یغسله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فقد ذکرنا ما فیها من ضعف الدلالة </w:t>
      </w:r>
      <w:r>
        <w:rPr>
          <w:rStyle w:val="FootnoteAnchor"/>
          <w:rtl w:val="true"/>
        </w:rPr>
        <w:footnoteReference w:id="383"/>
      </w:r>
      <w:r>
        <w:rPr>
          <w:rFonts w:ascii="IRNazanin" w:hAnsi="IRNazanin" w:eastAsia="IRNazanin"/>
          <w:color w:val="111111"/>
          <w:sz w:val="28"/>
          <w:sz w:val="28"/>
          <w:szCs w:val="28"/>
          <w:rtl w:val="true"/>
          <w:lang w:bidi="fa-IR"/>
        </w:rPr>
        <w:t xml:space="preserve">، لکن لا لما ذکره کما تقدّم ؛ وإن أراد الثانیة و هی روایته الأخری، فالظاهر منها بل من الأولی أیضا تقریر الإمام علیه‌السلام بالنجاسة، بل فی الأخیر نوع إشعار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إحتمال أنّ السائل ربما یعتقد إستحباب التحرّز عنه فإنّما التقریر أفاد إثبات هذا المعتقد، ففیه أنّه ینافی ما هو الظاهر منه من جعل الخمر و لحم الخنزیر علی حدّ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المستفاد من الروایة الثانیة، بل الروایتین معاً انّ السائل کان معتقداً لنجاسة الخمر کما یشعر به تقدیم الخمر علی لحم الخنزیر فی الثانیة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فی المشارق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أخبار نزح البئر محمولة علی الإستحباب، فالکلام معه فی هذا المقام فی غیر محلّه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هذا لأجل إختلاط الأجزاء الخمریّة بالماء کما ذکره فی الذخیرة أیضا فیما تقدّم النقل عنه، ففیه أنّه مع الإستهلاک لا داعی للتحریم وإلاّ لم یجز شرب المیاه الجاریة والراکد الکثیر إذا وقع فیها خمر، و هو بیّن البطلان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قال من أنّه لا یکاد یسلم شارب ماء البئر من شربها فیه ما لا یخفی، بل یمکن أن نقول حینئذ بالإنقلاب بعد الخلط، فیصیر الجمیع 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الأحکام دائرة مدار الأسامی، و هذا الماء لیس خمراً کما أنّ أجزائه لیست أجزاء 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ذکره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الإیراد علی الإحتجاج بصحیحة إبن مهزیار من أنّ 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لها فی الوجوب، فیه أنّه مع أنّ تفصیل الکلام معه فی الأصول وقلنا هناک أنّه لو لم یکن الأمر ظاهراً فی الوجوب یکون محمولاً علی الوجوب، و إن قلنا بکونه حقیقة فی القدر المشترک أیضا، إذ کونه حقیقة فی الإستحباب فقط، أو علی وجه الإشتراک، لا وجه له کما بیّناه هناک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لکنّه قد ذکر بعد هذا الکلام بلا فاصلة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وردت فی روایات متعدّدة صیغة الأمر و لم یوجد ما یدلّ علی الإستحباب فی روایة أخری ولم یظهر أیضا من الأصحاب قول بالإستحباب ، فحینئذ لا یبعد أن یقال بظهورها فی الوجوب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تری بین هذین الکلامین من المنافاة إلاّ إذا کان المراد صیغة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بخصوصها فی خصوص المقام ، فظاهر کلامه أنّه سلّم کون صیغة الأمر حقیقة فی الوجوب، لکن لمکان الروایات الآخر قد حمل علی الإستحباب، و قد ذکرنا الجواب عن ذلک حین التعرّض لردّ الذخیرة </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 ذکره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أنّه لاظهور فیالروایة فی کون المراد بقول أبیعبداللّه علیه‌السلام هو الّذی إنفرد به، فهو کلام قد بیّنا ضعفه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وما ذکره فی بیان ذلک من‌أنّه لعلّه یکون‌المراد قوله الّذی مع قول أبیجعفر علیه‌السلام و یکون التعبیر بهذه العبارة المشتبهة للتقیّة، فاسد بیّن الفساد إذ بعد تسلیم الظهور کما هو الظاهر منه لا وجه لرفع الید عنه بمثل هذه الإحتمالات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بعض العلماء الأواخر ردّا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ما ذکره الخوانساریّ من أنّه یمکن أن یکون المراد بقول أبی عبداللّه علیه‌السلام قوله الّذی مع قول أبی جعفر علیه‌السلام و یکون التعبیر بهذه العبارة المشتبهة للتقیّة، فهو ممّا لا یردح إلاّ علی الصبیان العاری </w:t>
      </w:r>
      <w:r>
        <w:rPr>
          <w:rStyle w:val="FootnoteAnchor"/>
          <w:rtl w:val="true"/>
        </w:rPr>
        <w:footnoteReference w:id="385"/>
      </w:r>
      <w:r>
        <w:rPr>
          <w:rFonts w:ascii="IRNazanin" w:hAnsi="IRNazanin" w:eastAsia="IRNazanin"/>
          <w:color w:val="111111"/>
          <w:sz w:val="28"/>
          <w:sz w:val="28"/>
          <w:szCs w:val="28"/>
          <w:rtl w:val="true"/>
          <w:lang w:bidi="fa-IR"/>
        </w:rPr>
        <w:t xml:space="preserve">الأفهام و الأذهان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ذکره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الکلام علی روایة محمّد بن مسلم، فمع ما فیه من منع کون النهی حقیقة فی الحرمة، غیر وارد علینا لأنّا لم نستدلّ بها لوجه ذکرناه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ذکره 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الکلام فی صحیحة إبن سنان، فمع عدم وروده من جهة ذکرها، غیر وارد علینا أیضا حیث لم نذکرها من الأدلّة الصحیحة من جهة النهی الّذی فیها، بل یمکن الإستدلال بروایتیه السابقتین من جهة التقریر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یستفاد من صحیحته الثانیة ما ربما یستفاد منه النجاسة فیصحّ الإستدلال بها، لکن فیه تأمّلاً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الکلام فی الصحیحة الثانیة من دلالتها علی النجاسة من باب التقریر، خلاف الظاهر، و ظاهر النهی الحرمة، و لا سیّما بعد التعلیل بما علّل ممّا یشمل الخمر بظاهرها </w:t>
      </w:r>
      <w:r>
        <w:rPr>
          <w:rFonts w:eastAsia="IRNazanin" w:cs="IRNazanin"/>
          <w:color w:val="111111"/>
          <w:sz w:val="28"/>
          <w:szCs w:val="28"/>
          <w:rtl w:val="true"/>
          <w:lang w:bidi="fa-IR"/>
        </w:rPr>
        <w:t xml:space="preserve">. </w:t>
      </w:r>
      <w:bookmarkStart w:id="210" w:name="pg3696_43392"/>
    </w:p>
    <w:p>
      <w:pPr>
        <w:pStyle w:val="Heading5"/>
        <w:numPr>
          <w:ilvl w:val="4"/>
          <w:numId w:val="1"/>
        </w:numPr>
        <w:rPr/>
      </w:pPr>
      <w:bookmarkStart w:id="211" w:name="__RefHeading___Toc488371_2281741623"/>
      <w:bookmarkStart w:id="212" w:name="_Toc79"/>
      <w:bookmarkEnd w:id="210"/>
      <w:bookmarkEnd w:id="211"/>
      <w:r>
        <w:rPr>
          <w:rtl w:val="true"/>
        </w:rPr>
        <w:t xml:space="preserve">القول الثانی </w:t>
      </w:r>
      <w:r>
        <w:rPr>
          <w:rtl w:val="true"/>
        </w:rPr>
        <w:t xml:space="preserve">: </w:t>
      </w:r>
      <w:r>
        <w:rPr>
          <w:rtl w:val="true"/>
        </w:rPr>
        <w:t>طهارة الخمر</w:t>
      </w:r>
      <w:bookmarkEnd w:id="212"/>
    </w:p>
    <w:p>
      <w:pPr>
        <w:pStyle w:val="Heading6"/>
        <w:numPr>
          <w:ilvl w:val="5"/>
          <w:numId w:val="1"/>
        </w:numPr>
        <w:rPr/>
      </w:pPr>
      <w:bookmarkStart w:id="213" w:name="__RefHeading___Toc488373_2281741623"/>
      <w:bookmarkStart w:id="214" w:name="_Toc80"/>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 xml:space="preserve">القول الثانی هو طهارة الخمر، و هو مذهب الصدوق وإبن أبی عقیل والجعفیّ، و جملة من المتأخّرین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رحمه‌الله فی الفقیه، فی باب ما ینجس الثوب والجسد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بالصلاة فی ثوب أصابه خمر ، لأنّ اللّه عزّوجلّ حرّم شربها و لم یحرّم الصلاة فی ثوب أصابته، فأمّا فی بیت فیه خمر فلا یجوز الصلاة فیه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المحکی عنه فی کتابه المقنع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إبن أبی عقیل العمّانی رحمه‌الله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أصاب ثوبه أو جسده خمر أو مسکر لم یکن علیه غسلهما، لأنّ اللّه تعالی إنّما حرّمهما تعبّدا لا لأنّهما نجسان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الذکری </w:t>
      </w:r>
      <w:r>
        <w:rPr>
          <w:rStyle w:val="FootnoteAnchor"/>
          <w:rtl w:val="true"/>
        </w:rPr>
        <w:footnoteReference w:id="390"/>
      </w:r>
      <w:r>
        <w:rPr>
          <w:rFonts w:ascii="IRNazanin" w:hAnsi="IRNazanin" w:eastAsia="IRNazanin"/>
          <w:color w:val="111111"/>
          <w:sz w:val="28"/>
          <w:sz w:val="28"/>
          <w:szCs w:val="28"/>
          <w:rtl w:val="true"/>
          <w:lang w:bidi="fa-IR"/>
        </w:rPr>
        <w:t xml:space="preserve">نسبة هذا القول إلی الجعفی، کما فی الدروس و غیره أیضا </w:t>
      </w:r>
      <w:r>
        <w:rPr>
          <w:rStyle w:val="FootnoteAnchor"/>
          <w:rtl w:val="true"/>
        </w:rPr>
        <w:footnoteReference w:id="391"/>
      </w:r>
      <w:r>
        <w:rPr>
          <w:rFonts w:ascii="IRNazanin" w:hAnsi="IRNazanin" w:eastAsia="IRNazanin"/>
          <w:color w:val="111111"/>
          <w:sz w:val="28"/>
          <w:sz w:val="28"/>
          <w:szCs w:val="28"/>
          <w:rtl w:val="true"/>
          <w:lang w:bidi="fa-IR"/>
        </w:rPr>
        <w:t xml:space="preserve">، کما أنّ فی النزهة إسناده إلی علیّ بن بابویه فی رسالته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تبع هؤلاء جماعة من متأخّری المتأخّرین کالأردبیلیّ أسکنه المقام العلی، و صاحب المدارک والذخیرة والمشارق و 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الأردبیلیّ فی آیات الأحکام فی مقام بیان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دلالة فیها علی نجاسة الخمر، و لهذا قال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حرّم شربها لا الصلاة فی ثوب أصابته، فتأمّل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والأخبار مختلفة فی ذلک والأصل یؤیّده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دلالة فیها علی نجاسة الخمر و هو ظاهر، بل لا دلالة فی الأخبار أیضا لإختلافها، والجمع بحمل ما تدلّ علی وجوب الغسل علی الإستحباب أولی من حمل ما یدلّ علی عدمه علی التقیّة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الفائدة بعد أن أنکر الإجماع و دلالة الآیة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فی الأخبار ما یصلح حجّة إلاّ المکاتبة، و دلالتها غیر صریحة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إجمال مّا، و لا یصلح للإحتجاج فی هذه المسألة بانفرادها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أتی بدلیل القول بالطهارة،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والجمع بین الأدلّة بحمل الأولی علی الکراهة و إستحباب الغسل والإجتناب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والإحتیاط لا ینبغی ترکه </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المدارک بعد ذکر أدلّة القائلین بالنجاسة والجواب عنها، و ذکر أدلّة القائلین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أجاب الأوّلون عن هذه الأخبار بالحمل علی التقیّة جمعاً بینها و بین ما تضمّن الأمر بغسل الثوب منه، و هو مشکل، لأنّ أکثر العامّة قائلون بالنجاسة، نعم یمکن الجمع بینها بحمل ما تضمّن الأمر بالغسل علی الإستحباب، لأنّ إستعمال الأمر فی الندب مجاز شائع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 xml:space="preserve">. </w:t>
      </w:r>
      <w:bookmarkStart w:id="215" w:name="pg3696_43394"/>
    </w:p>
    <w:p>
      <w:pPr>
        <w:pStyle w:val="BookText"/>
        <w:rPr/>
      </w:pPr>
      <w:bookmarkEnd w:id="215"/>
      <w:r>
        <w:rPr>
          <w:rFonts w:ascii="IRNazanin" w:hAnsi="IRNazanin" w:eastAsia="IRNazanin"/>
          <w:color w:val="111111"/>
          <w:sz w:val="28"/>
          <w:sz w:val="28"/>
          <w:szCs w:val="28"/>
          <w:rtl w:val="true"/>
          <w:lang w:bidi="fa-IR"/>
        </w:rPr>
        <w:t xml:space="preserve">و قال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التحقیق أنّه یمکن ترجیح أخبار الطهارة لکثرة الصحیح منها، و وضوح دلالتها، و بعد التأویل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البیّن أنّ حمل الأوامر والنواهی فی أخبارنا علی الإستحباب والکراهة شائع ذائع ، حتّی کأنّه الحقیقة کما أشرنا إلیه مراراً ، فالجمع بین الأخبار بهذا الوجه أوجه، مع إعتضاد أخبار الطهارة بالأصل ، والعمومات الدالّة علی طهوریّة الماء علی سبیل العموم و من جملتها الملاقی للخمر </w:t>
      </w:r>
      <w:r>
        <w:rPr>
          <w:rStyle w:val="FootnoteAnchor"/>
          <w:rtl w:val="true"/>
        </w:rPr>
        <w:footnoteReference w:id="396"/>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یحکی عن المصنّف رحمه‌الله فی المعتبر التوقّف فی الحکم المذکور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الوجه إنّ الأخبار المشار إلیها من الطرفین ضعیفة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عدا هذه الأخبار مثلها فی الضعف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والإستدلال بالآیة فیه إشکالات، لکن مع إختلاف الأصحاب والأخبار تؤخذ بالأحوط فی الدین </w:t>
      </w:r>
      <w:r>
        <w:rPr>
          <w:rStyle w:val="FootnoteAnchor"/>
          <w:rtl w:val="true"/>
        </w:rPr>
        <w:footnoteReference w:id="39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مثله یظهر من بعض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6" w:name="__RefHeading___Toc488375_2281741623"/>
      <w:bookmarkStart w:id="217" w:name="_Toc81"/>
      <w:bookmarkEnd w:id="216"/>
      <w:r>
        <w:rPr>
          <w:rtl w:val="true"/>
        </w:rPr>
        <w:t xml:space="preserve">المستند لهذا القول أمور </w:t>
      </w:r>
      <w:r>
        <w:rPr>
          <w:rtl w:val="true"/>
        </w:rPr>
        <w:t>:</w:t>
      </w:r>
      <w:bookmarkEnd w:id="217"/>
    </w:p>
    <w:p>
      <w:pPr>
        <w:pStyle w:val="Heading6"/>
        <w:numPr>
          <w:ilvl w:val="5"/>
          <w:numId w:val="1"/>
        </w:numPr>
        <w:rPr/>
      </w:pPr>
      <w:bookmarkStart w:id="218" w:name="__RefHeading___Toc488377_2281741623"/>
      <w:bookmarkStart w:id="219" w:name="_Toc82"/>
      <w:bookmarkEnd w:id="218"/>
      <w:r>
        <w:rPr>
          <w:rtl w:val="true"/>
        </w:rPr>
        <w:t xml:space="preserve">الأوّل </w:t>
      </w:r>
      <w:r>
        <w:rPr>
          <w:rtl w:val="true"/>
        </w:rPr>
        <w:t xml:space="preserve">: </w:t>
      </w:r>
      <w:r>
        <w:rPr>
          <w:rtl w:val="true"/>
        </w:rPr>
        <w:t>الأصل من وجوه</w:t>
      </w:r>
      <w:bookmarkEnd w:id="21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 من وجوه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أصالة العدم ، والإستصحاب ، و أصالة البرائة فی بعض الوجوه، و نحوها </w:t>
      </w:r>
      <w:r>
        <w:rPr>
          <w:rFonts w:eastAsia="IRNazanin" w:cs="IRNazanin"/>
          <w:color w:val="111111"/>
          <w:sz w:val="28"/>
          <w:szCs w:val="28"/>
          <w:rtl w:val="true"/>
          <w:lang w:bidi="fa-IR"/>
        </w:rPr>
        <w:t xml:space="preserve">. </w:t>
      </w:r>
      <w:bookmarkStart w:id="220" w:name="pg3696_43395"/>
    </w:p>
    <w:p>
      <w:pPr>
        <w:pStyle w:val="Heading6"/>
        <w:numPr>
          <w:ilvl w:val="5"/>
          <w:numId w:val="1"/>
        </w:numPr>
        <w:rPr/>
      </w:pPr>
      <w:bookmarkStart w:id="221" w:name="__RefHeading___Toc488379_2281741623"/>
      <w:bookmarkStart w:id="222" w:name="_Toc83"/>
      <w:bookmarkEnd w:id="220"/>
      <w:bookmarkEnd w:id="221"/>
      <w:r>
        <w:rPr>
          <w:rtl w:val="true"/>
        </w:rPr>
        <w:t xml:space="preserve">الثانی </w:t>
      </w:r>
      <w:r>
        <w:rPr>
          <w:rtl w:val="true"/>
        </w:rPr>
        <w:t xml:space="preserve">: </w:t>
      </w:r>
      <w:r>
        <w:rPr>
          <w:rtl w:val="true"/>
        </w:rPr>
        <w:t xml:space="preserve">عموم قوله </w:t>
      </w:r>
      <w:r>
        <w:rPr>
          <w:rtl w:val="true"/>
        </w:rPr>
        <w:t xml:space="preserve">: </w:t>
      </w:r>
      <w:r>
        <w:rPr>
          <w:rtl w:val="true"/>
        </w:rPr>
        <w:t>کلّ شیء طاهر حتّی تعلم أنّه نجس</w:t>
      </w:r>
      <w:bookmarkEnd w:id="222"/>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طاهر حتّی تعلم أنّه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استدلّ به فی مجمع الفائدة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488381_2281741623"/>
      <w:bookmarkStart w:id="224" w:name="_Toc84"/>
      <w:bookmarkEnd w:id="223"/>
      <w:r>
        <w:rPr>
          <w:rtl w:val="true"/>
        </w:rPr>
        <w:t xml:space="preserve">الثالث </w:t>
      </w:r>
      <w:r>
        <w:rPr>
          <w:rtl w:val="true"/>
        </w:rPr>
        <w:t xml:space="preserve">: </w:t>
      </w:r>
      <w:r>
        <w:rPr>
          <w:rtl w:val="true"/>
        </w:rPr>
        <w:t>جملة من الأخبار</w:t>
      </w:r>
      <w:bookmarkEnd w:id="224"/>
    </w:p>
    <w:p>
      <w:pPr>
        <w:pStyle w:val="Heading6"/>
        <w:numPr>
          <w:ilvl w:val="5"/>
          <w:numId w:val="1"/>
        </w:numPr>
        <w:rPr/>
      </w:pPr>
      <w:bookmarkStart w:id="225" w:name="__RefHeading___Toc488383_2281741623"/>
      <w:bookmarkStart w:id="226" w:name="_Toc85"/>
      <w:bookmarkEnd w:id="225"/>
      <w:r>
        <w:rPr>
          <w:rtl w:val="true"/>
        </w:rPr>
        <w:t>اشارة</w:t>
      </w:r>
      <w:bookmarkEnd w:id="226"/>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الأخبار،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باب تطهیر الثیاب، فی شرح عبارة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 و نبیذ التمر و کلّ مسکر نجس، إلی آخره، باسناده الصحیح عن أحمد ، عن أبی عبداللّه البرقی ، عن محمّد بن أبی عمیر ، عن الحسین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ثوبی شیء من الخمر أصلّی فیه قبل أن أغسله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الثوب لا یسکر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الإستبصار فی باب الخمر یصیب الثوب، عنه، أی عن أحمد بن محمّد بن عیسی ، لأنّه هو المذکور فی السند السابق ، عن أحمد البرقی، عن محمّد بن أبی عمیر، عن الحسن بن أبی سارة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السندین إختلاف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المرویّ عنه لأحمد فی السند الأوّل و هو سند التهذیب، عبداللّه البرقی، و هو محمّد بن خالد البرقی، و فی الثانی </w:t>
      </w:r>
      <w:r>
        <w:rPr>
          <w:rStyle w:val="FootnoteAnchor"/>
          <w:rtl w:val="true"/>
        </w:rPr>
        <w:footnoteReference w:id="402"/>
      </w:r>
      <w:r>
        <w:rPr>
          <w:rFonts w:ascii="IRNazanin" w:hAnsi="IRNazanin" w:eastAsia="IRNazanin"/>
          <w:color w:val="111111"/>
          <w:sz w:val="28"/>
          <w:sz w:val="28"/>
          <w:szCs w:val="28"/>
          <w:rtl w:val="true"/>
          <w:lang w:bidi="fa-IR"/>
        </w:rPr>
        <w:t xml:space="preserve">أحمد البرقی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إنّ السهو فی الثانی لا الأوّل، لبعد روایة أحمد بن محمّد بن عیسی، عن أحمد بن محمّد بن خالد البرقی کما لا یخفی </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الراوی عن الإمام علیه‌السلام فی الأوّل هو الحسین بن أبی سارة، و فی الثانی الحسن بن أبی سارة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والظاهر انّ السهو فی الأوّل لعدم وجود الحسین بن أبی سارة فی الرجال ؛ فالصحیح من السند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عیسی، عن محمّد بن خالد البرقی، عن إبن أبی عمیر، عن الحسن بن أبی سارة، و لولا ذلک لأمکن تضعیف الروایة من أوّل الأمر، و کیف کان فالسند إلی الحسن صحیح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الحسن بن أبی سارة، فقد صرّح فی الخلاصة بوثاقته حیث قال فی القسم الأوّل من کتابه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سارة ثقة، روی عن أبی عبداللّه علیه‌السلام </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رجال النجاشی فی ترجمة إبنه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أبی سارة أبوجعفر، مولی الأنصار، یعرف بالرَوّاسِیّ، أصله کوفیّ، سکن هو و أبوه قبله النِیل، روی هو و أبوه عن أبی جعفر و عن أبی عبداللّه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عمّ محمّد بن الحسن مُعاذ بن مسلم بن أبی سارة ، و هم أهل بیت فضل و أدب، و علی مُعاذ و محمّد فَقِهَ الکِسائی علم العرب و اللسان، و القراء </w:t>
      </w:r>
      <w:r>
        <w:rPr>
          <w:rStyle w:val="FootnoteAnchor"/>
          <w:rtl w:val="true"/>
        </w:rPr>
        <w:footnoteReference w:id="404"/>
      </w:r>
      <w:r>
        <w:rPr>
          <w:rFonts w:ascii="IRNazanin" w:hAnsi="IRNazanin" w:eastAsia="IRNazanin"/>
          <w:color w:val="111111"/>
          <w:sz w:val="28"/>
          <w:sz w:val="28"/>
          <w:szCs w:val="28"/>
          <w:rtl w:val="true"/>
          <w:lang w:bidi="fa-IR"/>
        </w:rPr>
        <w:t xml:space="preserve">یحکون فی کتبهم کثیراً، قال أبو جعفر الرَوّاسِی و محمّد بن الحسن، و هم ثقات، لا یطعن علیهم بشیء </w:t>
      </w:r>
      <w:r>
        <w:rPr>
          <w:rStyle w:val="FootnoteAnchor"/>
          <w:rtl w:val="true"/>
        </w:rPr>
        <w:footnoteReference w:id="40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النجاشی،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الرواسی و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 فی کتب القراء ، أی یقولون فی کتبهم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الرواسی، و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فتارة یسمّون بإسمه، و تارة یکنّون بکنیته، هذا هو الظاهر من عبارة النجاشی، و مثله ما فی الخلاصة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بعض الحواشی علی الخلاصة </w:t>
      </w:r>
      <w:r>
        <w:rPr>
          <w:rStyle w:val="FootnoteAnchor"/>
          <w:rtl w:val="true"/>
        </w:rPr>
        <w:footnoteReference w:id="406"/>
      </w:r>
      <w:r>
        <w:rPr>
          <w:rFonts w:ascii="IRNazanin" w:hAnsi="IRNazanin" w:eastAsia="IRNazanin"/>
          <w:color w:val="111111"/>
          <w:sz w:val="28"/>
          <w:sz w:val="28"/>
          <w:szCs w:val="28"/>
          <w:rtl w:val="true"/>
          <w:lang w:bidi="fa-IR"/>
        </w:rPr>
        <w:t xml:space="preserve">الموجودة عندی، إشتباه غریب، حیث </w:t>
      </w:r>
    </w:p>
    <w:p>
      <w:pPr>
        <w:pStyle w:val="BookText"/>
        <w:rPr/>
      </w:pPr>
      <w:r>
        <w:rPr>
          <w:rFonts w:ascii="IRNazanin" w:hAnsi="IRNazanin" w:eastAsia="IRNazanin"/>
          <w:color w:val="111111"/>
          <w:sz w:val="28"/>
          <w:sz w:val="28"/>
          <w:szCs w:val="28"/>
          <w:rtl w:val="true"/>
          <w:lang w:bidi="fa-IR"/>
        </w:rPr>
        <w:t xml:space="preserve">توهّم أنّ المراد بأبی جعفر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أبوجعفر الرواسی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الباقر علیه‌السلام ، و جعل الرواسی مقول قوله علیه‌السلام ، أی قال أبوجعفر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الرواسی و هم ثقات، والظاهر أنّه جعل الرواسی کنایة عن تمام أهل ذلک البیت، فإنّ هذا مع فساده لا یوافق ما فی رجال النجاشی کما لا یخفی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أنّه ربما توهّم بعض </w:t>
      </w:r>
      <w:r>
        <w:rPr>
          <w:rStyle w:val="FootnoteAnchor"/>
          <w:rtl w:val="true"/>
        </w:rPr>
        <w:footnoteReference w:id="407"/>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مقالة أبی جعفر، وأبوجعفر هذا مجهول أو مشترک بین الثقة و غیرها، فلا یجوز الحکم بالوثاقة لمحمّد بن الحسن و لا لأبیه من ذلک، والعلاّمة رحمه‌الله لما کان مأخذ کلامه ذلک لایمکن الحکم بوثاقة الخبر الّذی نحن فیه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أیضا فاسد کما لا یخفی، فالخبر صحیح سندا و دلالته 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یمکن أن یقال فی سنده بأنّ المصرّح بالتوثیق فی الترجمة المختصّة بالحسن بن أبی سارة منحصر بالعلاّمة رحمه‌الله ، و إلاّ فرجال الکشّی و النجاشی خالیان عن ذکره، و کذلک الفهرست علی ما یظهر </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ذکره الشیخ رحمه‌الله فی رجاله فی باب أصحاب الباقر والصادق علیهماالسلام ، قال فی الباب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سارة النیلی الأنصاری القرظی، مولی محمّد بن کعب، و هو إبن معاذ الهراء، وله إبن یقال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أبوجعفر النحوی الرواسی، و کنیة الحسن بن أبی سارة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أبوعلی </w:t>
      </w:r>
      <w:r>
        <w:rPr>
          <w:rStyle w:val="FootnoteAnchor"/>
          <w:rtl w:val="true"/>
        </w:rPr>
        <w:footnoteReference w:id="4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الباب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أبی سارة النیلی </w:t>
      </w: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وسکت فیهما عن توثیقه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 صرّح باسمه منحصر بالشیخ والعلاّمة رحمهماالله ، ولم‌یصرّح الأوّل بوثاقته أصلاً کما لم یتعرّض له فی الفهرست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الثانی فالظاهر، کما صرّح بعض </w:t>
      </w:r>
      <w:r>
        <w:rPr>
          <w:rStyle w:val="FootnoteAnchor"/>
          <w:rtl w:val="true"/>
        </w:rPr>
        <w:footnoteReference w:id="410"/>
      </w:r>
      <w:r>
        <w:rPr>
          <w:rFonts w:ascii="IRNazanin" w:hAnsi="IRNazanin" w:eastAsia="IRNazanin"/>
          <w:color w:val="111111"/>
          <w:sz w:val="28"/>
          <w:sz w:val="28"/>
          <w:szCs w:val="28"/>
          <w:rtl w:val="true"/>
          <w:lang w:bidi="fa-IR"/>
        </w:rPr>
        <w:t xml:space="preserve">، أنّه إنّما أخذ التوثیق من رجال النجاشی فی ترجمة إبنه، و قد سمعت کلامه فیه، فانحصر التوثیق بکلام النجاشی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یکون مرجع ضمیر الجمع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هم ثقات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هؤلاء بنیالأعمام من معاذ و محمّد و إبنه أبی جعفر المصرّح به الشیخ رحمه‌الله فی الرجال وغیرهم من أبنائهم، فالمبدأ کما یحتمل أن یکون من الحسن کذلک یحتمل أن یکون من إبنه و إبن مسلم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هو الظاهر، لأنّ العلم والفضل کما ظهر من کلام النجاشی والعلاّمة، إنّما ینسب إلی محمّد و معاذ، فیکون المرجع للضمیر هما و أولادهما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أنّ المصنّف رحمه‌الله فی المعتبر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أبی سارة لا یقوی بانفراده حجّة </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فغایة الأمر التعارض بین کلام العلاّمة و کلام المصنّف، و لعلّ کلام المصنّف أرجح من کلامه، ولاأقلّ من التوقّف، وهذا یکفی فی عدم إمکان الحکم بالتصحیح</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المرویّ فی التهذیب فی المقام السابق، والإستبصار فی الباب السابق، باسناد صحیح عن الحسن بن علیّ بن فضّال، عن عبداللّه بن بکر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رجل أباعبداللّه علیه‌السلام وأنا عنده عن المسکر و النبیذ یصیب الثوب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کان یشمل الخمر، بل یدلّ علی المقام بطریق أولی، لکنّ الأولی ذکرالحال فی هذاالخبر فیما نذکر حکم غیرالخمر من سائر المسکرات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فی البابین بالأسناد السابق الموثّق عن صالح بن سیابة، عن 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نخالط الیهود والنصاری والمجوس ، و ندخل علیهم و هم یأکلون و یشربون ، فیمرّ ساقیهم فیصبّ علی ثیابی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إلاّ أن تشتهی تغسله أو أن تغسله لأثره </w:t>
      </w:r>
      <w:r>
        <w:rPr>
          <w:rStyle w:val="FootnoteAnchor"/>
          <w:rtl w:val="true"/>
        </w:rPr>
        <w:footnoteReference w:id="4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التهذیب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والسند و إن کان إلی الصالح موثّقاً و الحسن بن سارة قد عرف حاله، لکن صالح بن سیابة مهمل لم نجده فی کتب الرجال، مع أنّ فی دلالته أیضا کلاما ، لأنّ غسل الثوب لو کان واجباً فإنّما هو للصلاة و إلاّ فلم یجب الغسل، و لا دلالة فی الخبر لعدم وجوبه للصلاة،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فیهما فی المقام السابق بأسناد صحیح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الحسین بن موسی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یشرب الخمر ثمّ یمجّه </w:t>
      </w:r>
      <w:r>
        <w:rPr>
          <w:rStyle w:val="FootnoteAnchor"/>
          <w:rtl w:val="true"/>
        </w:rPr>
        <w:footnoteReference w:id="414"/>
      </w:r>
      <w:r>
        <w:rPr>
          <w:rFonts w:ascii="IRNazanin" w:hAnsi="IRNazanin" w:eastAsia="IRNazanin"/>
          <w:color w:val="111111"/>
          <w:sz w:val="28"/>
          <w:sz w:val="28"/>
          <w:szCs w:val="28"/>
          <w:rtl w:val="true"/>
          <w:lang w:bidi="fa-IR"/>
        </w:rPr>
        <w:t xml:space="preserve">من فیه فیصیب ثوبی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والسند و إن کان إلی الحسین صحیح، لکن الحسین مجهول لم یصرّح فیه بالوثاقة ، بل لم یظهر منه ما یظهر منه ذلک سوی روایته عن إبن أبی عمیر کما سیظهر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بن سالم الحنّاط أبوعبداللّه مولی بنی أسد، ثمّ بنی والِبَة، روی عن أبی عبداللّه علیه‌السلام ، و عن أبیه عن أبی عبداللّه علیه‌السلام ، و عن أبی حمزة، و عن مَعْمَر بن یحیی، و بُرَید، و أبی أیّوب، و محمّد بن مسلم و طبقتهم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الحسین بن عبیداللّه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إبن بُطَّة عن الصفّار ، عن أحمد بن محمّد بن عیسی، عن إبن أبی عمیر، عن الحسین بکتابه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باب أصحاب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موسی الأسدیّ الحناط، کوفیٌّ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قد وقع هنا إشتباه بالحسن أخیه ؛ قال الشیخ رحمه‌الله فی باب أصحاب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الحناط الکوفی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موسی له أصل أخبرنا به إبن أبی جیّد ، عن إبن الولید، عن الصفّار، عن أحمد بن محمّد بن عیسی، عن إبن أبی عمیر، عن الحسن بن موسی </w:t>
      </w:r>
      <w:r>
        <w:rPr>
          <w:rStyle w:val="FootnoteAnchor"/>
          <w:rtl w:val="true"/>
        </w:rPr>
        <w:footnoteReference w:id="41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فذکر الفهرست الحسن دون الحسین ، و ذکر النجاشی الحسین دون الحسن ، مع إتّحاد سند أصله من الصفّار فیهما ، یدلّ علی أنّهما لیسا متعدّدین ، فحینئذ یقوی الروایة من جهة روایة إبن أبی عمیر عن الحسین المذکور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لکن لوقلنا بالتعدّد کما هوالظاهر من ذکر الشیخ رحمه‌الله فیترجمة الحسن‌والحسین، فالروایة تضعف إعتبارها، لأنّه لم‌یعلم بعد تعارض الکلامین من‌الشیخ فیالفهرست والنجاشی فی رجال النجاشی أنّ المرویّ عنه لإبن أبی عمیر هو الحسن أو الحسین، إلاّ إذا رجّحنا ما فی النجاشی علی ما فی الفهرست کما هو الظاهر، لکون النجاشی أضبط من الفهرست ، لکن یقع الکلام فی أنّ روایة إبن أبی عمیر لو کان المرویّ عنه معلوما أیضا، هل تدلّ علی وثاقة المرویّ عنه أم لا ؟</w:t>
      </w:r>
    </w:p>
    <w:p>
      <w:pPr>
        <w:pStyle w:val="BookText"/>
        <w:rPr/>
      </w:pPr>
      <w:r>
        <w:rPr>
          <w:rFonts w:ascii="IRNazanin" w:hAnsi="IRNazanin" w:eastAsia="IRNazanin"/>
          <w:color w:val="111111"/>
          <w:sz w:val="28"/>
          <w:sz w:val="28"/>
          <w:szCs w:val="28"/>
          <w:rtl w:val="true"/>
          <w:lang w:bidi="fa-IR"/>
        </w:rPr>
        <w:t xml:space="preserve">نعم غایة ما ثبت ذلک فی مراسیله، لأنّ مراسیله کالمسانید و أنّه ما کان یرسل إلاّ عن ثقة، وهل کان مسانیده کذلک أم لا ؟ الظاهر الأوّل لما حکی عن الشیخ رحمه‌الله فی العدّة أنّه لا یروی إلاّ عن الثقة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صرّح فی رجال الکشّی بأنّه من أصحاب الإجماع ؛ قال فی تسمیة الفقهاء من أصحاب أبی إبراهیم و 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أجتمع </w:t>
      </w:r>
      <w:r>
        <w:rPr>
          <w:rStyle w:val="FootnoteAnchor"/>
          <w:rtl w:val="true"/>
        </w:rPr>
        <w:footnoteReference w:id="421"/>
      </w:r>
      <w:r>
        <w:rPr>
          <w:rFonts w:ascii="IRNazanin" w:hAnsi="IRNazanin" w:eastAsia="IRNazanin"/>
          <w:color w:val="111111"/>
          <w:sz w:val="28"/>
          <w:sz w:val="28"/>
          <w:szCs w:val="28"/>
          <w:rtl w:val="true"/>
          <w:lang w:bidi="fa-IR"/>
        </w:rPr>
        <w:t xml:space="preserve">أصحابنا علی تصحیح ما یصحّ عن هؤلاء و تصدیقهم، و أقرّوا لهم بالفقه والعلم، و هم ستّة نفر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بن عبدالرحمن، و صفوان بن یحیی بیّاع السابریّ، و محمّد بن أبی عمیر، و عبداللّه بن المغیرة ، والحسن بن محبوب ، و أحمد بن محمّد بن أبی نصر </w:t>
      </w:r>
      <w:r>
        <w:rPr>
          <w:rStyle w:val="FootnoteAnchor"/>
          <w:rtl w:val="true"/>
        </w:rPr>
        <w:footnoteReference w:id="422"/>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یمکن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دلالة عبارة العدّة علی ما حکی عنه کلاما، و کونه من أصحاب الإجماع، لا یدلّ علی کون المرویّ عنه أیضا إمامیّا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دلالة الخبر، فضعیفة لأنّ المجّ بعد شرب الخمر و بلعها لا یدلّ علی بقاء أجزاء الخمر فی الفم، والظاهر أنّه المراد بالمجّ فیه، لأنّه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 الخمر ثمّ یمجّه من فیه، فإنّ المجّ حینئذ مجّ من ماء الفم لأنّ المفروض أنّ المجّ بعد شرب الخمر و إن کان الضمیر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یمجّ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یرجع ظاهراً إلی الخمر، فإنّ الخمر جائز التذکیر والتأنیث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نظیر الخبر الآخر المرویّ فی الإستبصار، فی الباب المذکور، والتهذیب فی باب تطهیر الثیاب والبدن فی شرح العبارة الأولی للمقنعة، و هی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والخمر و نبیذ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بأسناده عن عبدالرّحمن أبی الدیلم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یشرب الخمر فبصق علی ثوبی من بصاقه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بشیء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فیه بعد روایة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لیس فیه شبهة، لأنّه إنّما سأله عن بصاق شارب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والبصاق لیس بنجس ، و إنّما النجس هو الخمر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إمکان کون المرجع هو الخمر، بل المرجع هو ماء الفم والبصاق، کمایدلّ علی ذلک تذکیر الضمیر، فإنّ بعضاً کالأصمعیّ قد أنکر تذکیر الخمر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باب الذبائح والأطعمة، عن الحسین بن سعید، عن القاسم بن محمّد، عن معاویة بن وهب، عن عبدالرّحمن بن حمزة، عن زکریّا بن إبراهیم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علی أبی عبداللّه علیه‌السلام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من أهل الکتاب، </w:t>
      </w:r>
    </w:p>
    <w:p>
      <w:pPr>
        <w:pStyle w:val="BookText"/>
        <w:rPr/>
      </w:pPr>
      <w:r>
        <w:rPr>
          <w:rFonts w:ascii="IRNazanin" w:hAnsi="IRNazanin" w:eastAsia="IRNazanin"/>
          <w:color w:val="111111"/>
          <w:sz w:val="28"/>
          <w:sz w:val="28"/>
          <w:szCs w:val="28"/>
          <w:rtl w:val="true"/>
          <w:lang w:bidi="fa-IR"/>
        </w:rPr>
        <w:t xml:space="preserve">و إنّی أسلمت و بقی أهلی کلّهم علی النصرانیّة ، و أنا معهم فی بیت واحدة لم أفارقهم بعد فآکل من طعامهم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من لحم الخنزیر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لکنّهم یشربون الخمر،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معهم واشرب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السند غیر معتبر، لأنّ القاسم بن محمّد هو القاسم بن محمّد الجوهریّ لروایة الحسین بن سعید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الجوهریّ الکوفی، له کتاب ، أخبرنا به أبوعبداللّه ، عن محمّد بن علیّ بن الحسین ، عن محمّد بن الحسن بن الولید ، عن محمّد بن الحسن الصفّار ، عن أحمد بن محمّد و أحمد بن أبی عبداللّه ، عن أبی عبداللّه البرقی، والحسین بن سعید عن القاسم بن محمّد </w:t>
      </w:r>
      <w:r>
        <w:rPr>
          <w:rStyle w:val="FootnoteAnchor"/>
          <w:rtl w:val="true"/>
        </w:rPr>
        <w:footnoteReference w:id="42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باب من لم 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الجوهریّ روی عنه الحسین بن سعید </w:t>
      </w:r>
      <w:r>
        <w:rPr>
          <w:rStyle w:val="FootnoteAnchor"/>
          <w:rtl w:val="true"/>
        </w:rPr>
        <w:footnoteReference w:id="42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الجوهریّ کوفیّ، سکن بغداد، روی عن موسی بن جعفر علیهماالسلام ، له کتاب أخبرنا أبوعبداللّه بن شاذان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و عبداللّه بن جعفر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أحمد بن محمّد بن عیسی، عن الحسین بن سعید، عن القاسم بن محمّد بکتابه </w:t>
      </w:r>
      <w:r>
        <w:rPr>
          <w:rStyle w:val="FootnoteAnchor"/>
          <w:rtl w:val="true"/>
        </w:rPr>
        <w:footnoteReference w:id="42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بکونه واقفیّاً فی باب أصحاب الکاظم علیه‌السلام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القاسم بن محمّد الجوهریّ له کتاب، واقفیّ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فی رجال الکشّی نقلاً عن نصر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القاسم بن محمّد الجوهریّ لم یلق أباعبداللّه علیه‌السلام و هو مثل إبن أبی غراب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واقفیّاً </w:t>
      </w:r>
      <w:r>
        <w:rPr>
          <w:rStyle w:val="FootnoteAnchor"/>
          <w:rtl w:val="true"/>
        </w:rPr>
        <w:footnoteReference w:id="43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لکن عن إبن داود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الشیخ رحمه‌الله ذکر القاسم بن محمّد الجوهریّ فی باب أصحاب الکاظم علیه‌السلام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باب من لم یرو عن الأئمّة علیهم‌السلام القاسم بن محمّد الجوهریّ روی عنه الحسین بن سعید، فالظاهر أنّه غیره، والأخیر ثقة </w:t>
      </w:r>
      <w:r>
        <w:rPr>
          <w:rStyle w:val="FootnoteAnchor"/>
          <w:rtl w:val="true"/>
        </w:rPr>
        <w:footnoteReference w:id="43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وجه أن ذکره من أصحاب الکاظم علیه‌السلام ، وذکره فی باب من لم‌یرو عن الأئمّة علیهم‌السلام ، یقتضی بتغایرهما، فإنّ باب من لم یرو عن الأئمّة علیهم‌السلام ظاهر فیمن لم یلقهم علیهم‌السلام ، کجملة من الأواخر کابن الولید و من هو مقارب لطبقته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وجه الوثاقة فلعلّه کما قال فی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ذلک من روایة الحسین بن سعید عنه </w:t>
      </w:r>
      <w:r>
        <w:rPr>
          <w:rStyle w:val="FootnoteAnchor"/>
          <w:rtl w:val="true"/>
        </w:rPr>
        <w:footnoteReference w:id="43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وثّقه لروایات الثقات الکثیرة عنه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ذکر الشیخ رحمه‌الله إیّاه فی البابین لایدلّ علی التغایر، و لاسیّما بعد إتّحاد الإسم و إسم الأب واللقب، فإنّ کونه من أصحاب الکاظم علیه‌السلام لایدلّ علی روایته عنهم علیهم‌السلام ، مع أنّه لا یعرف من الشیخ رحمه‌الله ضابط فی ذلک ؛ ألا تری أنّه ذکر فضالة بن أیّوب الّذی شاعت روایته عنهم علیهم‌السلام فی باب أصحاب الکاظم علیه‌السلام ، و باب أصحاب الرضا علیه‌السلام ، و باب من لم یرو عن الأئمّة علیهم‌السلام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وکذا فی أحمد بن عمر الحلاّل، فإنّه ذکره فیباب من لم‌یرو عن الأئمّة علیهم‌السلام </w:t>
      </w:r>
      <w:r>
        <w:rPr>
          <w:rStyle w:val="FootnoteAnchor"/>
          <w:rtl w:val="true"/>
        </w:rPr>
        <w:footnoteReference w:id="435"/>
      </w:r>
      <w:r>
        <w:rPr>
          <w:rFonts w:ascii="IRNazanin" w:hAnsi="IRNazanin" w:eastAsia="IRNazanin"/>
          <w:color w:val="111111"/>
          <w:sz w:val="28"/>
          <w:sz w:val="28"/>
          <w:szCs w:val="28"/>
          <w:rtl w:val="true"/>
          <w:lang w:bidi="fa-IR"/>
        </w:rPr>
        <w:t xml:space="preserve">و فی رجال النجاشی أنّه روی عن الرضا علیه‌السلام </w:t>
      </w:r>
      <w:r>
        <w:rPr>
          <w:rStyle w:val="FootnoteAnchor"/>
          <w:rtl w:val="true"/>
        </w:rPr>
        <w:footnoteReference w:id="436"/>
      </w:r>
      <w:r>
        <w:rPr>
          <w:rFonts w:ascii="IRNazanin" w:hAnsi="IRNazanin" w:eastAsia="IRNazanin"/>
          <w:color w:val="111111"/>
          <w:sz w:val="28"/>
          <w:sz w:val="28"/>
          <w:szCs w:val="28"/>
          <w:rtl w:val="true"/>
          <w:lang w:bidi="fa-IR"/>
        </w:rPr>
        <w:t xml:space="preserve">، و إن کان فیه 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قتیبة بن محمّد الأعشی فی باب من لم یرو عن الأئمّة علیهم‌السلام </w:t>
      </w:r>
      <w:r>
        <w:rPr>
          <w:rStyle w:val="FootnoteAnchor"/>
          <w:rtl w:val="true"/>
        </w:rPr>
        <w:footnoteReference w:id="437"/>
      </w:r>
      <w:r>
        <w:rPr>
          <w:rFonts w:ascii="IRNazanin" w:hAnsi="IRNazanin" w:eastAsia="IRNazanin"/>
          <w:color w:val="111111"/>
          <w:sz w:val="28"/>
          <w:sz w:val="28"/>
          <w:szCs w:val="28"/>
          <w:rtl w:val="true"/>
          <w:lang w:bidi="fa-IR"/>
        </w:rPr>
        <w:t xml:space="preserve">، و فی رجال النجاشی تصریح بأنّه روی عن أبی عبداللّه علیه‌السلام ، و نحوه عن القاسم بن عروة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ذکر الریان بن الصلت فی باب من لم یرو عن الأئمّة علیهم‌السلام </w:t>
      </w:r>
      <w:r>
        <w:rPr>
          <w:rStyle w:val="FootnoteAnchor"/>
          <w:rtl w:val="true"/>
        </w:rPr>
        <w:footnoteReference w:id="439"/>
      </w:r>
      <w:r>
        <w:rPr>
          <w:rFonts w:ascii="IRNazanin" w:hAnsi="IRNazanin" w:eastAsia="IRNazanin"/>
          <w:color w:val="111111"/>
          <w:sz w:val="28"/>
          <w:sz w:val="28"/>
          <w:szCs w:val="28"/>
          <w:rtl w:val="true"/>
          <w:lang w:bidi="fa-IR"/>
        </w:rPr>
        <w:t xml:space="preserve">، و فی رجال النجاشی تصریح بأنّه روی عن الرضا علیه‌السلام </w:t>
      </w:r>
      <w:r>
        <w:rPr>
          <w:rStyle w:val="FootnoteAnchor"/>
          <w:rtl w:val="true"/>
        </w:rPr>
        <w:footnoteReference w:id="440"/>
      </w:r>
      <w:r>
        <w:rPr>
          <w:rFonts w:ascii="IRNazanin" w:hAnsi="IRNazanin" w:eastAsia="IRNazanin"/>
          <w:color w:val="111111"/>
          <w:sz w:val="28"/>
          <w:sz w:val="28"/>
          <w:szCs w:val="28"/>
          <w:rtl w:val="true"/>
          <w:lang w:bidi="fa-IR"/>
        </w:rPr>
        <w:t xml:space="preserve">، و قد ذکره هو فی باب أصحاب الرضا علیه‌السلام </w:t>
      </w:r>
      <w:r>
        <w:rPr>
          <w:rStyle w:val="FootnoteAnchor"/>
          <w:rtl w:val="true"/>
        </w:rPr>
        <w:footnoteReference w:id="441"/>
      </w:r>
      <w:r>
        <w:rPr>
          <w:rFonts w:ascii="IRNazanin" w:hAnsi="IRNazanin" w:eastAsia="IRNazanin"/>
          <w:color w:val="111111"/>
          <w:sz w:val="28"/>
          <w:sz w:val="28"/>
          <w:szCs w:val="28"/>
          <w:rtl w:val="true"/>
          <w:lang w:bidi="fa-IR"/>
        </w:rPr>
        <w:t xml:space="preserve">، و باب أصحاب الهادی علیه‌السلام أیضا </w:t>
      </w:r>
      <w:r>
        <w:rPr>
          <w:rStyle w:val="FootnoteAnchor"/>
          <w:rtl w:val="true"/>
        </w:rPr>
        <w:footnoteReference w:id="442"/>
      </w:r>
      <w:r>
        <w:rPr>
          <w:rFonts w:ascii="IRNazanin" w:hAnsi="IRNazanin" w:eastAsia="IRNazanin"/>
          <w:color w:val="111111"/>
          <w:sz w:val="28"/>
          <w:sz w:val="28"/>
          <w:szCs w:val="28"/>
          <w:rtl w:val="true"/>
          <w:lang w:bidi="fa-IR"/>
        </w:rPr>
        <w:t xml:space="preserve">، و له بعض الروایات عن الرضا علیه‌السلام أیضاً، 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روایة الحسین بن سعید ، فلا تدلّ علی الوثاقة ، و کذا روایة بعض آخر من الثقات، نعم فی الکافی ما فی بعض أسانیده من روایة إبن أبی عمیر عنه </w:t>
      </w:r>
      <w:r>
        <w:rPr>
          <w:rStyle w:val="FootnoteAnchor"/>
          <w:rtl w:val="true"/>
        </w:rPr>
        <w:footnoteReference w:id="443"/>
      </w:r>
      <w:r>
        <w:rPr>
          <w:rFonts w:ascii="IRNazanin" w:hAnsi="IRNazanin" w:eastAsia="IRNazanin"/>
          <w:color w:val="111111"/>
          <w:sz w:val="28"/>
          <w:sz w:val="28"/>
          <w:szCs w:val="28"/>
          <w:rtl w:val="true"/>
          <w:lang w:bidi="fa-IR"/>
        </w:rPr>
        <w:t xml:space="preserve">، ولکن لم یظهر أنّه الجوهریّ فلعلّه غیره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عبدالرّحمن بن حمزة، فلم أجده فی کتب الرجال، فهو مهمل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أمّا زکریّا بن إبراهیم، فهو مشترک بین رجلین ذکرهما الشیخ فی رجاله فی أصحاب الصادق علیه‌السلام ، و لم یذکر فی حقّهما شیئا، فإنّه قال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إبراهیم الأزدی الکوفی، و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زکریّا بن إبراهیم الحیری الکوفی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یشعر بذلک الروایة المذکورة، لکونه جدید الإسلام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کونه فی بیت واحد لا یدلّ علی کون الظرف الّذی یؤکل فیه الطعام ممّا یقطع بکونه شرب فیه الخمر، و إنّما سأل هو عن الأکل من طعامهم، والمتعارف کون آنیة الخمر غیر آنیة الطعام و شرب الماء ، و لذا سأل الإمام علیه‌السلام أوّلاً عن المأکول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یأکلون لحم الخنزیر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وجه دلالة الخبر علی الطهارة لیس إلاّ من الأولویّة أو من الملازمة الشرعیّة،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تعارض هذه الروایة الروایة السابقة الواردة بالسند الصحیح عن العلاء بن رزین، عن محمّد بن مسلم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أباجعفر علیه‌السلام عن آنیة أهل الذمّة والمجوس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تأکلوا فی آنیتهم، و لا من طعامهم الّذی یطبخون، و لا فی آنیتهم الّتی یشربون فیها الخمر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فی باب الذبائح و الأطعمة، عن محمّد بن یعقوب، عن أبی علیّ الأشعریّ، عن محمّد بن عبدالجبّار، عن صفوان بن یحیی، عن إسماعیل بن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ماتقول فی طعام أهل الکتاب؟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لاتأکله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سکت هنیئة،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لاتأکله </w:t>
      </w:r>
    </w:p>
    <w:p>
      <w:pPr>
        <w:pStyle w:val="BookText"/>
        <w:rPr/>
      </w:pPr>
      <w:r>
        <w:rPr>
          <w:rFonts w:ascii="IRNazanin" w:hAnsi="IRNazanin" w:eastAsia="IRNazanin"/>
          <w:color w:val="111111"/>
          <w:sz w:val="28"/>
          <w:sz w:val="28"/>
          <w:szCs w:val="28"/>
          <w:rtl w:val="true"/>
          <w:lang w:bidi="fa-IR"/>
        </w:rPr>
        <w:t xml:space="preserve">و لا تترکه، تقول إنّه حرام، و لکن تترکه تتنزّه عنه، إنّ فی آنیتهم الخمر و لحم الخنزیر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والسند و إن کان صحیحاً لأنّ أبا علیّ الأشعریّ هذا هو أحمد بن إدریس الأشعریّ لا محمّد بن عیسی الأشعریّ، لأنّه قد روی الکلینیّ عنه، و محمّد بن عیسی کان فی زمان الرضا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صرّح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ثقة، فقیها فی أصحابنا، کثیر الحدیث، صحیح الروایة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الخلاصة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بن عبدالجبّار هو إبن أبی الصهبان، و قد وثّقه الشیخ رحمه‌الله فی رجاله </w:t>
      </w:r>
      <w:r>
        <w:rPr>
          <w:rStyle w:val="FootnoteAnchor"/>
          <w:rtl w:val="true"/>
        </w:rPr>
        <w:footnoteReference w:id="449"/>
      </w:r>
      <w:r>
        <w:rPr>
          <w:rFonts w:ascii="IRNazanin" w:hAnsi="IRNazanin" w:eastAsia="IRNazanin"/>
          <w:color w:val="111111"/>
          <w:sz w:val="28"/>
          <w:sz w:val="28"/>
          <w:szCs w:val="28"/>
          <w:rtl w:val="true"/>
          <w:lang w:bidi="fa-IR"/>
        </w:rPr>
        <w:t xml:space="preserve">، والعلاّمة رحمه‌الله فی الخلاصة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وصفوان وإسماعیل حالهما معلومة، مع أنّا ذکرناهما فی أوائل‌الکتاب أیضا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دلالته ضعیفة جدّا، فإنّ اللائح الظاهر من الخبر أنّه سائق مساق التقیّة من العامّة الّذین یحلّلون طعام أهل الکتاب، فلاحظ الروایة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مضافاً إلی أنّ السؤال إنّما هو عن طعام أهل الکتاب، و لا شکّ فی حرمته، مع أنّ فی تعلیل الترک للتنزّه فی الأکل بأنّ فی آنیتهم الخمر و لحم الخنزیر، شاهد علی ما ذکرناه من التقیّة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علی أنّ هذا الخبر معارض بجملة من الأخبار السابقة و غیرها کالصحیح المرویّ فی التهذیب، فی الباب المذکور، عن العیص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مؤاکلة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لابأس إذا کان من طعامک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فیه فیالباب المذکور عن هشام بن سالم، عن أبیعبداللّه علیه‌السلام فی قول اللّه عزّوجلّ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طعام الّذین أوتوا الکتاب حلّ لکم و طعامکم حلّ لهم </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العدس، والحمّص، و غیر ذلک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طعام أهل الکتاب ما یحلّ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الحبوب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فی دلالته ما فیها، لعدم القطع بأنّ آنیة الطعام هی آنیة الخمر، والتنزّه إنّما هو للظنّ به أو لمجرّد الإحتمال، فتدبّر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الباب المذکور بأسناده عن الکلینیّ، عن علیّ، عن أبیه، عن إسماعیل بن مرار، عن یونس، عنهم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أشیاء ذکیّة ممّا فیها منافع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الإنفحّة ، والبیضة ، والصوف، والشعر، والوبر، و لا بأس بأکل الجبن کله ممّا عمله مسلم أو غیره، و إنّما یکره أن یؤکل سوی الإنفحّة ممّا فی آنیة المجوس و أهل الکتاب، لأنّهم لا یتوقّون الخمر والمیتة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انّ إسماعیل بن مرار لم یوثّق فی کتب الرجال، ولم یذکر فیه ما یدلّ علی مدح فیه و لا ذمّ، و قلّ من ذکره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باب من لم 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بن‌مرار روی عن یونس بن عبدالرّحمن، روی عنه إبراهیم بن هاشم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دلالة الخبر، فوجهها أنّ الخبر صریح فی کراهة الأکل ممّا فی آنیة المجوس و أهل الکتاب، و علّل ذلک بعدم التوقّی من الخمر والمیتة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الکراهة بالمعنی المعروف لم یعهد عن الأئمّة علیهم‌السلام و لا من أصحابهم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ظاهر الخبر فی صورة عدم العلم بکون الآنیة ممّا کان فیها الخمر والمیتة، بل علّل الکراهة بعدم کونهم متوقّین منهما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ذلک لأجل عدم إحتراز أنفسهم من ذلک حیث أنّهم لا یحرّمونهما لا من جهة الآنیة فیظنّ حینئذ من جهة عدم التوقّی نجاسة الأوانی،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المیتة نجسة قطعاً مع أنّها هنا قرینة للخمر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بمعارضتها ببعض 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الباب المذکور، بأسناده عن الکلینیّ، بأسناده عن الحجال، عن ثعلبة، عن حفص الأعور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 یکون فیه الخمر ثمّ یجفّفه یجعل فیه الخلّ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والسند إلی الرجلین و إن کان صحیحاً و کذلک الحجّال، لأنّه عبداللّه بن محمّد الأسدی الکوفی المزخرف، المکنّی بأبی محمّد، و هو کما فی رجال النجاشی والخلاصة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ثقة، ثبت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کذا ثعلبة، لأنّه ثعلبة بن میمون کما یظهر من روایة الحجّال عنه،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یختلف الروایة عنه قد رواه جماعات من الناس، قرأت علی الحسین بن عبیداللّه أخبرکم أحمد بن محمّد الزراری، عن جمیل </w:t>
      </w:r>
      <w:r>
        <w:rPr>
          <w:rStyle w:val="FootnoteAnchor"/>
          <w:rtl w:val="true"/>
        </w:rPr>
        <w:footnoteReference w:id="46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أبوطاهر محمّد بن تسنیم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المزخرف الحجّال، عن ثعلبة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بالکتاب </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 xml:space="preserve">، إنتهی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کما فی رجال الکشّی نقلاً عن حمدویه، عن محمّد بن عیسی أنّه ثقة خیّر، فاضل، مقدم، معلوم فی العلماء والفقهاء الأجلّة من هذه العصابة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قارئا، فقیها، نحویّا، لغویّا، راویةً ، و کان حسن العمل ، کثیر العبادة و الزهد، روی عن أبی عبداللّه وأبی الحسن علیهماالسلام </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الخلاصة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فاضلاً، متقدما،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معدودا </w:t>
      </w:r>
      <w:r>
        <w:rPr>
          <w:rFonts w:eastAsia="IRNazanin" w:cs="IRNazanin"/>
          <w:color w:val="111111"/>
          <w:sz w:val="28"/>
          <w:szCs w:val="28"/>
          <w:rtl w:val="true"/>
          <w:lang w:bidi="fa-IR"/>
        </w:rPr>
        <w:t xml:space="preserve">] </w:t>
      </w:r>
      <w:r>
        <w:rPr>
          <w:rStyle w:val="FootnoteAnchor"/>
          <w:rtl w:val="true"/>
        </w:rPr>
        <w:footnoteReference w:id="465"/>
      </w:r>
      <w:r>
        <w:rPr>
          <w:rFonts w:ascii="IRNazanin" w:hAnsi="IRNazanin" w:eastAsia="IRNazanin"/>
          <w:color w:val="111111"/>
          <w:sz w:val="28"/>
          <w:sz w:val="28"/>
          <w:szCs w:val="28"/>
          <w:rtl w:val="true"/>
          <w:lang w:bidi="fa-IR"/>
        </w:rPr>
        <w:t xml:space="preserve">فی العلماء والفقهاء الأجلّة من هذه العصابة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الحفص الأعور مجهول، لأنّه إمّا واحد، أو إثنان، أو ثلاثة، أو أربعة، والکلّ مجهول الحال، و قلّ من تعرّض لهم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فی باب أصحاب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الأعور الکوفیّ ، روی عنه و عن أبی عبداللّه علیهماالسلام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باب أصحاب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 بن عیسی الکناسی الأعور، بیّاع القرب والأداة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الثلاثة الأخیرة واحدة، کما أنّه یحتمل إتّحاد الجمیع، فالسند غیر ثابت الإعتبار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دلالته، فیمکن أن یکون المراد التجفیف بعد الغسل کما یشعر به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فیجفّف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التهذیب بعد ذکر هذه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به إذا جفّف بعد أن یغسل ثلاث مرّات وجوبا، أو سبع مرّات إستحبابا حسب ما قدّمناه، فأمّا قبل الغسل و إن جفّف فلا یجوز إستعماله علی حال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الباب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أحمد بن یحیی، عن العبّاس بن معروف، عن سعدان بن مسلم، عن علیّ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الجویریّة ـ و کانت تحت عیسی بن موسی ـ علی أبی عبداللّه علیه‌السلام ، و کانت صالحة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أتطیّب </w:t>
      </w:r>
      <w:r>
        <w:rPr>
          <w:rStyle w:val="FootnoteAnchor"/>
          <w:rtl w:val="true"/>
        </w:rPr>
        <w:footnoteReference w:id="470"/>
      </w:r>
      <w:r>
        <w:rPr>
          <w:rFonts w:ascii="IRNazanin" w:hAnsi="IRNazanin" w:eastAsia="IRNazanin"/>
          <w:color w:val="111111"/>
          <w:sz w:val="28"/>
          <w:sz w:val="28"/>
          <w:szCs w:val="28"/>
          <w:rtl w:val="true"/>
          <w:lang w:bidi="fa-IR"/>
        </w:rPr>
        <w:t xml:space="preserve">لزوجی فیجعل فی المشطة الّتی أمتشط بها الخمر و أجعله فی رأسی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والسند إلی سعدان بن مسلم صحیح، و أمّا سعدان، فلم یظهر لنا ما یدلّ علی وثاقته سوی روایة بعض الثقات عنه کالعبّاس بن معروف، و صفوان بن یحیی، وأبی طالب عبداللّه الصلت القمّی، و أحمد بن إسحاق، و محمّد بن عذافر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مسلم و إسمه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مسلم </w:t>
      </w:r>
      <w:r>
        <w:rPr>
          <w:rFonts w:eastAsia="IRNazanin" w:cs="IRNazanin"/>
          <w:color w:val="111111"/>
          <w:sz w:val="28"/>
          <w:szCs w:val="28"/>
          <w:rtl w:val="true"/>
          <w:lang w:bidi="fa-IR"/>
        </w:rPr>
        <w:t xml:space="preserve">] </w:t>
      </w:r>
      <w:r>
        <w:rPr>
          <w:rStyle w:val="FootnoteAnchor"/>
          <w:rtl w:val="true"/>
        </w:rPr>
        <w:footnoteReference w:id="472"/>
      </w:r>
      <w:r>
        <w:rPr>
          <w:rFonts w:ascii="IRNazanin" w:hAnsi="IRNazanin" w:eastAsia="IRNazanin"/>
          <w:color w:val="111111"/>
          <w:sz w:val="28"/>
          <w:sz w:val="28"/>
          <w:szCs w:val="28"/>
          <w:rtl w:val="true"/>
          <w:lang w:bidi="fa-IR"/>
        </w:rPr>
        <w:t xml:space="preserve">أبوالحسن العامریّ، مولی أبی العلاء کُرْزبن حفید العامریّ، من عامر بن ربیعة، روی عن أبی عبداللّه و أبی الحسن علیهماالسلام و عمّر عمرا طویلاً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الواسطیّ، فهو علیّ بن حسان الواسطیّ أبوالحسین المعروف بالمُنَمِّس، بالمیم والنون بعدها والمیم بعد النون والسین المهملة بعدها، و لم أجد من صرّح بوثاقته سوی علیّ بن الحسن بن فضّال و إبن الغضائریّ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مسعود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علیّ بن الحسن بن علیّ بن فضال، عن علیّ بن حسّان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أیّهما سألت ؟ أمّا الواسطیّ فهو ثقة، و أمّا الّذی عندنا یروی عن عمّه عبدالرّحمن بن کثیر فهو کذّاب، و هو واقفیّ أیضا لم یدرک أبا الحسن موسی علیه‌السلام </w:t>
      </w:r>
      <w:r>
        <w:rPr>
          <w:rStyle w:val="FootnoteAnchor"/>
          <w:rtl w:val="true"/>
        </w:rPr>
        <w:footnoteReference w:id="474"/>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بن الحسن المذکور واقفیّ، نعم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أکثر من مائة سنة، و کان لا بأس به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قال فی الخلاصة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علیّ بن الحسن المذکور و إن کان واقفیّاً، إلاّ أنّه قد کثر توصیفه و مدحه فیالرجال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علیّ بن فضّال بن عمر بن أیمن مولی عِکرِمة بن رِبعِیّ الفیّاض أبوالحسن، کان فقیه أصحابنا بالکوفة، و وجههم، وثقتهم، و عارفهم بالحدیث، والمسموع قوله فیه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بن فضّال، فطحیّ المذهب، کوفیّ، ثقة، کثیر العلم، واسع الروایة و الأخبار، جیّد التصانیف، غیر معاند، و کان قریب الأمر إلی أصحابنا الإمامیّة القائلین بالإثنی عشر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أبوعمرو الکشّی فی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النضر محمّد بن مسعود، عن جماعة هو منهم، عن جمیع هؤلاء،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علیّ بن الحسن بن فضّال، فما رأیت فیمن لقیت بالعراق و ناحیة خراسان أفقه و لا أفضل من علیّ بن الحسن بالکوفة </w:t>
      </w:r>
      <w:r>
        <w:rPr>
          <w:rStyle w:val="FootnoteAnchor"/>
          <w:rtl w:val="true"/>
        </w:rPr>
        <w:footnoteReference w:id="479"/>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إبن الغضائریّ، فقد قال بعد تضعیف علیّ بن حسان بن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أصحابنا علیّ بن حسان الواسطیّ ثقة، ثقة </w:t>
      </w:r>
      <w:r>
        <w:rPr>
          <w:rStyle w:val="FootnoteAnchor"/>
          <w:rtl w:val="true"/>
        </w:rPr>
        <w:footnoteReference w:id="48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الظاهر أنّ المنشأ لوثاقته کلام علیّ بن الحسن المذکور، و کیف کان فالروایة معتبرة الأسناد و إن لم یکن صحیحاً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العلاّمة رحمه‌الله فی الخلاصة قال فی ترجمة علیّ بن حسان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إبن بابویه رحمه‌الله فی أسناده إلی عبدالرّحمن بن کثیر الهاشمیّ روایته عن محمّد بن الحسن، عن علیّ بن حسان الواسطیّ، عن عمّه عبدالرّحمن بن کثیر الهاشمیّ، و هو یعطی أنّ الواسطیّ هو إبن أخی عبدالرّحمن، و أظنّه سهوا من قلم الشیخ إبن بابویه أو الناسخ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فی مشیخة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 عن عبدالرّحمن بن کثیر الهاشمیّ فقد رویته عن محمّد بن الحسن رضی‌الله‌عنه عن محمّد بن الحسن الصفّار، عن علیّ بن حسّان الواسطیّ، عن عمّه عبدالرّحمن بن کثیر الهاشمیّ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وإعتراضه له فیمحلّه، لکن نسبة‌السهو إلی الناسخ بعید جدّا مع أنّ الصدوق رحمه‌الله فی الفقیه قال فی أواخر الفقیه فی باب معرفة الکبائر الّتی أوعد اللّه عزّوجلّ علیها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علیّ بن حسّان الواسطیّ ، عن عمّه عبدالرّحمن بن کثیر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الکبائر سبع </w:t>
      </w:r>
      <w:r>
        <w:rPr>
          <w:rFonts w:eastAsia="IRNazanin" w:cs="IRNazanin"/>
          <w:color w:val="111111"/>
          <w:sz w:val="28"/>
          <w:szCs w:val="28"/>
          <w:rtl w:val="true"/>
          <w:lang w:bidi="fa-IR"/>
        </w:rPr>
        <w:t xml:space="preserve">... </w:t>
      </w:r>
      <w:r>
        <w:rPr>
          <w:rStyle w:val="FootnoteAnchor"/>
          <w:rtl w:val="true"/>
        </w:rPr>
        <w:footnoteReference w:id="483"/>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واعترض علیه بعض الأجلاّء بأنّ جزم العلاّمة رحمه‌الله بسهو الصدوق رحمه‌الله مشکل، لأنّ الظاهر أنّهم إعتمدوا فی التعدّد علی قول علیّ بن الحسن الفطحیّ، و لا شکّ فی أنّ الصدوق رحمه‌الله کان أعلم و أعرف بالرجال و غیره من علیّ و غیره من أمثاله، و لا منافاة بین أن یکون واسطیّا و هاشمیّا أی مولی و معتقاً لبنی هاشم، و رئیسهم محمّد بن علیّ باقر علم النبیّین علیه‌السلام ، والظاهر أنّ المعتق جدّه کثیر، فتدبّر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ضعفهما بالغلو ، فالّذی ظهر لی من التتبّع أنّهما کانا من الأبرار </w:t>
      </w:r>
      <w:r>
        <w:rPr>
          <w:rStyle w:val="FootnoteAnchor"/>
          <w:rtl w:val="true"/>
        </w:rPr>
        <w:footnoteReference w:id="484"/>
      </w:r>
      <w:r>
        <w:rPr>
          <w:rFonts w:ascii="IRNazanin" w:hAnsi="IRNazanin" w:eastAsia="IRNazanin"/>
          <w:color w:val="111111"/>
          <w:sz w:val="28"/>
          <w:sz w:val="28"/>
          <w:szCs w:val="28"/>
          <w:rtl w:val="true"/>
          <w:lang w:bidi="fa-IR"/>
        </w:rPr>
        <w:t xml:space="preserve">، و لذا حکم بصحّة أخبارهما الصدوقان </w:t>
      </w:r>
      <w:r>
        <w:rPr>
          <w:rStyle w:val="FootnoteAnchor"/>
          <w:rtl w:val="true"/>
        </w:rPr>
        <w:footnoteReference w:id="48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لم یظهر کون إعتمادهم فی التعدّد علی علیّ بن الحسن بن فضّال، فإنّه کما صرّح بذلک صرّح به فی الغضائریّ، والنجاشی، و الفهرست، وغیرهما، و اعتمادهما علی کلام علیّ بن الحسن غیر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الغضائریّ، فقد عرفت الإشارة إلی کلامه ؛ قال فی ترجمة علیّ بن حسّان بن کثیر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بن کثیر مولی أبی جعفر الباقر علیه‌السلام أبوالحسین، روی عن عمّه عبدالرّحمن، غال، ضعیف، رأیت له کتاباً سمّاه تفسیر الباطن، لایتعلّق من الإسلام بسبب، و لا یروی إلاّ عن عمّه، و من أصحابنا علیّ بن حسّان الواسطیّ ثقة، ثقة </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النجاشی ففی ترجمة الهاشمیّ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بن کثیر الهاشمیّ مولی عبّاس بن محمّد بن علیّ بن عبداللّه بن العبّاس، ضعیف جدّا، ذکره بعض أصحابنا فی الغلاة، فاسد الإعتقاد، له کتاب تفسیر الباطن، مختلط کلّه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الواسطیّ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الواسطیّ أبوالحسین القصیر، المعروف بالمُنَمِّس، عمّر أکثر من مائة سنة، و کان لا بأس به، روی عن أبی عبداللّه علیه‌السلام روی عنه حدیثه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سعدان بن مسلم، له کتاب یرویه عدّة من أصحابنا، أخبرنا أبوالحسین علیّ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الحسن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w:t>
      </w:r>
    </w:p>
    <w:p>
      <w:pPr>
        <w:pStyle w:val="BookText"/>
        <w:rPr/>
      </w:pPr>
      <w:r>
        <w:rPr>
          <w:rFonts w:ascii="Amiri" w:hAnsi="Amiri" w:eastAsia="Amiri" w:cs="Amiri"/>
          <w:color w:val="111111"/>
          <w:sz w:val="28"/>
          <w:sz w:val="28"/>
          <w:szCs w:val="28"/>
          <w:rtl w:val="true"/>
          <w:lang w:bidi="ar-SA"/>
        </w:rPr>
        <w:t xml:space="preserve">الحسن الصفّار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علیّ بن حسّان </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الفهرست، ففی ترجمة الأوّل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الهاشمی مولی لهم، له کتاب أخبرنا به إبن أبی جیّد، عن إبن الولید، عن الصفّار والحسن بن متیل جمیعاً عن الحسن بن علیّ الکوفیّ، عن علیّ بن حسّان الهاشمیّ، عن عمّه عبدالرّحمن بن کثیر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ترجمة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حسّان الواسطیّ، له کتاب أخبرنا به عدّة من أصحابنا، عن أبی المفضّل، عن إبن بطّة، عن أحمد بن أبی عبداللّه، عن علیّ بن حسّان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رأیت هذه الکلمات تعرف أنّهما متعدّد، و أنّ الإعتماد فی التعدّد لیس علی کلام علیّ بن الحسن فقط 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منهم أنّ علیّ بن حسّان الهاشمیّ مولی لبنی هاشم، سواء کان لأبی جعفر الباقر علیه‌السلام کما فی رجال إبن الغضائری، أو العبّاس بن محمّد کما فی النجاشی، و لم یذکروا فی الواسطیّ ذلک أنّه مولی لهم و لا ما یشعر إلی ذلک ، ولم یذکروا علیّ بن الحسن فیما رواه إبن مسعود عنه ما یشعر إلی ذلک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رجال الغضائریّ والنجاشی فی ترجمة الهاشمیّ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کتاباً سمّاه تفسیر الباطن </w:t>
      </w:r>
      <w:r>
        <w:rPr>
          <w:rStyle w:val="FootnoteAnchor"/>
          <w:rtl w:val="true"/>
        </w:rPr>
        <w:footnoteReference w:id="491"/>
      </w:r>
      <w:r>
        <w:rPr>
          <w:rFonts w:ascii="IRNazanin" w:hAnsi="IRNazanin" w:eastAsia="IRNazanin"/>
          <w:color w:val="111111"/>
          <w:sz w:val="28"/>
          <w:sz w:val="28"/>
          <w:szCs w:val="28"/>
          <w:rtl w:val="true"/>
          <w:lang w:bidi="fa-IR"/>
        </w:rPr>
        <w:t xml:space="preserve">، و لم یذکره علیّ بن الحسن المذکور فی الروایة السابقة </w:t>
      </w:r>
    </w:p>
    <w:p>
      <w:pPr>
        <w:pStyle w:val="BookText"/>
        <w:rPr/>
      </w:pPr>
      <w:r>
        <w:rPr>
          <w:rFonts w:ascii="IRNazanin" w:hAnsi="IRNazanin" w:eastAsia="IRNazanin"/>
          <w:color w:val="111111"/>
          <w:sz w:val="28"/>
          <w:sz w:val="28"/>
          <w:szCs w:val="28"/>
          <w:rtl w:val="true"/>
          <w:lang w:bidi="fa-IR"/>
        </w:rPr>
        <w:t xml:space="preserve">من إبن مسعود، کما لم یذکروا فی ترجمة الواسطیّ ما یدلّ علی ذلک، و هذا یدلّ علی التعدّد فی الواقع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رجال الغضائریّ کنیة الهاشمیّ أبوالحسین </w:t>
      </w:r>
      <w:r>
        <w:rPr>
          <w:rStyle w:val="FootnoteAnchor"/>
          <w:rtl w:val="true"/>
        </w:rPr>
        <w:footnoteReference w:id="492"/>
      </w:r>
      <w:r>
        <w:rPr>
          <w:rFonts w:ascii="IRNazanin" w:hAnsi="IRNazanin" w:eastAsia="IRNazanin"/>
          <w:color w:val="111111"/>
          <w:sz w:val="28"/>
          <w:sz w:val="28"/>
          <w:szCs w:val="28"/>
          <w:rtl w:val="true"/>
          <w:lang w:bidi="fa-IR"/>
        </w:rPr>
        <w:t xml:space="preserve">، و فی رجال النجاشی کنیة الثانی أبوالحسین، و یلقّب الثانی بالقصیر المعروف بالمُنَمِّس </w:t>
      </w:r>
      <w:r>
        <w:rPr>
          <w:rStyle w:val="FootnoteAnchor"/>
          <w:rtl w:val="true"/>
        </w:rPr>
        <w:footnoteReference w:id="493"/>
      </w:r>
      <w:r>
        <w:rPr>
          <w:rFonts w:ascii="IRNazanin" w:hAnsi="IRNazanin" w:eastAsia="IRNazanin"/>
          <w:color w:val="111111"/>
          <w:sz w:val="28"/>
          <w:sz w:val="28"/>
          <w:szCs w:val="28"/>
          <w:rtl w:val="true"/>
          <w:lang w:bidi="fa-IR"/>
        </w:rPr>
        <w:t xml:space="preserve">، ولم یذکر الجمیع علیّ بن الحسن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عمر الواسطیّ بمائة سنة، و لم یذکره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یدلّ علی التعدّد ما ذکره علیّ بن الحسن وذکروه أیضا من روایة الهاشمی عن عمّه، بل إنحصار روایته عنه بخلاف الواسطی، بل لم نجد من ذلک فی روایات الواسطی، بل روایته کما فی المقام عن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فی التعلیقة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الحسن الفضّال کان أعرف بأحوال الرجال من الصدوق و من غیره من جمیع علماء الرجال والمحدّثین، و لذا تری المشایخ فی جلّ الرجال یستندون إلی قوله، و أنت إذا تأمّلت و تتبّعت الرجال وجدت المشایخ فی أکثرها، بل کاد یکون کلّها یسألون علیّاً عنها، و یعتمدون علی قوله فیها، و منها هذا الموضع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التعارض بین کلام علیّ و کلام الصدوق رحمه‌الله کالتعارض بین الظاهر والنصّ، و لا شکّ فی تقدّم الثانی علی الأوّل </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هذا مقدّم علی الصدوق رحمه‌الله طبقة، فیکون قوله مقدما لکون المقدّم و لاسیّما مثل علیّ بن الحسن أعرف بالرجال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إنّ ما قال أخیرا من أنّ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ضعفهما بالغلوّ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فالظاهر أنّ المرجع للضمیر هو علیّ بن حسّان و عبدالرّحمن عمّه، لا علیّ بن حسّان الواسطی و علیّ بن حسّان بن کثیر الهاشمیّ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إنّما ظهر له من ذلک الأخبار الّتی رویاها، و فیه نظر أیضا، فإنّ بعد تسلیم روایتهما بعض الأخبار، لایعارض ذلک تصریح من صرّح بالغلوّ من الثقات والأخیار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حکم الصدوقین رحمهماالله بصحّة أخبارهما، فلم نجد ذلک أیضا منهما إلاّ من روایتهما أخبارهما فی مثل الفقیه، و فیه نظر و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الکلام فی سند الروایة، و أمّا دلالتها فتارة نقول بقصورها عن کون الخمر باقیة بعینها، إذ یحتمل أن یکون قد جعل فی المشطة بحیث ینسب بها ثمّ یمتشط بها، کما ربّما یشعر بذلک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فیجعل أوّلاً واجعل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فإن کان علی النهج المتعارف فی الإمتشاط من جعل المشطة مبلولة ثمّ الإمتشاط بها کان المناسب أن یؤتی بصیغة التکلّم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تارة انّ نجاسة الخمر إنّما یقدح فی حال الصلاة لا مطلقاً، و لا دلالة فی الروایة علی الجواز فی حال الصلاة ، فإنّ ما فی الروایة إنّما هو عدم البأس فی إستعمال ذلک، والجواب إنّما کان عن هذا السؤال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السائلة لمکان صلاحیّتها عارفة بأحکام الخمر، و منها عدم جواز مصاحبتها فی الصلاة، و إنّما سألت عن هذا الإستعمال بالخصوص، فتأمّل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تارة بأنّ عیسی بن موسی هذا هو عیسی بن موسی بن علیّ بن عبداللّه بن العبّاس من بنی العبّاس، و کان هذا عامل المنصور صاحب الدوانیق علی الکوفة، </w:t>
      </w:r>
    </w:p>
    <w:p>
      <w:pPr>
        <w:pStyle w:val="BookText"/>
        <w:rPr/>
      </w:pPr>
      <w:r>
        <w:rPr>
          <w:rFonts w:ascii="IRNazanin" w:hAnsi="IRNazanin" w:eastAsia="IRNazanin"/>
          <w:color w:val="111111"/>
          <w:sz w:val="28"/>
          <w:sz w:val="28"/>
          <w:szCs w:val="28"/>
          <w:rtl w:val="true"/>
          <w:lang w:bidi="fa-IR"/>
        </w:rPr>
        <w:t xml:space="preserve">والظاهر أنّه علیه‌السلام کان یتّقی منه لکونه عامل المنصور الدوانیقی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Style w:val="FootnoteAnchor"/>
          <w:rtl w:val="true"/>
        </w:rPr>
        <w:footnoteReference w:id="4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قرب الإسناد کما قیل عن علیّ بن رئاب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والنبیذ والمسکر یصیب ثوبی، أغسله أو أصلّی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فیه ، إلاّ أن تقذره فتغسل منه موضع الأثر ، إنّ اللّه تعالی إنّما حرّم شربها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الجواب عن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قرب الإسناد أیضا بأسناده عن علیّ بن جعفر ، عن أخیه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رجل مرّ بمکان قد رشّ فیه خمر قد شربته الأرض، وبقی نداه، أیصلّی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مکاناً غیره فلیصلّ فیه، و إن لم یصبّ </w:t>
      </w:r>
      <w:r>
        <w:rPr>
          <w:rStyle w:val="FootnoteAnchor"/>
          <w:rtl w:val="true"/>
        </w:rPr>
        <w:footnoteReference w:id="497"/>
      </w:r>
      <w:r>
        <w:rPr>
          <w:rFonts w:ascii="IRNazanin" w:hAnsi="IRNazanin" w:eastAsia="IRNazanin"/>
          <w:color w:val="111111"/>
          <w:sz w:val="28"/>
          <w:sz w:val="28"/>
          <w:szCs w:val="28"/>
          <w:rtl w:val="true"/>
          <w:lang w:bidi="fa-IR"/>
        </w:rPr>
        <w:t xml:space="preserve">فلا بأس </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بعد الغمض عمّا فی السند لعدم وجود قرب الإسناد عندی، انّ التفصیل بین إصابة المکان غیره و إصابته یدلّ علی شیء فیها، و إلاّ فلا وجه للتفصیل، و ظاهر الخبر فی صورة الإضطرار و عدم وجود المکان غیر المکان الّذی رشّ فیه الخمر ، فدلالة هذه الروایة علی مذهب القائلین بالنجاسة أظهر من دلالتها علی القول بالطهارة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فی کتاب علل الشرائع مسنداً باسناد صحیح ، بل </w:t>
      </w:r>
    </w:p>
    <w:p>
      <w:pPr>
        <w:pStyle w:val="BookText"/>
        <w:rPr/>
      </w:pPr>
      <w:r>
        <w:rPr>
          <w:rFonts w:ascii="IRNazanin" w:hAnsi="IRNazanin" w:eastAsia="IRNazanin"/>
          <w:color w:val="111111"/>
          <w:sz w:val="28"/>
          <w:sz w:val="28"/>
          <w:szCs w:val="28"/>
          <w:rtl w:val="true"/>
          <w:lang w:bidi="fa-IR"/>
        </w:rPr>
        <w:t xml:space="preserve">باسنادین کذلک کما قال جماعة، و فی الفقیه مرسلاً فی باب ما یصلّی فیه و ما لایصلّی فیه من الثیاب و جمیع الأنواع،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سئل أبوجعفر وأبوعبداللّه علیهماالسلام فقیل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نشتری ثیاباً یصیبها الخمر و ودک الخنزیر عند حاکتها </w:t>
      </w:r>
      <w:r>
        <w:rPr>
          <w:rStyle w:val="FootnoteAnchor"/>
          <w:rtl w:val="true"/>
        </w:rPr>
        <w:footnoteReference w:id="499"/>
      </w:r>
      <w:r>
        <w:rPr>
          <w:rFonts w:ascii="IRNazanin" w:hAnsi="IRNazanin" w:eastAsia="IRNazanin"/>
          <w:color w:val="111111"/>
          <w:sz w:val="28"/>
          <w:sz w:val="28"/>
          <w:szCs w:val="28"/>
          <w:rtl w:val="true"/>
          <w:lang w:bidi="fa-IR"/>
        </w:rPr>
        <w:t xml:space="preserve">، أنصلّی فیها قبل أن نغسلها ؟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لا بأس، إنّما حرّم اللّه أکله وشربه، و لم یحرّم لبسه و مسّه والصلاة فیه </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أمّا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 الوجه الّذی ذکره فی الفقیه ظاهر الضعف، لکونه مرسلاً ولا حجیّه للمراسیل،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الوجه الّذی ذکره فی العلل، فإنّما یتّضح بذکر ما فی العلل من السند، قال فیه، فی باب علّة الرخصة فی الصلاة فی ثوب أصابه خمر و ودک الخنزیر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رحمه‌الله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سعد بن عبداللّه، عن محمّد بن الحسین، و علیّ بن إسماعیل، و یعقوب بن یزید ، عن حمّاد بن عیسی ، عن حریز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بکیر ، عن أبی جعفر علیه‌السلام ، و أبوالصباح ، و أبوسعید ، والحسن النبّال ، عن أبی عبداللّه علیه‌السلام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قلنا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نشتری </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أبوه و سعد، فظاهر أمرهما فی الوثاقة والجلالة ؛ و أمّا محمّد بن الحسین، فالظاهر أنّه محمّد بن الحسین بن أبی الخطّاب، و هو کما فی النجاشی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من أصحابنا، عظیم القدر، کثیر الروایة، ثقة، عین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حمّاد بن عیسی و حریز ، فقد ذکرت الکلام مع غنائهما لوثاقتهما فی أوّل الکتاب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بکیر، فهو بکیر بن أعین بن سنسن الشیبانیّ، فقد ذکر فی الخلاصة أنّه مشکور، مات علی الإستقامة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 الکشّی عن حمدویه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یعقوب بن یزید، عن إبن أبی عمیر ، عن الفضیل ، و إبراهیم ، إبنی محمّد الأشعریین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أبا عبداللّه علیه‌السلام لمّا بلغه وفات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لقد أنزله اللّه بین رسول اللّه و بین أمیرالمؤمنین ـ صلوات اللّه علیهما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بأسناده عن عبید بن زرارة والحسن بن جهم بن بکیر، عن عمّه عبداللّه بن بکیر، عن عبید بن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فذکر بکیر بن أعین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بکیرا ، و قد فعل فنظرت إلیه و کنت یومئذ حدیث السنّ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أقول إن شاء اللّه تعالی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الکشّی أیضا فی ترجمة حمران أخیه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بأسناده عن فضالة بن أیّوب، عن بکیر بن أعین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حججت أوّل حجّة فصرت إلی منی ، فسألت عن فسطاط أبی عبداللّه علیه‌السلام ، فدخلت علیه، فرأیت فی الفسطاط جماعة، فأقبلت أنظر فی وجوههم فلم أره فیهم، و کان فی ناحیة الفسطاط یحتجم،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هلمّ إلیّ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غلام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 إبن بنی أعین أنت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جعلنی اللّه فداک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أیّهم أنت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بکیر بن أعین،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حمران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یحجّ العام علی شوق شدید منه إلیک، و هو یقرء علیک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و علیه السلام، حمران مؤمن من أهل الجنّة، لا یرتاب أبدا لا واللّه، لا واللّه، لا تخبره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 الخبر المذکور بهذا السند حسن، لو لم نقل بأنّه صحیح لمکان هذه الروایات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یتعرّض لذکر علیّ بن إسماعیل و یعقوب بن یزید لکفایة محمّد بن الحسین عنهما، لکونهما و محمّد بن الحسین راوین عن بکیر فکلّ منهم فی عرض الآخر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السند الآخر، فهو و إن کان متّحدا مع هذا السند إلی بکیر لکنّ الراوی عن الإمام علیه‌السلام فیه مختلف، کما أنّ الإمام الّذی روی عنه بکیر هو الباقر علیه‌السلام ، و من روی عنه هذه الثلاثة هو الصادق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نکتفی من هذه الثلاثة بذکر واحد منهم و هو أبوالصباح، فإنّه إبراهیم بن نعیم العبدی الکنانی، والظاهر وثاقته، ففی باب أصحاب الباقر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یسمّی المیزان من ثقته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أبوعبداللّه علیه‌السلام یسمّیه المیزان لثقته، ذکره أبوالعبّاس فی الرجال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أعمل علی قوله </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ذلک ما رواه فی الکشّی، عن الوشّاء، عن بعض أصحابنا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لأبی 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میزان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إنّ المیزان ربما کان فیه عین،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میزان لیس فیه عین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خبر آخر یدلّ علی حسن أمره، و هو معارضة مع زید، لکن فیه عن علیّ بن الحکم، عن أبان بن عثمان، عن برید العجلی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 أبوالصباح الکنانی عند أبی عبداللّه علیه‌السلام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واللّه أصحاب أبی خیرا منکم، کان أصحاب أبی ورقاً لا شوک فیه، و أنتم الیوم شوک لا ورق فیه، فقال أبوالصباح الکنانی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فنحن أصحاب أبیک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کنتم یومئذ خیر منکم الیوم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فی غیر ترجمته، أی فی الجعفریّة، عن محمّد بن حمران، عن أبی الصباح الکنانی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نعیّر بالکوفة فیقال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فغضب أبوعبداللّه علیه‌السلام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أصحاب جعفر منکم لقلیل، إنّما أصحاب جعفر من إشتدّ ورعه، و عمل لخالقه </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کشف الغمّة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صرت یوماً إلی باب محمّد الباقر علیه‌السلام فقرعت الباب، فخرجت إلی وصیفة ناهد، فضربت بیدی علی ثدییها </w:t>
      </w:r>
      <w:r>
        <w:rPr>
          <w:rStyle w:val="FootnoteAnchor"/>
          <w:rtl w:val="true"/>
        </w:rPr>
        <w:footnoteReference w:id="513"/>
      </w:r>
      <w:r>
        <w:rPr>
          <w:rFonts w:ascii="IRNazanin" w:hAnsi="IRNazanin" w:eastAsia="IRNazanin"/>
          <w:color w:val="111111"/>
          <w:sz w:val="28"/>
          <w:sz w:val="28"/>
          <w:szCs w:val="28"/>
          <w:rtl w:val="true"/>
          <w:lang w:bidi="fa-IR"/>
        </w:rPr>
        <w:t xml:space="preserve">، فقلت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قولی لمولاک إنّی بالباب ، فصاح من داخل الدار أدخل لا أمّ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فقلت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یا مولای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قصدت ریبة ، و لکن أردت زیادة ما فی نفسی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لئن ظننتم أنّ هذه الجدران تحجب أبصارنا کما تحجب أبصارکم إذا فلا فرق بیننا وبینکم فإیّاک أن تعاود لمثلها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فمن هذه الأخبار قد یقال بعدم وثاقة الرجل، و قوله علیه‌السلام فی الخبر الأوّل مع إرساله لا یدلّ علی وثاقته ، لکن بعد ما تقدّم من الحکم بوثاقته فی رجال أبی العبّاس کما نقل عنه النجاشی، والنجاشی علی ما نقل عنه، و رجال الشیخ رحمه‌الله فی باب أصحاب الباقر علیه‌السلام ، والخلاصة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المفید رحمه‌الله ذکره من فقهاء أصحاب أبی جعفر علیه‌السلام ، و الأعلام الرؤساء المأخوذ عنهم‌الحلال والحرام والفتیا والأحکام، الّذین لامطعن علیهم</w:t>
      </w:r>
      <w:r>
        <w:rPr>
          <w:rStyle w:val="FootnoteAnchor"/>
          <w:rtl w:val="true"/>
        </w:rPr>
        <w:footnoteReference w:id="515"/>
      </w:r>
      <w:r>
        <w:rPr>
          <w:rFonts w:ascii="IRNazanin" w:hAnsi="IRNazanin" w:eastAsia="IRNazanin"/>
          <w:color w:val="111111"/>
          <w:sz w:val="28"/>
          <w:sz w:val="28"/>
          <w:szCs w:val="28"/>
          <w:rtl w:val="true"/>
          <w:lang w:bidi="fa-IR"/>
        </w:rPr>
        <w:t xml:space="preserve">، و لا طریق إلی ذمّ واحد منهم، و هم أصحاب الأصول المدوّنة والمصنّفات المشهورة، و جعل من جملة هذه الفقهاء أباالصباح الکنانی </w:t>
      </w:r>
      <w:r>
        <w:rPr>
          <w:rStyle w:val="FootnoteAnchor"/>
          <w:rtl w:val="true"/>
        </w:rPr>
        <w:footnoteReference w:id="516"/>
      </w:r>
      <w:r>
        <w:rPr>
          <w:rFonts w:ascii="IRNazanin" w:hAnsi="IRNazanin" w:eastAsia="IRNazanin"/>
          <w:color w:val="111111"/>
          <w:sz w:val="28"/>
          <w:sz w:val="28"/>
          <w:szCs w:val="28"/>
          <w:rtl w:val="true"/>
          <w:lang w:bidi="fa-IR"/>
        </w:rPr>
        <w:t xml:space="preserve">، لا یبقی وجه النظر إلی هذه الأخبار، مع أنّها لا تدلّ علی الضعف، فإنّ الخبر الأوّل إنّما دلّ علی کون أصحاب الباقر علیه‌السلام خیراً من أصحاب أبی عبداللّه علیه‌السلام ، و کان أبوالصباح فی السابق خیرا من لاحقه، و هذا لایدلّ علی ضعفه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الثانی أیضا لا یدلّ علی ضعفه و ذمّه ، لعدم دلالة کونه خارجاً من أصحابه، لأنّه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أصحاب جعفر منکم 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نظر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أیضا إنّما أراد الإمام الصادق علیه‌السلام من کلامه هذا ما هو فوق درجة الوثاقة ممّا ینبغی أن ینسب إلیه علیه‌السلام فیقال جعفریّة، و یشیر إلی 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اشتدّ </w:t>
      </w:r>
    </w:p>
    <w:p>
      <w:pPr>
        <w:pStyle w:val="BookText"/>
        <w:rPr/>
      </w:pPr>
      <w:r>
        <w:rPr>
          <w:rFonts w:ascii="IRNazanin" w:hAnsi="IRNazanin" w:eastAsia="IRNazanin"/>
          <w:color w:val="111111"/>
          <w:sz w:val="28"/>
          <w:sz w:val="28"/>
          <w:szCs w:val="28"/>
          <w:rtl w:val="true"/>
          <w:lang w:bidi="fa-IR"/>
        </w:rPr>
        <w:t xml:space="preserve">ورعه و عمل لخالقه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هذین مخصوصان بمن صعد معارج التقی و فاز بالدرجات العلی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علیه‌السلام فی ترجمة السفلة من الکشّی عن المفضل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إیّاک والسفلة، إنّما شیعة جعفر من عفّت بطنه و فرجه، واشتدّ جهاده، و عمل لخالقه، و رجا ثوابه، و خاف عقابه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الخبر الأخیر، فقد یفهم من تقریر الإمام ما قاله من الإعتذار أنّه لیس له مقصد سوء فیما فعله و إن کان بالمقصد الّذی ذکره أیضا لایخلو عن شیء، لکنّ الأمر سهل، والخبر غیر واضح السند، و مع وضوحه لیس بشیء ینافی الوثاقة ولاسیّما بعد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إنّ الخبر مشتمل علی ودک الخنزیر، والودک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الدسومة، و لا شکّ أنّ دسومة الخنزیر نجسة، فامّا أن یکون المراد عدم حرمة الصلاة علی حدّ حرمة شربها، بأن یکون الصلاة فیها حراماً مستقلاً لا عقاب مستقل کحرمة شربها، بل إنّما ذلک لعدم جامعیّة شرائط الصلاة و هو کون المصلّی طاهراً فی حالها، فیکون الخمر فی ذلک کالدم و نحوها ؛ أو یکون هذا الخبر مطروحاً لاشتماله علی الودک، فلا حجیّة فیه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الفقیه، فی الباب المذکور ، عن أبی جمیلة ، عن أبی عبداللّه علیه‌السلام إنّه سأله عن ثوب المجوسی ألبسه و أصلّی فیه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یشربون الخمر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نحن نشتری الثیاب السابریّة فنلبسها و لا نغسلها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وطریق الصدوق رحمه‌الله إلی أبی جمیلة هذا وإن کان صحیحاً لکن أبا جمیلة ضعیف ، أمّا طریق الصدوق رحمه‌الله إلیه فکما قال فی المشیخة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کان فیه عن أبی جمیلة فقد رویته عن أبی رضی‌الله‌عنه ، عن الحمیری، عن أحمد بن محمّد بن عیسی، عن أحمد بن محمّد بن أبی نصر البزنطی، عن أبی جمیلة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الحمیری هو عبداللّه بن جعفر بن الحسین بن مالک بن جامع الحمیری، أبوالعبّاس القمی، صاحب قرب الاسناد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النجاشی أنّه صاحب قرب أسناد ثلاثة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إلی الرضا علیه‌السلام ، و قرب الاسناد الی أبی جعفر بن الرضا علیهماالسلام ، و قرب الاسناد إلی صاحب الأمر علیه‌السلام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النجاشی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شیخ القمیّین و وجههم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الأخیر و الفهرست روی التصریح بوثاقته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البزنطی المذکور، فقد صرّح بجلالته و وثاقته فی باب أصحاب الکاظم والرضا علیهماالسلام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لقی الرضا علیه‌السلام و أباجعفر علیه‌السلام و کان عظیم المنزلة عندهما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لقی الرضا علیه‌السلام ، و کان عظیم المنزلة عنده، و هو ثقة، جلیل القدر، و کان له إختصاص بأبی الحسن الرضا و أبی جعفر علیهماالسلام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ذکره فی الکشّی فی تسمیة الفقهاء من أصحاب أبی إبراهیم و أبی الحسن الرضا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إجتمع أصحابنا علی تصحیح ما یصحّ عن هؤلاء، و أقرّوا لهم بالفقه والعلم، و هم ستّة نفر، و عدّ منهم أحمد بن محمّد بن أبی نصر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علی تصحیح ما یصحّ عن هؤلاء عنه، وأقرّوا له بالفقه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ذکر فی الکشّی روایات تدلّ علی جلالته و إختصاصه بهم علیهم‌السلام ، فمن ذلک ما رواه باسناده عن الحسن بن علیّ بن نعمان ، عن أحمد بن محمّد بن أبی نصر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فأمسیت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تنصرف فقد أمسیت عنده،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لجاریته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هاتی مضربتی ووسادتی فافرشی لأحمد فی ذلک البیت،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صرت فی البیت دخلنی شیء فجعل یخطر ببالی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مِثلی فی بیت ولیّ اللّه و علی مهاده ، فنادانی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أحمد ، إنّ أمیرالمؤمنین علیه‌السلام عاد صعصعة بن صوحان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صعصعة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تجعل عیادتی إیّاک فخرا علی قومک، و تواضع للّه، یرفعک اللّه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الروایات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أمّا أبوجمیلة، فهو المفضّل بن صالح الأسدیّ النخّاس الّذی صرّح فی الخلاصة بأنّه کذّاب، یضع الحدیث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واعترف نفسه بذلک و إقرار العقلاء علی أنفسهم جائز، لأنّ فی الکشّی عن معاویة بن حکیم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أباجمیلة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وضعت رسالة معاویة إلی محمّد بن أبی بکر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دلالة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ففیها قصورها عن إفادة تحقّق الموضوع، لأنّ شرب المجوس الخمر و کون ذلک جائزاً عندهم لا یقتضی کون الثیاب مطلخة بالخمر کما لایخفی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التهذیب، فی باب المیاه و أحکامها من الزیادات، عن علیّ بن جعفر، عن أخیه موسی علیه‌السلام ، عن الرجل یمرّ فی ماء المطر و قد صبّ فیه خمر فأصاب ثوبه، هل یصلّی فیه قبل أن یغسله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تغسل ثوبه، و لا رجله، و یصلّی فیه، و لا بأس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أنّ ذلک من أجل ماء المطر، و قد مرّ الکلام فیه فی أوائل الکتاب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المرسلة الّتی أشارت إلیها روایة علیّ بن مهزیار المذکورة فی أدلّة القول الأوّل، لأنّ فیها روی زرارة، عن أبی جعفر و أبی عبداللّه علیهماالسلام فی الخمر یصیب ثوب الرجل أنّهما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أن یصلّی فیه، إنّما حرّم شربها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227" w:name="pg3696_43429"/>
    </w:p>
    <w:p>
      <w:pPr>
        <w:pStyle w:val="BookText"/>
        <w:rPr/>
      </w:pPr>
      <w:bookmarkEnd w:id="227"/>
      <w:r>
        <w:rPr>
          <w:rFonts w:ascii="IRNazanin" w:hAnsi="IRNazanin" w:eastAsia="IRNazanin"/>
          <w:color w:val="111111"/>
          <w:sz w:val="28"/>
          <w:sz w:val="28"/>
          <w:szCs w:val="28"/>
          <w:rtl w:val="true"/>
          <w:lang w:bidi="fa-IR"/>
        </w:rPr>
        <w:t xml:space="preserve">و فیه أنّه یکفی فی الجواب عنها ، مع إرسالها علی تأمّل فیه بعد تقریر الإمام علیه‌السلام روایة زرارة تلک الروایة عنهما ، قوله علیه‌السلام فی آخر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بقول أبی عبداللّه علیه‌السلام ، فلیلاحظ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الروایات الواردة فی مطلق المسکر، کروایة أبی بکر الحضرمی، و ستأتی تلک الروایات مع الجواب عنها </w:t>
      </w:r>
      <w:r>
        <w:rPr>
          <w:rFonts w:eastAsia="IRNazanin" w:cs="IRNazanin"/>
          <w:color w:val="111111"/>
          <w:sz w:val="28"/>
          <w:szCs w:val="28"/>
          <w:rtl w:val="true"/>
          <w:lang w:bidi="fa-IR"/>
        </w:rPr>
        <w:t>.</w:t>
      </w:r>
    </w:p>
    <w:p>
      <w:pPr>
        <w:pStyle w:val="Heading6"/>
        <w:numPr>
          <w:ilvl w:val="5"/>
          <w:numId w:val="1"/>
        </w:numPr>
        <w:rPr/>
      </w:pPr>
      <w:bookmarkStart w:id="228" w:name="__RefHeading___Toc488385_2281741623"/>
      <w:bookmarkStart w:id="229" w:name="_Toc86"/>
      <w:bookmarkEnd w:id="228"/>
      <w:r>
        <w:rPr>
          <w:rtl w:val="true"/>
        </w:rPr>
        <w:t xml:space="preserve">الجواب عن الأخبار الواردة فی طهارة الخمر </w:t>
      </w:r>
      <w:r>
        <w:rPr>
          <w:rtl w:val="true"/>
        </w:rPr>
        <w:t>:</w:t>
      </w:r>
      <w:bookmarkEnd w:id="229"/>
    </w:p>
    <w:p>
      <w:pPr>
        <w:pStyle w:val="BookText"/>
        <w:rPr/>
      </w:pPr>
      <w:r>
        <w:rPr>
          <w:rFonts w:ascii="IRNazanin" w:hAnsi="IRNazanin" w:eastAsia="IRNazanin"/>
          <w:color w:val="111111"/>
          <w:sz w:val="28"/>
          <w:sz w:val="28"/>
          <w:szCs w:val="28"/>
          <w:rtl w:val="true"/>
          <w:lang w:bidi="fa-IR"/>
        </w:rPr>
        <w:t xml:space="preserve">والجواب عن هذه الأخبار و غیرها، فقد عرفته تفصیلاً حال التعرّض لکلّ منها، و أمّا إجمالاً فمن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أجاب به الشیخ رحمه‌الله فی کتابیه التهذیب والإستبصار، بحمل هذه الأخبار علی التقیّة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بعد ذکر بعض من الأخبار الدالّة علی الطهارة کروایة أبی بکر الحضرمیّ الآتیة و روایة عبداللّه بن بکیر والحسن بن أبی سارة والحسین بن موسی الحنّاط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والوجه فی هذه الأخبار أن نحملها علی ضرب من التقیّة، لأنّها موافقة لمذاهب کثیر من العامّة </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قلنا ذلک لأنّ الأخبار الأولة مطابقة لظاهر القرآن، قال اللّه تعالی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والأنصاب والأزلام رجس </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 فحکم علی الخمر </w:t>
      </w:r>
    </w:p>
    <w:p>
      <w:pPr>
        <w:pStyle w:val="BookText"/>
        <w:rPr/>
      </w:pPr>
      <w:r>
        <w:rPr>
          <w:rFonts w:ascii="IRNazanin" w:hAnsi="IRNazanin" w:eastAsia="IRNazanin"/>
          <w:color w:val="111111"/>
          <w:sz w:val="28"/>
          <w:sz w:val="28"/>
          <w:szCs w:val="28"/>
          <w:rtl w:val="true"/>
          <w:lang w:bidi="fa-IR"/>
        </w:rPr>
        <w:t xml:space="preserve">بالرجاسة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عنهم علیهم‌السلام أنّهم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جاءکم عنّا حدیثان فاعرضوهما علی کتاب اللّه، فما وافق کتاب اللّه فخذوه، و ما خالفه فاطرحوه ؛ و هذه الأخبار مخالفة لظاهر القرآن فینبغی أن یکون العمل علی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یدلّ علی أنّ هذه الأخبار خرجت مخرج التقیّة ما أخبرنی به الشیخ رحمه‌الله ، عن جعفر بن محمّد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ذکر روایة علیّ بن مهزیار،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فأمره بالأخذ بقول أبی عبداللّه علیه‌السلام الّذی یتضمّن التحریم والعدول عن قوله، مع قول أبی جعفر علیه‌السلام الّذی یتضمّن الإباحة، فدلّ علی أنّ ذلک خرج مخرج التقیّة، لأنّه لو لم یکن کذلک لکان الأخذ بقولهما معا أولی </w:t>
      </w:r>
      <w:r>
        <w:rPr>
          <w:rStyle w:val="FootnoteAnchor"/>
          <w:rtl w:val="true"/>
        </w:rPr>
        <w:footnoteReference w:id="53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یؤیّد الحمل المذکور، مضافاً إلی ما تقدّم من روایة علیّ بن مهزیار، بعض الأخبار السابقة المشتملة علی ودک الخنزیر و لحمه و نحو ذلک، فإنّ إجماع أصحابنا علی نجاسة الخنزیر مع أنّ بعض هذه الروایات قد تدلّ علی طهارته و إن هذا إلاّ تقیّة، فإنّ الفتوی بطهارته هی مذهب بعض من العامّة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تعلیل بعض الأخبار، کروایة الحسن بن أبی سارة </w:t>
      </w:r>
      <w:r>
        <w:rPr>
          <w:rStyle w:val="FootnoteAnchor"/>
          <w:rtl w:val="true"/>
        </w:rPr>
        <w:footnoteReference w:id="537"/>
      </w:r>
      <w:r>
        <w:rPr>
          <w:rFonts w:ascii="IRNazanin" w:hAnsi="IRNazanin" w:eastAsia="IRNazanin"/>
          <w:color w:val="111111"/>
          <w:sz w:val="28"/>
          <w:sz w:val="28"/>
          <w:szCs w:val="28"/>
          <w:rtl w:val="true"/>
          <w:lang w:bidi="fa-IR"/>
        </w:rPr>
        <w:t xml:space="preserve">، للحکم المذکور بأنّ الثوب لا یسکر، المناسب لتعلیلات العامّة، و فیه إعلام الفقیه العارف بأنّ هذا حکم ورد علی وفق التقیّة، لأنّ تعلیل الطهارة بأنّ الثوب لا یسکر،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مقتضی هذا التعلیل أنّ فیما یسکر یکون نجساً فتکون إذا وقعت علی بدن الإنسان یجب غسلها حال الصلاة، و لا قائل بالفصل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المعتبر انّ القول بالنجاسة مذهب الشافعی و أبی حنیفة و أکثر </w:t>
      </w:r>
    </w:p>
    <w:p>
      <w:pPr>
        <w:pStyle w:val="BookText"/>
        <w:rPr/>
      </w:pPr>
      <w:r>
        <w:rPr>
          <w:rFonts w:ascii="IRNazanin" w:hAnsi="IRNazanin" w:eastAsia="IRNazanin"/>
          <w:color w:val="111111"/>
          <w:sz w:val="28"/>
          <w:sz w:val="28"/>
          <w:szCs w:val="28"/>
          <w:rtl w:val="true"/>
          <w:lang w:bidi="fa-IR"/>
        </w:rPr>
        <w:t xml:space="preserve">أهل العلم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بعض الأخبار کروایة العلل بأنّ اللّه تعالی إنّما حرّم أکله و شربه </w:t>
      </w:r>
      <w:r>
        <w:rPr>
          <w:rStyle w:val="FootnoteAnchor"/>
          <w:rtl w:val="true"/>
        </w:rPr>
        <w:footnoteReference w:id="539"/>
      </w:r>
      <w:r>
        <w:rPr>
          <w:rFonts w:ascii="IRNazanin" w:hAnsi="IRNazanin" w:eastAsia="IRNazanin"/>
          <w:color w:val="111111"/>
          <w:sz w:val="28"/>
          <w:sz w:val="28"/>
          <w:szCs w:val="28"/>
          <w:rtl w:val="true"/>
          <w:lang w:bidi="fa-IR"/>
        </w:rPr>
        <w:t xml:space="preserve">، مع أنّه لیس فی القرآن تصریح بالشرب،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والأنصاب والأزلام رجس من عمل الشیطان </w:t>
      </w:r>
      <w:r>
        <w:rPr>
          <w:rFonts w:eastAsia="IRNazanin" w:cs="IRNazanin"/>
          <w:color w:val="111111"/>
          <w:sz w:val="28"/>
          <w:szCs w:val="28"/>
          <w:rtl w:val="true"/>
          <w:lang w:bidi="fa-IR"/>
        </w:rPr>
        <w:t xml:space="preserve">» </w:t>
      </w:r>
      <w:r>
        <w:rPr>
          <w:rStyle w:val="FootnoteAnchor"/>
          <w:rtl w:val="true"/>
        </w:rPr>
        <w:footnoteReference w:id="540"/>
      </w:r>
      <w:r>
        <w:rPr>
          <w:rFonts w:ascii="IRNazanin" w:hAnsi="IRNazanin" w:eastAsia="IRNazanin"/>
          <w:color w:val="111111"/>
          <w:sz w:val="28"/>
          <w:sz w:val="28"/>
          <w:szCs w:val="28"/>
          <w:rtl w:val="true"/>
          <w:lang w:bidi="fa-IR"/>
        </w:rPr>
        <w:t xml:space="preserve">، وتقدیر الشرب ینافیأخواتها فتأمّل، إلی غیر ذلک ممّا فی الأخبار الشاهد لکونها واردة مورد التقیّة ، کما أشرنا إلی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یعترض علی هذا الوجه بأنّ القول بالنجاسة أیضا مشهور بین العامّة کما صرّح به فی المصابیح </w:t>
      </w:r>
      <w:r>
        <w:rPr>
          <w:rStyle w:val="FootnoteAnchor"/>
          <w:rtl w:val="true"/>
        </w:rPr>
        <w:footnoteReference w:id="541"/>
      </w:r>
      <w:r>
        <w:rPr>
          <w:rFonts w:ascii="IRNazanin" w:hAnsi="IRNazanin" w:eastAsia="IRNazanin"/>
          <w:color w:val="111111"/>
          <w:sz w:val="28"/>
          <w:sz w:val="28"/>
          <w:szCs w:val="28"/>
          <w:rtl w:val="true"/>
          <w:lang w:bidi="fa-IR"/>
        </w:rPr>
        <w:t xml:space="preserve">، بل یظهر منه أنّ معظمهم علی النجاسة، فلا وجه لحمل هذه الأخبار علی التقیّة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یکفی فی الحمل علی التقیّة إختصاص القول بالطهارة بالعامّة ولو بعضهم، فإنّ به یحصل الإتقاء و إن لم یکن ذلک مذهب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ربیعة الرای کما قال فی المصابیح </w:t>
      </w:r>
      <w:r>
        <w:rPr>
          <w:rStyle w:val="FootnoteAnchor"/>
          <w:rtl w:val="true"/>
        </w:rPr>
        <w:footnoteReference w:id="543"/>
      </w:r>
      <w:r>
        <w:rPr>
          <w:rFonts w:ascii="IRNazanin" w:hAnsi="IRNazanin" w:eastAsia="IRNazanin"/>
          <w:color w:val="111111"/>
          <w:sz w:val="28"/>
          <w:sz w:val="28"/>
          <w:szCs w:val="28"/>
          <w:rtl w:val="true"/>
          <w:lang w:bidi="fa-IR"/>
        </w:rPr>
        <w:t xml:space="preserve">، کان من فقهاء المدینة، و من شیوخ مالک، و کان فی عصر الصادق علیه‌السلام ، و لا غرو أن یتّقی من قوله هذا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الشیخ أنّ القول بالطهارة هو المشهور أو الأشهر، و لعلّه إشتهر القول بالنجاسة فیما بعد زمان الإمام علیه‌السلام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حملها علی التقیّة من الأمراء، والسلاطین، و حکّام الجور، المشغولین بالملاهی، فإنّ أکثر السلاطین الموجودین فی زمان الأئمّة علیهم‌السلام کانوا مشغولین بشرب الخمر، و لعب الشطرنج، و نحو ذلک، و به إشتهر کثیر من بنی أمیّة، وبنی العبّاس لعنهم اللّه، ومثلهم أمراؤهم، و توابعهم، فإنّ الناس علی دین ملوکهم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لنعم ما قال بعضهم فی تقریر ذلک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ملائم لطبائع السلاطین، وذوی الشوکة من أمراء بنی أمیّة، و بنی العبّاس، المولعین بشرب الخمر، المتهالکین علیه، حتّی أنّهم لشدّة خوضهم علیها ربّما حاولوا دفع التحریم عنها، کما یشیر إلیه حدیث المهدیّ العبّاسی مع الکاظم علیه‌السلام </w:t>
      </w:r>
      <w:r>
        <w:rPr>
          <w:rStyle w:val="FootnoteAnchor"/>
          <w:rtl w:val="true"/>
        </w:rPr>
        <w:footnoteReference w:id="544"/>
      </w:r>
      <w:r>
        <w:rPr>
          <w:rFonts w:ascii="IRNazanin" w:hAnsi="IRNazanin" w:eastAsia="IRNazanin"/>
          <w:color w:val="111111"/>
          <w:sz w:val="28"/>
          <w:sz w:val="28"/>
          <w:szCs w:val="28"/>
          <w:rtl w:val="true"/>
          <w:lang w:bidi="fa-IR"/>
        </w:rPr>
        <w:t xml:space="preserve">، إنتهی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یعترض علی هذا الوجه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منقوض بالحکم بحرمتها، مع أنّ ذلک متّفق علیه بین الفریقین، یسلّمون الأمراء والسلاطین ذلک، فإنّ الحکم بالنجاسة لیس بأعلی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القول بالنجاسة کما عرفت معروف بین العامّة أیضا، فالتقیّة من السلاطین لو اقتضت الحکم بالطهارة، لکان أولی الناس به فقهاء العامّة، لشدّة مخالطتهم إیّاهم، و عکوفهم لدیهم، و هم أولی بقبول أحکامهم، والمیل إلیهم، والخوف عنهم، مع أنّ معظمهم علی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أمراء بنی أمیّة و بنی العبّاس فی زمن الباقر و الصادق علیهماالسلام لم یکونوا متظاهرین بشرب الخمر علانیة، و إنّما یفعلونه فی السرّ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والجواب أمّا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الحکم بالنجاسة حکم آخر فوق الحکم </w:t>
      </w:r>
    </w:p>
    <w:p>
      <w:pPr>
        <w:pStyle w:val="BookText"/>
        <w:rPr/>
      </w:pPr>
      <w:r>
        <w:rPr>
          <w:rFonts w:ascii="IRNazanin" w:hAnsi="IRNazanin" w:eastAsia="IRNazanin"/>
          <w:color w:val="111111"/>
          <w:sz w:val="28"/>
          <w:sz w:val="28"/>
          <w:szCs w:val="28"/>
          <w:rtl w:val="true"/>
          <w:lang w:bidi="fa-IR"/>
        </w:rPr>
        <w:t xml:space="preserve">بالحرمة، و عدم الإتقاء فی الأوّل لکونه مسلّماً بین النّاس، ناطقاً به الکتاب العزیز بحیث لا یمکن إنکاره، لا یقتضی عدم الإتقاء فی الثانی، و لا سیّما بعد أن کان النفس تشمأزّ من شرب النجس بخلاف شرب الحرام، مع أنّ ذلک یستلزم الحکم بنجاسة شاربه المواضع الّتی لاقاها الخمر، والحکم بنجاستهم، و نجاسة أوانیهم، وألبستهم، و أطعمتهم، و أشربتهم، ممّا یصعب علی أنفس السلاطین والأمراء، لأنّه مستلزم للتبعّد عنهم، و عن ما یستعملونه علی تلک الحالة برطوبة الخمر، فیمکن أن تکون التقیّة فی ذلک أعظم و أشدّ من التقیّة فی الحکم بالحرمة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فبما قیل من أنّ إشتهار الفتوی بالنجاسة بین علمائهم لاینافی ذلک، إذ لم یکن علی فقهاء العامّة تقیّة و لا استیحاش من أئمّة الجور، ولذا أنّهم کثیرا مّا کانوا یتظاهرون بمخالفة ما هم علیه، و یجاهرونهم بالردّ والکفاح، ولا یراقبونهم فی ذلک، و کان ذو الشوکة منهم یحتمله، و لا یبالی به لعلمه بأنّ ذلک لا یحدث فتقاً فی سلطانه، و لا یهتد رکناً من بنیانه، إذ لم یکن فیهم من یرشّح للإمامة، و لا من أهّل للخلافة الکبری والریاسة العظمی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کان التقیّة علی أئمّة الحقّ المحسودین للخلق، و هم الّذین لا یدانیهم فی الفضل أحد، والّذین ورد علیهم من حسد أئمّة الجور ما قد ورد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عن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 العداوة القلبیّة والبغض الباطنی تحصل و تزید بالإفتاء بما تکره النفس، و إن کان الحکم ممّا یقبله الخصم المعاند، و لکن یرتکبه لشقاوة نفسه، و وسوسة شیطانه، واقتضاء شهواته ؛ و أیضا الإختفاء فی شرب الخمر بعد کون ذلک معلوماً من حالهم یکون کالعلانیة فی الإتقاء، فإنّهم یؤذون بعد ما سمع </w:t>
      </w:r>
    </w:p>
    <w:p>
      <w:pPr>
        <w:pStyle w:val="BookText"/>
        <w:rPr/>
      </w:pPr>
      <w:r>
        <w:rPr>
          <w:rFonts w:ascii="IRNazanin" w:hAnsi="IRNazanin" w:eastAsia="IRNazanin"/>
          <w:color w:val="111111"/>
          <w:sz w:val="28"/>
          <w:sz w:val="28"/>
          <w:szCs w:val="28"/>
          <w:rtl w:val="true"/>
          <w:lang w:bidi="fa-IR"/>
        </w:rPr>
        <w:t xml:space="preserve">من الإفتاء و أمر الناس بخلاف ما هم علیه فی سرائرهم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نسلّم أنّهم کانوا لا یشربون الخمر إلاّ سرّا، سلّمنا و لعلّهم إنّما یشربون خلوة عن الناس لیلتذوا بذلک أشدّ الالتذاذ فإنّ فی علانیتهم لا یحصل لهم هذه اللذّة کما یحصل فی الخلوات والسرائر، إلی غیر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إنّه قد یعترض أیضا علی هذین الوجهین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الحمل علی التقیّة فی قوّة الإطراح، فلا ینبغی إرتکابه إلاّ عند الضرورة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المنع من ذلک، فإنّ هذا الحمل إنّما هو بعد الإعتماد بصدور الخبر عن الإمام، والإعتقاد بمضمونه، إلاّ قد ورد علی مذهب العامّة، و هذا غیر الطرح، و عدم الإلتفات إلیه إمّا للحکم بعدم صدوره عن الإمام، فتأمّل ؛ أو لأمر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مرّ ما مرّ فی الأخبار من الأمارات للحمل المذکور، فهو الشاهد للحمل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الضرورة هنا قائمة لما سیجیء إن شاء اللّه تعالی، فإنّ الأخبار الدالّة علی النجاسة موجودة و هی أقوی من هذه الأخبار عضدا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الأخبار منها ما ضعفت أسانیدها، و منها ما ضعفت دلالتها، ومنها ما ضعفت سندها و دلالتها معا، و ما تمّ سنده و دلالته لم یبق إلاّ أقلّ قلیل لایمکن أن یعارض کلّ ما مرّ من أدلّة القول بالنجاسة و أخبار دلّت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إلی أنّ من ذلک ما اشتمل علی حکم مخالف للإجماع، فالسالم من جمیع ذلک لم یبق أصلاً، أو یبقی أقلّ من أقلّ، فکیف یمکنه المعارضة مع تلک الأدلّة والأخبار ؟</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ما فی سندها کلام أو ضعف، جملة من الأخبار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الأوّل، و هو </w:t>
      </w:r>
    </w:p>
    <w:p>
      <w:pPr>
        <w:pStyle w:val="BookText"/>
        <w:rPr/>
      </w:pPr>
      <w:r>
        <w:rPr>
          <w:rFonts w:ascii="IRNazanin" w:hAnsi="IRNazanin" w:eastAsia="IRNazanin"/>
          <w:color w:val="111111"/>
          <w:sz w:val="28"/>
          <w:sz w:val="28"/>
          <w:szCs w:val="28"/>
          <w:rtl w:val="true"/>
          <w:lang w:bidi="fa-IR"/>
        </w:rPr>
        <w:t xml:space="preserve">خبر الحسین بن أبی سارة إلاّ علی ما قلناه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الخامس عشر، و هو المرسلة الواردة فی روایة علیّ بن مهزیار، و هی المکاتبة إلی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دلالتها کلام جملة، و هی خبر عبداللّه بن بکیر کما ستعرف،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الثانی ؛ والخبر التاسع، و هو خبر علیّ الواسطی ؛ والخبر الثانی عشر، وهو الخبر المرسل فی الفقیه المسند فی العلل، عن بکیر، و عن أبی الصباح وأخویه ؛ والخبر الرابع عشر، و هو خبر علیّ بن جعفر علیه‌السلام ، الواردة فی الخمر المصبوبة فی ماء المطر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فی دلالتها و سندها کلام جملة، و 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الثالث، و هو خبر الحسن بن أبی سارة ؛ والخبر الرابع، و هو الخبر الحسین بن موسی الحنّاط ؛ والخبر الخامس، و هو روایة زکریّابن إبراهیم ؛ والخبر السادس، و هو خبر إسماعیل بن جابر ؛ والخبر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خبر یونس عنهم علیهم‌السلام ؛ والخبر الثامن، و هو خبر حفص الأعور علی ما ذکرناه، والأولی جعلها من القسم الأوّل ؛ والخبر الحادی عشر، و هو خبر علیّ بن جعفر علیه‌السلام ؛ والخبر الثالث عشر، و هو خبر أبی جمیلة ؛ فبقی الخبر العاشر، و أمّا الأخبار السادسة عشر فستعرف الجواب عنها عند التعرّض لها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ترجیح أخبار النجاسة علی أخبار الطهارة ممّا اشتمل علیه الاخبار، فهذا ترجیح فی الأخبار بالأخبار، و لو فرضنا کون أخبار الطهارة مقدّمة علی أخبار النجاسة سندا، و عددا، و دلالةً، و غیر ذلک، و راجحة بالنسبة إلیها، کان المتعیّن ترجیح أخبار النجاسة علیها، فکیف و لم یکن کذلک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روایة علیّ بن مهزیار، بعد عرض الخبرین الواردین، الدالّ أحدهما علی طهارة الخمر، </w:t>
      </w:r>
    </w:p>
    <w:p>
      <w:pPr>
        <w:pStyle w:val="BookText"/>
        <w:rPr/>
      </w:pPr>
      <w:r>
        <w:rPr>
          <w:rFonts w:ascii="IRNazanin" w:hAnsi="IRNazanin" w:eastAsia="IRNazanin"/>
          <w:color w:val="111111"/>
          <w:sz w:val="28"/>
          <w:sz w:val="28"/>
          <w:szCs w:val="28"/>
          <w:rtl w:val="true"/>
          <w:lang w:bidi="fa-IR"/>
        </w:rPr>
        <w:t xml:space="preserve">والآخر علی نجاستها، علیه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بروایة أبی عبداللّه علیه‌السلام ، و هی الروایة الأخیرة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الأخبار السابقة الدالّة علی النجاسة أقوی من هذه الأخبار من وجوه عدیدة بها لا یقاومها الأخبار الدالّة علی الطهارة،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أخبار النجاسة مشتملة علی علّة منصوصة فی الکتاب العزیز، و أخبار الطهارة مشتملة علی علّة تشبه الإعتبارات العقلیّة، الغیر اللائقة بالشریعة المتینة القویمة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عللّ فی أخبار النجاسة لنجاستها، و عدم جواز الصلاة فیها، بأنّها رجس، و هو الّذی اشتمل علیه الکتاب المجید من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والأنصاب والأزلام رجس </w:t>
      </w:r>
      <w:r>
        <w:rPr>
          <w:rFonts w:eastAsia="IRNazanin" w:cs="IRNazanin"/>
          <w:color w:val="111111"/>
          <w:sz w:val="28"/>
          <w:szCs w:val="28"/>
          <w:rtl w:val="true"/>
          <w:lang w:bidi="fa-IR"/>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 و علّل فی أخبار الطهارة لطهارتها بأنّ الثوب لا یسکر و نحو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أخبار النجاسة موافقة للکتاب المجید، و قد ورد فی الأخبار الأخذ بما وافق کتاب اللّه فی صورة المخالفة بین الأخبار، و قد أشار إلی ذلک فی الإستبصار کما تقدّم، لکن هذا بعد تسلیم دلالة الآیة و قد تقدّم الکلام فی ذلک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النجاسة أصحّ سندا و أوضح دلالةً من أخبار الطهارة، هکذا قال جماعة </w:t>
      </w:r>
      <w:r>
        <w:rPr>
          <w:rStyle w:val="FootnoteAnchor"/>
          <w:rtl w:val="true"/>
        </w:rPr>
        <w:footnoteReference w:id="549"/>
      </w:r>
      <w:r>
        <w:rPr>
          <w:rFonts w:ascii="IRNazanin" w:hAnsi="IRNazanin" w:eastAsia="IRNazanin"/>
          <w:color w:val="111111"/>
          <w:sz w:val="28"/>
          <w:sz w:val="28"/>
          <w:szCs w:val="28"/>
          <w:rtl w:val="true"/>
          <w:lang w:bidi="fa-IR"/>
        </w:rPr>
        <w:t xml:space="preserve">، و لی فیه نظر کما لایخفی ؛ و کذا ما قیل من أکثریّة عدد أخبار النجاسة، إلاّ بانضمام ما ذکرناه و سنذکره إن شاء اللّه تعالی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أخبار النجاسة مؤیّدة بمؤیّدات کثیرة، و معتضدة بالإجماعات </w:t>
      </w:r>
    </w:p>
    <w:p>
      <w:pPr>
        <w:pStyle w:val="BookText"/>
        <w:rPr/>
      </w:pPr>
      <w:r>
        <w:rPr>
          <w:rFonts w:ascii="IRNazanin" w:hAnsi="IRNazanin" w:eastAsia="IRNazanin"/>
          <w:color w:val="111111"/>
          <w:sz w:val="28"/>
          <w:sz w:val="28"/>
          <w:szCs w:val="28"/>
          <w:rtl w:val="true"/>
          <w:lang w:bidi="fa-IR"/>
        </w:rPr>
        <w:t xml:space="preserve">المحکیّة ممّن مرّ، و دعوی عدم الخلاف من الشیخ و غیره فیما مرّ، والشهرة المحقّقة القریبة إلی الإجماع، لأنّ المخالف المحقَّق مخالفته منحصر فی الصدوق وإبن أبی عقیل رحمهماالله ، بل یظهر من بعض إنحصار المخالف بهما، بل هو المحکی عن تصریح بعضهم ذلک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الجعفی، فلم نقف علی کلامه، و إنّما حکی عنه فی الذکری والدروس </w:t>
      </w:r>
      <w:r>
        <w:rPr>
          <w:rStyle w:val="FootnoteAnchor"/>
          <w:rtl w:val="true"/>
        </w:rPr>
        <w:footnoteReference w:id="551"/>
      </w:r>
      <w:r>
        <w:rPr>
          <w:rFonts w:ascii="IRNazanin" w:hAnsi="IRNazanin" w:eastAsia="IRNazanin"/>
          <w:color w:val="111111"/>
          <w:sz w:val="28"/>
          <w:sz w:val="28"/>
          <w:szCs w:val="28"/>
          <w:rtl w:val="true"/>
          <w:lang w:bidi="fa-IR"/>
        </w:rPr>
        <w:t xml:space="preserve">، ولم أجد النقل من غیره ممّن سبقها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والد الصدوق رحمه‌الله ، فلم یشتهر النقل عنه إلاّ من إبن سعید فی النزهة </w:t>
      </w:r>
      <w:r>
        <w:rPr>
          <w:rStyle w:val="FootnoteAnchor"/>
          <w:rtl w:val="true"/>
        </w:rPr>
        <w:footnoteReference w:id="552"/>
      </w:r>
      <w:r>
        <w:rPr>
          <w:rFonts w:ascii="IRNazanin" w:hAnsi="IRNazanin" w:eastAsia="IRNazanin"/>
          <w:color w:val="111111"/>
          <w:sz w:val="28"/>
          <w:sz w:val="28"/>
          <w:szCs w:val="28"/>
          <w:rtl w:val="true"/>
          <w:lang w:bidi="fa-IR"/>
        </w:rPr>
        <w:t xml:space="preserve">، ولعلّه تخیّل هذا من کلامه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الشرب و ما جاء فی الغناء والملاهی، فإنّه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أبی رضی‌الله‌عنه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أصل الخمر من الکرم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تجالسوا شراب الخمر، فإنّ اللعنة إذا نزلت عمّت من فی المجلس ، و لا یجوز الصلاة فی بیت فیه خمر محصور فی آنیة ، ولا بأس بالصلاة فی ثوب أصابته خمر، لأنّ اللّه عزّوجلّ حرّم شربها، و لم یحرّم الصلاة فی ثوب أصابته </w:t>
      </w:r>
      <w:r>
        <w:rPr>
          <w:rStyle w:val="FootnoteAnchor"/>
          <w:rtl w:val="true"/>
        </w:rPr>
        <w:footnoteReference w:id="55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فیحتمل أن یکون من بقیّة کلام أبیه و إن کان بعیدا، و کیف کان فلم نجد الخلاف مع الفحص عن غیرهم من الثلاثة أو الأربعة </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المعالم بعد نقل الخلاف عن الصدوق والجعفی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یعرف هذا القول </w:t>
      </w:r>
    </w:p>
    <w:p>
      <w:pPr>
        <w:pStyle w:val="BookText"/>
        <w:rPr/>
      </w:pPr>
      <w:r>
        <w:rPr>
          <w:rFonts w:ascii="IRNazanin" w:hAnsi="IRNazanin" w:eastAsia="IRNazanin"/>
          <w:color w:val="111111"/>
          <w:sz w:val="28"/>
          <w:sz w:val="28"/>
          <w:szCs w:val="28"/>
          <w:rtl w:val="true"/>
          <w:lang w:bidi="fa-IR"/>
        </w:rPr>
        <w:t xml:space="preserve">لسواهم من الأصحاب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شرح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ینقل خلاف إلاّ من الصدوق و إبن أبی عقیل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حاول بعض عدم صراحة کلام الصدوق رحمه‌الله فی ذلک، لأنّ کلامه یحتمل العفو عن هذه النجاسة کالدم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نظر، لأنّ له کلامین،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ما ینجس الثوب والبدن </w:t>
      </w:r>
      <w:r>
        <w:rPr>
          <w:rStyle w:val="FootnoteAnchor"/>
          <w:rtl w:val="true"/>
        </w:rPr>
        <w:footnoteReference w:id="557"/>
      </w:r>
      <w:r>
        <w:rPr>
          <w:rFonts w:ascii="IRNazanin" w:hAnsi="IRNazanin" w:eastAsia="IRNazanin"/>
          <w:color w:val="111111"/>
          <w:sz w:val="28"/>
          <w:sz w:val="28"/>
          <w:szCs w:val="28"/>
          <w:rtl w:val="true"/>
          <w:lang w:bidi="fa-IR"/>
        </w:rPr>
        <w:t xml:space="preserve">، 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باب حدّ الشرب </w:t>
      </w:r>
      <w:r>
        <w:rPr>
          <w:rStyle w:val="FootnoteAnchor"/>
          <w:rtl w:val="true"/>
        </w:rPr>
        <w:footnoteReference w:id="558"/>
      </w:r>
      <w:r>
        <w:rPr>
          <w:rFonts w:ascii="IRNazanin" w:hAnsi="IRNazanin" w:eastAsia="IRNazanin"/>
          <w:color w:val="111111"/>
          <w:sz w:val="28"/>
          <w:sz w:val="28"/>
          <w:szCs w:val="28"/>
          <w:rtl w:val="true"/>
          <w:lang w:bidi="fa-IR"/>
        </w:rPr>
        <w:t xml:space="preserve">، و فیهما التعلیل للحکم بجواز الصلاة بأنّ اللّه حرّم شربها، و لم یحرّم الصلاة فی ثوب أصابته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الصدوق قد حکم فی باب المیاه و طهرها و نجاستها ، بأنّه إن وقع فی البئر خمر نزح الماء کلّه، و هذا إنّما یلائم کونها نجسة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فیه حیث یذکر أحکام البئر بما یقع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وقع فیها بعیر أو ثور أو صبّ فیها خمر نزح الماء کلّه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فلعلّ بین کلامه هذا و کلامیه السابقین منافاة، و لکن یمکن أن یکون الحکم بذلک لمکان النصّ الوارد فی ذلک کما عرفت </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فلم یتجاوز نقل الخلاف عن هؤلاء الأربعة و غیرهم علی خلاف ذلک من الحکم بالنجاسة، من غیر تردید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نعم، قد عرفت أنّه قد یظهر من عبارة المصنّف فی المعتبر، أو یتوهّم منها التردید فی ذلک، و لکن بعد ملاحظة کلامه یظهر أنّه بعد أن ردّد فی الحکم المذکور لمکان تعارض الأدلّة ، إختار الحکم بالنجاسة لکونه الأحوط فی الدّین ، مع أنّ فی أوّل کلامه إختار النجاسة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نجسة العین، و هو مذهب الثلاثة و أتباعهم، والشافعی وأبی حنیفة و أکثر أهل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محمّد بن بابویه و إبن أبی عقیل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نجسة، و تصحّ الصلاة مع حصولها فی الثوب، و إن کانت محرّمة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لنا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w:t>
      </w:r>
      <w:r>
        <w:rPr>
          <w:rFonts w:eastAsia="IRNazanin" w:cs="IRNazanin"/>
          <w:color w:val="111111"/>
          <w:sz w:val="28"/>
          <w:szCs w:val="28"/>
          <w:rtl w:val="true"/>
          <w:lang w:bidi="fa-IR"/>
        </w:rPr>
        <w:t xml:space="preserve">... »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فذکر الآیة و وجه دلالتها،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یؤیّد ما قلناه ما رواه الأصحاب عن عمّار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یصلّی فی ثوب أصابه خمر أو مسکر حتّی یغسل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محمّد بن عیسی، عن یونس، عن بعض من رواه،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مسکر فاغسله إن عرفت موضعه، و إن لم‌تعرف موضعه فاغسله کلّه، و إن صلّیت فیه فأعد صلاتک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روی عمّار، عن أبی عبداللّه علیه‌السلام فی قدح یشرب فیه الخمر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 ثلاث مرّات،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یجزیه حتّی یدلکه بیده، و یغسله ثلاث مرّات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استدلّ من قال بطهارتها بما رواه الحسن بن أبی سارة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ثوبی من الخمر شیء أصلّی فیه قبل أن أغسله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 الثوب لا یسکر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الحسن بن موسی الحنّاط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یشرب الخمر ثمّ یمجه من فیه فیصیب ثوبی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والجواب عمّا احتجوا به أنّ مع التعارض یکون الترجیح لما طابق القرآن، إمّا لأنّ شرط العمل بالحدیث مطابقة القرآن، و إمّا لأنّ إطراح ما طابقه یلزم منه مخالفة دلیلین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الکلمات منه ظاهرة فی إختیاره القول المشهور ؛ نعم،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الوجه إنّ الأخبار المشار إلیها من الطرفین ضعیفة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مع إختلاف الأصحاب والأحادیث یؤخذ بالأحوط فی الدین </w:t>
      </w:r>
      <w:r>
        <w:rPr>
          <w:rStyle w:val="FootnoteAnchor"/>
          <w:rtl w:val="true"/>
        </w:rPr>
        <w:footnoteReference w:id="56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و إن کان ظاهره التردید، لکنّه إختار لمکان الإحتیاط فی الدّین نجاستها ، فهو متّحد للقوم فی الإختیار و إن کان فی المدرک مخالفاً لهم ، مع أنّک قد عرفت ما فی کلامه هذا سابقاً، فإنّ الأخبار الدالة علی النجاسة ما فیها صحیح، بل و صریح أیضا فی الحکم بالنجاسة فلا وجه للتردید، والأمر سهل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الحکم بالنجاسة ممّا دلّ علیه الأخبار الواردة عن الإمام المتأخّر، و قد دلّ بعض الأخبار أنّه إذا جاء الخبر عن أوّل الأئمّة و خبر عن آخرهم علیهم‌السلام ، کان الحجّة هو الوارد عن الأخیر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الفقیه، فی باب الرجلین یوصی إلیهما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محمّد بن الحسن الصفّار رضی‌الله‌عنه إلی أبی محمّد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أوصی إلی رجلین، أیجوز لأحدهما أن ینفرد بنصف الترکة والآخر بالنصف ؟ فوقّع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لاینبغی لهما أن یخالفا المیّت ، و یعملان علی حسب ما أمرهما إن شاء اللّه ، و هذا التوقیع عندی بخطّه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کتاب محمّد بن یعقوب الکلینیّ رحمه‌الله عن أحمد بن محمّد، عن علیّ بن الحسن المیثمی، عن أخویه أحمد و محمّد، عن أبیهما، عن داود بن أبی زید، عن برید بن معویة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رجلاً مات و أوصی إلی رجلین، فقال أحدهما لصاحبه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نصف ما ترک و أعطنی النصف ممّا ترک، فأبی علیه الآخر فسألوا أباعبداللّه علیه‌السلام عن ذلک،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له </w:t>
      </w:r>
      <w:r>
        <w:rPr>
          <w:rStyle w:val="FootnoteAnchor"/>
          <w:rtl w:val="true"/>
        </w:rPr>
        <w:footnoteReference w:id="568"/>
      </w:r>
      <w:r>
        <w:rPr>
          <w:rFonts w:ascii="IRNazanin" w:hAnsi="IRNazanin" w:eastAsia="IRNazanin"/>
          <w:color w:val="111111"/>
          <w:sz w:val="28"/>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بعد ذکر هذین الخبرین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مصنّف هذا الکتاب رحمه‌الله لست أفتی بهذا الحدیث، بل أفتی بما عندی بخطّ الحسن بن علیّ، و لو صحّ الخبران جمیعاً لکان الواجب الأخذ بقول الأخیر کما أمر به الصادق علیه‌السلام ، و ذلک أنّ الأخبار لها وجوه و معان، و کلّ إمام أعلم بزمانه و أحکامه من غیره من الناس </w:t>
      </w:r>
      <w:r>
        <w:rPr>
          <w:rStyle w:val="FootnoteAnchor"/>
          <w:rtl w:val="true"/>
        </w:rPr>
        <w:footnoteReference w:id="57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یدلّ علی ذلک ما رواه فی الکافی باسناده عن معلّی بن خنیس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جاء حدیث عن أوّلکم و حدیث عن آخرکم بأیّهما نأخذ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به حتّی یبلغکم عن الحیّ فإن بلغکم عن الحیّ فخذوا قوله،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بالأحدث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أو یؤیّد ذلک ما رواه فیه أیضا باسناده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أرأیتک لو حدثتک بحدیث العام ثمّ جئتنی من قابل فحدثتک بخلافه بأیّهما کنت تأخذ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آخذ بالأخیر،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رحمک اللّه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230" w:name="pg3696_43443"/>
    </w:p>
    <w:p>
      <w:pPr>
        <w:pStyle w:val="Heading4"/>
        <w:numPr>
          <w:ilvl w:val="3"/>
          <w:numId w:val="1"/>
        </w:numPr>
        <w:rPr/>
      </w:pPr>
      <w:bookmarkStart w:id="231" w:name="__RefHeading___Toc488387_2281741623"/>
      <w:bookmarkStart w:id="232" w:name="_Toc87"/>
      <w:bookmarkEnd w:id="230"/>
      <w:bookmarkEnd w:id="231"/>
      <w:r>
        <w:rPr>
          <w:rtl w:val="true"/>
        </w:rPr>
        <w:t>المقام الثانی</w:t>
      </w:r>
      <w:r>
        <w:rPr>
          <w:rtl w:val="true"/>
        </w:rPr>
        <w:t xml:space="preserve">: </w:t>
      </w:r>
      <w:r>
        <w:rPr>
          <w:rtl w:val="true"/>
        </w:rPr>
        <w:t>فی نجاسة غیر الخمر من سائر المسکرات</w:t>
      </w:r>
      <w:bookmarkEnd w:id="232"/>
    </w:p>
    <w:p>
      <w:pPr>
        <w:pStyle w:val="Heading5"/>
        <w:numPr>
          <w:ilvl w:val="4"/>
          <w:numId w:val="1"/>
        </w:numPr>
        <w:rPr/>
      </w:pPr>
      <w:bookmarkStart w:id="233" w:name="__RefHeading___Toc488389_2281741623"/>
      <w:bookmarkStart w:id="234" w:name="_Toc88"/>
      <w:bookmarkEnd w:id="233"/>
      <w:r>
        <w:rPr>
          <w:rtl w:val="true"/>
        </w:rPr>
        <w:t>حکم سائر المسکرات حکم الخمر فی الطهارة والنجاسة</w:t>
      </w:r>
      <w:bookmarkEnd w:id="234"/>
    </w:p>
    <w:p>
      <w:pPr>
        <w:pStyle w:val="BookText"/>
        <w:rPr/>
      </w:pPr>
      <w:r>
        <w:rPr>
          <w:rFonts w:ascii="IRNazanin" w:hAnsi="IRNazanin" w:eastAsia="IRNazanin"/>
          <w:color w:val="111111"/>
          <w:sz w:val="28"/>
          <w:sz w:val="28"/>
          <w:szCs w:val="28"/>
          <w:rtl w:val="true"/>
          <w:lang w:bidi="fa-IR"/>
        </w:rPr>
        <w:t xml:space="preserve">لم نجد خلافاً فی أنّ حکم غیر الخمر من المسکرات، حکم الخمر فی الطهارة والنجاسة، بل قد ادّعی بعضهم الإجماع فی جملة المسکرات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المرتضی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الشراب الّذی یسکر کثیره، فکلّ من قال أنّه محرّم الشرب ذهب إلی أنّه نجس کالخمر، و إنّما یذهب إلی طهارته من ذهب إلی إباحة 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دلّت الأدلّة الواضحة علی تحریم کلّ شراب أسکر کثیره فوجب أن یکون نجساً، لأنّه لا خلاف فی أنّ نجاسته تابعة لتحریم شربه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شراب مسکر، نجس بالإجماع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فی المعتبر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والأنبذة المسکرة عندنا فی التنجیس کالخمر ؛ إلی آخره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المصابیح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 سائر المسکرات حکم الخمر عندنا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235" w:name="pg3696_43444"/>
    </w:p>
    <w:p>
      <w:pPr>
        <w:pStyle w:val="BookText"/>
        <w:rPr/>
      </w:pPr>
      <w:bookmarkEnd w:id="235"/>
      <w:r>
        <w:rPr>
          <w:rFonts w:ascii="IRNazanin" w:hAnsi="IRNazanin" w:eastAsia="IRNazanin"/>
          <w:color w:val="111111"/>
          <w:sz w:val="28"/>
          <w:sz w:val="28"/>
          <w:szCs w:val="28"/>
          <w:rtl w:val="true"/>
          <w:lang w:bidi="fa-IR"/>
        </w:rPr>
        <w:t xml:space="preserve">إلی غیر ذلک من کلماتهم الصریحة أو الظاهرة فی عدم الفرق بین الخمر وغیرها من المسکرات </w:t>
      </w:r>
      <w:r>
        <w:rPr>
          <w:rFonts w:eastAsia="IRNazanin" w:cs="IRNazanin"/>
          <w:color w:val="111111"/>
          <w:sz w:val="28"/>
          <w:szCs w:val="28"/>
          <w:rtl w:val="true"/>
          <w:lang w:bidi="fa-IR"/>
        </w:rPr>
        <w:t>.</w:t>
      </w:r>
    </w:p>
    <w:p>
      <w:pPr>
        <w:pStyle w:val="Heading5"/>
        <w:numPr>
          <w:ilvl w:val="4"/>
          <w:numId w:val="1"/>
        </w:numPr>
        <w:rPr/>
      </w:pPr>
      <w:bookmarkStart w:id="236" w:name="__RefHeading___Toc488391_2281741623"/>
      <w:bookmarkStart w:id="237" w:name="_Toc89"/>
      <w:bookmarkEnd w:id="236"/>
      <w:r>
        <w:rPr>
          <w:rtl w:val="true"/>
        </w:rPr>
        <w:t xml:space="preserve">الإستدلال علی ذلک بأمور </w:t>
      </w:r>
      <w:r>
        <w:rPr>
          <w:rtl w:val="true"/>
        </w:rPr>
        <w:t>:</w:t>
      </w:r>
      <w:bookmarkEnd w:id="237"/>
    </w:p>
    <w:p>
      <w:pPr>
        <w:pStyle w:val="Heading6"/>
        <w:numPr>
          <w:ilvl w:val="5"/>
          <w:numId w:val="1"/>
        </w:numPr>
        <w:rPr/>
      </w:pPr>
      <w:bookmarkStart w:id="238" w:name="__RefHeading___Toc488393_2281741623"/>
      <w:bookmarkStart w:id="239" w:name="_Toc90"/>
      <w:bookmarkEnd w:id="238"/>
      <w:r>
        <w:rPr>
          <w:rtl w:val="true"/>
        </w:rPr>
        <w:t>اشارة</w:t>
      </w:r>
      <w:bookmarkEnd w:id="239"/>
    </w:p>
    <w:p>
      <w:pPr>
        <w:pStyle w:val="BookText"/>
        <w:rPr/>
      </w:pPr>
      <w:r>
        <w:rPr>
          <w:rFonts w:ascii="IRNazanin" w:hAnsi="IRNazanin" w:eastAsia="IRNazanin"/>
          <w:color w:val="111111"/>
          <w:sz w:val="28"/>
          <w:sz w:val="28"/>
          <w:szCs w:val="28"/>
          <w:rtl w:val="true"/>
          <w:lang w:bidi="fa-IR"/>
        </w:rPr>
        <w:t xml:space="preserve">و کیف کان، فیدلّ علی نجاسة غیر الخمر من المسکرات أمور </w:t>
      </w:r>
      <w:r>
        <w:rPr>
          <w:rFonts w:eastAsia="IRNazanin" w:cs="IRNazanin"/>
          <w:color w:val="111111"/>
          <w:sz w:val="28"/>
          <w:szCs w:val="28"/>
          <w:rtl w:val="true"/>
          <w:lang w:bidi="fa-IR"/>
        </w:rPr>
        <w:t>:</w:t>
      </w:r>
    </w:p>
    <w:p>
      <w:pPr>
        <w:pStyle w:val="Heading6"/>
        <w:numPr>
          <w:ilvl w:val="5"/>
          <w:numId w:val="1"/>
        </w:numPr>
        <w:rPr/>
      </w:pPr>
      <w:bookmarkStart w:id="240" w:name="__RefHeading___Toc488395_2281741623"/>
      <w:bookmarkStart w:id="241" w:name="_Toc91"/>
      <w:bookmarkEnd w:id="240"/>
      <w:r>
        <w:rPr>
          <w:rtl w:val="true"/>
        </w:rPr>
        <w:t xml:space="preserve">الأوّل </w:t>
      </w:r>
      <w:r>
        <w:rPr>
          <w:rtl w:val="true"/>
        </w:rPr>
        <w:t xml:space="preserve">: </w:t>
      </w:r>
      <w:r>
        <w:rPr>
          <w:rtl w:val="true"/>
        </w:rPr>
        <w:t>الإجماعات المنقولة</w:t>
      </w:r>
      <w:bookmarkEnd w:id="241"/>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الإجماع و تقریره من 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الإجماعات المنقولة فی الخمر، فإنّها تدلّ علی نجاسة غیر الخمر من جهة عدم القول بالفصل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السابق من المرتضی و غیره علی نجاسة کلّ مسکر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الوارد فی خصوص غیر الخمر، أو خصوص النبیذ، والفقّاع، و نحوهما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المرکّب، فإنّ کلّ من قال بنجاسة الخمر قال بنجاسة غیرها من المسکرات أیضا </w:t>
      </w:r>
      <w:r>
        <w:rPr>
          <w:rFonts w:eastAsia="IRNazanin" w:cs="IRNazanin"/>
          <w:color w:val="111111"/>
          <w:sz w:val="28"/>
          <w:szCs w:val="28"/>
          <w:rtl w:val="true"/>
          <w:lang w:bidi="fa-IR"/>
        </w:rPr>
        <w:t>.</w:t>
      </w:r>
    </w:p>
    <w:p>
      <w:pPr>
        <w:pStyle w:val="Heading6"/>
        <w:numPr>
          <w:ilvl w:val="5"/>
          <w:numId w:val="1"/>
        </w:numPr>
        <w:rPr/>
      </w:pPr>
      <w:bookmarkStart w:id="242" w:name="__RefHeading___Toc488397_2281741623"/>
      <w:bookmarkStart w:id="243" w:name="_Toc92"/>
      <w:bookmarkEnd w:id="242"/>
      <w:r>
        <w:rPr>
          <w:rtl w:val="true"/>
        </w:rPr>
        <w:t xml:space="preserve">الثانی </w:t>
      </w:r>
      <w:r>
        <w:rPr>
          <w:rtl w:val="true"/>
        </w:rPr>
        <w:t xml:space="preserve">: </w:t>
      </w:r>
      <w:r>
        <w:rPr>
          <w:rtl w:val="true"/>
        </w:rPr>
        <w:t>کلّ ما دلّ علی نجاسة الخمر</w:t>
      </w:r>
      <w:bookmarkEnd w:id="243"/>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دلّ علی نجاسة الخمر من الإجماع والآیة والأخبار، بتقریب أنّ الخمر یطلق علی الجمیع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ما أسکر من عصیر العنب أو عامّ کالخمرة، و قد یذکر، والعموم أصحّ، لأنّها حرّمت، و ما بالمدینة خمر عنب، و ما کان شرابهم إلاّ البسر والتمر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لأنّها تخمر العقل و تستره، أو لأنّها ترکت حتّی أدرکت واختمرت، أو لأنّها تخامر العقل أی تخالطه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إسم لکلّ مسکر خامر العقل، أی غطّاه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خمّرت الشیء تخمیرا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غطیته و سترته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 فیما اشتهر بینهم کلّ شراب مسکر، ولا یختصّ بعصیر العنب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نقل عن القاموس ما مرّ منه، من أنّ العموم أصحّ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کتاب الغریبین للهروی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یسألونک عن الخمر والمیسر </w:t>
      </w:r>
      <w:r>
        <w:rPr>
          <w:rFonts w:eastAsia="IRNazanin" w:cs="IRNazanin"/>
          <w:color w:val="111111"/>
          <w:sz w:val="28"/>
          <w:szCs w:val="28"/>
          <w:rtl w:val="true"/>
          <w:lang w:bidi="fa-IR"/>
        </w:rPr>
        <w:t xml:space="preserve">» </w:t>
      </w:r>
      <w:r>
        <w:rPr>
          <w:rStyle w:val="FootnoteAnchor"/>
          <w:rtl w:val="true"/>
        </w:rPr>
        <w:footnoteReference w:id="580"/>
      </w:r>
      <w:r>
        <w:rPr>
          <w:rFonts w:ascii="IRNazanin" w:hAnsi="IRNazanin" w:eastAsia="IRNazanin"/>
          <w:color w:val="111111"/>
          <w:sz w:val="28"/>
          <w:sz w:val="28"/>
          <w:szCs w:val="28"/>
          <w:rtl w:val="true"/>
          <w:lang w:bidi="fa-IR"/>
        </w:rPr>
        <w:t xml:space="preserve">،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خامر العقل، أی خالطه ؛ و خمر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ستره، و هو المسکر من الشراب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کلام أهل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المعتبر فی بیان ما مرّ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 الأنبذة المسکرة عندنا فی التنجیس کالخمر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المسکر خمر فیتناوله حکم الخمر، إمّا أنّه خمر فلأنّ الخمر إنّما سمّی بذلک لکونه یخمّر العقل و یستره، فما ساواه فی المسمّی یساویه فی الإسم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فیه أیضا عن أبی هاشم الواسطی فی الفقّاع أنّه نبیذ الشعیر، فإن نشّ، فهو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أیضا عن زید بن أسلم إنّ الغبیراء الّتی نهی النبیّ صلی‌الله‌علیه‌و‌آله عنها، هی الأسکرکة، و عن أبی موسی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الاسکرکة خمر الحبشة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 الفقّاع خمر فیلحقه أحکامه، أمّا أنّه خمر فلما ذکره علم الهدی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عبدالجبّار بن محمّد الخطابی، عن ضمرة </w:t>
      </w:r>
      <w:r>
        <w:rPr>
          <w:rStyle w:val="FootnoteAnchor"/>
          <w:rtl w:val="true"/>
        </w:rPr>
        <w:footnoteReference w:id="584"/>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الغبیرآء الّتی نهی النبیّ صلی‌الله‌علیه‌و‌آله عنها هی الفقّاع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کلام أبی هاشم و أبی موسی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ورد علی ذلک روایات،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وردت فی تفسیر الآیة، مثل ما روی فی محکیّ مجمع البیان، عن إبن عبّاس فی تفسیر هذه الآیة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بالخمر جمیع الأشربة الّتی تسکر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تفسیر علیّ بن إبراهیم، عن أبی الجارود، عن الباقر علیه‌السلام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إنّما الخمر والمیسر والأنصاب والأزلام </w:t>
      </w:r>
      <w:r>
        <w:rPr>
          <w:rFonts w:eastAsia="IRNazanin" w:cs="IRNazanin"/>
          <w:color w:val="111111"/>
          <w:sz w:val="28"/>
          <w:szCs w:val="28"/>
          <w:rtl w:val="true"/>
          <w:lang w:bidi="fa-IR"/>
        </w:rPr>
        <w:t xml:space="preserve">... » </w:t>
      </w:r>
      <w:r>
        <w:rPr>
          <w:rStyle w:val="FootnoteAnchor"/>
          <w:rtl w:val="true"/>
        </w:rPr>
        <w:footnoteReference w:id="587"/>
      </w:r>
      <w:r>
        <w:rPr>
          <w:rFonts w:ascii="IRNazanin" w:hAnsi="IRNazanin" w:eastAsia="IRNazanin"/>
          <w:color w:val="111111"/>
          <w:sz w:val="28"/>
          <w:sz w:val="28"/>
          <w:szCs w:val="28"/>
          <w:rtl w:val="true"/>
          <w:lang w:bidi="fa-IR"/>
        </w:rPr>
        <w:t xml:space="preserve">، أمّا الخمر فکلّ مسکر من الشراب إذا أخمر فهو حرام، و ما أسکر کثیره فقلیله حرام، و ذلک أنّ أبابکر شرب قبل أن تحرم الخمر فسکر، فجعل یقول الشعر و یبکی علی قتلة المشرکین من أهل بدر فسمع النبیّ صلی‌الله‌علیه‌و‌آله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أمسک علی لسانه، فأمسک علی لسانه فلم یتکلّم حتّی ذهب عنه السکر، فأنزل اللّه تحریمها بعد ذلک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إنّما کانت الخمر یوم حرّمت بالمدینة، فضیخ البسر والتمر، فلمّا أنزل اللّه تحریمها خرج رسول اللّه صلی‌الله‌علیه‌و‌آله فقعد فی مسجده، ثمّ دعا بآنیتهم الّتی کانوا ینبذون فیها فأکفأها کلّها،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کلّها خمر، و قد حرّم اللّه تعالی الخمر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کان أکثر شیء أکفأ فی ذلک الیوم من الأشربة الفضیخ، و لا أعلم أنّه أکفأ یومئذ من خمر العنب شیئا إلاّ إناء واحدا کان فیه زبیب و تمر جمیعاً ، و أمّا عصیر العنب فلم یکن یومئذ بالمدینة منه شیء حرّم اللّه تعالی قلیلها ، و کثیرها ، و بیعها، و شرائها، والإنتفاع عنها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أنّ کلّ مسکر خمر، کالخبر المرویّ فی التهذیب فی باب الذبائح والأطعمة ، عن علیّ بن یقطین ، عن أبی الحسن الماضیّ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یحرّم الخمر لإسمها ، و لکن حرّمها لعاقبتها ، فما کان عاقبته عاقبة الخمر فهو خمر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فیه، فی الباب المذکور، عن عطاء بن یسار،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کلّ مسکر خمر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الحجّاج،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والنقیع من الزبیب، والبتع من العسل، والمزر من الشعیر، والنبیذ من التمر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روایة علیّ بن إسحاق الهاشمیّ، عن الصادق علیه‌السلام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المرویّ فی أمالی أبی علیّ بن الشیخ رحمة اللّه علیهما، بسنده عن النعمان بن بشیر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صلی‌الله‌علیه‌و‌آله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إنّ من العنب </w:t>
      </w:r>
    </w:p>
    <w:p>
      <w:pPr>
        <w:pStyle w:val="BookText"/>
        <w:rPr/>
      </w:pPr>
      <w:r>
        <w:rPr>
          <w:rFonts w:ascii="IRNazanin" w:hAnsi="IRNazanin" w:eastAsia="IRNazanin"/>
          <w:color w:val="111111"/>
          <w:sz w:val="28"/>
          <w:sz w:val="28"/>
          <w:szCs w:val="28"/>
          <w:rtl w:val="true"/>
          <w:lang w:bidi="fa-IR"/>
        </w:rPr>
        <w:t xml:space="preserve">خمراً ، و إنّ من الزبیب خمراً ، و إنّ من الشعیر خمراً ، ألا یا أیّها الناس أنهاکم عن کلّ مسکر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أشیاء، من التمر، والزبیب، والحنطة، والشعیر، والعسل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 تفسیر العیّاشی،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عامر بن السمط، عن علیّ بن الحسین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ستّة أشیاء، من التمر، و الزبیب، والحنطة، و الشعیر، و العسل، و الذرة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 الکافی عن علیّ بن أبی حمزة، عن إبراهیم، عن أبی عبداللّه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لمّا أهبط آدم علیه‌السلام أمره بالحرث والزرع، و طرح علیه غرساً من غروس الجنّة ، فأعطاه النخل ، والعنب ، والزیتون ، فغرسها لیکون لعقبه و ذرّیته، فأکل هو من ثمارها، فقال له إبلیس ـ لعنه اللّه ـ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الغرس الذی لم أکن أعرفه فی الأرض ، و قد کنت فیها قبلک ؟ </w:t>
      </w:r>
      <w:r>
        <w:rPr>
          <w:rFonts w:eastAsia="IRNazanin" w:cs="IRNazanin"/>
          <w:color w:val="111111"/>
          <w:sz w:val="28"/>
          <w:szCs w:val="28"/>
          <w:rtl w:val="true"/>
          <w:lang w:bidi="fa-IR"/>
        </w:rPr>
        <w:t xml:space="preserve">] </w:t>
      </w:r>
      <w:r>
        <w:rPr>
          <w:rStyle w:val="FootnoteAnchor"/>
          <w:rtl w:val="true"/>
        </w:rPr>
        <w:footnoteReference w:id="596"/>
      </w:r>
      <w:r>
        <w:rPr>
          <w:rFonts w:ascii="IRNazanin" w:hAnsi="IRNazanin" w:eastAsia="IRNazanin"/>
          <w:color w:val="111111"/>
          <w:sz w:val="28"/>
          <w:sz w:val="28"/>
          <w:szCs w:val="28"/>
          <w:rtl w:val="true"/>
          <w:lang w:bidi="fa-IR"/>
        </w:rPr>
        <w:t xml:space="preserve">إئذن لی أن آکل منها شیئا ، فأبی آدم علیه‌السلام أن یطعمه </w:t>
      </w:r>
      <w:r>
        <w:rPr>
          <w:rStyle w:val="FootnoteAnchor"/>
          <w:rtl w:val="true"/>
        </w:rPr>
        <w:footnoteReference w:id="597"/>
      </w:r>
      <w:r>
        <w:rPr>
          <w:rFonts w:ascii="IRNazanin" w:hAnsi="IRNazanin" w:eastAsia="IRNazanin"/>
          <w:color w:val="111111"/>
          <w:sz w:val="28"/>
          <w:sz w:val="28"/>
          <w:szCs w:val="28"/>
          <w:rtl w:val="true"/>
          <w:lang w:bidi="fa-IR"/>
        </w:rPr>
        <w:t xml:space="preserve">، فجاء إبلیس عند آخر عمر آدم علیه‌السلام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ساق الحدیث 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إبلیس ـ لعنه اللّه ـ بعد وفاة آدم علیه‌السلام ذهب فبال فی أصل الکرمة والنخلة، فجری الماء فی عروقهما من بول عدوّ اللّه تعالی، </w:t>
      </w:r>
    </w:p>
    <w:p>
      <w:pPr>
        <w:pStyle w:val="BookText"/>
        <w:rPr/>
      </w:pPr>
      <w:r>
        <w:rPr>
          <w:rFonts w:ascii="IRNazanin" w:hAnsi="IRNazanin" w:eastAsia="IRNazanin"/>
          <w:color w:val="111111"/>
          <w:sz w:val="28"/>
          <w:sz w:val="28"/>
          <w:szCs w:val="28"/>
          <w:rtl w:val="true"/>
          <w:lang w:bidi="fa-IR"/>
        </w:rPr>
        <w:t xml:space="preserve">فمن ثمّ یختمر العنب والتمر، فحرّم اللّه تعالی علی ذرّیة آدم علیه‌السلام کلّ مسکر، لأنّ الماء جری ببول عدوّ اللّه تعالی فی النخلة والعنب، و صار کلّ مختمر خمراً، لأنّ الماء إختمر فی النخلة والکرمة من رائحة بول عدوّ اللّه تعالی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علی ذلک الأخبار الآتیة فی الفقّاع، و غیرها من الأخبار الدالّة علی نجاسة المسکر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یرد علی الوجه من وجوه الإستدلال علی نجاسة المسکر، امّا علی کلام أهل اللغة، فبأنّ کلماتهم غیر صریحة فی الدلالة علی ذلک، بل دلالتها علی الخلاف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عبارة القاموس، فلیس فیها إلاّ التردید أوّلاً، نعم قال أخیرا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العموم، و علّل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المدینة خمر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تعلیل فاسد لا یناسب أهل اللغة و لا غیرها، لأنّ اللغات لا تتعیّن بأمثال ذلک،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المنیر 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والخمر معروفة تذکّر و تؤنّث، فیقال هو الخمر و هی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هی إسم لکلّ مسکر خَامَر العقل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هذه العبارة علی عدم إرتضائه بهذا القول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مجمع البحرین أیضا قال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معروف، و عن إبن الأعرابیّ إنّما سمّی الخمر خمرا لأنّها ترکت فاختمرت، و اختمارها تغیر ریحها،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بذلک لمخامرتها العقل، والتخمیر التغطیة، و منه رکو مخمّر، أی مغطی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الخمر فیما اشتهر بینهم کلّ شراب مسکر ، و لا یختصّ بعصیر العنب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تتحقّق لی صحّة هذه الشهرة لو لم یتحقّق الخلاف، و لعلّه أراد شهرة الإطلاق والإستعمال و لابأس 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کلام المصنّف رحمه‌الله فی المعتبر، فقد عرفت أنّه قد علّل ما قاله من أنّ المسکر خمر ، بأنّ الخمر إنّما سمّی بذلک لکونه یخمّر العقل و یستره ، فما ساواه فی المسمّی یساویه فی الإسم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من وجهین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التعمیم بالعلّة الّتی ذکرها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ما ساوی المسمّی یساویه فی الإسم، فإنّه إن أراد بذلک ما هو ظاهره، من أنّ ما هو الوجه فی التسمیة لما کان موجوداً من غیر الخمر من التخمیر فیکون کالخمر و مساویاً لها فی ذلک، فینبغی أن یکون مساویاً لها فی الإسم و هذا کما تری، فإنّ المساواة فی الأمرین ممنوعة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المساواة فی المسمّی بحیث یکون هی المناط فی الإسم فممنوع، و قد تقدّم عن إبن الأعرابیّ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سمّی الخمر خمرا لأنّه ترکت فاختمرت، واختمارها تغیّر ریحها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روایة علیّ بن أبی حمزة السابقة، ما یدلّ علی أنّ الخمر إنّما یسمّی خمرا لأنّ الماء إختمر فی الکرم و النخل من رائحة بول الشیطان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ممّا یدلّ علی فساد العلّة الّتی ذکرها الأخبار الواردة فی الفقّاع الناصّة بأنّه خمر، مع عدم کونه مخمّراً للعقل و عدم کونه مسکرا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المساواة فی المسمّی علی الوجه المذکور لا یقتضی الإشتراک فی الإسم ؛ ألا تری إنّ کتب اللغة مشحونة بذکر المناسبات فی التسمیة فی المنقولات و غیرها ، بل أکثر الألفاظ علی ذلک ، فإنّه قلّما یتّفق لفظ له معنی واحد فی اللغة، بل کثیرا مّا ینقلون للفظ معانی عدیدة یناسب بعض بعضاً، و قد یذکرون حین أن یذکروا المعنی المعنی الثانی أنّ هذا لمناسبة کذا و هکذا ، و لا سیّما مثل ذلک فی الأعلام الجنسیّة والأعلام الشخصیّة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أراد معنی آخر من أنّ ما ساوی المسمّی فی الأوصاف اللازمة مطلقاً، ینبغی أن یکون شریکاً له فی الإسم ، فهو فاسد من أوّل الأمر، و بالجملة ما ذکره لا وجه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الأخبار المذکورة، فقد یقال فیها إنّ الظاهر من اللغة والعرف أنّ الخمر حقیقة فی المسکر من العنب، و غایة ما یستفاد من بعض الأخبار إطلاق الخمر علی کلّ مسکر، و هو أعمّ من الحقیقة، بل المجار خیر من الإشتراک والنقل، و کون الأصل فی الإستعمال الحقیقة إنّما یکون عند عدم إستلزامها للنقل أو الإشتراک، علی أنّه یجوز أن یکون المراد إشتراکه مع الخمر فی التحریم ، لأنّ الکلام مسوق لبیانه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ما تری، فإنّ دلالة الأخبار لیست من باب الإطلاق، بل هی صریحة فی بیان أفراده و أنواعه الظاهرة فی أنّ الخمر إسم للجمیع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فی دلالة الأخبار ضعفا من جهة أخری، و ذلک لأنّ الخبر الأوّل و هو خبر </w:t>
      </w:r>
    </w:p>
    <w:p>
      <w:pPr>
        <w:pStyle w:val="BookText"/>
        <w:rPr/>
      </w:pPr>
      <w:r>
        <w:rPr>
          <w:rFonts w:ascii="IRNazanin" w:hAnsi="IRNazanin" w:eastAsia="IRNazanin"/>
          <w:color w:val="111111"/>
          <w:sz w:val="28"/>
          <w:sz w:val="28"/>
          <w:szCs w:val="28"/>
          <w:rtl w:val="true"/>
          <w:lang w:bidi="fa-IR"/>
        </w:rPr>
        <w:t xml:space="preserve">علیّ بن یقطین، فالظاهر أنّ المراد من 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 عاقبته عاقبة الخمر فهو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حکمه حکم الخمر،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 یحرّم الخمر لإسمها، ولکن حرّمها لعاقبتها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فهذا یدلّ علی أحسن الدلالة أنّ غیر الخمر من المسکرات لیس إسمه إسم الخمر، لکن التحریم لیس دائرا مدار إسم الخمر، بل مدار العاقبة و هو السکر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ذلک ما فی بعض النسخ من لفظ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فما کان عاقبته عاقبة الخمر، فهو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الخبر الثانی </w:t>
      </w:r>
      <w:r>
        <w:rPr>
          <w:rStyle w:val="FootnoteAnchor"/>
          <w:rtl w:val="true"/>
        </w:rPr>
        <w:footnoteReference w:id="602"/>
      </w:r>
      <w:r>
        <w:rPr>
          <w:rFonts w:ascii="IRNazanin" w:hAnsi="IRNazanin" w:eastAsia="IRNazanin"/>
          <w:color w:val="111111"/>
          <w:sz w:val="28"/>
          <w:sz w:val="28"/>
          <w:szCs w:val="28"/>
          <w:rtl w:val="true"/>
          <w:lang w:bidi="fa-IR"/>
        </w:rPr>
        <w:t xml:space="preserve">، فهو ضعیف السند، لأنّه رواه فی التهذیب، عن محمّد بن یعقوب، عن حمید بن زیاد، عن الحسن بن محمّد بن سماعة ، عن أحمد بن الحسن المیثمی ، عن عبدالرّحمن بن زید ، عن أسلم ، عن أبیه ، عن عطاء ، عن أبی جعفر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حمید بن زیاد، و إن کان ظاهر الأمر فی الوثاقة والجلالة،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بن حمّاد بن حمّاد بن زیاد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واقفیّا، وجها فیهم </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کثیر التصانیف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باب من لم 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واسع العلم، کثیر التصانیف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کذا الحسن بن محمّد بن سماعة، و إن کان واقفیّا، فإنّ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 أبو محمّد الکندی الصیرفی ، من شیوخ الواقفة ، کثیر الحدیث، ثقة، فقیه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بن سماعة الکوفیّ، واقفی المذهب، إلاّ أنّه جیّد التصانیف، نقی الفقه، حسن الإنتقاد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أحمد بن الحسن المیثمی، فإنّ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الحسن بن إسماعیل بن شعیب بن میثم التمّار، قال أبوعمرو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واقفیّا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کلّ حال ثقة، صحیح الحدیث، معتمد علیه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الفهرست </w:t>
      </w:r>
      <w:r>
        <w:rPr>
          <w:rStyle w:val="FootnoteAnchor"/>
          <w:rtl w:val="true"/>
        </w:rPr>
        <w:footnoteReference w:id="609"/>
      </w:r>
      <w:r>
        <w:rPr>
          <w:rFonts w:ascii="IRNazanin" w:hAnsi="IRNazanin" w:eastAsia="IRNazanin"/>
          <w:color w:val="111111"/>
          <w:sz w:val="28"/>
          <w:sz w:val="28"/>
          <w:szCs w:val="28"/>
          <w:rtl w:val="true"/>
          <w:lang w:bidi="fa-IR"/>
        </w:rPr>
        <w:t xml:space="preserve">، و إن کان فی الکشّی أنّه کان واقفیّا لکن عبدالرّحمن بن زید مجهول الحال، فإنّ عبدالرّحمن مذکور فی رجال الشیخ رحمه‌الله ، فی باب أصحاب الصادق علیه‌السلام فی عنوانین،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زید أبی زید الحرسی،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بن زید بن أسلم التنوخی المدنی، و کلاهما مجهول الحال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إلاّ أن یسهل الأمر فی المقام بروایة أحمد المذکور عنه، فتأمّل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أسلم مجهول الحال، لأنّه إمّا أسلم الضریر الکوفی، أو أسلم بن عایذ المدنی أوأسلم أبیتراب مولی، ذکرهم الشیخ رحمه‌الله فی رجاله والکلّ مجهول‌الحال، ولعلّه الثانی، فهو جدّ عبدالرّحمن الثانی، فیکون کلّ منهما معیّناً للأخر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کذلک عطاء بن یسار، فإنّه مهمل، لم أجده فی کتب الرجال، أو مجهول فإنّ المذکور فیها عطاء بن أبی ریاح، و عطاء بن جبلة الکوفی، و عطاء بن سالم الکوفی، و عطاء بن عامر العبدی، و عطاء بن مسلم الحلبی، والظاهر أنّ هذا غیرهم لأنّ إحتمال کون أبی ریاح کنیة لیسار لا وجه له بعد ما ذکر أنّ عطاء بن أبی ریاح تلمیذ عبداللّه بن عبّاس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الخبر الثالث، و هو صحیحة عبدالرّحمن بن الحجّاج، و کذا غیرها من الأخبار الأخر عدا الخبر الأخیر ، و إن کانت ظاهرة الدلالة، لکن یمکن قویّا أن یکون المراد ما یکون حکمه حکم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یدلّ علی ذلک بعض الأخبار الظاهر منها، بل المصرّح به فیها کون الخمر ما لا یعمّ غیر ما هو المعروف من معناه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التهذیب، عن أبی الربیع </w:t>
      </w:r>
      <w:r>
        <w:rPr>
          <w:rStyle w:val="FootnoteAnchor"/>
          <w:rtl w:val="true"/>
        </w:rPr>
        <w:footnoteReference w:id="610"/>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عزّوجلّ حرّم الخمر بعینها، فقلیلها وکثیرها حرام، کما حرّم اللّه المیتة، والدم، ولحم‌الخنزیر، و حرّم رسول اللّه صلی‌الله‌علیه‌و‌آله الشراب من کلّ مسکر، و ما حرّمه رسول اللّه صلی‌الله‌علیه‌و‌آله فقد حرّمه اللّه عزّوجلّ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السابق و هو خبر علیّ بن یقطین، و روایة زکریّا بن آدم السابقة،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أبالحسن علیه‌السلام عن قطرة خمر، أو نبیذ مسکر، قطرت فی قدر فیه لحم و مرق کثیر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یهراق المرق، أو یطعمه أهل الذمّة </w:t>
      </w:r>
      <w:r>
        <w:rPr>
          <w:rStyle w:val="FootnoteAnchor"/>
          <w:rtl w:val="true"/>
        </w:rPr>
        <w:footnoteReference w:id="612"/>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 xml:space="preserve">. </w:t>
      </w:r>
      <w:bookmarkStart w:id="244" w:name="pg3696_43455"/>
    </w:p>
    <w:p>
      <w:pPr>
        <w:pStyle w:val="BookText"/>
        <w:rPr/>
      </w:pPr>
      <w:bookmarkEnd w:id="244"/>
      <w:r>
        <w:rPr>
          <w:rFonts w:ascii="IRNazanin" w:hAnsi="IRNazanin" w:eastAsia="IRNazanin"/>
          <w:color w:val="111111"/>
          <w:sz w:val="28"/>
          <w:sz w:val="28"/>
          <w:szCs w:val="28"/>
          <w:rtl w:val="true"/>
          <w:lang w:bidi="fa-IR"/>
        </w:rPr>
        <w:t>وروایة علیّ بن مهزیار السابقة فانّ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غیر زرارة عن أبیعبداللّه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ـ یعنی المسکر ـ فاغسله إن عرفت موضعه </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وروایة یونس عن بعض من رواه، وقد تقدّمت أیضا،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أصاب ثوبک خمر، أو نبیذ مسکر، فاغسله إن عرفت موضعه </w:t>
      </w:r>
      <w:r>
        <w:rPr>
          <w:rStyle w:val="FootnoteAnchor"/>
          <w:rtl w:val="true"/>
        </w:rPr>
        <w:footnoteReference w:id="614"/>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ظاهر العطف فی هذه الروایات الأخیرة یقتضی المغایرة، و دلالة الروایة الأولة أیضا ظاهرة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ذلک جمیعاً العرف الّذی هو الحکم فی أمثال المقام ، و لم یظهر منهم علیهم‌السلام حقیقة شرعیّة فی ذلک، و لم یعهد منهم ذلک، و یشکل الحکم بذلک بمجرّد الأخبار السابقة بعد ما عرفت، فإذن الحکم العرف إلاّ إذا ثبت وضع من الشارع أو عرف من أهل الشرع علی خلافه، و لم یثبت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 والخمر فی لسان أهل الشرع مستعمل علی ما هو المعروف من معناه، و هو المتبادر عندهم أیضا، فما ظهر من بعض الأواخر </w:t>
      </w:r>
      <w:r>
        <w:rPr>
          <w:rStyle w:val="FootnoteAnchor"/>
          <w:rtl w:val="true"/>
        </w:rPr>
        <w:footnoteReference w:id="615"/>
      </w:r>
      <w:r>
        <w:rPr>
          <w:rFonts w:ascii="IRNazanin" w:hAnsi="IRNazanin" w:eastAsia="IRNazanin"/>
          <w:color w:val="111111"/>
          <w:sz w:val="28"/>
          <w:sz w:val="28"/>
          <w:szCs w:val="28"/>
          <w:rtl w:val="true"/>
          <w:lang w:bidi="fa-IR"/>
        </w:rPr>
        <w:t xml:space="preserve">، من جعل الخمر حقیقة شرعیّة کما تری، لا وجه له بعد ما عرفت </w:t>
      </w:r>
      <w:r>
        <w:rPr>
          <w:rFonts w:eastAsia="IRNazanin" w:cs="IRNazanin"/>
          <w:color w:val="111111"/>
          <w:sz w:val="28"/>
          <w:szCs w:val="28"/>
          <w:rtl w:val="true"/>
          <w:lang w:bidi="fa-IR"/>
        </w:rPr>
        <w:t>.</w:t>
      </w:r>
    </w:p>
    <w:p>
      <w:pPr>
        <w:pStyle w:val="Heading6"/>
        <w:numPr>
          <w:ilvl w:val="5"/>
          <w:numId w:val="1"/>
        </w:numPr>
        <w:rPr/>
      </w:pPr>
      <w:bookmarkStart w:id="245" w:name="__RefHeading___Toc488399_2281741623"/>
      <w:bookmarkStart w:id="246" w:name="_Toc93"/>
      <w:bookmarkEnd w:id="245"/>
      <w:r>
        <w:rPr>
          <w:rtl w:val="true"/>
        </w:rPr>
        <w:t xml:space="preserve">الثالث </w:t>
      </w:r>
      <w:r>
        <w:rPr>
          <w:rtl w:val="true"/>
        </w:rPr>
        <w:t xml:space="preserve">: </w:t>
      </w:r>
      <w:r>
        <w:rPr>
          <w:rtl w:val="true"/>
        </w:rPr>
        <w:t>جملة من الأخبار</w:t>
      </w:r>
      <w:bookmarkEnd w:id="246"/>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یدلّ علی نجاسة المسکرات، جملة من الأخبار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خصوص النبیذ، عن محمّد بن یعقوب، عن محمّد بن الحسن، عن بعض أصحابنا ، عن إبراهیم بن خالد ، عن عبداللّه بن وضاح ، عن أبی بصیر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أمّ خالد العبدیّة علی أبی عبداللّه علیه‌السلام و أنا عنده،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انّه یعترینی قراقر فی بطنی و قد وصفت لی أطبّاء العراق النبیذ بالسویق، و قد عرفت کراهیتک له فأحببت أن أسألک عن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یمنعک من شربه ؟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قلدتک دینی فالقی اللّه حین ألقاه، فأخبره أنّ جعفر بن محمّد علیهماالسلام أمرنی و نهانی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أبا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تسمع هذه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فلا تذوقی منه قطرة فإنّما تندمین إذا بلغت نفسک ههنا، وأومی بیده إلی حنجرته یقولها ثلاثا أفهمت ؟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یبل المیل ینجس حبّا من ماء یقولها ثلاثاً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محمّد بن الحسن الّذی یروی عنه ثقة الإسلام الکلینیّ ، فیحتمل قویّا أن یکون محمّد بن الحسن بن فروخ الصفار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إبراهیم بن خالد، هو إبراهیم بن خالد العطار العبدی ؛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یعرف بابن أبی ملیقة ، روی عن أبی عبداللّه علیه‌السلام ، ذکره أصحابنا فی الرجال، له کتاب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أخبرنا به أحمد بن عبدون، عن أبی طالب الأنباری، عن حمید بن زیاد، عن إبن نهیک، عن إبراهیم بن خالد </w:t>
      </w:r>
      <w:r>
        <w:rPr>
          <w:rStyle w:val="FootnoteAnchor"/>
          <w:rtl w:val="true"/>
        </w:rPr>
        <w:footnoteReference w:id="61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و إن کان لم یصرّح فیه بما یدلّ علی وثاقته، لکن الظاهر أنّه لا بأس به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عبداللّه بن وضاح، ففی رجال النجاشی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الموالی، صاحَبَ </w:t>
      </w:r>
    </w:p>
    <w:p>
      <w:pPr>
        <w:pStyle w:val="BookText"/>
        <w:rPr/>
      </w:pPr>
      <w:r>
        <w:rPr>
          <w:rFonts w:ascii="IRNazanin" w:hAnsi="IRNazanin" w:eastAsia="IRNazanin"/>
          <w:color w:val="111111"/>
          <w:sz w:val="28"/>
          <w:sz w:val="28"/>
          <w:szCs w:val="28"/>
          <w:rtl w:val="true"/>
          <w:lang w:bidi="fa-IR"/>
        </w:rPr>
        <w:t xml:space="preserve">أبا بصیر یحیی بن القاسم کثیرا و عرف به </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أبوبصیر، فهو کما یعرف من روایة الوضاح عنه، هو یحیی بن القاسم، والأولی تحقیق الحال فی أبی بصیر لکونه کثیرا مّا یقع فی أسانید الأخبار، و لما کان المقام لا یتوقف کثیراً به نترکه لمحلّ آخر، و لکن إجمال الأمر فیه أنّ أبابصیر کنیة مشهورة لإثنین، لیث بن البَخْتَرِی المرادی، و یحیی بن أبی القاسم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لیث بن البختری، بالباء الموحّدة المفتوحة، والخاء الساکنة، والتاء المفتوحة المثناة الفوقانیّة، والراء المکسورة المهملة، المرادی، المکنّی بأبی محمّد و هو أحد من الأربعة الّتی بشّروا بالجنّة، و قال الصادق علیه‌السلام فی حقّهم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 نجباء أمناء اللّه علی حلاله و حرامه ، و لولا هؤلاء إنقطعت آثار النبوّة واندرست </w:t>
      </w:r>
      <w:r>
        <w:rPr>
          <w:rStyle w:val="FootnoteAnchor"/>
          <w:rtl w:val="true"/>
        </w:rPr>
        <w:footnoteReference w:id="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وثاقته معلومة مشهورة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یحیی بن القاسم، فیحتمل أن یکون هذا إسما لإثنین، یحیی بن القاسم المرادیّ، و یحیی بن القاسم الأسدیّ، و یحتمل إتّحادهما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أبوبصیر، فالظاهر أنّه کنیته للمرادی والظاهر أنّه ثقة أیضا، و تحقیق الحال یحتاج إلی محلّ آخر، و کیف کان فسند الروایة لایخلو عن شیء، إمّا للجهل بحال إبراهیم، أو الجهل بحال بعض الأصحاب الّذی روی عنه محمّد بن الحسن، مع أنّ الأمر فیه أسهل، و إشکال فی حال أبی بصیر الّذی هو عبارة عن یحیی بن القاسم </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خصوص النبیذ أیضا، و هو الموثّق المرویّ فی التهذیب، فی الباب المذکور، باسناده عن عمّار بن موسی الساباطیّ، عن أبی عبداللّه علیه‌السلام </w:t>
      </w:r>
      <w:bookmarkStart w:id="247" w:name="pg3696_43458"/>
    </w:p>
    <w:p>
      <w:pPr>
        <w:pStyle w:val="BookText"/>
        <w:rPr/>
      </w:pPr>
      <w:bookmarkEnd w:id="247"/>
      <w:r>
        <w:rPr>
          <w:rFonts w:ascii="IRNazanin" w:hAnsi="IRNazanin" w:eastAsia="IRNazanin"/>
          <w:color w:val="111111"/>
          <w:sz w:val="28"/>
          <w:sz w:val="28"/>
          <w:szCs w:val="28"/>
          <w:rtl w:val="true"/>
          <w:lang w:bidi="fa-IR"/>
        </w:rPr>
        <w:t xml:space="preserve">فی الإناء یشرب منه النبیذ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یغسله سبع مرّات و کذلک الکلب </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علیّ بن مهزیار و خبر خیران الخادم ، و روایة یونس ، فانّ فیها عطف النبیذ علی الخمر، کما تقدّمت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مطلق المسکر کصحیحة علیّ بن مهزیار، فإنّ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أصاب ثوبک خمر أو نبیذ یعنی المسکر، فاغسله إن عرفت موضعه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روایة أبی الربیع الشامیّ الواردة فی ظروف المسکر، و روایة محمّد بن مسلم الواردة فیها أیضا، و قد تقدّمتا </w:t>
      </w:r>
      <w:r>
        <w:rPr>
          <w:rStyle w:val="FootnoteAnchor"/>
          <w:rtl w:val="true"/>
        </w:rPr>
        <w:footnoteReference w:id="624"/>
      </w:r>
      <w:r>
        <w:rPr>
          <w:rFonts w:ascii="Amiri" w:hAnsi="Amiri" w:eastAsia="Amiri" w:cs="Amiri"/>
          <w:color w:val="111111"/>
          <w:sz w:val="28"/>
          <w:sz w:val="28"/>
          <w:szCs w:val="28"/>
          <w:rtl w:val="true"/>
          <w:lang w:bidi="ar-SA"/>
        </w:rPr>
        <w:t xml:space="preserve">، فتأمّل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والموثّق المرویّ فی التهذیب، فی الباب المذکور، باسناده عن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ولاتصلّ فی بیت فیه خمر و لا مسکر، لأنّ الملائکة لا تدخله، و لا تصلّ فی ثوب أصابه خمر أو مسکر حتّی تغسل </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Heading4"/>
        <w:numPr>
          <w:ilvl w:val="3"/>
          <w:numId w:val="1"/>
        </w:numPr>
        <w:rPr/>
      </w:pPr>
      <w:bookmarkStart w:id="248" w:name="__RefHeading___Toc488401_2281741623"/>
      <w:bookmarkStart w:id="249" w:name="_Toc94"/>
      <w:bookmarkEnd w:id="248"/>
      <w:r>
        <w:rPr>
          <w:rtl w:val="true"/>
        </w:rPr>
        <w:t xml:space="preserve">التعرّض لأمور </w:t>
      </w:r>
      <w:r>
        <w:rPr>
          <w:rtl w:val="true"/>
        </w:rPr>
        <w:t>:</w:t>
      </w:r>
      <w:bookmarkEnd w:id="249"/>
    </w:p>
    <w:p>
      <w:pPr>
        <w:pStyle w:val="Heading5"/>
        <w:numPr>
          <w:ilvl w:val="4"/>
          <w:numId w:val="1"/>
        </w:numPr>
        <w:rPr/>
      </w:pPr>
      <w:bookmarkStart w:id="250" w:name="__RefHeading___Toc488403_2281741623"/>
      <w:bookmarkStart w:id="251" w:name="_Toc95"/>
      <w:bookmarkEnd w:id="250"/>
      <w:r>
        <w:rPr>
          <w:rtl w:val="true"/>
        </w:rPr>
        <w:t xml:space="preserve">الأمر الأوّل </w:t>
      </w:r>
      <w:r>
        <w:rPr>
          <w:rtl w:val="true"/>
        </w:rPr>
        <w:t xml:space="preserve">: </w:t>
      </w:r>
      <w:r>
        <w:rPr>
          <w:rtl w:val="true"/>
        </w:rPr>
        <w:t>أنّ نجاسة المسکرات هل یختصّ بالمائع منها أو یعمّ الجامد ؟</w:t>
      </w:r>
      <w:bookmarkEnd w:id="25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 الکلام فی أمور، 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 الحکم المذکور و هو نجاسة المسکرات، هل یختصّ بالمائع منها أو یعمّ المائع والجامد ؟ </w:t>
      </w:r>
    </w:p>
    <w:p>
      <w:pPr>
        <w:pStyle w:val="BookText"/>
        <w:rPr/>
      </w:pPr>
      <w:r>
        <w:rPr>
          <w:rFonts w:ascii="IRNazanin" w:hAnsi="IRNazanin" w:eastAsia="IRNazanin"/>
          <w:color w:val="111111"/>
          <w:sz w:val="28"/>
          <w:sz w:val="28"/>
          <w:szCs w:val="28"/>
          <w:rtl w:val="true"/>
          <w:lang w:bidi="fa-IR"/>
        </w:rPr>
        <w:t xml:space="preserve">الّذی یظهر من إطلاق کلام جماعة کالمتن و غیره الثانی، لکنّ الظاهر الأوّل، کما عن موضع من شرح الدروس دعوی عدم ظهور الخلاف بین الأصحاب فی ذلک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إتّفاق کلمة الأصحاب رضی اللّه عنهم، علی تخصیص الحکم بالنجاسة المسکر بما کان مائعاً بالأصالة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الحکم بنجاسة المسکر مخصوص عند الأصحاب بما هو مائع بالأصالة کما نبّه علیه کثیر منهم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الدلائل دعوی الإجماع صریحاً علی طهارة الجامد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بعد ذلک الأصل واختصاص الأخبار الواردة فی المسکر بالمائع، أمّا أخبار الخمر ، فلأنّ الظاهر عدم إطلاق الخمر علی الجامد منها و إن أطلق علی المائع شرعاً أو عرفاً شرعیّاً ، و أمّا أخبار النبیذ ، فظاهره فی المائع ، لأنّ النبیذ مائع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أخبار المسکر فلأنّ المنساق منها المائع، مضافاً إلی کونه هو الغالب، ویشعر بذلک عطفه علی الخمر فی کثیر منها، کما یشعر بذلک لفظ الإصابة فی کثیر منها ، فإنّ الإصابة لا تکون غالباً إلاّ فی المائع ، کما ربما یشعر بذلک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یبلّ المیل ینجس حبّا من الماء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 xml:space="preserve">. </w:t>
      </w:r>
      <w:bookmarkStart w:id="252" w:name="pg3696_43460"/>
    </w:p>
    <w:p>
      <w:pPr>
        <w:pStyle w:val="BookText"/>
        <w:rPr/>
      </w:pPr>
      <w:bookmarkEnd w:id="252"/>
      <w:r>
        <w:rPr>
          <w:rFonts w:ascii="IRNazanin" w:hAnsi="IRNazanin" w:eastAsia="IRNazanin"/>
          <w:color w:val="111111"/>
          <w:sz w:val="28"/>
          <w:sz w:val="28"/>
          <w:szCs w:val="28"/>
          <w:rtl w:val="true"/>
          <w:lang w:bidi="fa-IR"/>
        </w:rPr>
        <w:t xml:space="preserve">و قد أشکل فی جواهر الکلام بما یظهر من بعض الأخبار، من کون علّة الحکم حرمة و نجاسة الإسکار، و انّ کلّ ما عاقبته الخمر فهو خمر، و باطلاق المنزلة المستفاد من نحو قول الباقر علیه‌السلام فی خبر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خمر </w:t>
      </w:r>
      <w:r>
        <w:rPr>
          <w:rStyle w:val="FootnoteAnchor"/>
          <w:rtl w:val="true"/>
        </w:rPr>
        <w:footnoteReference w:id="631"/>
      </w:r>
      <w:r>
        <w:rPr>
          <w:rFonts w:ascii="IRNazanin" w:hAnsi="IRNazanin" w:eastAsia="IRNazanin"/>
          <w:color w:val="111111"/>
          <w:sz w:val="28"/>
          <w:sz w:val="28"/>
          <w:szCs w:val="28"/>
          <w:rtl w:val="true"/>
          <w:lang w:bidi="fa-IR"/>
        </w:rPr>
        <w:t xml:space="preserve">، و بما تقدّم سابقاً من معروفیّة إطلاق الخمر فی ذلک الزمان علی المسکر </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لأنّا لم نجد خبرا تدلّ دلالة معتدّة بها علی أنّ علّة النجاسة والحرمة واحدة، و هی الإسکار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ورد من أنّ ما عاقبته الخمر فهو خمر من روایة علیّ بن یقطین ، فقد ذکرنا ما فیه و قلنا إنّه لم یدلّ إلاّ علی الحرمة، لأنّه هکذا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لم یحرّم الخمر لاسمها ، و انّما حرّم لعاقبتها ، و ما کان عاقبته عاقبة الخمر فهو خمر ، أی فی التحریم، کما یدلّ علیه سوق الروایة، وما فی النسخ من لفظة حرام بدل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عطاء ، فقد ذکرنا ضعفه ، و لیس الإستدلال به ، مضافاً إلی أنّ الإستدلال به لیس من باب المنزلة کما یفهم من کلامه، و إلاّ فالمنزلة تنصرف إلی الوجه الظاهر و هو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معروفیّة إطلاق الخمر فی ذلک الزمان علی المسکر، فإنّما یسلم منه علی تقدیر تسلیمه فی المائع دون الجامد، و بالجملة فأصل الطهارة محکم، لا دلیل ینقضه، والإحتیاط أمر آخر </w:t>
      </w:r>
      <w:r>
        <w:rPr>
          <w:rFonts w:eastAsia="IRNazanin" w:cs="IRNazanin"/>
          <w:color w:val="111111"/>
          <w:sz w:val="28"/>
          <w:szCs w:val="28"/>
          <w:rtl w:val="true"/>
          <w:lang w:bidi="fa-IR"/>
        </w:rPr>
        <w:t>.</w:t>
      </w:r>
    </w:p>
    <w:p>
      <w:pPr>
        <w:pStyle w:val="Heading5"/>
        <w:numPr>
          <w:ilvl w:val="4"/>
          <w:numId w:val="1"/>
        </w:numPr>
        <w:rPr/>
      </w:pPr>
      <w:bookmarkStart w:id="253" w:name="__RefHeading___Toc488405_2281741623"/>
      <w:bookmarkStart w:id="254" w:name="_Toc96"/>
      <w:bookmarkEnd w:id="253"/>
      <w:r>
        <w:rPr>
          <w:rtl w:val="true"/>
        </w:rPr>
        <w:t xml:space="preserve">الأمر الثانی </w:t>
      </w:r>
      <w:r>
        <w:rPr>
          <w:rtl w:val="true"/>
        </w:rPr>
        <w:t xml:space="preserve">: </w:t>
      </w:r>
      <w:r>
        <w:rPr>
          <w:rtl w:val="true"/>
        </w:rPr>
        <w:t>إنّ الحکم دائر مدار المیعان أو دائر مدار المائع بالإصالة أو مختصّ بالمائع بالإصالة مع بقاء المیعان فیه ؟</w:t>
      </w:r>
      <w:bookmarkEnd w:id="254"/>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دائر مدار المیعان فلو انجمد المائع بالأصالة، أو مایع الجامد بالأصالة، یرتفع النجاسة فی الأوّل و یثبت النجاسة فی الثانی ؛ أو دائر </w:t>
      </w:r>
      <w:bookmarkStart w:id="255" w:name="pg3696_43461"/>
    </w:p>
    <w:p>
      <w:pPr>
        <w:pStyle w:val="BookText"/>
        <w:rPr/>
      </w:pPr>
      <w:bookmarkEnd w:id="255"/>
      <w:r>
        <w:rPr>
          <w:rFonts w:ascii="IRNazanin" w:hAnsi="IRNazanin" w:eastAsia="IRNazanin"/>
          <w:color w:val="111111"/>
          <w:sz w:val="28"/>
          <w:sz w:val="28"/>
          <w:szCs w:val="28"/>
          <w:rtl w:val="true"/>
          <w:lang w:bidi="fa-IR"/>
        </w:rPr>
        <w:t>مدار المائع بالأصل و لو انجمد ؛ أو مختصّ بالمائع بالأصالة مع بقاء المیعان فیه ؟</w:t>
      </w:r>
    </w:p>
    <w:p>
      <w:pPr>
        <w:pStyle w:val="BookText"/>
        <w:rPr/>
      </w:pPr>
      <w:r>
        <w:rPr>
          <w:rFonts w:ascii="IRNazanin" w:hAnsi="IRNazanin" w:eastAsia="IRNazanin"/>
          <w:color w:val="111111"/>
          <w:sz w:val="28"/>
          <w:sz w:val="28"/>
          <w:szCs w:val="28"/>
          <w:rtl w:val="true"/>
          <w:lang w:bidi="fa-IR"/>
        </w:rPr>
        <w:t xml:space="preserve">الأوجه الثانی، للأصل بمعنی الإستصحاب فیهما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بالثانی لروایة حفص الأعور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الدن یکون فیه الخمر ثمّ یجفّفه یجعل فیه الخلّ،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وفیه أنّه قد تقدّم الکلام فیها سابقاً، و قلنا هنا مضافاً إلی السابق بقوّة کون المراد من جعل الخلّ فیه أنّه یرمی فیه ما یصیر خلاًّ، فیکون حاله حال ما إذا انقلب الخمر خلاًّ، فإنّ الأجزاء الخمریّة حینئذ تصیر خلاًّ لشدّة التناسب بین الخمر والخلّ، و لذا ینقلب الخمر خلاًّ و بالعکس </w:t>
      </w:r>
      <w:r>
        <w:rPr>
          <w:rFonts w:eastAsia="IRNazanin" w:cs="IRNazanin"/>
          <w:color w:val="111111"/>
          <w:sz w:val="28"/>
          <w:szCs w:val="28"/>
          <w:rtl w:val="true"/>
          <w:lang w:bidi="fa-IR"/>
        </w:rPr>
        <w:t>.</w:t>
      </w:r>
    </w:p>
    <w:p>
      <w:pPr>
        <w:pStyle w:val="Heading5"/>
        <w:numPr>
          <w:ilvl w:val="4"/>
          <w:numId w:val="1"/>
        </w:numPr>
        <w:rPr/>
      </w:pPr>
      <w:bookmarkStart w:id="256" w:name="__RefHeading___Toc488407_2281741623"/>
      <w:bookmarkStart w:id="257" w:name="_Toc97"/>
      <w:bookmarkEnd w:id="256"/>
      <w:r>
        <w:rPr>
          <w:rtl w:val="true"/>
        </w:rPr>
        <w:t xml:space="preserve">الأمر الثالث </w:t>
      </w:r>
      <w:r>
        <w:rPr>
          <w:rtl w:val="true"/>
        </w:rPr>
        <w:t xml:space="preserve">: </w:t>
      </w:r>
      <w:r>
        <w:rPr>
          <w:rtl w:val="true"/>
        </w:rPr>
        <w:t>إنّه لو زال وصف الإسکار عن الخمر والنبیذ و نحوهما، فهل یبقی حکمه من النجاسة والحرمة أم لا ؟</w:t>
      </w:r>
      <w:bookmarkEnd w:id="257"/>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زال وصف الإسکار عن الخمر والنبیذ و نحوهما، فهل یبقی حکما من النجاسة والحرمة أم لا ؟</w:t>
      </w:r>
    </w:p>
    <w:p>
      <w:pPr>
        <w:pStyle w:val="BookText"/>
        <w:rPr/>
      </w:pPr>
      <w:r>
        <w:rPr>
          <w:rFonts w:ascii="IRNazanin" w:hAnsi="IRNazanin" w:eastAsia="IRNazanin"/>
          <w:color w:val="111111"/>
          <w:sz w:val="28"/>
          <w:sz w:val="28"/>
          <w:szCs w:val="28"/>
          <w:rtl w:val="true"/>
          <w:lang w:bidi="fa-IR"/>
        </w:rPr>
        <w:t xml:space="preserve">الظاهر الأوّل للإستصحاب مع بقاء الإسم، و صدق الخمریّة، والنبیذیّة، ونحوهما، لأنّ الأحکام دائرة مدار الأسامی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یشکل فی جواهر الکلام فی ذلک أیضا ، نظرا إلی أنّ الحکم معلّق نصّا وفتویً علی المسکر المنتفی صدقه حقیقة علیه، مضافاً إلی أنّ مفهوم النصوص والفتاوی المشتملة علی التعلیق ، دلّ علی عدم الحکم فیما زال عنه الوصف بعد التلبّس کما لم یکن متلبّسا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الحکم بالنجاسة فیه لا لصدق الوصف بل للإستصحاب یدفعه ، مع أنّه لا وجه له بعد فرض ما قلناه من المفهوم أنّه لا یجری بعد </w:t>
      </w:r>
    </w:p>
    <w:p>
      <w:pPr>
        <w:pStyle w:val="BookText"/>
        <w:rPr/>
      </w:pPr>
      <w:r>
        <w:rPr>
          <w:rFonts w:ascii="IRNazanin" w:hAnsi="IRNazanin" w:eastAsia="IRNazanin"/>
          <w:color w:val="111111"/>
          <w:sz w:val="28"/>
          <w:sz w:val="28"/>
          <w:szCs w:val="28"/>
          <w:rtl w:val="true"/>
          <w:lang w:bidi="fa-IR"/>
        </w:rPr>
        <w:t xml:space="preserve">تغیّر الموضوع و لعلّه لذلک کلّه کان ظاهر المحکیّ عن المنتهی أو صریحه الطهارة فیه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تعلیق الحکم فتوی و نصّا علی المسکر، إذ فی النصوص کثیرا مّا علّق الحکم علی الخمر والنبیذ و نحوهما، بل هو الغالب، بل و کذا الفتاوی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 لکن لیس هذا المفهوم إلاّ مفهوم قید لا حجّیّة فیه ، و کون الموضوع هو الواجد للوصف بحیث یکون للوصف مدخلیّة فی موضوعیّة الموضوع محلّ کلام، و یحتمل قویّا أن یکون الموضوع هو ذات هذه الأشربة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ذلک حرمة القلیل منها أیضا و إن لم یسکر، کما تقدّم الأخبار علیه، و أنّه إذا ارتفع سکر هذه الأشربة بصبّ الماء علیها لا یرتفع حرمتها لروایة عمر بن حنظلة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تری فی قدح من مسکر یصبّ علیه الماء حتّی تذهب عادیته و یذهب سکره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 لا قطرة تقطر منه فی حبّ إلاّ أهریق ذلک الحبّ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سلّمنا ، لکن یکفینا فی الحکم المذکور ما یشتمل علیه کثیر من الأخبار ، من تعلیق الحکم علی الخمر والنبیذ و نحوهما، فما دام الصدق باقیاً، یکون الحکم باقیاً، نعم إذا کان مسکر لم یعنون إسمه فی الأخبار، فحینئذ لو زال سکره یشکل الحکم ببقاء الحرمة فیه، بل النجاسة، لإمکان منع الإستصحاب فیه، مع أنّه محل نظر أیضا ، فإنّ الموضوع أمر عرفی ، و هو الّذی ورد علیه الحکم ، و هو الذات ، إذ هو موضوع الحکم لأنّه یقال هذا حرام أو هذا نجس </w:t>
      </w:r>
      <w:r>
        <w:rPr>
          <w:rFonts w:eastAsia="IRNazanin" w:cs="IRNazanin"/>
          <w:color w:val="111111"/>
          <w:sz w:val="28"/>
          <w:szCs w:val="28"/>
          <w:rtl w:val="true"/>
          <w:lang w:bidi="fa-IR"/>
        </w:rPr>
        <w:t xml:space="preserve">. </w:t>
      </w:r>
      <w:bookmarkStart w:id="258" w:name="pg3696_43463"/>
    </w:p>
    <w:p>
      <w:pPr>
        <w:pStyle w:val="BookText"/>
        <w:rPr/>
      </w:pPr>
      <w:bookmarkEnd w:id="258"/>
      <w:r>
        <w:rPr>
          <w:rFonts w:ascii="IRNazanin" w:hAnsi="IRNazanin" w:eastAsia="IRNazanin"/>
          <w:color w:val="111111"/>
          <w:sz w:val="28"/>
          <w:sz w:val="28"/>
          <w:szCs w:val="28"/>
          <w:rtl w:val="true"/>
          <w:lang w:bidi="fa-IR"/>
        </w:rPr>
        <w:t xml:space="preserve">و أمّا الوصف فکونه دخیلاً فی موضوعیّة الموضوع، ممنوع لم یعترف به أهل العرف، و لذلک قد نقول بأنّ الکلب إذا وقع فی المملحة فصار ملحاً یکون نجاسته باقیة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إنّ المدار فی الموضوع هو ما جعله الشارع موضوعاً للحکم، والعرف لا عبرة به فی المقام، و معلوم أنّ الحکم إنّما ترتّب علی المسکر لا علی ذوات هذه الأشیاء، والمفروض زوال الإسکار و به یزول الموضوع الذی اعتبره الشارع فی الحکم، فتدبّر و 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انّه قد ظهر من الإخبار السابقة الواردة فی أنّ القلیل الغیر المسکر حکمه حکم الکثیر المسکر، و ما ورد من أنّه لو زال الإسکار بصبّ الماء لا یرتفع الحکم انّ المدار علی الذات، فإنّ ذات هذه الأشربة خبیثة و إن زال عنها وصف الإسکار </w:t>
      </w:r>
      <w:r>
        <w:rPr>
          <w:rFonts w:eastAsia="IRNazanin" w:cs="IRNazanin"/>
          <w:color w:val="111111"/>
          <w:sz w:val="28"/>
          <w:szCs w:val="28"/>
          <w:rtl w:val="true"/>
          <w:lang w:bidi="fa-IR"/>
        </w:rPr>
        <w:t>.</w:t>
      </w:r>
    </w:p>
    <w:p>
      <w:pPr>
        <w:pStyle w:val="Heading5"/>
        <w:numPr>
          <w:ilvl w:val="4"/>
          <w:numId w:val="1"/>
        </w:numPr>
        <w:rPr/>
      </w:pPr>
      <w:bookmarkStart w:id="259" w:name="__RefHeading___Toc488409_2281741623"/>
      <w:bookmarkStart w:id="260" w:name="_Toc98"/>
      <w:bookmarkEnd w:id="259"/>
      <w:r>
        <w:rPr>
          <w:rtl w:val="true"/>
        </w:rPr>
        <w:t>الأمرالرابع</w:t>
      </w:r>
      <w:r>
        <w:rPr>
          <w:rtl w:val="true"/>
        </w:rPr>
        <w:t xml:space="preserve">: </w:t>
      </w:r>
      <w:r>
        <w:rPr>
          <w:rtl w:val="true"/>
        </w:rPr>
        <w:t>هل تکون حکم‌المسکرات ثابتاً علی کلّ حال أویدور مدار الإسکار</w:t>
      </w:r>
      <w:bookmarkEnd w:id="260"/>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کان البلاد مختلفاً حالها بحیث انّ بعضاً من المسکرات لا یؤثّر فی بعضها تأثیر إسکار، أو کان بعض الأمزجة بحیث لا تؤثّره المسکر، فهل یکون الحکم ثابتاً علی کلّ حال أو یدور مدار الإسکار ؟</w:t>
      </w:r>
    </w:p>
    <w:p>
      <w:pPr>
        <w:pStyle w:val="BookText"/>
        <w:rPr/>
      </w:pPr>
      <w:r>
        <w:rPr>
          <w:rFonts w:ascii="IRNazanin" w:hAnsi="IRNazanin" w:eastAsia="IRNazanin"/>
          <w:color w:val="111111"/>
          <w:sz w:val="28"/>
          <w:sz w:val="28"/>
          <w:szCs w:val="28"/>
          <w:rtl w:val="true"/>
          <w:lang w:bidi="fa-IR"/>
        </w:rPr>
        <w:t xml:space="preserve">الظّاهر ثبوت الحکم والمدار علی الغالب من الأمزجة والبلاد، لأنّ فیه المزاج المعتدل، والهواء المعتدل، والخارج عن الإعتدال لا عبرة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الأمر بالعکس، کأن کان بعض ما لایسکر فی الغالب یسکر بالنسبة إلی بعض الأمزجة، أو فی بعض البلاد دون بعض، فهل یلاحظ ملاحظة الغالب أو یدور الحکم مدار الإسکار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إشکال، و لا سیّما فی الحکم بالنجاسة لبعد أن یکون نجساً بالنسبة إلی من یسکره، و طاهراً بالنسبة إلی من لا یسکره </w:t>
      </w:r>
      <w:r>
        <w:rPr>
          <w:rFonts w:eastAsia="IRNazanin" w:cs="IRNazanin"/>
          <w:color w:val="111111"/>
          <w:sz w:val="28"/>
          <w:szCs w:val="28"/>
          <w:rtl w:val="true"/>
          <w:lang w:bidi="fa-IR"/>
        </w:rPr>
        <w:t xml:space="preserve">. </w:t>
      </w:r>
      <w:bookmarkStart w:id="261" w:name="pg3696_43464"/>
    </w:p>
    <w:p>
      <w:pPr>
        <w:pStyle w:val="BookText"/>
        <w:rPr/>
      </w:pPr>
      <w:bookmarkEnd w:id="261"/>
      <w:r>
        <w:rPr>
          <w:rFonts w:ascii="IRNazanin" w:hAnsi="IRNazanin" w:eastAsia="IRNazanin"/>
          <w:color w:val="111111"/>
          <w:sz w:val="28"/>
          <w:sz w:val="28"/>
          <w:szCs w:val="28"/>
          <w:rtl w:val="true"/>
          <w:lang w:bidi="fa-IR"/>
        </w:rPr>
        <w:t xml:space="preserve">والظاهر الطهارة لعدم دلیل علی نجاسة مثل ذلک، والأصل الطّهارة، و ما دلّ علی نجاسة المسکرات لا یشمل مثل ذلک لمنع صدق المسکر علیه، مع منع وجود ما یدلّ علی نجاسة المسکرات بقول مطلق، إلاّ روایة عطاء حیث اشتملت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مسکر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عرفت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کذلک الظاهر الحلّیة لمن لایعرض علیه الإسکار بشربه، و أمّا من یعرض علیه ذلک، فالظاهر کونه حراماً علیه لما یفهم من الأخبار انّ هذه الحالة حالة ردیّة للنفس قد أکرهها الشارع، و هذه هی الباعثة لتحریم جملة من المسکرات، و تدلّ علیه صحیحة علیّ بن یقطین السابقة </w:t>
      </w:r>
      <w:r>
        <w:rPr>
          <w:rStyle w:val="FootnoteAnchor"/>
          <w:rtl w:val="true"/>
        </w:rPr>
        <w:footnoteReference w:id="637"/>
      </w:r>
      <w:r>
        <w:rPr>
          <w:rFonts w:ascii="IRNazanin" w:hAnsi="IRNazanin" w:eastAsia="IRNazanin"/>
          <w:color w:val="111111"/>
          <w:sz w:val="28"/>
          <w:sz w:val="28"/>
          <w:szCs w:val="28"/>
          <w:rtl w:val="true"/>
          <w:lang w:bidi="fa-IR"/>
        </w:rPr>
        <w:t xml:space="preserve">، المشتملة علی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تعالی لم یحرّم الخمر لإسمها، و لکن حرّمها لعاقبتها، فما کان عاقبته عاقبة الخمر فهو خمر ؛ أو فهو حرام </w:t>
      </w:r>
      <w:r>
        <w:rPr>
          <w:rFonts w:eastAsia="IRNazanin" w:cs="IRNazanin"/>
          <w:color w:val="111111"/>
          <w:sz w:val="28"/>
          <w:szCs w:val="28"/>
          <w:rtl w:val="true"/>
          <w:lang w:bidi="fa-IR"/>
        </w:rPr>
        <w:t>».</w:t>
      </w:r>
    </w:p>
    <w:p>
      <w:pPr>
        <w:pStyle w:val="Heading5"/>
        <w:numPr>
          <w:ilvl w:val="4"/>
          <w:numId w:val="1"/>
        </w:numPr>
        <w:rPr/>
      </w:pPr>
      <w:bookmarkStart w:id="262" w:name="__RefHeading___Toc488411_2281741623"/>
      <w:bookmarkStart w:id="263" w:name="_Toc99"/>
      <w:bookmarkEnd w:id="262"/>
      <w:r>
        <w:rPr>
          <w:rtl w:val="true"/>
        </w:rPr>
        <w:t xml:space="preserve">الأمر الخامس </w:t>
      </w:r>
      <w:r>
        <w:rPr>
          <w:rtl w:val="true"/>
        </w:rPr>
        <w:t xml:space="preserve">: </w:t>
      </w:r>
      <w:r>
        <w:rPr>
          <w:rtl w:val="true"/>
        </w:rPr>
        <w:t>انّ المدار فی تشخیص السکر و تمییزه عن غیره، بالعرف</w:t>
      </w:r>
      <w:bookmarkEnd w:id="263"/>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یعرض بعض الأحوال من الإغماء و نحوه عقیب شرب بعض الأشربة و لا یقتضی هذا حرمة ذلک المشروب، والمدار فی تشخیص السکر و تمییزه عن غیره بالعرف کما هو الشاهد فی غیر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فی الفرق بین الإغماء والسکر بأنّ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السکر حالة تبعث علی نقص العقل بالإستقلال ، بخلاف الإغماء فإنّه یقضی به بالتبع به لضعف القلب والبدن ، أو أنّه حالة تبعث علی قوّة النفس و ضعف العقل والإغماء علی ضعفهما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 w:name="__RefHeading___Toc488413_2281741623"/>
      <w:bookmarkStart w:id="265" w:name="_Toc100"/>
      <w:bookmarkEnd w:id="264"/>
      <w:r>
        <w:rPr>
          <w:rtl w:val="true"/>
        </w:rPr>
        <w:t xml:space="preserve">الأمر السادس </w:t>
      </w:r>
      <w:r>
        <w:rPr>
          <w:rtl w:val="true"/>
        </w:rPr>
        <w:t xml:space="preserve">: </w:t>
      </w:r>
      <w:r>
        <w:rPr>
          <w:rtl w:val="true"/>
        </w:rPr>
        <w:t>إنّ الفقّاع حکمه حکم الخمر فیکون حراماً و نجساً</w:t>
      </w:r>
      <w:bookmarkEnd w:id="265"/>
    </w:p>
    <w:p>
      <w:pPr>
        <w:pStyle w:val="Heading6"/>
        <w:numPr>
          <w:ilvl w:val="5"/>
          <w:numId w:val="1"/>
        </w:numPr>
        <w:rPr/>
      </w:pPr>
      <w:bookmarkStart w:id="266" w:name="__RefHeading___Toc488415_2281741623"/>
      <w:bookmarkStart w:id="267" w:name="_Toc101"/>
      <w:bookmarkEnd w:id="266"/>
      <w:r>
        <w:rPr>
          <w:rtl w:val="true"/>
        </w:rPr>
        <w:t>اشارة</w:t>
      </w:r>
      <w:bookmarkEnd w:id="26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الفقّاع حکمه حکم الخمر، فیکون حراماً ونجساً، أمّا أنّه حرام، فلاخلاف فیه، بل الإجماع بقسمیه علیه، بل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قد تواتر نقل‌الإجماع علیه</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bookmarkStart w:id="268" w:name="pg3696_43465"/>
    </w:p>
    <w:p>
      <w:pPr>
        <w:pStyle w:val="BookText"/>
        <w:rPr/>
      </w:pPr>
      <w:bookmarkEnd w:id="268"/>
      <w:r>
        <w:rPr>
          <w:rFonts w:ascii="IRNazanin" w:hAnsi="IRNazanin" w:eastAsia="IRNazanin"/>
          <w:color w:val="111111"/>
          <w:sz w:val="28"/>
          <w:sz w:val="28"/>
          <w:szCs w:val="28"/>
          <w:rtl w:val="true"/>
          <w:lang w:bidi="fa-IR"/>
        </w:rPr>
        <w:t xml:space="preserve">و تدلّ علیه الأخبار الآتیة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أنّه نجس، فالظاهر أنّه مذهب کلّ من قال بنجاسة الخمر، بل لم یحک الخلاف إلاّ عن الجعفی فقط، فالإجماعات المحکیّة هناک تأتی هنا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الفقّاع فقد قال الشیخ فی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أصحابنا الفقّاع بالخمر، یعنی فی التنجیس، و هذا إنفراد الطائفة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الإنتصار ، والخلاف ، والغنیة ، والمنتهی ، والنهایة ، والمهذّب البارع، والتنقیح ، و جامع المقاصد ، و کشف الإلتباس ، و إرشاد الجعفریّة ، الإجماع علیه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69" w:name="__RefHeading___Toc488417_2281741623"/>
      <w:bookmarkStart w:id="270" w:name="_Toc102"/>
      <w:bookmarkEnd w:id="269"/>
      <w:r>
        <w:rPr>
          <w:rtl w:val="true"/>
        </w:rPr>
        <w:t xml:space="preserve">الإستدلال علیه بأمور </w:t>
      </w:r>
      <w:r>
        <w:rPr>
          <w:rtl w:val="true"/>
        </w:rPr>
        <w:t>:</w:t>
      </w:r>
      <w:bookmarkEnd w:id="270"/>
    </w:p>
    <w:p>
      <w:pPr>
        <w:pStyle w:val="Heading6"/>
        <w:numPr>
          <w:ilvl w:val="5"/>
          <w:numId w:val="1"/>
        </w:numPr>
        <w:rPr/>
      </w:pPr>
      <w:bookmarkStart w:id="271" w:name="__RefHeading___Toc488419_2281741623"/>
      <w:bookmarkStart w:id="272" w:name="_Toc103"/>
      <w:bookmarkEnd w:id="271"/>
      <w:r>
        <w:rPr>
          <w:rtl w:val="true"/>
        </w:rPr>
        <w:t>اشارة</w:t>
      </w:r>
      <w:bookmarkEnd w:id="272"/>
    </w:p>
    <w:p>
      <w:pPr>
        <w:pStyle w:val="BookText"/>
        <w:rPr/>
      </w:pPr>
      <w:r>
        <w:rPr>
          <w:rFonts w:ascii="IRNazanin" w:hAnsi="IRNazanin" w:eastAsia="IRNazanin"/>
          <w:color w:val="111111"/>
          <w:sz w:val="28"/>
          <w:sz w:val="28"/>
          <w:szCs w:val="28"/>
          <w:rtl w:val="true"/>
          <w:lang w:bidi="fa-IR"/>
        </w:rPr>
        <w:t xml:space="preserve">و یدلّ علیه بعد الإجماع الوارد فیه بخصوصه، جملة أمور </w:t>
      </w:r>
      <w:r>
        <w:rPr>
          <w:rFonts w:eastAsia="IRNazanin" w:cs="IRNazanin"/>
          <w:color w:val="111111"/>
          <w:sz w:val="28"/>
          <w:szCs w:val="28"/>
          <w:rtl w:val="true"/>
          <w:lang w:bidi="fa-IR"/>
        </w:rPr>
        <w:t>:</w:t>
      </w:r>
    </w:p>
    <w:p>
      <w:pPr>
        <w:pStyle w:val="Heading6"/>
        <w:numPr>
          <w:ilvl w:val="5"/>
          <w:numId w:val="1"/>
        </w:numPr>
        <w:rPr/>
      </w:pPr>
      <w:bookmarkStart w:id="273" w:name="__RefHeading___Toc488421_2281741623"/>
      <w:bookmarkStart w:id="274" w:name="_Toc104"/>
      <w:bookmarkEnd w:id="273"/>
      <w:r>
        <w:rPr>
          <w:rtl w:val="true"/>
        </w:rPr>
        <w:t xml:space="preserve">الأوّل </w:t>
      </w:r>
      <w:r>
        <w:rPr>
          <w:rtl w:val="true"/>
        </w:rPr>
        <w:t xml:space="preserve">: </w:t>
      </w:r>
      <w:r>
        <w:rPr>
          <w:rtl w:val="true"/>
        </w:rPr>
        <w:t>جملة ما تقدّم فی الخمر</w:t>
      </w:r>
      <w:bookmarkEnd w:id="27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ما تقدّم فی الخمر، نظرا إلی عدم القول بالفرق بینهما، فکلّ من قال بنجاسة الخمر قال بها فیه أیضا </w:t>
      </w:r>
      <w:r>
        <w:rPr>
          <w:rFonts w:eastAsia="IRNazanin" w:cs="IRNazanin"/>
          <w:color w:val="111111"/>
          <w:sz w:val="28"/>
          <w:szCs w:val="28"/>
          <w:rtl w:val="true"/>
          <w:lang w:bidi="fa-IR"/>
        </w:rPr>
        <w:t>.</w:t>
      </w:r>
    </w:p>
    <w:p>
      <w:pPr>
        <w:pStyle w:val="Heading6"/>
        <w:numPr>
          <w:ilvl w:val="5"/>
          <w:numId w:val="1"/>
        </w:numPr>
        <w:rPr/>
      </w:pPr>
      <w:bookmarkStart w:id="275" w:name="__RefHeading___Toc488423_2281741623"/>
      <w:bookmarkStart w:id="276" w:name="_Toc105"/>
      <w:bookmarkEnd w:id="275"/>
      <w:r>
        <w:rPr>
          <w:rtl w:val="true"/>
        </w:rPr>
        <w:t xml:space="preserve">الثانی </w:t>
      </w:r>
      <w:r>
        <w:rPr>
          <w:rtl w:val="true"/>
        </w:rPr>
        <w:t xml:space="preserve">: </w:t>
      </w:r>
      <w:r>
        <w:rPr>
          <w:rtl w:val="true"/>
        </w:rPr>
        <w:t>الأخبار الدالّة علی أنّه خمر</w:t>
      </w:r>
      <w:bookmarkEnd w:id="27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الدالّة علی أنّه خمر، کالموثّق المرویّ فی التهذیب فی باب الذبائح والأطعمة، عن عمّار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رواه فیه، فی الباب المذکور، عن سلیمان بن جعفر </w:t>
      </w:r>
      <w:r>
        <w:rPr>
          <w:rStyle w:val="FootnoteAnchor"/>
          <w:rtl w:val="true"/>
        </w:rPr>
        <w:footnoteReference w:id="643"/>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شرب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مجهول یا سلیمان، فلا تشربه، أما یا سلیمان لو کان الحکم لی والدار لی، لجلدت شاربه، و لقتلت بایعه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عن الوشّاء،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یعنی الرضا علیه‌السلام ، أسأله عن الفقّاع، فکتب حرام و هو خمر، و من شربه کان بمنزلة شارب 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أبوالحسن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الدار لی لقتلت بایعه، و لجلّدت شاربه، و قال أبوالحسن الأخیر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حدّه حدّ شارب الخمر،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خمیرة استصغره الناس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عن الحسن بن جهم و إبن فضّال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سألنا أباالحسن علیه‌السلام عن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خمر مجهول، و فیه حدّ شارب الخمر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عن محمّد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أباالحسن الرضا علیه‌السلام عن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الخمر بعینها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فیه عن الحسن القلانسی،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الماضی علیه‌السلام أسأله عن الفقّاع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تقربه فإنّه من الخمر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277" w:name="pg3696_43467"/>
    </w:p>
    <w:p>
      <w:pPr>
        <w:pStyle w:val="Heading6"/>
        <w:numPr>
          <w:ilvl w:val="5"/>
          <w:numId w:val="1"/>
        </w:numPr>
        <w:rPr/>
      </w:pPr>
      <w:bookmarkStart w:id="278" w:name="__RefHeading___Toc488425_2281741623"/>
      <w:bookmarkStart w:id="279" w:name="_Toc106"/>
      <w:bookmarkEnd w:id="277"/>
      <w:bookmarkEnd w:id="278"/>
      <w:r>
        <w:rPr>
          <w:rtl w:val="true"/>
        </w:rPr>
        <w:t xml:space="preserve">الثالث </w:t>
      </w:r>
      <w:r>
        <w:rPr>
          <w:rtl w:val="true"/>
        </w:rPr>
        <w:t xml:space="preserve">: </w:t>
      </w:r>
      <w:r>
        <w:rPr>
          <w:rtl w:val="true"/>
        </w:rPr>
        <w:t>الخبر المرویّ عن أبی جمیلة البصری</w:t>
      </w:r>
      <w:bookmarkEnd w:id="279"/>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فی التهذیب فی باب الذبائح والأطعمة، عن محمّد بن أحمد بن یحیی، عن أحمد بن الحسین، عن أبی سعید، عن أبیجمیلة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مع یونس بن عبدالرّحمن ببغداد ، و أنا أمشی معه فی السوق ، ففتح صاحب الفقّاع فقّاعه فأصاب یونس فرأیته قد إغتمّ لذلک حتّی زالت الشمس،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تصلّی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أرید أن أصلّی حتّی أن أرجع إلی البیت، و أغسل هذا الخمر من ثوبی،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رأیک أو شیء ترویه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هشام بن حکم أنّه سأل أباعبداللّه علیه‌السلام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فإنّه خمر مجهول، و إذا أصاب ثوبک فاغسله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محمّد بن أحمد بن یحیی، فقد تقدّم الکلام فیه فی أوائل الکتاب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أحمد بن الحسین، فالظاهر أنّه أحمد بن الحسین بن عمر بن یزید الصیقل المکنّی بأبی جعفر، بقرینة روایة محمّد بن أحمد بن یحیی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رجال النجاشی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من أصحابنا، جدّه عمر بن یزید بیّاع السابُریّ، روی عن أبی عبداللّه و أبی الحسن علیهماالسلام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والضمیر فی روی یرجع إلی العمّ لا إلی أحمد کما لا یخفی، و ستعرف ممّا سیأتی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لا یعرف منها إلاّ النوادر قرأته أنا و أحمد بن الحسین رحمه‌الله علی أبیه، عن أحمد بن محمّد بن یحیی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أبی، عن محمّد بن أحمد بن یحیی </w:t>
      </w:r>
    </w:p>
    <w:p>
      <w:pPr>
        <w:pStyle w:val="BookText"/>
        <w:rPr/>
      </w:pPr>
      <w:r>
        <w:rPr>
          <w:rFonts w:ascii="IRNazanin" w:hAnsi="IRNazanin" w:eastAsia="IRNazanin"/>
          <w:color w:val="111111"/>
          <w:sz w:val="28"/>
          <w:sz w:val="28"/>
          <w:szCs w:val="28"/>
          <w:rtl w:val="true"/>
          <w:lang w:bidi="fa-IR"/>
        </w:rPr>
        <w:t xml:space="preserve">عنه </w:t>
      </w:r>
      <w:r>
        <w:rPr>
          <w:rStyle w:val="FootnoteAnchor"/>
          <w:rtl w:val="true"/>
        </w:rPr>
        <w:footnoteReference w:id="652"/>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أبو سعید، فهو مشترک بین أشخاص عدیدة، والتمییز غیر مثمر بعد کون أبی جمیلة ، و هو المفضّل بن صالح ، ضعیف ، کذّاب ، یضع الحدیث ، کما قیل فی شأنه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ضعف الخبر منجبر بما مرّ من الشهرة المحقّقة والإجماعات الصریحة السابقة و غیرها، بل الخلاف فیه أقلّ من الخلاف فی المسکرات، فانّه انّما نقل الخلاف عن الجعفی فقط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صاحب الذخیرة ربما یظهر منه التأمّل فی المسکرات و قال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یخفی أنّه و إن أمکن إیراد النظر السابق هیهنا، لکن الإنصاف انّ من هذه الأخبار یستفاد أنّه مثل الخمر فی جمیع الأحکام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بنجاسته مشهور بین الأصحاب، و فیه روایة ضعیفة السند جدّا، نعم إن ثبت إطلاق الخمر علیه حقیقة کما ادّعاه المصنّف رحمه‌الله فی المعتبر، کان حکمه حکم الخمر، و قد تقدّم الکلام فیه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فإنّ الروایة الضعیفة السند إنّما تنجبر بالشهرة العظیمة، بل الإجماع مع أنّ الدلیل غیر منحصر بالخبر، فتأمّل </w:t>
      </w:r>
      <w:r>
        <w:rPr>
          <w:rFonts w:eastAsia="IRNazanin" w:cs="IRNazanin"/>
          <w:color w:val="111111"/>
          <w:sz w:val="28"/>
          <w:szCs w:val="28"/>
          <w:rtl w:val="true"/>
          <w:lang w:bidi="fa-IR"/>
        </w:rPr>
        <w:t xml:space="preserve">! </w:t>
      </w:r>
      <w:bookmarkStart w:id="280" w:name="pg3696_43469"/>
    </w:p>
    <w:p>
      <w:pPr>
        <w:pStyle w:val="Heading5"/>
        <w:numPr>
          <w:ilvl w:val="4"/>
          <w:numId w:val="1"/>
        </w:numPr>
        <w:rPr/>
      </w:pPr>
      <w:bookmarkStart w:id="281" w:name="__RefHeading___Toc488427_2281741623"/>
      <w:bookmarkStart w:id="282" w:name="_Toc107"/>
      <w:bookmarkEnd w:id="280"/>
      <w:bookmarkEnd w:id="281"/>
      <w:r>
        <w:rPr>
          <w:rtl w:val="true"/>
        </w:rPr>
        <w:t xml:space="preserve">الأمر السابع </w:t>
      </w:r>
      <w:r>
        <w:rPr>
          <w:rtl w:val="true"/>
        </w:rPr>
        <w:t xml:space="preserve">: </w:t>
      </w:r>
      <w:r>
        <w:rPr>
          <w:rtl w:val="true"/>
        </w:rPr>
        <w:t>فی بیان مهیّات هذه الأشیاء من الفقّاع وغیره من المسکرات</w:t>
      </w:r>
      <w:bookmarkEnd w:id="282"/>
    </w:p>
    <w:p>
      <w:pPr>
        <w:pStyle w:val="Heading6"/>
        <w:numPr>
          <w:ilvl w:val="5"/>
          <w:numId w:val="1"/>
        </w:numPr>
        <w:rPr/>
      </w:pPr>
      <w:bookmarkStart w:id="283" w:name="__RefHeading___Toc488429_2281741623"/>
      <w:bookmarkStart w:id="284" w:name="_Toc108"/>
      <w:bookmarkEnd w:id="283"/>
      <w:r>
        <w:rPr>
          <w:rtl w:val="true"/>
        </w:rPr>
        <w:t>اشارة</w:t>
      </w:r>
      <w:bookmarkEnd w:id="284"/>
    </w:p>
    <w:p>
      <w:pPr>
        <w:pStyle w:val="BookText"/>
        <w:rPr/>
      </w:pPr>
      <w:r>
        <w:rPr>
          <w:rFonts w:ascii="IRNazanin" w:hAnsi="IRNazanin" w:eastAsia="IRNazanin"/>
          <w:color w:val="111111"/>
          <w:sz w:val="28"/>
          <w:sz w:val="28"/>
          <w:szCs w:val="28"/>
          <w:rtl w:val="true"/>
          <w:lang w:bidi="fa-IR"/>
        </w:rPr>
        <w:t xml:space="preserve">و 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مهیّات هذه الأشیاء من الفقّاع و غیره من المسکرات،</w:t>
      </w:r>
    </w:p>
    <w:p>
      <w:pPr>
        <w:pStyle w:val="Heading6"/>
        <w:numPr>
          <w:ilvl w:val="5"/>
          <w:numId w:val="1"/>
        </w:numPr>
        <w:rPr/>
      </w:pPr>
      <w:bookmarkStart w:id="285" w:name="__RefHeading___Toc488431_2281741623"/>
      <w:bookmarkStart w:id="286" w:name="_Toc109"/>
      <w:bookmarkEnd w:id="285"/>
      <w:r>
        <w:rPr/>
        <w:t>1</w:t>
      </w:r>
      <w:r>
        <w:rPr>
          <w:rtl w:val="true"/>
        </w:rPr>
        <w:t xml:space="preserve"> </w:t>
      </w:r>
      <w:r>
        <w:rPr>
          <w:rtl w:val="true"/>
        </w:rPr>
        <w:t>ـ بیان ماهیّة الفقّاع</w:t>
      </w:r>
      <w:bookmarkEnd w:id="286"/>
    </w:p>
    <w:p>
      <w:pPr>
        <w:pStyle w:val="BookText"/>
        <w:rPr/>
      </w:pPr>
      <w:r>
        <w:rPr>
          <w:rFonts w:ascii="IRNazanin" w:hAnsi="IRNazanin" w:eastAsia="IRNazanin"/>
          <w:color w:val="111111"/>
          <w:sz w:val="28"/>
          <w:sz w:val="28"/>
          <w:szCs w:val="28"/>
          <w:rtl w:val="true"/>
          <w:lang w:bidi="fa-IR"/>
        </w:rPr>
        <w:t xml:space="preserve">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الفقّاع، 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الّذی یشرب، سمّی به لما یرتفع فی رأسه من الزبد </w:t>
      </w:r>
      <w:r>
        <w:rPr>
          <w:rStyle w:val="FootnoteAnchor"/>
          <w:rtl w:val="true"/>
        </w:rPr>
        <w:footnoteReference w:id="65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أراد من ذلک ما تقدّم منه، من کونه بمعنی البیاض والزبد أبیض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وکمنع، و سرق، و ضرط، و نصر، فقعا و فقوعا، إشتدّت صفرته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کفرح أحمر أو کلّ ناصع اللون فاقع من بیاض و غیره و أبیض فقیع، کسکیت شدید، و کسکّیت أیضا، الأبیض من الحمام، و کأمیر، الأحمر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کرمّان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یشرب، یتّخذ من ماء الشعیر فقط، و لیس بمسکر و لکن ورد النهی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یسمّی فقّاعاً لما یرتفع فی رأسه من الزبد </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لغة الطب لمحمّد بن یوسف الهروی المسمّی ببحر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کزنّار قبک روی آب از باران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الطب شراب غیر مسکر و فیه لذع کما فی النبیذ، و سمّی فقّاعا لما یرتفع علی رأسه من الزبد، و یتّخذ من الشعیر و غیره، و فی بلادنا یتّخذ من ماء الزبیب الصادق الحلاوة المدقوق بعجمه، و ما قال القرشی من أنّه ردیّ للمعدة والعصب والدماغ، نفّاخ یولد أخلاطاً ردیّة، فهوالفقّاع المتّخذ من الشعیر لا مایتّخذ من الزبیب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تحفة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نوعی از نبیذ است و مسکر نیست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المعتبر بعد أن استدلّ لحرمته و نجاسته بما دلّ علی أنّه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الستر وهو ستر العقل، ولا ستر فیالفقّاع، لأنّا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التسمیة ثابتة شرعا، والتجوّز علی خلاف الأصل، فیکون حقیقة فی القدر المشترک، و هو مائع حرام لنشیشه و غلیانه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کلماتهم السابقة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عرفت ذلک تعرف أنّ ما فی کلام الشیخ‌الأستاذ فی کتاب الأطعمة والأشربة، لا وجه له، فإنّه إستدلّ لتحریم الفقّاع بالنصوص،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صرّح غیر واحد بأنّه کذلک و إن لم یکن مسکرا، و لعلّه لإطلاق النصوص المزبورة إلاّ أنّ التدبّر فیه یقتضی کونه من المسکر و لو کثیره، أمّا الصنف الّذی لا یسکر منه فلا بأس به للأصل و غیره </w:t>
      </w:r>
      <w:r>
        <w:rPr>
          <w:rStyle w:val="FootnoteAnchor"/>
          <w:rtl w:val="true"/>
        </w:rPr>
        <w:footnoteReference w:id="66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مقتضی هذا الکلام انّ المحرّم و النجس من الفقّاع ما کان مسکراً ، و أمّا ما لایسکر منه، فلیس بحرام و لا نجس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قد ظهر لک أنّ الفقّاع لایسکر، و یظهر ذلک من المصنّف رحمه‌الله فی المعتبر أیضا حیث ذکر المسکرات فی عنوان والفقّاع فی عنوان آخر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یظهر ذلک منه أیضا هناک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إنّه لایخفی عدم دوران الحکم </w:t>
      </w:r>
    </w:p>
    <w:p>
      <w:pPr>
        <w:pStyle w:val="BookText"/>
        <w:rPr/>
      </w:pPr>
      <w:r>
        <w:rPr>
          <w:rFonts w:ascii="IRNazanin" w:hAnsi="IRNazanin" w:eastAsia="IRNazanin"/>
          <w:color w:val="111111"/>
          <w:sz w:val="28"/>
          <w:sz w:val="28"/>
          <w:szCs w:val="28"/>
          <w:rtl w:val="true"/>
          <w:lang w:bidi="fa-IR"/>
        </w:rPr>
        <w:t xml:space="preserve">نجاسة و حرمة علی الإسکار کما صرّح به بعضهم، و یعطیه ظاهر آخرین لإطلاق الأدلّة و ترک الإستفصال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سیّما بعد الإستفصال </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 xml:space="preserve">عنه بالنسبة للنبیذ، نعم لا یبعد کون ذلک منشأهما عند الشارع و لو بالکثیر منه فی بعض الأحوال </w:t>
      </w:r>
      <w:r>
        <w:rPr>
          <w:rStyle w:val="FootnoteAnchor"/>
          <w:rtl w:val="true"/>
        </w:rPr>
        <w:footnoteReference w:id="6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الوفاق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إنّ الفقّاع کما مرّ من المجمع </w:t>
      </w:r>
      <w:r>
        <w:rPr>
          <w:rStyle w:val="FootnoteAnchor"/>
          <w:rtl w:val="true"/>
        </w:rPr>
        <w:footnoteReference w:id="666"/>
      </w:r>
      <w:r>
        <w:rPr>
          <w:rFonts w:ascii="IRNazanin" w:hAnsi="IRNazanin" w:eastAsia="IRNazanin"/>
          <w:color w:val="111111"/>
          <w:sz w:val="28"/>
          <w:sz w:val="28"/>
          <w:szCs w:val="28"/>
          <w:rtl w:val="true"/>
          <w:lang w:bidi="fa-IR"/>
        </w:rPr>
        <w:t xml:space="preserve">، و حکی فی المعتبر عن أبی الهاشم الواسطیّ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الفقّاع نبیذ الشعیر، فإن نشّ فهو خمر </w:t>
      </w:r>
      <w:r>
        <w:rPr>
          <w:rStyle w:val="FootnoteAnchor"/>
          <w:rtl w:val="true"/>
        </w:rPr>
        <w:footnoteReference w:id="66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المشهور المعروف ، هو ما یؤخذ من ماء الشعیر، و هو المصرّح به فی کتاب بحر الجواهر أیضا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المدنیّات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شراب معمول من الشعیر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قال فی قانون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الفقّاع أصله المتّخذ من خبز الحواری، و نعنع، وکرفس، فإنّه لیس المتّخذ من الخبز المطبوخ کالمتّخذ من الخبز العجین القطیر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نفّاخ یولد أخلاطاً ردیئة الغذاء و مضرّته بأعضاء الحیوان أنّه بحیث إن نفع فیه العاج لینه فیسهل علیه العمل، والذی یتّخذ من الخبز الحواری والکرفس والنعنع جیدالکیموس موافق جدّا للمحرورین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المتّخذ منه من الحواری جیّد للمعدة الحارّة أعضاء المتّخذ بالشعیر یدرّ البول و یضرّ بالکلی والمثانة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بحر الجواهر انّه یعمل من ماء الزبیب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مقدادیّات الشهید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کان قدیماً یتّخذ من الشعیر غالباً و یضع </w:t>
      </w:r>
      <w:r>
        <w:rPr>
          <w:rStyle w:val="FootnoteAnchor"/>
          <w:rtl w:val="true"/>
        </w:rPr>
        <w:footnoteReference w:id="672"/>
      </w:r>
      <w:r>
        <w:rPr>
          <w:rFonts w:ascii="IRNazanin" w:hAnsi="IRNazanin" w:eastAsia="IRNazanin"/>
          <w:color w:val="111111"/>
          <w:sz w:val="28"/>
          <w:sz w:val="28"/>
          <w:szCs w:val="28"/>
          <w:rtl w:val="true"/>
          <w:lang w:bidi="fa-IR"/>
        </w:rPr>
        <w:t xml:space="preserve">حتّی یحصل فیه النشیش والقفران </w:t>
      </w:r>
      <w:r>
        <w:rPr>
          <w:rStyle w:val="FootnoteAnchor"/>
          <w:rtl w:val="true"/>
        </w:rPr>
        <w:footnoteReference w:id="673"/>
      </w:r>
      <w:r>
        <w:rPr>
          <w:rFonts w:ascii="IRNazanin" w:hAnsi="IRNazanin" w:eastAsia="IRNazanin"/>
          <w:color w:val="111111"/>
          <w:sz w:val="28"/>
          <w:sz w:val="28"/>
          <w:szCs w:val="28"/>
          <w:rtl w:val="true"/>
          <w:lang w:bidi="fa-IR"/>
        </w:rPr>
        <w:t xml:space="preserve">، و کأنّه الآن یتّخذ من الزبیب و تحصل فیه هاتان الخاصیّتان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تحفة المؤمنین انّه یؤخذ من میاه الحبوبات والفواکه،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فقّاع نوعی از زبیب است و مسکر نیست، و از أدویه مناسبه و آبهای حبوبات ومیوه‌ها ترتیب می‌دهند، و در هر بیست رطل از آبهایی که خواهند یک مثقال از هر یک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عود و فلفل و سنبل و قرنفل و سداب و کرفس و نعناع و مصطکی و قاقله وبرگ ترنج باید کرد </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سردترین همه فقّاع آن است که از شیره جو ترتیب دهند، و آن مدرّ بول ومرطب بدن، و جهت سرفه و امراض حارّه ریه نافع و مضرّ گرده و حجاب دماغ و أعصاب و مصلحش أدویة حارّة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آنچه از نان و مصطکی و سنبل و قاقله و طرخون ترتیب دهند کثیر الغذاء ومقوّی معده و أحشا و بی نفخ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گرم‌ترین أقسام او عسلی و خرمائی ومویزی است </w:t>
      </w:r>
      <w:r>
        <w:rPr>
          <w:rStyle w:val="FootnoteAnchor"/>
          <w:rtl w:val="true"/>
        </w:rPr>
        <w:footnoteReference w:id="67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فظهر لک ممّا مرّ انّ بعضاً من کلماتهم دلّ علی أنّ الفقّاع ما یؤخذ من ماء الشعیر، و بعضاً منها دلّ علی أنّه المتّخذ من خبز الحواری، و نعنع، و کرفس، و لعلّ المراد بالحواری المطبوخ و إن کان یؤخذ من الخبز الفطیر أیضا، و بعضها ممّا دلّ علی أنّه یؤخذ من میاه الفواکه والحبوب مطلقاً، ولکن جمیع ما مرّ مطبقة علی أنّ ما یؤخذ من ماء الشعیر هو الفقّاع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جامع المقاصد والروض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المتّخذ من ماء الشعیر، کما ذکره المرتضی فی الإنتصار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فالظاهر أنّ الفقّاع أو المراد به هنا ما یتّخذ من ماء الشعیر، و یکون الفرق بینه و بین المزر ما ستعرف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الحکم کذلک فیما یتّخذ من غیر ماء الشعیر و إن سمّی فقّاعاً، أم لا ؟ أمّا إذا قلنا بأنّ ما یؤخذ من غیر ماء الشعیر کان معروفاً مشهوراً فی ذلک الوقت بحیث لاینصرف الإطلاق إلی ما أخذ من ماء الشعیر بالخصوص، کان الحکم للجمیع، لأنّه یستکشف من ذلک کون اللفظ موضوعاً للقدر المشترک </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إذا کان المتّخذ من غیر ماء الشعیر ممّا لم یکن فی ذلک الزمان، بل إنّما تجدّد و حدث ، کما صرّح به فی مقدادیات الشهید رحمه‌الله و کتاب بحر الجواهر، </w:t>
      </w:r>
    </w:p>
    <w:p>
      <w:pPr>
        <w:pStyle w:val="BookText"/>
        <w:rPr/>
      </w:pPr>
      <w:r>
        <w:rPr>
          <w:rFonts w:ascii="IRNazanin" w:hAnsi="IRNazanin" w:eastAsia="IRNazanin"/>
          <w:color w:val="111111"/>
          <w:sz w:val="28"/>
          <w:sz w:val="28"/>
          <w:szCs w:val="28"/>
          <w:rtl w:val="true"/>
          <w:lang w:bidi="fa-IR"/>
        </w:rPr>
        <w:t xml:space="preserve">فالحکم مشکل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 قد یقال بالطهارة والحلّیة من أنّ الأخبار المصرّحة بالحرمة الدالّة علی النجاسة لا تشمل لمثل ذلک، لأنّ المفروض تجدّده، و عدم وجوده فی ذلک الوقت، بل لو فرضنا وجوده فی ذلک الوقت لکن قلیلاً جدّا بحیث قلّ إستعمال الفقّاع فیه، کان الحکم فیه أیضا ذلک، لأنّ الإطلاقات لا تنصرف لمثل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یقال بالنجاسة والحرمة من أنّ الإطلاق بالفعل یقتضی کون اللفظ فی السابق موضوعاً للقدر المشترک، و عدم وجود الفرد منه لا یقدح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والأوّل هو الأظهر، بل و کذلک الحال فی ما إذا شکّ فی وجوده فی الزمان السابق ، بل إصالة التأخّر تقتضی تأخّره و إستعلام حال الزمان السابق من‌الزمان اللاحق بأصالة عدم التغییر ونحو ذلک کما تری، فإنّ مثل هذا لایشخصّ الموضوعات و لا یصحّح الإطلاقات حتّی تترتّب علیها الأحکام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یتمسّک فی الألفاظ بأصالة عدم النقل و عدم التغییر، و هو غیر مقامنا هذا لأنّه إستدلال بأنّ الإستعمال المتأخّر و وضعه، عین الإستعمال المتقدّم و وضعه، وهذا عین إبقاء اللفظ و إثباته فی معناه، لا أنّه إثبات أمر یترتّب علیه معنی اللفظ، مع أنّ الکلام فیه أیضا جار والتمسّک بذلک الأصل فیه محلّ منع و إشکال </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قال فی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التمسّک فی وجوده سابقاً بوجوده لاحقاً راجع إلی الإستصحاب المعکوس کالتمسّک بصحّة الإطلاق لاحقاً فیه، و فی معلوم الحدوث أیضا علیه سابقاً، و أصالة الحقیقة منضمّة إلی أصالة عدم الإشتراک والنقل لا صلاحیّة لها فی إثبات ما نحن فیه، فتأمّل جدّاً </w:t>
      </w:r>
      <w:r>
        <w:rPr>
          <w:rStyle w:val="FootnoteAnchor"/>
          <w:rtl w:val="true"/>
        </w:rPr>
        <w:footnoteReference w:id="67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بناء علی ما قرّرناه لک یکون الفقّاع فی هذه الأعصار علی قسمین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یؤخذ من ماء الشعیر فهو حرام و نجس، و قسم یؤخذ من غیره و هو غیر معلوم الحال، والأصل یقتضی حلّیته و طهارته، فإذا شکّ الحال و لم یعلم کونه من الشعیر أو من غیره، فالظاهر کونه حلالاً لقوله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فیه حلال </w:t>
      </w:r>
      <w:r>
        <w:rPr>
          <w:rStyle w:val="FootnoteAnchor"/>
          <w:rtl w:val="true"/>
        </w:rPr>
        <w:footnoteReference w:id="678"/>
      </w:r>
      <w:r>
        <w:rPr>
          <w:rFonts w:ascii="IRNazanin" w:hAnsi="IRNazanin" w:eastAsia="IRNazanin"/>
          <w:color w:val="111111"/>
          <w:sz w:val="28"/>
          <w:sz w:val="28"/>
          <w:szCs w:val="28"/>
          <w:rtl w:val="true"/>
          <w:lang w:bidi="fa-IR"/>
        </w:rPr>
        <w:t xml:space="preserve">و حرام، فهو لک حلال حتّی تعرف الحرام بعینه فتدعه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فما فی جامع المقاصد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المراد به المتّخذ من ماء الشعیر، کما ذکره المرتضی رحمه‌الله فی الإنتصار، لکن ما یوجد فی أسواق أهل السنّة یحکم بنجاسته إذا لم یعلم أصله، عملاً بإطلاق التسمیة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المحکی عن الروض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بعد ما عرفت لا وجه لهذا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المحرّم من الفقّاع هل هو مطلقاً أو ما نشّ منه ؟ قد یظهر من ظاهر الإطلاق فی کلام جماعة و صریح بعض الأوّل، لکنّ الظاهر هو الثانی کما یظهر من المصنّف رحمه‌الله فی المعتبر حیث قال ناقلاً عن إبن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تحریمه من جهة نشیشه و من ضراوة إنائه إذا کرّر العمل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بعد إیراد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مائع حرام لنشیشه و غلیانه، و نقل عن أبیهاشم الواسطی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الفقّاع نبیذ الشعیر، فإن نشّ فهو خمر </w:t>
      </w:r>
      <w:r>
        <w:rPr>
          <w:rStyle w:val="FootnoteAnchor"/>
          <w:rtl w:val="true"/>
        </w:rPr>
        <w:footnoteReference w:id="68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عن مقدادیات الشهید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قدیماً یتّخذ من الشعیر غالباً و یضع حتّی یحصل فیه النشیش والقفران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المحکی عن غیر واحد </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أن یجعل الإطلاق فی الأخبار والفتاوی محمولاً علی ما هو المتعارف من الفقّاع، و هو ما یکون مع النشیش والغلیان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هذا، مضافاً إلی الأصل، الصحیح المرویّ فی التهذیب فی باب الذبائح والأطعمة ، و فی الإستبصار فی باب تحریم شرب الفقّاع ، باسناده عن إبن أبی عمیر، عن مُرازِم ـ الّذی صرّح بوثاقته فی رجال النجاشی، و فی رجال الطوسی رحمه‌الله فی باب أصحاب الصادق علیه‌السلام ، وباب أصحاب الکاظم علیه‌السلام </w:t>
      </w:r>
      <w:r>
        <w:rPr>
          <w:rStyle w:val="FootnoteAnchor"/>
          <w:rtl w:val="true"/>
        </w:rPr>
        <w:footnoteReference w:id="68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یعمل لأبی الحسن علیه‌السلام الفقّاع فی منزله، قال محمّد بن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أحمد، یعنی إبن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یعمل فقّاع یغلی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والخبر المرویّ فی التهذیب والإستبصار، عن الحسین بن سعید، عن عثمان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عبداللّه بن محمّد الرازی إلی أبی جعفر الثانی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رأیت أن تفسّر لی الفقّاع فإنّه قد اشتبه علینا، أَمکروه هو بعد غلیانه أم قبله ؟ فکتب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لاتقرب الفقّاع إلاّ ما لم یضرّ آنیته أو کان جدیدا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فأعاد الکتاب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کتبت أسأله عن الفقّاع ما لم یغل فأتانی أن أشربه ما کان فی إناء جدید أو غیر ضارّ، </w:t>
      </w:r>
    </w:p>
    <w:p>
      <w:pPr>
        <w:pStyle w:val="BookText"/>
        <w:rPr/>
      </w:pPr>
      <w:r>
        <w:rPr>
          <w:rFonts w:ascii="IRNazanin" w:hAnsi="IRNazanin" w:eastAsia="IRNazanin"/>
          <w:color w:val="111111"/>
          <w:sz w:val="28"/>
          <w:sz w:val="28"/>
          <w:szCs w:val="28"/>
          <w:rtl w:val="true"/>
          <w:lang w:bidi="fa-IR"/>
        </w:rPr>
        <w:t xml:space="preserve">ولم أعرف حدّ الضرارة والجدید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أن یفسّر ذلک له، و هل یجوز شرب ما یعمل فی الغضارة، والزجاج، والخشب، و نحوه فی الأوانی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یفعل الفقّاع فی الزجاج، و فی الفخار الجدید إلی قدر ثلاث عملات، ثمّ لاتعد منه بعد ثلاث عملات إلاّ فی إناء جدید، والخشب مثل ذلک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هذا الخبر مع عدم إتضاحه، إنّما یدلّ علی حلّیته ما لم یغل منه فی الجملة،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کتبت إلیه أسأله عن الفقّاع ما لم یغل، فأتانی أن اشربه ما کان فی إناء جدید أو غیر ضار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بناء علی ذلک، و کون المحرّم النجس هو ما نشّ منه و غلی، فهل لو شکّ فی أنّه من القسم النشیشی أو الآخر، فهل یجب الإحتراز أم لا ؟ الظّاهر الثّانی کما مرّ فی نظیره،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یدلّ علیه أیضا الصحیح المرویّ فی التهذیب والاستبصار، فی البابین المذکورین، عن علیّ بن یقطین، عن أبی الحسن الماضی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شرب الفقّاع الّذی یعمل فی السوق و یباع، و لا أدری کیف عمل و لا متی عمل، أیحلّ لی أن أشربه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أحبّه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ظاهره الکراهة دون الحرمة، مضافاً إلی ما قیل من أصالة حمل فعل المسلم علی الصحّة، فحینئذٍ لا یکفی إطلاق إسم الفقّاع مع عدم العلم بکونه نشیشاً، فکیف إذا علم بعد کونه نشیشاً کما فی الفرع السابق من لزوم العلم بکونه من الشعیر، فلا یکفی الإطلاق أیضا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فما فی المسالک فی باب الأطعمة </w:t>
      </w:r>
      <w:r>
        <w:rPr>
          <w:rStyle w:val="FootnoteAnchor"/>
          <w:rtl w:val="true"/>
        </w:rPr>
        <w:footnoteReference w:id="689"/>
      </w:r>
      <w:r>
        <w:rPr>
          <w:rFonts w:ascii="IRNazanin" w:hAnsi="IRNazanin" w:eastAsia="IRNazanin"/>
          <w:color w:val="111111"/>
          <w:sz w:val="28"/>
          <w:sz w:val="28"/>
          <w:szCs w:val="28"/>
          <w:rtl w:val="true"/>
          <w:lang w:bidi="fa-IR"/>
        </w:rPr>
        <w:t xml:space="preserve">، من أنّ الحکم معلّق علی ما یطلق علیه إسم الفقّاع عرفاً مع الجهل بأصله، أو وجود خاصیّته، و هی النشیش، و هو المعبّر عنه بالغلیان، محلّ نظر و تأمّل، بل محلّ 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الظاهر أنّ النشیش غیر الغلیان ، فإنّ الظاهر من النشیش والقفران هو ما یضرّ بنفسه بهیئة الشیء المغلی بالنار لکثرة مکثه و بقائه، لکن فی الخبرین التعبیر بالغلیان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قد یشکل الحال فی ماء الشعیر الّذی یستعمله الأطبّاء، لثبوت الغلیان فیه، لکن لم أر أحدا إستشکل فی ذلک مع أنّ فی العرف لایسمّی مثل هذا فقّاعاً قطعاً، بل السیرة علی جوازه و إستعماله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فلعلّ الفقّاع قسم خاصّ یعمل علی جهة خاصّة، و لم یتحقّق لی إلی الساعة موضوعه تمام التحقّق، و لا عرف محقّق عندنا، إذ هو غیر معمول فی بلاد الشیعة ظاهراً، فلعلّه فی بلاد العامّة شائع، و لابدّ من الإحتیاط قبل تحقّق الحال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إذا کان عندنا عرف، أو عند العامّة عرف معلوم، ینبغی الإتّکال فی معناه علی العرف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الحوالة علی العرف، مع ما علم یقیناً من أنّ العرف الّذی علیه الناس مختلف باختلاف البلدان والأقطار، فکلّ قطر لهم عرف و إصطلاح لیس لغیرهم من سائر الأقطار، و من المعلوم أنّ الأحکام الشرعیّة مضبوطة معیّنة، فکیف تناط بما هو مختلف متعدّد ؟ مضافاً ذلک إلی أن تتبع جمیع الأقطار </w:t>
      </w:r>
      <w:bookmarkStart w:id="287" w:name="pg3696_43479"/>
    </w:p>
    <w:p>
      <w:pPr>
        <w:pStyle w:val="BookText"/>
        <w:rPr/>
      </w:pPr>
      <w:bookmarkEnd w:id="287"/>
      <w:r>
        <w:rPr>
          <w:rFonts w:ascii="IRNazanin" w:hAnsi="IRNazanin" w:eastAsia="IRNazanin"/>
          <w:color w:val="111111"/>
          <w:sz w:val="28"/>
          <w:sz w:val="28"/>
          <w:szCs w:val="28"/>
          <w:rtl w:val="true"/>
          <w:lang w:bidi="fa-IR"/>
        </w:rPr>
        <w:t xml:space="preserve">فی الاطّلاع علی ذلک العرف أمر عسیر بل متعذّر کما لا یخفی </w:t>
      </w:r>
      <w:r>
        <w:rPr>
          <w:rStyle w:val="FootnoteAnchor"/>
          <w:rtl w:val="true"/>
        </w:rPr>
        <w:footnoteReference w:id="69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تری، فإنّ الرجوع إلی العرف لم یزل و لا یزال دیدنهم فی جمیع المقامات، کیف و إنّ کثیراً من مباحث الألفاظ إنّما لم یتمّ إلاّ بالرجوع إلی العرف، و اختلاف العرف غیر معلوم، والغالب معلومیّة الإتّفاق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المدار علی عرف یتکلّم به الإمام علیه‌السلام ، والعبرة بعرف بلده، أو عرف بلد السائل، أو نحو ذلک، لهم فیها کلام فی محلّه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قال من أنّ الإجماع بالعرف العامّ لا یحصل إلاّ بالتتبع التامّ فی جمیع الأقطار، غیر مسلّم کما فی الإجماع، فإنّ التفحّص فی أحوال بعض یغنی عن تفحّص أحوال الباقین، فتأمّل </w:t>
      </w:r>
      <w:r>
        <w:rPr>
          <w:rFonts w:eastAsia="IRNazanin" w:cs="IRNazanin"/>
          <w:color w:val="111111"/>
          <w:sz w:val="28"/>
          <w:szCs w:val="28"/>
          <w:rtl w:val="true"/>
          <w:lang w:bidi="fa-IR"/>
        </w:rPr>
        <w:t>!</w:t>
      </w:r>
    </w:p>
    <w:p>
      <w:pPr>
        <w:pStyle w:val="Heading6"/>
        <w:numPr>
          <w:ilvl w:val="5"/>
          <w:numId w:val="1"/>
        </w:numPr>
        <w:rPr/>
      </w:pPr>
      <w:bookmarkStart w:id="288" w:name="__RefHeading___Toc488433_2281741623"/>
      <w:bookmarkStart w:id="289" w:name="_Toc110"/>
      <w:bookmarkEnd w:id="288"/>
      <w:r>
        <w:rPr/>
        <w:t>2</w:t>
      </w:r>
      <w:r>
        <w:rPr>
          <w:rtl w:val="true"/>
        </w:rPr>
        <w:t xml:space="preserve"> </w:t>
      </w:r>
      <w:r>
        <w:rPr>
          <w:rtl w:val="true"/>
        </w:rPr>
        <w:t>ـ بیان ماهیّة الخَمْر</w:t>
      </w:r>
      <w:bookmarkEnd w:id="289"/>
    </w:p>
    <w:p>
      <w:pPr>
        <w:pStyle w:val="BookText"/>
        <w:rPr/>
      </w:pPr>
      <w:r>
        <w:rPr>
          <w:rFonts w:ascii="IRNazanin" w:hAnsi="IRNazanin" w:eastAsia="IRNazanin"/>
          <w:color w:val="111111"/>
          <w:sz w:val="28"/>
          <w:sz w:val="28"/>
          <w:szCs w:val="28"/>
          <w:rtl w:val="true"/>
          <w:lang w:bidi="fa-IR"/>
        </w:rPr>
        <w:t xml:space="preserve">و أمّا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حالها، و ماهیّتها، و طریق أعمالها عند العارف بها، و هی فی العرف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العنب إذا أسکر ؛ و کذا فی اللغة ؛ و ما یظهر من ظاهر القاموس الإطلاق علی کلّ ما یخمر العقل کما تری، لأنّها حرمت و ما بالمدینة خمر عنب، کما عرفت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بحر الجواهر فی لغات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بالفتح، هو نیّ من ماء العنب إذا غلی واشتدّ و قذف بالزبد </w:t>
      </w:r>
      <w:r>
        <w:rPr>
          <w:rStyle w:val="FootnoteAnchor"/>
          <w:rtl w:val="true"/>
        </w:rPr>
        <w:footnoteReference w:id="69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تحفة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آن در شرع ما یخمّر العقل است، یعنی آنچه عقل را بپوشاند، و در عرف از مطلق او شراب انگوری مراد است که آب </w:t>
      </w:r>
      <w:bookmarkStart w:id="290" w:name="pg3696_43480"/>
    </w:p>
    <w:p>
      <w:pPr>
        <w:pStyle w:val="BookText"/>
        <w:rPr/>
      </w:pPr>
      <w:bookmarkEnd w:id="290"/>
      <w:r>
        <w:rPr>
          <w:rFonts w:ascii="IRNazanin" w:hAnsi="IRNazanin" w:eastAsia="IRNazanin"/>
          <w:color w:val="111111"/>
          <w:sz w:val="28"/>
          <w:sz w:val="28"/>
          <w:szCs w:val="28"/>
          <w:rtl w:val="true"/>
          <w:lang w:bidi="fa-IR"/>
        </w:rPr>
        <w:t xml:space="preserve">انگور صاف را در خم درون بزفت اندوده کرده مدّتی در آفتاب و بعد از آن در سایه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انگور را نبیذ نامند و اصناف آن بحسب افعال زیاده بر ششصد قسم </w:t>
      </w:r>
      <w:r>
        <w:rPr>
          <w:rStyle w:val="FootnoteAnchor"/>
          <w:rtl w:val="true"/>
        </w:rPr>
        <w:footnoteReference w:id="693"/>
      </w:r>
      <w:r>
        <w:rPr>
          <w:rFonts w:ascii="IRNazanin" w:hAnsi="IRNazanin" w:eastAsia="IRNazanin"/>
          <w:color w:val="111111"/>
          <w:sz w:val="28"/>
          <w:sz w:val="28"/>
          <w:szCs w:val="28"/>
          <w:rtl w:val="true"/>
          <w:lang w:bidi="fa-IR"/>
        </w:rPr>
        <w:t xml:space="preserve">می‌شود، و چون خردل داخل کنند بدون جوشانیدن خمیر می‌شود و شیرین می‌باشد، و با زعفران باعث شدّت سرور و تقویت جگر و دل می‌شود، و چون با دانه انگور باشد قابض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ریحانی آنست که خم را بعد از اندودن بزفت و یا بقیر و موم بعود و کشته بخور کنند </w:t>
      </w:r>
      <w:r>
        <w:rPr>
          <w:rStyle w:val="FootnoteAnchor"/>
          <w:rtl w:val="true"/>
        </w:rPr>
        <w:footnoteReference w:id="694"/>
      </w:r>
      <w:r>
        <w:rPr>
          <w:rFonts w:ascii="IRNazanin" w:hAnsi="IRNazanin" w:eastAsia="IRNazanin"/>
          <w:color w:val="111111"/>
          <w:sz w:val="28"/>
          <w:sz w:val="28"/>
          <w:szCs w:val="28"/>
          <w:rtl w:val="true"/>
          <w:lang w:bidi="fa-IR"/>
        </w:rPr>
        <w:t xml:space="preserve">و با آب انگور مورد و مصطکی و به شیرین و سیب به قدری اندازند ، و بعد از آفتاب گذاشتن ظرف آن را در زمین دفن کنند ، و آنچه بر او شش ماه نگذشته باشد مسکار </w:t>
      </w:r>
      <w:r>
        <w:rPr>
          <w:rStyle w:val="FootnoteAnchor"/>
          <w:rtl w:val="true"/>
        </w:rPr>
        <w:footnoteReference w:id="695"/>
      </w:r>
      <w:r>
        <w:rPr>
          <w:rFonts w:ascii="IRNazanin" w:hAnsi="IRNazanin" w:eastAsia="IRNazanin"/>
          <w:color w:val="111111"/>
          <w:sz w:val="28"/>
          <w:sz w:val="28"/>
          <w:szCs w:val="28"/>
          <w:rtl w:val="true"/>
          <w:lang w:bidi="fa-IR"/>
        </w:rPr>
        <w:t xml:space="preserve">نامند، و بفارسی ولایتی </w:t>
      </w:r>
      <w:r>
        <w:rPr>
          <w:rStyle w:val="FootnoteAnchor"/>
          <w:rtl w:val="true"/>
        </w:rPr>
        <w:footnoteReference w:id="696"/>
      </w:r>
      <w:r>
        <w:rPr>
          <w:rFonts w:ascii="IRNazanin" w:hAnsi="IRNazanin" w:eastAsia="IRNazanin"/>
          <w:color w:val="111111"/>
          <w:sz w:val="28"/>
          <w:sz w:val="28"/>
          <w:szCs w:val="28"/>
          <w:rtl w:val="true"/>
          <w:lang w:bidi="fa-IR"/>
        </w:rPr>
        <w:t xml:space="preserve">گویند </w:t>
      </w:r>
      <w:r>
        <w:rPr>
          <w:rStyle w:val="FootnoteAnchor"/>
          <w:rtl w:val="true"/>
        </w:rPr>
        <w:footnoteReference w:id="697"/>
      </w:r>
      <w:r>
        <w:rPr>
          <w:rFonts w:ascii="IRNazanin" w:hAnsi="IRNazanin" w:eastAsia="IRNazanin"/>
          <w:color w:val="111111"/>
          <w:sz w:val="28"/>
          <w:sz w:val="28"/>
          <w:szCs w:val="28"/>
          <w:rtl w:val="true"/>
          <w:lang w:bidi="fa-IR"/>
        </w:rPr>
        <w:t xml:space="preserve">؛ إلی آخر ما ذکره </w:t>
      </w:r>
      <w:r>
        <w:rPr>
          <w:rFonts w:eastAsia="IRNazanin" w:cs="IRNazanin"/>
          <w:color w:val="111111"/>
          <w:sz w:val="28"/>
          <w:szCs w:val="28"/>
          <w:rtl w:val="true"/>
          <w:lang w:bidi="fa-IR"/>
        </w:rPr>
        <w:t>.</w:t>
      </w:r>
    </w:p>
    <w:p>
      <w:pPr>
        <w:pStyle w:val="Heading6"/>
        <w:numPr>
          <w:ilvl w:val="5"/>
          <w:numId w:val="1"/>
        </w:numPr>
        <w:rPr/>
      </w:pPr>
      <w:bookmarkStart w:id="291" w:name="__RefHeading___Toc488435_2281741623"/>
      <w:bookmarkStart w:id="292" w:name="_Toc111"/>
      <w:bookmarkEnd w:id="291"/>
      <w:r>
        <w:rPr/>
        <w:t>3</w:t>
      </w:r>
      <w:r>
        <w:rPr>
          <w:rtl w:val="true"/>
        </w:rPr>
        <w:t xml:space="preserve"> </w:t>
      </w:r>
      <w:r>
        <w:rPr>
          <w:rtl w:val="true"/>
        </w:rPr>
        <w:t>ـ بیان ماهیّة النَبِیذ</w:t>
      </w:r>
      <w:bookmarkEnd w:id="29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فکما یظهر من الأخبار و غیرها أنّه الشراب المتّخذ من التمر ؛ فمن ذلک صحیحة عبدالرحمان بن الحجّاج، عن الصادق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والنقیع من الزبیب، والبتع من العسل، والمزر من الشعیر، والنبیذ من التمر </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نحوه روایة علیّ بن إسحاق الهاشمیّ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یطلق علی ذلک الخمر، کما یطلق علی الخمر النبیذ، بل یظهر من القاموس والمصباح المنیر أنّ النبیذ أعمّ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النبیذ ، الملقی و ما نبذ من عصیر و نحوه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نبذته نبذاً 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ألقیته، فهو منبوذ، و صبی منبوذ مطروح و منه سمّی النبیذ لأنّه ینبذ، أی یترک حتّی یشتدّ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 کذلک فی بحر الجواهر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هو ما یعمل من الأشربة من التمر والزبیب والعسل، إذا ترکت علیه الماء لیصیر نبیذاً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تحفة الطب أنّ النبیذ إسم للمائع من المسکرات سوی الخمر،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إسم عربی جمیع مسکر مایع است بغیر خمر و هر یک بنامی مخصوص‌اند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اقسام او از مویز و خرما و دوشاب و شکر و جو و برنج و ذرّة و ارزن و سنجد و امثال آن ساخته می‌شود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طریق عمل آن نزد متقدمین آنست که هر چه از مویز و خرما وسنجد و اثمار یابسه باشد انجیر را در ده مثل آن آب یکشبانه روز خیسانده بجوشانند تا به نصف رسد، پس صاف آن را بجوشانند تا ثلث او بسوزد و بعد از آن در ظرف کرده سَرِ آن را محکم نموده تا پنج شش ماه بگذارند </w:t>
      </w:r>
      <w:r>
        <w:rPr>
          <w:rFonts w:eastAsia="IRNazanin" w:cs="IRNazanin"/>
          <w:color w:val="111111"/>
          <w:sz w:val="28"/>
          <w:szCs w:val="28"/>
          <w:rtl w:val="true"/>
          <w:lang w:bidi="fa-IR"/>
        </w:rPr>
        <w:t xml:space="preserve">. </w:t>
      </w:r>
      <w:bookmarkStart w:id="293" w:name="pg3696_43482"/>
    </w:p>
    <w:p>
      <w:pPr>
        <w:pStyle w:val="BookText"/>
        <w:rPr/>
      </w:pPr>
      <w:bookmarkEnd w:id="293"/>
      <w:r>
        <w:rPr>
          <w:rFonts w:ascii="IRNazanin" w:hAnsi="IRNazanin" w:eastAsia="IRNazanin"/>
          <w:color w:val="111111"/>
          <w:sz w:val="28"/>
          <w:sz w:val="28"/>
          <w:szCs w:val="28"/>
          <w:rtl w:val="true"/>
          <w:lang w:bidi="fa-IR"/>
        </w:rPr>
        <w:t xml:space="preserve">و نزد متأخرین آب پنج مثل آن و جوشانیدن بقدر نصف است و هر چه از حبوب سازند باید آنقدر بجوشانند که با آب یکسان گردد و با سه مثل آن شیرینی که خواهند ، مثل عسل و شکر و مانند آن ، آمیخته بعد از یک هفته صاف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به جهت تقویت و اصلاح آن از مفرّحات و مقوّیات مانند جوز بوّاودارِ چینی و زعفران و عود و غیره، از هر یک پنج درهم به إزای هر ده رطل در پارچه بسته، از اوّل جوشانیدن تا آخرِ صاف کردن آن اضافه می‌نمایند، و هر چه از عسل و شکر و امثال آن ترتیب دهند باید با سه مثل آن آب بجوشانند تا ثلث یا نصف آن بسوزد، و هر چه از آب نیشکر و امثال او باشد بدون آب بجوشانند تا ثلث بسوزد، و بدستور جهت تقویت آن اگر خواهند به دستور مذکور به ادویه مناسبه اضافه کنند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94" w:name="__RefHeading___Toc488437_2281741623"/>
      <w:bookmarkStart w:id="295" w:name="_Toc112"/>
      <w:bookmarkEnd w:id="294"/>
      <w:r>
        <w:rPr/>
        <w:t>4</w:t>
      </w:r>
      <w:r>
        <w:rPr>
          <w:rtl w:val="true"/>
        </w:rPr>
        <w:t xml:space="preserve"> </w:t>
      </w:r>
      <w:r>
        <w:rPr>
          <w:rtl w:val="true"/>
        </w:rPr>
        <w:t>ـ بیان ماهیّة النَقِیع</w:t>
      </w:r>
      <w:bookmarkEnd w:id="295"/>
    </w:p>
    <w:p>
      <w:pPr>
        <w:pStyle w:val="BookText"/>
        <w:rPr/>
      </w:pPr>
      <w:r>
        <w:rPr>
          <w:rFonts w:ascii="IRNazanin" w:hAnsi="IRNazanin" w:eastAsia="IRNazanin"/>
          <w:color w:val="111111"/>
          <w:sz w:val="28"/>
          <w:sz w:val="28"/>
          <w:szCs w:val="28"/>
          <w:rtl w:val="true"/>
          <w:lang w:bidi="fa-IR"/>
        </w:rPr>
        <w:t xml:space="preserve">و أمّا النَقِیع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المفتوحة، والقاف والیاء المثناة التحتانیة، والعین المهملة، فهو کما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یتّخذ من الزبیب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البئر الکثیر الماء، 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أنقعة، و شراب من زبیب أو کلّ ما ینقع تمراً أو زبیباً أو غیرها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یطلق النقیع علی الشراب المتّخذ من ذلک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نقیع التمر والزبیب و غیره إذا ترک فی الماء حتّی ینتقع من غیر طبخ ، و جاز أیضا </w:t>
      </w:r>
      <w:bookmarkStart w:id="296" w:name="pg3696_43483"/>
    </w:p>
    <w:p>
      <w:pPr>
        <w:pStyle w:val="BookText"/>
        <w:rPr/>
      </w:pPr>
      <w:bookmarkEnd w:id="296"/>
      <w:r>
        <w:rPr>
          <w:rFonts w:ascii="IRNazanin" w:hAnsi="IRNazanin" w:eastAsia="IRNazanin"/>
          <w:color w:val="111111"/>
          <w:sz w:val="28"/>
          <w:sz w:val="28"/>
          <w:szCs w:val="28"/>
          <w:rtl w:val="true"/>
          <w:lang w:bidi="fa-IR"/>
        </w:rPr>
        <w:t xml:space="preserve">فهو منتقع علی الأصل </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نقیع شرابی که از مویز یا خرما کنند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فیظهر من هذا أنّه یطلق علی النبیذ أیضا، لکن الظاهر أنّه لابدّ من الإضافة حینئذ إلی التمر، و یظهر من بعض من تقدّم فی النبیذ إطلاق النبیذ علیه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تحفة الطب مضافاً إلی ما تقدّم منه جعله من أقسام النبیذ،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بفارسی مویزاب نامند، در دوّم گرم و در اوّل تر و مولّد خون متین و مفتح سدد </w:t>
      </w:r>
      <w:r>
        <w:rPr>
          <w:rStyle w:val="FootnoteAnchor"/>
          <w:rtl w:val="true"/>
        </w:rPr>
        <w:footnoteReference w:id="709"/>
      </w:r>
      <w:r>
        <w:rPr>
          <w:rFonts w:ascii="IRNazanin" w:hAnsi="IRNazanin" w:eastAsia="IRNazanin"/>
          <w:color w:val="111111"/>
          <w:sz w:val="28"/>
          <w:sz w:val="28"/>
          <w:szCs w:val="28"/>
          <w:rtl w:val="true"/>
          <w:lang w:bidi="fa-IR"/>
        </w:rPr>
        <w:t xml:space="preserve">، إلی آخر ما ذکره </w:t>
      </w:r>
      <w:r>
        <w:rPr>
          <w:rFonts w:eastAsia="IRNazanin" w:cs="IRNazanin"/>
          <w:color w:val="111111"/>
          <w:sz w:val="28"/>
          <w:szCs w:val="28"/>
          <w:rtl w:val="true"/>
          <w:lang w:bidi="fa-IR"/>
        </w:rPr>
        <w:t>.</w:t>
      </w:r>
    </w:p>
    <w:p>
      <w:pPr>
        <w:pStyle w:val="Heading6"/>
        <w:numPr>
          <w:ilvl w:val="5"/>
          <w:numId w:val="1"/>
        </w:numPr>
        <w:rPr/>
      </w:pPr>
      <w:bookmarkStart w:id="297" w:name="__RefHeading___Toc488439_2281741623"/>
      <w:bookmarkStart w:id="298" w:name="_Toc113"/>
      <w:bookmarkEnd w:id="297"/>
      <w:r>
        <w:rPr/>
        <w:t>5</w:t>
      </w:r>
      <w:r>
        <w:rPr>
          <w:rtl w:val="true"/>
        </w:rPr>
        <w:t xml:space="preserve"> </w:t>
      </w:r>
      <w:r>
        <w:rPr>
          <w:rtl w:val="true"/>
        </w:rPr>
        <w:t>ـ بیان ماهیّة البِتَْع</w:t>
      </w:r>
      <w:bookmarkEnd w:id="298"/>
    </w:p>
    <w:p>
      <w:pPr>
        <w:pStyle w:val="BookText"/>
        <w:rPr/>
      </w:pPr>
      <w:r>
        <w:rPr>
          <w:rFonts w:ascii="IRNazanin" w:hAnsi="IRNazanin" w:eastAsia="IRNazanin"/>
          <w:color w:val="111111"/>
          <w:sz w:val="28"/>
          <w:sz w:val="28"/>
          <w:szCs w:val="28"/>
          <w:rtl w:val="true"/>
          <w:lang w:bidi="fa-IR"/>
        </w:rPr>
        <w:t xml:space="preserve">و أمّا البِتَْع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بالباء الموحدة التحتانیة المکسورة، والتاء المثناة الفوقانیة الساکنة أو المفتوحة کعِنَب، فهو کما فی الأخبار ما یتّخذ من العسل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بالکسر ، و کعنب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العسل المشتد ، أو سلالة العنب، أو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کشجر و 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مسکر یتّخذ من العسل بالیمن، یقال له بالترکیة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تحفة الطب جعله من أقسام النبیذ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عسلی است </w:t>
      </w:r>
      <w:bookmarkStart w:id="299" w:name="pg3696_43484"/>
    </w:p>
    <w:p>
      <w:pPr>
        <w:pStyle w:val="BookText"/>
        <w:rPr/>
      </w:pPr>
      <w:bookmarkEnd w:id="299"/>
      <w:r>
        <w:rPr>
          <w:rFonts w:ascii="IRNazanin" w:hAnsi="IRNazanin" w:eastAsia="IRNazanin"/>
          <w:color w:val="111111"/>
          <w:sz w:val="28"/>
          <w:sz w:val="28"/>
          <w:szCs w:val="28"/>
          <w:rtl w:val="true"/>
          <w:lang w:bidi="fa-IR"/>
        </w:rPr>
        <w:t xml:space="preserve">در سیّم گرم و در دوّم خشک </w:t>
      </w:r>
      <w:r>
        <w:rPr>
          <w:rStyle w:val="FootnoteAnchor"/>
          <w:rtl w:val="true"/>
        </w:rPr>
        <w:footnoteReference w:id="712"/>
      </w:r>
      <w:r>
        <w:rPr>
          <w:rFonts w:ascii="IRNazanin" w:hAnsi="IRNazanin" w:eastAsia="IRNazanin"/>
          <w:color w:val="111111"/>
          <w:sz w:val="28"/>
          <w:sz w:val="28"/>
          <w:szCs w:val="28"/>
          <w:rtl w:val="true"/>
          <w:lang w:bidi="fa-IR"/>
        </w:rPr>
        <w:t xml:space="preserve">، إلی آخر ما ذکره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فی مجمع البحرین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بکسر الموحدة، و إسکان الفوقانیة، و بالمهملة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العسل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0" w:name="__RefHeading___Toc488441_2281741623"/>
      <w:bookmarkStart w:id="301" w:name="_Toc114"/>
      <w:bookmarkEnd w:id="300"/>
      <w:r>
        <w:rPr/>
        <w:t>6</w:t>
      </w:r>
      <w:r>
        <w:rPr>
          <w:rtl w:val="true"/>
        </w:rPr>
        <w:t xml:space="preserve"> </w:t>
      </w:r>
      <w:r>
        <w:rPr>
          <w:rtl w:val="true"/>
        </w:rPr>
        <w:t>ـ بیان ماهیّة المِزْر</w:t>
      </w:r>
      <w:bookmarkEnd w:id="301"/>
    </w:p>
    <w:p>
      <w:pPr>
        <w:pStyle w:val="BookText"/>
        <w:rPr/>
      </w:pPr>
      <w:r>
        <w:rPr>
          <w:rFonts w:ascii="IRNazanin" w:hAnsi="IRNazanin" w:eastAsia="IRNazanin"/>
          <w:color w:val="111111"/>
          <w:sz w:val="28"/>
          <w:sz w:val="28"/>
          <w:szCs w:val="28"/>
          <w:rtl w:val="true"/>
          <w:lang w:bidi="fa-IR"/>
        </w:rPr>
        <w:t xml:space="preserve">و أمّا المِزْر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المیم ، و سکون الزاء المعجمة، و بعدها راء مهملة ، فهو کما فی خبر عبدالرّحمن بن الحجّاج ما یتّخذ من الشعیر، 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نبیذ الذرّة و الشعیر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المزر بالکسر والزاء المعجمة ثمّ الراء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یتّخذ من الذرة،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الشعیر أو الحنطة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أبوعبیدة أنّ إبن عمر قد فسر الأنبذة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العسل ، والجعة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الشعیر ، والمزر من الذرة ، و السکر من التمر ، و الخمر من العنب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مِزر بالکسر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الذرة ،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یتّخذ من الحنطة أو الشعیر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تحفة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الأرز بفارسی بوزه نامند، و در مصر مزر گویند، </w:t>
      </w:r>
      <w:bookmarkStart w:id="302" w:name="pg3696_43485"/>
    </w:p>
    <w:p>
      <w:pPr>
        <w:pStyle w:val="BookText"/>
        <w:rPr/>
      </w:pPr>
      <w:bookmarkEnd w:id="302"/>
      <w:r>
        <w:rPr>
          <w:rFonts w:ascii="IRNazanin" w:hAnsi="IRNazanin" w:eastAsia="IRNazanin"/>
          <w:color w:val="111111"/>
          <w:sz w:val="28"/>
          <w:sz w:val="28"/>
          <w:szCs w:val="28"/>
          <w:rtl w:val="true"/>
          <w:lang w:bidi="fa-IR"/>
        </w:rPr>
        <w:t xml:space="preserve">و آن شامل نبیذ ذرة و ارزن و جو و گندم و سایر حبوبات است </w:t>
      </w:r>
      <w:r>
        <w:rPr>
          <w:rStyle w:val="FootnoteAnchor"/>
          <w:rtl w:val="true"/>
        </w:rPr>
        <w:footnoteReference w:id="719"/>
      </w:r>
      <w:r>
        <w:rPr>
          <w:rFonts w:ascii="IRNazanin" w:hAnsi="IRNazanin" w:eastAsia="IRNazanin"/>
          <w:color w:val="111111"/>
          <w:sz w:val="28"/>
          <w:sz w:val="28"/>
          <w:szCs w:val="28"/>
          <w:rtl w:val="true"/>
          <w:lang w:bidi="fa-IR"/>
        </w:rPr>
        <w:t xml:space="preserve">، إلی آخر کلامه و قد ذکر طریق عمله </w:t>
      </w:r>
      <w:r>
        <w:rPr>
          <w:rFonts w:eastAsia="IRNazanin" w:cs="IRNazanin"/>
          <w:color w:val="111111"/>
          <w:sz w:val="28"/>
          <w:szCs w:val="28"/>
          <w:rtl w:val="true"/>
          <w:lang w:bidi="fa-IR"/>
        </w:rPr>
        <w:t>.</w:t>
      </w:r>
    </w:p>
    <w:p>
      <w:pPr>
        <w:pStyle w:val="Heading6"/>
        <w:numPr>
          <w:ilvl w:val="5"/>
          <w:numId w:val="1"/>
        </w:numPr>
        <w:rPr/>
      </w:pPr>
      <w:bookmarkStart w:id="303" w:name="__RefHeading___Toc488443_2281741623"/>
      <w:bookmarkStart w:id="304" w:name="_Toc115"/>
      <w:bookmarkEnd w:id="303"/>
      <w:r>
        <w:rPr/>
        <w:t>7</w:t>
      </w:r>
      <w:r>
        <w:rPr>
          <w:rtl w:val="true"/>
        </w:rPr>
        <w:t xml:space="preserve"> </w:t>
      </w:r>
      <w:r>
        <w:rPr>
          <w:rtl w:val="true"/>
        </w:rPr>
        <w:t>ـ بیان ماهیّة الجِعَة</w:t>
      </w:r>
      <w:bookmarkEnd w:id="304"/>
    </w:p>
    <w:p>
      <w:pPr>
        <w:pStyle w:val="BookText"/>
        <w:rPr/>
      </w:pPr>
      <w:r>
        <w:rPr>
          <w:rFonts w:ascii="IRNazanin" w:hAnsi="IRNazanin" w:eastAsia="IRNazanin"/>
          <w:color w:val="111111"/>
          <w:sz w:val="28"/>
          <w:sz w:val="28"/>
          <w:szCs w:val="28"/>
          <w:rtl w:val="true"/>
          <w:lang w:bidi="fa-IR"/>
        </w:rPr>
        <w:t xml:space="preserve">و أمّا الجِعَة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والعین المهملة والتاء بعدها کعِدَة فقد اشتمل کلام أبیعبیدة السابق علیه و هو نبیذ الشعیر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والجعة کعدة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الشعیر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والجعة، بکسر الأوّل و فتح الثانی، نبیذ الشعیر، نقلاً عن أبی عبیدة،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لست أدری ما نقصانه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488445_2281741623"/>
      <w:bookmarkStart w:id="306" w:name="_Toc116"/>
      <w:bookmarkEnd w:id="305"/>
      <w:r>
        <w:rPr/>
        <w:t>8</w:t>
      </w:r>
      <w:r>
        <w:rPr>
          <w:rtl w:val="true"/>
        </w:rPr>
        <w:t xml:space="preserve"> </w:t>
      </w:r>
      <w:r>
        <w:rPr>
          <w:rtl w:val="true"/>
        </w:rPr>
        <w:t>ـ بیان ماهیّة الفَضِیخ</w:t>
      </w:r>
      <w:bookmarkEnd w:id="306"/>
    </w:p>
    <w:p>
      <w:pPr>
        <w:pStyle w:val="BookText"/>
        <w:rPr/>
      </w:pPr>
      <w:r>
        <w:rPr>
          <w:rFonts w:ascii="IRNazanin" w:hAnsi="IRNazanin" w:eastAsia="IRNazanin"/>
          <w:color w:val="111111"/>
          <w:sz w:val="28"/>
          <w:sz w:val="28"/>
          <w:szCs w:val="28"/>
          <w:rtl w:val="true"/>
          <w:lang w:bidi="fa-IR"/>
        </w:rPr>
        <w:t xml:space="preserve">و أمّا الفَضِیخ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الفاء ، و کسر الضاد المعجمة قبل الیاء و الخاء کذلک ، 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عصیر العنب، و شراب یتّخذ من بسر مفضوخ </w:t>
      </w:r>
      <w:r>
        <w:rPr>
          <w:rStyle w:val="FootnoteAnchor"/>
          <w:rtl w:val="true"/>
        </w:rPr>
        <w:footnoteReference w:id="722"/>
      </w:r>
      <w:r>
        <w:rPr>
          <w:rFonts w:ascii="IRNazanin" w:hAnsi="IRNazanin" w:eastAsia="IRNazanin"/>
          <w:color w:val="111111"/>
          <w:sz w:val="28"/>
          <w:sz w:val="28"/>
          <w:szCs w:val="28"/>
          <w:rtl w:val="true"/>
          <w:lang w:bidi="fa-IR"/>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والفضیخ عصیر العنب، و شراب یتّخذ من البسر وحده من غیر أن تمسّه النار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فضیخ کأمیر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یتّخذ من البسر المفضوخ، و أفضخ البسر إذا بدت منه </w:t>
      </w:r>
      <w:r>
        <w:rPr>
          <w:rStyle w:val="FootnoteAnchor"/>
          <w:rtl w:val="true"/>
        </w:rPr>
        <w:footnoteReference w:id="725"/>
      </w:r>
      <w:r>
        <w:rPr>
          <w:rFonts w:ascii="Amiri" w:hAnsi="Amiri" w:eastAsia="Amiri" w:cs="Amiri"/>
          <w:color w:val="111111"/>
          <w:sz w:val="28"/>
          <w:sz w:val="28"/>
          <w:szCs w:val="28"/>
          <w:rtl w:val="true"/>
          <w:lang w:bidi="ar-SA"/>
        </w:rPr>
        <w:t xml:space="preserve">حمرة </w:t>
      </w:r>
      <w:r>
        <w:rPr>
          <w:rStyle w:val="FootnoteAnchor"/>
          <w:rtl w:val="true"/>
        </w:rPr>
        <w:footnoteReference w:id="72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bookmarkStart w:id="307" w:name="pg3696_43486"/>
    </w:p>
    <w:p>
      <w:pPr>
        <w:pStyle w:val="BookText"/>
        <w:rPr/>
      </w:pPr>
      <w:bookmarkEnd w:id="307"/>
      <w:r>
        <w:rPr>
          <w:rFonts w:ascii="IRNazanin" w:hAnsi="IRNazanin" w:eastAsia="IRNazanin"/>
          <w:color w:val="111111"/>
          <w:sz w:val="28"/>
          <w:sz w:val="28"/>
          <w:szCs w:val="28"/>
          <w:rtl w:val="true"/>
          <w:lang w:bidi="fa-IR"/>
        </w:rPr>
        <w:t xml:space="preserve">و منه انّ وجه التسمیة غیر ما ذکره فی القاموس </w:t>
      </w:r>
      <w:r>
        <w:rPr>
          <w:rFonts w:eastAsia="IRNazanin" w:cs="IRNazanin"/>
          <w:color w:val="111111"/>
          <w:sz w:val="28"/>
          <w:szCs w:val="28"/>
          <w:rtl w:val="true"/>
          <w:lang w:bidi="fa-IR"/>
        </w:rPr>
        <w:t>.</w:t>
      </w:r>
    </w:p>
    <w:p>
      <w:pPr>
        <w:pStyle w:val="Heading6"/>
        <w:numPr>
          <w:ilvl w:val="5"/>
          <w:numId w:val="1"/>
        </w:numPr>
        <w:rPr/>
      </w:pPr>
      <w:bookmarkStart w:id="308" w:name="__RefHeading___Toc488447_2281741623"/>
      <w:bookmarkStart w:id="309" w:name="_Toc117"/>
      <w:bookmarkEnd w:id="308"/>
      <w:r>
        <w:rPr/>
        <w:t>9</w:t>
      </w:r>
      <w:r>
        <w:rPr>
          <w:rtl w:val="true"/>
        </w:rPr>
        <w:t xml:space="preserve"> </w:t>
      </w:r>
      <w:r>
        <w:rPr>
          <w:rtl w:val="true"/>
        </w:rPr>
        <w:t>ـ بیان ماهیّة السُکُرْکة</w:t>
      </w:r>
      <w:bookmarkEnd w:id="309"/>
    </w:p>
    <w:p>
      <w:pPr>
        <w:pStyle w:val="BookText"/>
        <w:rPr/>
      </w:pPr>
      <w:r>
        <w:rPr>
          <w:rFonts w:ascii="IRNazanin" w:hAnsi="IRNazanin" w:eastAsia="IRNazanin"/>
          <w:color w:val="111111"/>
          <w:sz w:val="28"/>
          <w:sz w:val="28"/>
          <w:szCs w:val="28"/>
          <w:rtl w:val="true"/>
          <w:lang w:bidi="fa-IR"/>
        </w:rPr>
        <w:t xml:space="preserve">و أمّا السُکُرْکة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السین المهملة والکاف، و سکون الراء المهملة والکاف بعدها مع هاء، ففی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الذرّة </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من الخمور یتّخذ من الذرّة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خمر الحبش و هی لفظه حبشیّة </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زید بن أسلم </w:t>
      </w:r>
      <w:r>
        <w:rPr>
          <w:rStyle w:val="FootnoteAnchor"/>
          <w:rtl w:val="true"/>
        </w:rPr>
        <w:footnoteReference w:id="730"/>
      </w:r>
      <w:r>
        <w:rPr>
          <w:rFonts w:ascii="IRNazanin" w:hAnsi="IRNazanin" w:eastAsia="IRNazanin"/>
          <w:color w:val="111111"/>
          <w:sz w:val="28"/>
          <w:sz w:val="28"/>
          <w:szCs w:val="28"/>
          <w:rtl w:val="true"/>
          <w:lang w:bidi="fa-IR"/>
        </w:rPr>
        <w:t xml:space="preserve">، الغبیراء الّتی نهی النبیّ صلی‌الله‌علیه‌و‌آله عنها هی الاسکرکة، و عن أبی موسی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الاسکرکة خمر الحبشة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لهم أشربة وخموراً أخر، جمعها یحتاج إلی تعب مع عدم فائدة معتدّة بها</w:t>
      </w:r>
      <w:r>
        <w:rPr>
          <w:rFonts w:eastAsia="IRNazanin" w:cs="IRNazanin"/>
          <w:color w:val="111111"/>
          <w:sz w:val="28"/>
          <w:szCs w:val="28"/>
          <w:rtl w:val="true"/>
          <w:lang w:bidi="fa-IR"/>
        </w:rPr>
        <w:t>.</w:t>
      </w:r>
    </w:p>
    <w:p>
      <w:pPr>
        <w:pStyle w:val="Heading6"/>
        <w:numPr>
          <w:ilvl w:val="5"/>
          <w:numId w:val="1"/>
        </w:numPr>
        <w:rPr/>
      </w:pPr>
      <w:bookmarkStart w:id="310" w:name="__RefHeading___Toc488449_2281741623"/>
      <w:bookmarkStart w:id="311" w:name="_Toc118"/>
      <w:bookmarkEnd w:id="310"/>
      <w:r>
        <w:rPr/>
        <w:t>10</w:t>
      </w:r>
      <w:r>
        <w:rPr>
          <w:rtl w:val="true"/>
        </w:rPr>
        <w:t xml:space="preserve"> </w:t>
      </w:r>
      <w:r>
        <w:rPr>
          <w:rtl w:val="true"/>
        </w:rPr>
        <w:t>ـ بیان ماهیّة نبیذ الفواکه</w:t>
      </w:r>
      <w:bookmarkEnd w:id="311"/>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الفواکه، قال فی تحفة 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الفواکه شرابی است که از آب میوه‌ها به عمل آرند، مثل توت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سیب شیرین </w:t>
      </w:r>
      <w:r>
        <w:rPr>
          <w:rFonts w:eastAsia="IRNazanin" w:cs="IRNazanin"/>
          <w:color w:val="111111"/>
          <w:sz w:val="28"/>
          <w:szCs w:val="28"/>
          <w:rtl w:val="true"/>
          <w:lang w:bidi="fa-IR"/>
        </w:rPr>
        <w:t xml:space="preserve">] </w:t>
      </w:r>
      <w:r>
        <w:rPr>
          <w:rStyle w:val="FootnoteAnchor"/>
          <w:rtl w:val="true"/>
        </w:rPr>
        <w:footnoteReference w:id="732"/>
      </w:r>
      <w:r>
        <w:rPr>
          <w:rFonts w:ascii="IRNazanin" w:hAnsi="IRNazanin" w:eastAsia="IRNazanin"/>
          <w:color w:val="111111"/>
          <w:sz w:val="28"/>
          <w:sz w:val="28"/>
          <w:szCs w:val="28"/>
          <w:rtl w:val="true"/>
          <w:lang w:bidi="fa-IR"/>
        </w:rPr>
        <w:t xml:space="preserve">و أمثال آن بهتر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w:t>
      </w:r>
      <w:r>
        <w:rPr>
          <w:rFonts w:eastAsia="IRNazanin" w:cs="IRNazanin"/>
          <w:color w:val="111111"/>
          <w:sz w:val="28"/>
          <w:szCs w:val="28"/>
          <w:rtl w:val="true"/>
          <w:lang w:bidi="fa-IR"/>
        </w:rPr>
        <w:t xml:space="preserve">] </w:t>
      </w:r>
      <w:r>
        <w:rPr>
          <w:rStyle w:val="FootnoteAnchor"/>
          <w:rtl w:val="true"/>
        </w:rPr>
        <w:footnoteReference w:id="733"/>
      </w:r>
      <w:r>
        <w:rPr>
          <w:rFonts w:ascii="IRNazanin" w:hAnsi="IRNazanin" w:eastAsia="IRNazanin"/>
          <w:color w:val="111111"/>
          <w:sz w:val="28"/>
          <w:sz w:val="28"/>
          <w:szCs w:val="28"/>
          <w:rtl w:val="true"/>
          <w:lang w:bidi="fa-IR"/>
        </w:rPr>
        <w:t xml:space="preserve">حبوب و مسکر و سریع الفساد و نفاّخ، و مصلحش عسل و أدویه حارّه خوشبو است </w:t>
      </w:r>
      <w:r>
        <w:rPr>
          <w:rStyle w:val="FootnoteAnchor"/>
          <w:rtl w:val="true"/>
        </w:rPr>
        <w:footnoteReference w:id="734"/>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جمیع هذه المسکرات حرام قلیلها و کثیرها ، و نجس کذلک ، لکلّ ما دلّ علی أنّ ما أسکر کثیره فقلیله حرام، و غیر ذلک ممّا مرّ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تنبیهٌ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الظاهر إنّ الضمیر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فقلیله حرام، یرجع إلی الموصول،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أسکر کثیره فقلیل ذلک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یرد علی هذا أنّه لا یدلّ علی حرمة الکثیر و إنّما یدلّ علی حرمة القلیل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فیه انّه إنّما یثبت إمّا بالأولویّة أو أنّه بعد فرض حرمة المسکر کلّها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عن بعضهم انّه أعاد الضمیر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فیبقی المعنی علی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الکثیر حرام حتّی لو شرب قدحین من النبیذ مثلاً ولم یسکر بهما و کان یسکر بالثالث فالثالث کثیر فقلیل الثالث و هو الکثیر حرام دون الأولین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کلام منحرف عن اللسان العربیّ لأنّه إخبار عن الصلة دون الموصول و هو ممنوع باتفاق النحاة، و قد اتّفقوا علی إعادة الضمیر من الجملة علی المبتداء لیربط به الخبر فیصیر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یسکر کثیره فقلیل ذلک الّذی یسکر کثیره حرام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به فی الحدیث فقال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مسکر حرام و ما أسکر الفرق منه </w:t>
      </w:r>
      <w:r>
        <w:rPr>
          <w:rStyle w:val="FootnoteAnchor"/>
          <w:rtl w:val="true"/>
        </w:rPr>
        <w:footnoteReference w:id="736"/>
      </w:r>
      <w:r>
        <w:rPr>
          <w:rFonts w:ascii="Amiri" w:hAnsi="Amiri" w:eastAsia="Amiri" w:cs="Amiri"/>
          <w:color w:val="111111"/>
          <w:sz w:val="28"/>
          <w:sz w:val="28"/>
          <w:szCs w:val="28"/>
          <w:rtl w:val="true"/>
          <w:lang w:bidi="ar-SA"/>
        </w:rPr>
        <w:t xml:space="preserve">فملْ‌ءُ الکفّ منه حرام </w:t>
      </w:r>
      <w:r>
        <w:rPr>
          <w:rFonts w:eastAsia="Amiri" w:cs="Amiri" w:ascii="Amiri" w:hAnsi="Amiri"/>
          <w:color w:val="111111"/>
          <w:sz w:val="28"/>
          <w:szCs w:val="28"/>
          <w:rtl w:val="true"/>
          <w:lang w:bidi="ar-SA"/>
        </w:rPr>
        <w:t xml:space="preserve">»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لأنّ الفاء جواب لما فی المبتداء من معنی الشرط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 یکن من شی‌ء یسکر کثیره فقلیل ذلک الشی‌ء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نظیره الّذی یقوم غلامه فله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والمعنی فلذلک الّذی یقوم غلامه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أعید الضمیر علی الغلام بقی التقدیر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یقوم غلامه فللغلام درهم، فیکون إخبارا عن الصلة دون الموصول فیبقی المبتداء بلا رابط، فتأمّله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فساد من جهة المعنی أیضا، لأنّه إذا أرید فقلیل الکثیر حرام یبقی مفهومه فقلیل القلیل غیر حرام، فیؤدّی إلی إباحة ما لا یسکر من الخمر و هو مخالف للإجماع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کلامه مواضع من النظر و إن کان أصل المطلب صحیحاً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12" w:name="pg3696_43489"/>
    </w:p>
    <w:p>
      <w:pPr>
        <w:pStyle w:val="Heading4"/>
        <w:numPr>
          <w:ilvl w:val="3"/>
          <w:numId w:val="1"/>
        </w:numPr>
        <w:rPr/>
      </w:pPr>
      <w:bookmarkStart w:id="313" w:name="__RefHeading___Toc488451_2281741623"/>
      <w:bookmarkStart w:id="314" w:name="_Toc119"/>
      <w:bookmarkEnd w:id="312"/>
      <w:bookmarkEnd w:id="313"/>
      <w:r>
        <w:rPr>
          <w:rtl w:val="true"/>
        </w:rPr>
        <w:t>حکم العصیر إذا غلا واشتد</w:t>
      </w:r>
      <w:bookmarkEnd w:id="31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5" w:name="__RefHeading___Toc488453_2281741623"/>
      <w:bookmarkStart w:id="316" w:name="_Toc120"/>
      <w:bookmarkEnd w:id="315"/>
      <w:r>
        <w:rPr>
          <w:rtl w:val="true"/>
        </w:rPr>
        <w:t>اشارة</w:t>
      </w:r>
      <w:bookmarkEnd w:id="31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7" w:name="pg3696_43491"/>
      <w:bookmarkStart w:id="318" w:name="pg3696_43491"/>
      <w:bookmarkEnd w:id="318"/>
    </w:p>
    <w:p>
      <w:pPr>
        <w:pStyle w:val="Heading5"/>
        <w:numPr>
          <w:ilvl w:val="4"/>
          <w:numId w:val="1"/>
        </w:numPr>
        <w:rPr/>
      </w:pPr>
      <w:bookmarkStart w:id="319" w:name="pg3696_43491"/>
      <w:bookmarkStart w:id="320" w:name="__RefHeading___Toc488455_2281741623"/>
      <w:bookmarkStart w:id="321" w:name="_Toc121"/>
      <w:bookmarkEnd w:id="319"/>
      <w:bookmarkEnd w:id="320"/>
      <w:r>
        <w:rPr>
          <w:rtl w:val="true"/>
        </w:rPr>
        <w:t>حکم فی الحلیة والحرمة</w:t>
      </w:r>
      <w:r>
        <w:rPr>
          <w:rtl w:val="true"/>
        </w:rPr>
        <w:t>:</w:t>
      </w:r>
      <w:bookmarkEnd w:id="321"/>
    </w:p>
    <w:p>
      <w:pPr>
        <w:pStyle w:val="Heading6"/>
        <w:numPr>
          <w:ilvl w:val="5"/>
          <w:numId w:val="1"/>
        </w:numPr>
        <w:rPr/>
      </w:pPr>
      <w:bookmarkStart w:id="322" w:name="__RefHeading___Toc488457_2281741623"/>
      <w:bookmarkStart w:id="323" w:name="_Toc122"/>
      <w:bookmarkEnd w:id="322"/>
      <w:r>
        <w:rPr>
          <w:rtl w:val="true"/>
        </w:rPr>
        <w:t>اشارة</w:t>
      </w:r>
      <w:bookmarkEnd w:id="323"/>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حکمها العصیر إذا غلی واشتدّ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تحقیق الحال فی هذا المقال یقتضی شرح الکلام فی مواضع عدیدة </w:t>
      </w:r>
      <w:r>
        <w:rPr>
          <w:rFonts w:eastAsia="IRNazanin" w:cs="IRNazanin"/>
          <w:color w:val="111111"/>
          <w:sz w:val="28"/>
          <w:szCs w:val="28"/>
          <w:rtl w:val="true"/>
          <w:lang w:bidi="fa-IR"/>
        </w:rPr>
        <w:t>:</w:t>
      </w:r>
    </w:p>
    <w:p>
      <w:pPr>
        <w:pStyle w:val="Heading6"/>
        <w:numPr>
          <w:ilvl w:val="5"/>
          <w:numId w:val="1"/>
        </w:numPr>
        <w:rPr/>
      </w:pPr>
      <w:bookmarkStart w:id="324" w:name="__RefHeading___Toc488459_2281741623"/>
      <w:bookmarkStart w:id="325" w:name="_Toc123"/>
      <w:bookmarkEnd w:id="324"/>
      <w:r>
        <w:rPr>
          <w:rtl w:val="true"/>
        </w:rPr>
        <w:t xml:space="preserve">الموضع الأوّل </w:t>
      </w:r>
      <w:r>
        <w:rPr>
          <w:rtl w:val="true"/>
        </w:rPr>
        <w:t xml:space="preserve">: </w:t>
      </w:r>
      <w:r>
        <w:rPr>
          <w:rtl w:val="true"/>
        </w:rPr>
        <w:t>فی حلّیته وطهارته من غیر ثمرة‌الکرم والنخل</w:t>
      </w:r>
      <w:bookmarkEnd w:id="325"/>
    </w:p>
    <w:p>
      <w:pPr>
        <w:pStyle w:val="BookText"/>
        <w:rPr/>
      </w:pPr>
      <w:r>
        <w:rPr>
          <w:rFonts w:ascii="IRNazanin" w:hAnsi="IRNazanin" w:eastAsia="IRNazanin"/>
          <w:color w:val="111111"/>
          <w:sz w:val="28"/>
          <w:sz w:val="28"/>
          <w:szCs w:val="28"/>
          <w:rtl w:val="true"/>
          <w:lang w:bidi="fa-IR"/>
        </w:rPr>
        <w:t>الموضع الأوّل</w:t>
      </w:r>
    </w:p>
    <w:p>
      <w:pPr>
        <w:pStyle w:val="BookText"/>
        <w:rPr/>
      </w:pPr>
      <w:r>
        <w:rPr>
          <w:rFonts w:ascii="IRNazanin" w:hAnsi="IRNazanin" w:eastAsia="IRNazanin"/>
          <w:color w:val="111111"/>
          <w:sz w:val="28"/>
          <w:sz w:val="28"/>
          <w:szCs w:val="28"/>
          <w:rtl w:val="true"/>
          <w:lang w:bidi="fa-IR"/>
        </w:rPr>
        <w:t xml:space="preserve">فی أنّ العصیر من غیر العنب و ما یلحقه، والتمر و ما یلحقه، و بعبارة أخری من غیر ثمرة الکرم والنخل، حلال، طاهر، و إن غلی واشتدّ غلیانه، سواء کان من الفواکه، أو الثمار، أو البقول، أو الحبوب، أو غیرها، سواء فی ذلک الجدید، والعتیق، و حسن الرائحة، و کریها، بل و إن فاح منه رائحة المسکر، بل و لو أسکر فی بعض الأحوال، فهو فی غیر تلک الحال حلال و طاهر </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إذا أسکر حرم، فیدور الأمر مدار الإسکار کما فی غیر العصیر، نعم لو کان قسم خاصّ من هذا العصیر لو ربی علی نوع خاصّ أسکر الکثیر منه فالقلیل منه </w:t>
      </w:r>
    </w:p>
    <w:p>
      <w:pPr>
        <w:pStyle w:val="BookText"/>
        <w:rPr/>
      </w:pPr>
      <w:r>
        <w:rPr>
          <w:rFonts w:ascii="IRNazanin" w:hAnsi="IRNazanin" w:eastAsia="IRNazanin"/>
          <w:color w:val="111111"/>
          <w:sz w:val="28"/>
          <w:sz w:val="28"/>
          <w:szCs w:val="28"/>
          <w:rtl w:val="true"/>
          <w:lang w:bidi="fa-IR"/>
        </w:rPr>
        <w:t xml:space="preserve">أیضا حرام، لعموم قوله صلی‌الله‌علیه‌و‌آله فی روایات عدیدة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أسکر کثیره فقلیله حرام، أو ما أسکر کثیره فقلیله حرام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وعلی ما ذکرناه، من حلّیة العصیر من غیر الثمرتین المذکورتین، وطهارته فیما عدا ما ذکرناه، الإجماع المحقّق والمنقول، ومستفیض الأخبار، و فتاوی الفحول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فی باب عقده فیالأشربة، باسناد فیه سهل، عن منصور بن العبّاس، عن جعفر بن أحمد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إلیه، یعنی أباالحسن الأوّل علیه‌السلام ، أسأله عن السکنجبین، والجلاب، و ربّ التوت، و ربّ التفّاح، و ربّ السفرجل، و ربّ الرمّان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باسناده الآخر ، عن جعفر بن أحمد المکفوف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الأول علیه‌السلام أسأله عن أشربة تکون قبلنا السکنجبین، والجلاب، و ربّ التوت ، و ربّ الرمّان ، و ربّ السفرجل ، و ربّ التفّاح ، إذا کان الّذی یبیعها غیر عارف، و هی تباع فی أسواقنا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جائز، لا بأس بها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التهذیب، فی کتاب الأطعمة والأشربة، باسناده عن الحسن بن محمّد المداینی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السکنجبین، و الجُلاّب، و رُبّ التوت، و رُبّ السفرجل، و رُبّ التُفّاح، و رُبّ الرُمّان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الکافی، فی الباب المذکور، باسناده عن خلیلان بن هشام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عندنا شراب یسمّی المیبة، نعمد إلی السفرجل </w:t>
      </w:r>
    </w:p>
    <w:p>
      <w:pPr>
        <w:pStyle w:val="BookText"/>
        <w:rPr/>
      </w:pPr>
      <w:r>
        <w:rPr>
          <w:rFonts w:ascii="IRNazanin" w:hAnsi="IRNazanin" w:eastAsia="IRNazanin"/>
          <w:color w:val="111111"/>
          <w:sz w:val="28"/>
          <w:sz w:val="28"/>
          <w:szCs w:val="28"/>
          <w:rtl w:val="true"/>
          <w:lang w:bidi="fa-IR"/>
        </w:rPr>
        <w:t xml:space="preserve">فنقشره و نلقیه فی الماء، ثمّ نعمد إلی العصیر فنطبخه علی الثلث، ثمّ ندق ذلک السفرجل و نأخذ ماءه، ثمّ نعمد إلی ماء هذا المثلث و هذا السفرجل، فنلقی فیه المسک، والافاوی، والزعفران، والعسل، فنطبخه حتّی یذهب ثلثاه و یبقی ثلثه، أَیحلّ شربه ؟ فکتب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ما لم یتغیّر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وفیالتهذیب فیالباب المذکور عن مولی حرّ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أصنع الأشربة من العسل وغیره، فإنّهم یکلّفونی صنعتها فأصنعها لهم؟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إصنعها و ادفعها إلیهم، و هی حلال من قبل أن تصیر مسکراً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أیضا عن المشرقی، عن أبی الحسن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أکل المری والکامخ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یعمل من الحنطة و الشعیر فنأکله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حلال ، و نحن نأکله </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إحتجاج الطبرسی، عن الحمیری أنّه کتب إلی القائم علیه و علی آبائه الصلاة والسلام، یسأله عن رُبّ الجوز یتّخذ لوجع الحلق والبحبحة، فأجابه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إذاکان کثیره لایسکر أو یغیّر، فهو حلال، وإن أسکر أوتغیّر، فقلیله وکثیره حرام </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هذا الخبر علی ما هو موجود عندی مغلوط، و قد صحّحته علی معتقدی، و لابدّ من ملاحظة الإحتجاج، منه قدس‌سره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الواردة فی طبّ الأئمّة و غیره </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326" w:name="pg3696_43494"/>
    </w:p>
    <w:p>
      <w:pPr>
        <w:pStyle w:val="Heading6"/>
        <w:numPr>
          <w:ilvl w:val="5"/>
          <w:numId w:val="1"/>
        </w:numPr>
        <w:rPr/>
      </w:pPr>
      <w:bookmarkStart w:id="327" w:name="__RefHeading___Toc488461_2281741623"/>
      <w:bookmarkStart w:id="328" w:name="_Toc124"/>
      <w:bookmarkEnd w:id="326"/>
      <w:bookmarkEnd w:id="327"/>
      <w:r>
        <w:rPr>
          <w:rtl w:val="true"/>
        </w:rPr>
        <w:t xml:space="preserve">الموضع الثانی </w:t>
      </w:r>
      <w:r>
        <w:rPr>
          <w:rtl w:val="true"/>
        </w:rPr>
        <w:t xml:space="preserve">: </w:t>
      </w:r>
      <w:r>
        <w:rPr>
          <w:rtl w:val="true"/>
        </w:rPr>
        <w:t>فی انّ الخلّ حکمه حکم غیره من المعصرات</w:t>
      </w:r>
      <w:bookmarkEnd w:id="328"/>
    </w:p>
    <w:p>
      <w:pPr>
        <w:pStyle w:val="BookText"/>
        <w:rPr/>
      </w:pPr>
      <w:r>
        <w:rPr>
          <w:rFonts w:ascii="IRNazanin" w:hAnsi="IRNazanin" w:eastAsia="IRNazanin"/>
          <w:color w:val="111111"/>
          <w:sz w:val="28"/>
          <w:sz w:val="28"/>
          <w:szCs w:val="28"/>
          <w:rtl w:val="true"/>
          <w:lang w:bidi="fa-IR"/>
        </w:rPr>
        <w:t>الموضع الثانی</w:t>
      </w:r>
    </w:p>
    <w:p>
      <w:pPr>
        <w:pStyle w:val="BookText"/>
        <w:rPr/>
      </w:pPr>
      <w:r>
        <w:rPr>
          <w:rFonts w:ascii="IRNazanin" w:hAnsi="IRNazanin" w:eastAsia="IRNazanin"/>
          <w:color w:val="111111"/>
          <w:sz w:val="28"/>
          <w:sz w:val="28"/>
          <w:szCs w:val="28"/>
          <w:rtl w:val="true"/>
          <w:lang w:bidi="fa-IR"/>
        </w:rPr>
        <w:t xml:space="preserve">إنّ الخلّ، مع کونه من الثمرتین المذکورتین، حکمه حکم غیره من المعصرات، فلا ینجس، و لا یحرم بالغلیان والنشیش، و علیه السیرة المستمرّة سابقا و لاحقا </w:t>
      </w:r>
      <w:r>
        <w:rPr>
          <w:rFonts w:eastAsia="IRNazanin" w:cs="IRNazanin"/>
          <w:color w:val="111111"/>
          <w:sz w:val="28"/>
          <w:szCs w:val="28"/>
          <w:rtl w:val="true"/>
          <w:lang w:bidi="fa-IR"/>
        </w:rPr>
        <w:t>.</w:t>
      </w:r>
    </w:p>
    <w:p>
      <w:pPr>
        <w:pStyle w:val="Heading6"/>
        <w:numPr>
          <w:ilvl w:val="5"/>
          <w:numId w:val="1"/>
        </w:numPr>
        <w:rPr/>
      </w:pPr>
      <w:bookmarkStart w:id="329" w:name="__RefHeading___Toc488463_2281741623"/>
      <w:bookmarkStart w:id="330" w:name="_Toc125"/>
      <w:bookmarkEnd w:id="329"/>
      <w:r>
        <w:rPr>
          <w:rtl w:val="true"/>
        </w:rPr>
        <w:t>الموضع‌الثالث</w:t>
      </w:r>
      <w:r>
        <w:rPr>
          <w:rtl w:val="true"/>
        </w:rPr>
        <w:t xml:space="preserve">: </w:t>
      </w:r>
      <w:r>
        <w:rPr>
          <w:rtl w:val="true"/>
        </w:rPr>
        <w:t>فی انّ عصیرالعنب حرام قبل ذهاب‌الثلثین منه ویحلّ بعدذلک</w:t>
      </w:r>
      <w:bookmarkEnd w:id="330"/>
    </w:p>
    <w:p>
      <w:pPr>
        <w:pStyle w:val="Heading6"/>
        <w:numPr>
          <w:ilvl w:val="5"/>
          <w:numId w:val="1"/>
        </w:numPr>
        <w:rPr/>
      </w:pPr>
      <w:bookmarkStart w:id="331" w:name="__RefHeading___Toc488465_2281741623"/>
      <w:bookmarkStart w:id="332" w:name="_Toc126"/>
      <w:bookmarkEnd w:id="331"/>
      <w:r>
        <w:rPr>
          <w:rtl w:val="true"/>
        </w:rPr>
        <w:t>اشارة</w:t>
      </w:r>
      <w:bookmarkEnd w:id="332"/>
    </w:p>
    <w:p>
      <w:pPr>
        <w:pStyle w:val="BookText"/>
        <w:rPr/>
      </w:pPr>
      <w:r>
        <w:rPr>
          <w:rFonts w:ascii="IRNazanin" w:hAnsi="IRNazanin" w:eastAsia="IRNazanin"/>
          <w:color w:val="111111"/>
          <w:sz w:val="28"/>
          <w:sz w:val="28"/>
          <w:szCs w:val="28"/>
          <w:rtl w:val="true"/>
          <w:lang w:bidi="fa-IR"/>
        </w:rPr>
        <w:t>الموضع الثالث</w:t>
      </w:r>
    </w:p>
    <w:p>
      <w:pPr>
        <w:pStyle w:val="BookText"/>
        <w:rPr/>
      </w:pPr>
      <w:r>
        <w:rPr>
          <w:rFonts w:ascii="IRNazanin" w:hAnsi="IRNazanin" w:eastAsia="IRNazanin"/>
          <w:color w:val="111111"/>
          <w:sz w:val="28"/>
          <w:sz w:val="28"/>
          <w:szCs w:val="28"/>
          <w:rtl w:val="true"/>
          <w:lang w:bidi="fa-IR"/>
        </w:rPr>
        <w:t xml:space="preserve">إنّ عصیر العنب حرام قبل ذهاب الثلثین منه، و یحلّ بعد ذلک ؛ فهنا دعویان وعلی کلتیهما إطباق الأصحاب ، مضافاً إلی ما ورد فیهما من مستفیض الأخبار أو متواترها کالصحیح علی الصحیح المرویّ فی الکافی و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عصیر أصابته النار، فهو حرام حتّی یذهب ثلثاه و یبقی ثلثه </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والمرسل‌المرویّ فیالکافی، عن محمّد بن الهیثم، عن رجل، عن‌أبیعبداللّه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العصیر یطبخ بالنار حتّی یغلی من ساعته فیشربه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عن حاله و غلی، فلا خیر فیه، حتّی یذهب ثلثاه و یبقی ثلثه </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3" w:name="__RefHeading___Toc488467_2281741623"/>
      <w:bookmarkStart w:id="334" w:name="_Toc127"/>
      <w:bookmarkEnd w:id="333"/>
      <w:r>
        <w:rPr>
          <w:rtl w:val="true"/>
        </w:rPr>
        <w:t>الإستدلال بإطباق الأصحاب ومستفیض الأخبار</w:t>
      </w:r>
      <w:bookmarkEnd w:id="334"/>
    </w:p>
    <w:p>
      <w:pPr>
        <w:pStyle w:val="BookText"/>
        <w:rPr/>
      </w:pPr>
      <w:r>
        <w:rPr>
          <w:rFonts w:ascii="IRNazanin" w:hAnsi="IRNazanin" w:eastAsia="IRNazanin"/>
          <w:color w:val="111111"/>
          <w:sz w:val="28"/>
          <w:sz w:val="28"/>
          <w:szCs w:val="28"/>
          <w:rtl w:val="true"/>
          <w:lang w:bidi="fa-IR"/>
        </w:rPr>
        <w:t xml:space="preserve">والصحیح علی الصحیح المرویّ فیه، عن عبداللّه بن سنان أیضا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إذا طبخ حتّی یذهب ثلثاه و یبقی ثلثه، فهو حلال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عقبة بن خالد، عن أبی عبداللّه علیه‌السلام قال فی رجل أخذ عشرة أرطال من عصیر العنب، فصبّ علیه عشرین رطلاً من ماء، ثمّ طبخها حتّی </w:t>
      </w:r>
    </w:p>
    <w:p>
      <w:pPr>
        <w:pStyle w:val="BookText"/>
        <w:rPr/>
      </w:pPr>
      <w:r>
        <w:rPr>
          <w:rFonts w:ascii="IRNazanin" w:hAnsi="IRNazanin" w:eastAsia="IRNazanin"/>
          <w:color w:val="111111"/>
          <w:sz w:val="28"/>
          <w:sz w:val="28"/>
          <w:szCs w:val="28"/>
          <w:rtl w:val="true"/>
          <w:lang w:bidi="fa-IR"/>
        </w:rPr>
        <w:t xml:space="preserve">ذهب منه عشرون رطلاً و بقی عشرة أرطال، أیصلح شرب ذلک أم 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طبخ علی ثلثة، فهو حلال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فیه، عن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من السفینة غرس غرسا فکان فیما غرس علیه‌السلام الحبلة، ثمّ رجع إلی أهله، فجاء إبلیس ـ لعنه اللّه ـ فقلعها، ثمّ إنّ نوحاً علیه‌السلام عاد إلی غرسه فوجده علی حاله، و وجد الحبلة قد قلعت، و وجد إبلیس ـ لعنه اللّه ـ عندها فأتاه جبرئیل علیه‌السلام فأخبره أنّ إبلیس ـ لعنه اللّه ـ قلعها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نوح علیه‌السلام لإبلیس ـ لعنه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إلی 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غرست غرسا أحبّ إلیّ منها، فواللّه لا أدعها حتّی أغرسها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إبلیس ـ لعنه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واللّه لا أدعها حتّی أقلعها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إجعل لی منها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 منها الثلث فأبی أن یرضی، فجعل له النصف فأبی أن یرضی، فأبی نوح علیه‌السلام أن یزیده، فقال جبرئیل علیه‌السلام لنوح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أحسن فإنّ منک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نوح علیه‌السلام أنّه قد جعل له علیها سلطاناً، فجعل له نوح الثلثین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أخذت عصیراً فاطبخه حتّی یذهب الثلثان، و کل واشرب حینئذ فذاک نصیب الشیطان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رواه فیه، عن سعید بن یسار،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لعنه اللّه، نازع نوحا علیه‌السلام فی الکرم، فأتاه جبرئیل علیه‌السلام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حقّا فأعطه فأعطاه الثلث فلم یرض إبلیس لعنه اللّه، ثمّ أعطاه النصف فلم یرض، فطرح جبرئیل علیه‌السلام </w:t>
      </w:r>
      <w:bookmarkStart w:id="335" w:name="pg3696_43496"/>
    </w:p>
    <w:p>
      <w:pPr>
        <w:pStyle w:val="BookText"/>
        <w:rPr/>
      </w:pPr>
      <w:bookmarkEnd w:id="335"/>
      <w:r>
        <w:rPr>
          <w:rFonts w:ascii="IRNazanin" w:hAnsi="IRNazanin" w:eastAsia="IRNazanin"/>
          <w:color w:val="111111"/>
          <w:sz w:val="28"/>
          <w:sz w:val="28"/>
          <w:szCs w:val="28"/>
          <w:rtl w:val="true"/>
          <w:lang w:bidi="fa-IR"/>
        </w:rPr>
        <w:t xml:space="preserve">نارا فاحترقت الثلثین و بقی الثلث،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احرقت النار فهو نصیبه، و ما بقی فهو لک حلال یا نوح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الإستدلال فی المقام بأخبار أخر </w:t>
      </w:r>
      <w:r>
        <w:rPr>
          <w:rFonts w:eastAsia="IRNazanin" w:cs="IRNazanin"/>
          <w:color w:val="111111"/>
          <w:sz w:val="28"/>
          <w:szCs w:val="28"/>
          <w:rtl w:val="true"/>
          <w:lang w:bidi="fa-IR"/>
        </w:rPr>
        <w:t>:</w:t>
      </w:r>
    </w:p>
    <w:p>
      <w:pPr>
        <w:pStyle w:val="Heading6"/>
        <w:numPr>
          <w:ilvl w:val="5"/>
          <w:numId w:val="1"/>
        </w:numPr>
        <w:rPr/>
      </w:pPr>
      <w:bookmarkStart w:id="336" w:name="__RefHeading___Toc488469_2281741623"/>
      <w:bookmarkStart w:id="337" w:name="_Toc128"/>
      <w:bookmarkEnd w:id="336"/>
      <w:r>
        <w:rPr>
          <w:rtl w:val="true"/>
        </w:rPr>
        <w:t>الإستدلال بالأخبار الواردة فی البختج</w:t>
      </w:r>
      <w:bookmarkEnd w:id="337"/>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فیالبختج کالصحیح المرویّ فی الکافی فی باب‌العصیر الّذی قد مسّته النار ، باسناده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البختج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حلوا یخضب الإنآء ، و 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ثلثاه و بقی الثلث فاشربه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علی الصحیح المرویّ فیه ، فیالباب المذکور ، باسناده عن عمر بن یزید، و لعلّه بل الظاهر أنّه عمر بن محمّد بن یزید ، الثقة ، الجلیل ، الّذی قال الصادق علیه‌السلام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واللّه منّا أهل البیت </w:t>
      </w:r>
      <w:r>
        <w:rPr>
          <w:rStyle w:val="FootnoteAnchor"/>
          <w:rtl w:val="true"/>
        </w:rPr>
        <w:footnoteReference w:id="756"/>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یهدی إلی البختج من غیر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یستحلّ المسکر فلا تشربه، و إن کان ممّن لا یستحلّ شربه فاقبله،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أیضا، عن إبن أبی عمیر،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یخضب الإناء فاشربه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 xml:space="preserve">. </w:t>
      </w:r>
      <w:bookmarkStart w:id="338" w:name="pg3696_43497"/>
    </w:p>
    <w:p>
      <w:pPr>
        <w:pStyle w:val="BookText"/>
        <w:rPr/>
      </w:pPr>
      <w:bookmarkEnd w:id="338"/>
      <w:r>
        <w:rPr>
          <w:rFonts w:ascii="IRNazanin" w:hAnsi="IRNazanin" w:eastAsia="IRNazanin"/>
          <w:color w:val="111111"/>
          <w:sz w:val="28"/>
          <w:sz w:val="28"/>
          <w:szCs w:val="28"/>
          <w:rtl w:val="true"/>
          <w:lang w:bidi="fa-IR"/>
        </w:rPr>
        <w:t xml:space="preserve">و ما رواه فیه أیضا، فی الباب المذکور، باسناده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من أهل المعرفة بالحقّ یأتینی بالبختج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 أنا أعلم أنّه یشربه علی النصف، أفأشربه بقوله و هو یشربه علی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 نعرفه یشربه علی الثلث ، و لا یستحلّه علی النصف ، یخبرنا أنّ عنده بختجاً علی الثلث قد ذهب ثلثاه و بقی ثلثه نشرب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الإستدلال بهذه الأخبار أنّ البختج هو العصیر إلاّ أنّه المطبوخ منه ، أو العصیر الّذی مسّته النار، و ستعرف أنّ محلّ الکلام العصیر الّذی مسّته 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البختج، بالخاء المعجمة بعد الباء المنقّطة واحدة من تحتها، والتاء المثناة الفوقانیّة، وفی الآخر 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المطبوخ، وعن إبن الأثیر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بالفارسیّة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پخته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الجوهریّ ما سیأتی فی الطِلآء المشتمل علیه الأخبار الآتیة إن شاء اللّه تعالی، و سیظهر لک ما یشعر إلیه لفظ الکافی </w:t>
      </w:r>
      <w:r>
        <w:rPr>
          <w:rFonts w:eastAsia="IRNazanin" w:cs="IRNazanin"/>
          <w:color w:val="111111"/>
          <w:sz w:val="28"/>
          <w:szCs w:val="28"/>
          <w:rtl w:val="true"/>
          <w:lang w:bidi="fa-IR"/>
        </w:rPr>
        <w:t>.</w:t>
      </w:r>
    </w:p>
    <w:p>
      <w:pPr>
        <w:pStyle w:val="Heading6"/>
        <w:numPr>
          <w:ilvl w:val="5"/>
          <w:numId w:val="1"/>
        </w:numPr>
        <w:rPr/>
      </w:pPr>
      <w:bookmarkStart w:id="339" w:name="__RefHeading___Toc488471_2281741623"/>
      <w:bookmarkStart w:id="340" w:name="_Toc129"/>
      <w:bookmarkEnd w:id="339"/>
      <w:r>
        <w:rPr>
          <w:rtl w:val="true"/>
        </w:rPr>
        <w:t>الإستدلال بالأخبار المشتملة علی الطِلآء</w:t>
      </w:r>
      <w:bookmarkEnd w:id="34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المشتملة علی الطِلآء کالخبر المرویّ فی الکافی، فی باب الطِلآء،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الطلاء،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طبخ حتّی یذهب منه إثنان و یبقی واحد، فهو حلال، و ما کان دون ذلک فلیس فیه خیر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والصحیح علی الصحیح المرویّ فیه، فی الباب المذکور، عن إبن أبی 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الطِلآء علی الثلث فهو حرام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عن إبن أبی 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الطِلآء علی الثلث أُوقیّة، فهو حرام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روینا عن أمیرالمؤمنین علیه‌السلام أنّه کان یروق الطِلآء، و هو ما طبخ من عصیر العنب حتّی یصیر له قوام </w:t>
      </w:r>
      <w:r>
        <w:rPr>
          <w:rStyle w:val="FootnoteAnchor"/>
          <w:rtl w:val="true"/>
        </w:rPr>
        <w:footnoteReference w:id="764"/>
      </w:r>
      <w:r>
        <w:rPr>
          <w:rFonts w:ascii="IRNazanin" w:hAnsi="IRNazanin" w:eastAsia="IRNazanin"/>
          <w:color w:val="111111"/>
          <w:sz w:val="28"/>
          <w:sz w:val="28"/>
          <w:szCs w:val="28"/>
          <w:rtl w:val="true"/>
          <w:lang w:bidi="fa-IR"/>
        </w:rPr>
        <w:t xml:space="preserve">کقوام العسل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الإستدلال بهذه الأخبار إنّ الطِلآء کما عن الجوهریّ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تسمیة العجم المیبوختج </w:t>
      </w:r>
      <w:r>
        <w:rPr>
          <w:rStyle w:val="FootnoteAnchor"/>
          <w:rtl w:val="true"/>
        </w:rPr>
        <w:footnoteReference w:id="7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فی الکافی هذه الأخبار مع الأخبار السابقة فی محلّ واحد </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الطِلآء ککساء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طبخ من عصیر العنب حتّی ذهب ثلثاه و یبقی ثلثه، و یسمّی بالمثلّث </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فی هذه المرحلة ظاهر لا إشکال فیه عندنا، بل و معنا أکثر العامّة کالشافعیّ، و مالک، و أبی حنیفة، والثوری، واللیث بن سعد، و سعید بن المسیّب ، و عکرمة ، والحسن البصریّ ، و جمهور فقهائهم ، علی ما قاله بعض </w:t>
      </w:r>
      <w:bookmarkStart w:id="341" w:name="pg3696_43499"/>
    </w:p>
    <w:p>
      <w:pPr>
        <w:pStyle w:val="BookText"/>
        <w:rPr/>
      </w:pPr>
      <w:bookmarkEnd w:id="341"/>
      <w:r>
        <w:rPr>
          <w:rFonts w:ascii="IRNazanin" w:hAnsi="IRNazanin" w:eastAsia="IRNazanin"/>
          <w:color w:val="111111"/>
          <w:sz w:val="28"/>
          <w:sz w:val="28"/>
          <w:szCs w:val="28"/>
          <w:rtl w:val="true"/>
          <w:lang w:bidi="fa-IR"/>
        </w:rPr>
        <w:t xml:space="preserve">أهل الخبرة بمذاهبهم ،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روی ذلک أصحاب الحدیث ، منهم فی آثار الصحابة عن علیّ علیه‌السلام ، وعمر، وأبی عبیدة، وأبی موسی، وأبیالدردآء، وأبیأمامة، و خالد بن الولید، و غیرهم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488473_2281741623"/>
      <w:bookmarkStart w:id="343" w:name="_Toc130"/>
      <w:bookmarkEnd w:id="342"/>
      <w:r>
        <w:rPr>
          <w:rtl w:val="true"/>
        </w:rPr>
        <w:t xml:space="preserve">الکلام فی طهارته و نجاسته </w:t>
      </w:r>
      <w:r>
        <w:rPr>
          <w:rtl w:val="true"/>
        </w:rPr>
        <w:t>:</w:t>
      </w:r>
      <w:bookmarkEnd w:id="343"/>
    </w:p>
    <w:p>
      <w:pPr>
        <w:pStyle w:val="Heading6"/>
        <w:numPr>
          <w:ilvl w:val="5"/>
          <w:numId w:val="1"/>
        </w:numPr>
        <w:rPr/>
      </w:pPr>
      <w:bookmarkStart w:id="344" w:name="__RefHeading___Toc488475_2281741623"/>
      <w:bookmarkStart w:id="345" w:name="_Toc131"/>
      <w:bookmarkEnd w:id="344"/>
      <w:r>
        <w:rPr>
          <w:rtl w:val="true"/>
        </w:rPr>
        <w:t>اشارة</w:t>
      </w:r>
      <w:bookmarkEnd w:id="345"/>
    </w:p>
    <w:p>
      <w:pPr>
        <w:pStyle w:val="BookText"/>
        <w:rPr/>
      </w:pPr>
      <w:r>
        <w:rPr>
          <w:rFonts w:ascii="IRNazanin" w:hAnsi="IRNazanin" w:eastAsia="IRNazanin"/>
          <w:color w:val="111111"/>
          <w:sz w:val="28"/>
          <w:sz w:val="28"/>
          <w:szCs w:val="28"/>
          <w:rtl w:val="true"/>
          <w:lang w:bidi="fa-IR"/>
        </w:rPr>
        <w:t xml:space="preserve">و إنّما الکلام فی طهارته و نجاسته، والأکثرون علی النجاسة، ففی المدارک، والمفاتیح، و عن المالک، و غیرها، أنّه المشهور بین المتأخّرین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الروض و عن شرح المولی البهبهانیّ علی المفاتیح، والدرّة، والریاض، وغیرها إطلاق الشهرة من غیر تقییدها بکونها بین المتأخّرین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خصوصاً بین المتأخّرین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یظهر من محکی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المخالف فیه هو المخالف فی الخمر، فحینئذ یمکن دعوی شمول الإجماع المنقول فیها علیه ؛ قال فیه </w:t>
      </w:r>
      <w:r>
        <w:rPr>
          <w:rStyle w:val="FootnoteAnchor"/>
          <w:rtl w:val="true"/>
        </w:rPr>
        <w:footnoteReference w:id="7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کلّ مسکر، والفقّاع ، و العصیر إذا غلی قبل ذهاب ثلثیه بالنار أو من نفسه نجس، ذهب إلیه </w:t>
      </w:r>
    </w:p>
    <w:p>
      <w:pPr>
        <w:pStyle w:val="BookText"/>
        <w:rPr/>
      </w:pPr>
      <w:r>
        <w:rPr>
          <w:rFonts w:ascii="IRNazanin" w:hAnsi="IRNazanin" w:eastAsia="IRNazanin"/>
          <w:color w:val="111111"/>
          <w:sz w:val="28"/>
          <w:sz w:val="28"/>
          <w:szCs w:val="28"/>
          <w:rtl w:val="true"/>
          <w:lang w:bidi="fa-IR"/>
        </w:rPr>
        <w:t xml:space="preserve">أکثر علمائنا کالمفید ، و الشیخ أبی جعفر ، والمرتضی ، و أبی الصلاح ، و سلاّر ، و إبن إدریس </w:t>
      </w:r>
      <w:r>
        <w:rPr>
          <w:rStyle w:val="FootnoteAnchor"/>
          <w:rtl w:val="true"/>
        </w:rPr>
        <w:footnoteReference w:id="774"/>
      </w:r>
      <w:r>
        <w:rPr>
          <w:rFonts w:ascii="IRNazanin" w:hAnsi="IRNazanin" w:eastAsia="IRNazanin"/>
          <w:color w:val="111111"/>
          <w:sz w:val="28"/>
          <w:sz w:val="28"/>
          <w:szCs w:val="28"/>
          <w:rtl w:val="true"/>
          <w:lang w:bidi="fa-IR"/>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حکی خلاف إبن أبی عقیل فی الخمر والعصیر علی ما حکی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عن الشهید الثانی رحمه‌الله فی شرح الرسالة، والظاهر أنّه المقاصد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تحقّق القولین فی المسألة مشکوک فیه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معناه کما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قائل إلاّ بالنجاسة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عن إبن أبی عقیل والمصنّف رحمه‌الله فی ظاهر النافع، بل کلّ من لم یذکر العصیر فی النجاسات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صریح الشهید رحمه‌الله فیالذکری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حکمها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المسکرات</w:t>
      </w:r>
      <w:r>
        <w:rPr>
          <w:rFonts w:eastAsia="IRNazanin" w:cs="IRNazanin"/>
          <w:color w:val="111111"/>
          <w:sz w:val="28"/>
          <w:szCs w:val="28"/>
          <w:rtl w:val="true"/>
          <w:lang w:bidi="fa-IR"/>
        </w:rPr>
        <w:t xml:space="preserve">] </w:t>
      </w:r>
      <w:r>
        <w:rPr>
          <w:rStyle w:val="FootnoteAnchor"/>
          <w:rtl w:val="true"/>
        </w:rPr>
        <w:footnoteReference w:id="779"/>
      </w:r>
      <w:r>
        <w:rPr>
          <w:rFonts w:ascii="IRNazanin" w:hAnsi="IRNazanin" w:eastAsia="IRNazanin"/>
          <w:color w:val="111111"/>
          <w:sz w:val="28"/>
          <w:sz w:val="28"/>
          <w:szCs w:val="28"/>
          <w:rtl w:val="true"/>
          <w:lang w:bidi="fa-IR"/>
        </w:rPr>
        <w:t xml:space="preserve">العصیر إذا غلی واشتدّ، فی قول إبن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مع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الفاضل فی نهایته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لغیرهم علی قول بالنجاسة، و لا نصّ علی نجاسة غیر المسکر و هو منتف هنا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والمحکی عنه فی البیان مثل ذلک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 xml:space="preserve">. </w:t>
      </w:r>
      <w:bookmarkStart w:id="346" w:name="pg3696_43501"/>
    </w:p>
    <w:p>
      <w:pPr>
        <w:pStyle w:val="Heading6"/>
        <w:numPr>
          <w:ilvl w:val="5"/>
          <w:numId w:val="1"/>
        </w:numPr>
        <w:rPr/>
      </w:pPr>
      <w:bookmarkStart w:id="347" w:name="__RefHeading___Toc488477_2281741623"/>
      <w:bookmarkStart w:id="348" w:name="_Toc132"/>
      <w:bookmarkEnd w:id="346"/>
      <w:bookmarkEnd w:id="347"/>
      <w:r>
        <w:rPr>
          <w:rtl w:val="true"/>
        </w:rPr>
        <w:t>مختار المؤلّف فی ذلک و هو القول بالنجاسة</w:t>
      </w:r>
      <w:bookmarkEnd w:id="348"/>
    </w:p>
    <w:p>
      <w:pPr>
        <w:pStyle w:val="BookText"/>
        <w:rPr/>
      </w:pPr>
      <w:r>
        <w:rPr>
          <w:rFonts w:ascii="IRNazanin" w:hAnsi="IRNazanin" w:eastAsia="IRNazanin"/>
          <w:color w:val="111111"/>
          <w:sz w:val="28"/>
          <w:sz w:val="28"/>
          <w:szCs w:val="28"/>
          <w:rtl w:val="true"/>
          <w:lang w:bidi="fa-IR"/>
        </w:rPr>
        <w:t xml:space="preserve">و فی ظاهر الروض حیث نقل عن الشهید رحمه‌الله فی الذکری والبیان و سکت عنه،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ینجس عند القائل به إذا غلی </w:t>
      </w:r>
      <w:r>
        <w:rPr>
          <w:rStyle w:val="FootnoteAnchor"/>
          <w:rtl w:val="true"/>
        </w:rPr>
        <w:footnoteReference w:id="782"/>
      </w:r>
      <w:r>
        <w:rPr>
          <w:rFonts w:ascii="IRNazanin" w:hAnsi="IRNazanin" w:eastAsia="IRNazanin"/>
          <w:color w:val="111111"/>
          <w:sz w:val="28"/>
          <w:sz w:val="28"/>
          <w:szCs w:val="28"/>
          <w:rtl w:val="true"/>
          <w:lang w:bidi="fa-IR"/>
        </w:rPr>
        <w:t xml:space="preserve">، إلی آخره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یدلّ أویشعر بعدم کونه قائلاًبه، بل والروضة کما لایخفی علی من لاحظها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صریح المدارک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عن إبن أبی عقیل التصریح بطهارته </w:t>
      </w:r>
      <w:r>
        <w:rPr>
          <w:rStyle w:val="FootnoteAnchor"/>
          <w:rtl w:val="true"/>
        </w:rPr>
        <w:footnoteReference w:id="783"/>
      </w:r>
      <w:r>
        <w:rPr>
          <w:rFonts w:ascii="IRNazanin" w:hAnsi="IRNazanin" w:eastAsia="IRNazanin"/>
          <w:color w:val="111111"/>
          <w:sz w:val="28"/>
          <w:sz w:val="28"/>
          <w:szCs w:val="28"/>
          <w:rtl w:val="true"/>
          <w:lang w:bidi="fa-IR"/>
        </w:rPr>
        <w:t xml:space="preserve">، و مال إلیه جدّی قدس‌سره فی حواشی القواعد، و قوّاه شیخنا المعاصر سلّمه اللّه تعالی ، وهو المعتمد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عن الأردبیلیّ رحمه‌الله </w:t>
      </w:r>
      <w:r>
        <w:rPr>
          <w:rStyle w:val="FootnoteAnchor"/>
          <w:rtl w:val="true"/>
        </w:rPr>
        <w:footnoteReference w:id="785"/>
      </w:r>
      <w:r>
        <w:rPr>
          <w:rFonts w:ascii="IRNazanin" w:hAnsi="IRNazanin" w:eastAsia="IRNazanin"/>
          <w:color w:val="111111"/>
          <w:sz w:val="28"/>
          <w:sz w:val="28"/>
          <w:szCs w:val="28"/>
          <w:rtl w:val="true"/>
          <w:lang w:bidi="fa-IR"/>
        </w:rPr>
        <w:t xml:space="preserve">، والفاضل الهندیّ رحمه‌الله </w:t>
      </w:r>
      <w:r>
        <w:rPr>
          <w:rStyle w:val="FootnoteAnchor"/>
          <w:rtl w:val="true"/>
        </w:rPr>
        <w:footnoteReference w:id="786"/>
      </w:r>
      <w:r>
        <w:rPr>
          <w:rFonts w:ascii="IRNazanin" w:hAnsi="IRNazanin" w:eastAsia="IRNazanin"/>
          <w:color w:val="111111"/>
          <w:sz w:val="28"/>
          <w:sz w:val="28"/>
          <w:szCs w:val="28"/>
          <w:rtl w:val="true"/>
          <w:lang w:bidi="fa-IR"/>
        </w:rPr>
        <w:t xml:space="preserve">، والسیّد رحمه‌الله فی الریاض </w:t>
      </w:r>
      <w:r>
        <w:rPr>
          <w:rStyle w:val="FootnoteAnchor"/>
          <w:rtl w:val="true"/>
        </w:rPr>
        <w:footnoteReference w:id="787"/>
      </w:r>
      <w:r>
        <w:rPr>
          <w:rFonts w:ascii="IRNazanin" w:hAnsi="IRNazanin" w:eastAsia="IRNazanin"/>
          <w:color w:val="111111"/>
          <w:sz w:val="28"/>
          <w:sz w:val="28"/>
          <w:szCs w:val="28"/>
          <w:rtl w:val="true"/>
          <w:lang w:bidi="fa-IR"/>
        </w:rPr>
        <w:t xml:space="preserve">، و غیرهم </w:t>
      </w:r>
      <w:r>
        <w:rPr>
          <w:rStyle w:val="FootnoteAnchor"/>
          <w:rtl w:val="true"/>
        </w:rPr>
        <w:footnoteReference w:id="788"/>
      </w:r>
      <w:r>
        <w:rPr>
          <w:rFonts w:ascii="IRNazanin" w:hAnsi="IRNazanin" w:eastAsia="IRNazanin"/>
          <w:color w:val="111111"/>
          <w:sz w:val="28"/>
          <w:sz w:val="28"/>
          <w:szCs w:val="28"/>
          <w:rtl w:val="true"/>
          <w:lang w:bidi="fa-IR"/>
        </w:rPr>
        <w:t xml:space="preserve">ذلک أیضا </w:t>
      </w:r>
      <w:r>
        <w:rPr>
          <w:rFonts w:eastAsia="IRNazanin" w:cs="IRNazanin"/>
          <w:color w:val="111111"/>
          <w:sz w:val="28"/>
          <w:szCs w:val="28"/>
          <w:rtl w:val="true"/>
          <w:lang w:bidi="fa-IR"/>
        </w:rPr>
        <w:t>.</w:t>
      </w:r>
    </w:p>
    <w:p>
      <w:pPr>
        <w:pStyle w:val="Heading6"/>
        <w:numPr>
          <w:ilvl w:val="5"/>
          <w:numId w:val="1"/>
        </w:numPr>
        <w:rPr/>
      </w:pPr>
      <w:bookmarkStart w:id="349" w:name="__RefHeading___Toc488479_2281741623"/>
      <w:bookmarkStart w:id="350" w:name="_Toc133"/>
      <w:bookmarkEnd w:id="349"/>
      <w:r>
        <w:rPr>
          <w:rtl w:val="true"/>
        </w:rPr>
        <w:t xml:space="preserve">المستند له فی ذلک أمور </w:t>
      </w:r>
      <w:r>
        <w:rPr>
          <w:rtl w:val="true"/>
        </w:rPr>
        <w:t>:</w:t>
      </w:r>
      <w:bookmarkEnd w:id="350"/>
    </w:p>
    <w:p>
      <w:pPr>
        <w:pStyle w:val="Heading6"/>
        <w:numPr>
          <w:ilvl w:val="5"/>
          <w:numId w:val="1"/>
        </w:numPr>
        <w:rPr/>
      </w:pPr>
      <w:bookmarkStart w:id="351" w:name="__RefHeading___Toc488481_2281741623"/>
      <w:bookmarkStart w:id="352" w:name="_Toc134"/>
      <w:bookmarkEnd w:id="351"/>
      <w:r>
        <w:rPr>
          <w:rtl w:val="true"/>
        </w:rPr>
        <w:t>اشارة</w:t>
      </w:r>
      <w:bookmarkEnd w:id="352"/>
    </w:p>
    <w:p>
      <w:pPr>
        <w:pStyle w:val="BookText"/>
        <w:rPr/>
      </w:pPr>
      <w:r>
        <w:rPr>
          <w:rFonts w:ascii="IRNazanin" w:hAnsi="IRNazanin" w:eastAsia="IRNazanin"/>
          <w:color w:val="111111"/>
          <w:sz w:val="28"/>
          <w:sz w:val="28"/>
          <w:szCs w:val="28"/>
          <w:rtl w:val="true"/>
          <w:lang w:bidi="fa-IR"/>
        </w:rPr>
        <w:t xml:space="preserve">ففی المسألة قولان، والمختار هو القول الأوّل، والمستند فی ذلک أمور </w:t>
      </w:r>
      <w:r>
        <w:rPr>
          <w:rFonts w:eastAsia="IRNazanin" w:cs="IRNazanin"/>
          <w:color w:val="111111"/>
          <w:sz w:val="28"/>
          <w:szCs w:val="28"/>
          <w:rtl w:val="true"/>
          <w:lang w:bidi="fa-IR"/>
        </w:rPr>
        <w:t>:</w:t>
      </w:r>
    </w:p>
    <w:p>
      <w:pPr>
        <w:pStyle w:val="Heading6"/>
        <w:numPr>
          <w:ilvl w:val="5"/>
          <w:numId w:val="1"/>
        </w:numPr>
        <w:rPr/>
      </w:pPr>
      <w:bookmarkStart w:id="353" w:name="__RefHeading___Toc488483_2281741623"/>
      <w:bookmarkStart w:id="354" w:name="_Toc135"/>
      <w:bookmarkEnd w:id="353"/>
      <w:r>
        <w:rPr>
          <w:rtl w:val="true"/>
        </w:rPr>
        <w:t xml:space="preserve">الأوّل </w:t>
      </w:r>
      <w:r>
        <w:rPr>
          <w:rtl w:val="true"/>
        </w:rPr>
        <w:t xml:space="preserve">: </w:t>
      </w:r>
      <w:r>
        <w:rPr>
          <w:rtl w:val="true"/>
        </w:rPr>
        <w:t>الإجماع المنقول</w:t>
      </w:r>
      <w:bookmarkEnd w:id="35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المنقول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أی العصیر قبل غلیانه طاهر حلال و بعد غلیانه واشتداده ـ و فسّر بصیرورة أعلاه أسفله ـ نجس حرام، نقل علیه إجماع الإمامیّة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حکی عن صاحب التنقیح فی أطعمته أنّه إدّعی إتّفاق الإمامیّة علی أنّ </w:t>
      </w:r>
      <w:bookmarkStart w:id="355" w:name="pg3696_43502"/>
    </w:p>
    <w:p>
      <w:pPr>
        <w:pStyle w:val="BookText"/>
        <w:rPr/>
      </w:pPr>
      <w:bookmarkEnd w:id="355"/>
      <w:r>
        <w:rPr>
          <w:rFonts w:ascii="IRNazanin" w:hAnsi="IRNazanin" w:eastAsia="IRNazanin"/>
          <w:color w:val="111111"/>
          <w:sz w:val="28"/>
          <w:sz w:val="28"/>
          <w:szCs w:val="28"/>
          <w:rtl w:val="true"/>
          <w:lang w:bidi="fa-IR"/>
        </w:rPr>
        <w:t xml:space="preserve">عصیر العنب إذا غلی حکمه حکم الخمر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هذان الإجماعان المنقولان مؤیّدان بالشهرة السابقة، کافیان فی الحکم المذکور </w:t>
      </w:r>
      <w:r>
        <w:rPr>
          <w:rFonts w:eastAsia="IRNazanin" w:cs="IRNazanin"/>
          <w:color w:val="111111"/>
          <w:sz w:val="28"/>
          <w:szCs w:val="28"/>
          <w:rtl w:val="true"/>
          <w:lang w:bidi="fa-IR"/>
        </w:rPr>
        <w:t>.</w:t>
      </w:r>
    </w:p>
    <w:p>
      <w:pPr>
        <w:pStyle w:val="Heading6"/>
        <w:numPr>
          <w:ilvl w:val="5"/>
          <w:numId w:val="1"/>
        </w:numPr>
        <w:rPr/>
      </w:pPr>
      <w:bookmarkStart w:id="356" w:name="__RefHeading___Toc488485_2281741623"/>
      <w:bookmarkStart w:id="357" w:name="_Toc136"/>
      <w:bookmarkEnd w:id="356"/>
      <w:r>
        <w:rPr>
          <w:rtl w:val="true"/>
        </w:rPr>
        <w:t xml:space="preserve">الثانی </w:t>
      </w:r>
      <w:r>
        <w:rPr>
          <w:rtl w:val="true"/>
        </w:rPr>
        <w:t xml:space="preserve">: </w:t>
      </w:r>
      <w:r>
        <w:rPr>
          <w:rtl w:val="true"/>
        </w:rPr>
        <w:t>إنّ العصیر هو الخمر</w:t>
      </w:r>
      <w:bookmarkEnd w:id="35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کما هو المصرّح فی کلام جماعة هو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الفقیه فی باب حدّ الشرب وما جاء فی الغناء والملاهی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أبی رضی‌الله‌عنه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أصل الخمر من الکرم الّذی إذا أصابته النار أو غلی من غیر أنّ تمسّه النار، فیصیر أعلاه أسفله، فهو خمر، فلا یحلّ شربه إلاّ أن یذهب ثلثاه و یبقی ثلثه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 الخمر حقیقة فی عصیر العنب إجماعاً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کنز العرفان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فی الأصل مصدر خمّره إذا ستره، سمّی به عصیر العنب والتمر إذا غلی واشتدّ، لأنّه یخمّر العقل أی یستره، کما سمّی مسکراً لأنّه یسکره، أی یحجزه </w:t>
      </w:r>
      <w:r>
        <w:rPr>
          <w:rStyle w:val="FootnoteAnchor"/>
          <w:rtl w:val="true"/>
        </w:rPr>
        <w:footnoteReference w:id="79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یومی إلیه قول الصادق علیه‌السلام فی الصحیح وغیره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والنقیع من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الحدیث </w:t>
      </w:r>
      <w:r>
        <w:rPr>
          <w:rStyle w:val="FootnoteAnchor"/>
          <w:rtl w:val="true"/>
        </w:rPr>
        <w:footnoteReference w:id="7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ثمن </w:t>
      </w:r>
    </w:p>
    <w:p>
      <w:pPr>
        <w:pStyle w:val="BookText"/>
        <w:rPr/>
      </w:pPr>
      <w:r>
        <w:rPr>
          <w:rFonts w:ascii="IRNazanin" w:hAnsi="IRNazanin" w:eastAsia="IRNazanin"/>
          <w:color w:val="111111"/>
          <w:sz w:val="28"/>
          <w:sz w:val="28"/>
          <w:szCs w:val="28"/>
          <w:rtl w:val="true"/>
          <w:lang w:bidi="fa-IR"/>
        </w:rPr>
        <w:t xml:space="preserve">العصیر قبل أن یغلی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 و إن غلی فلا یحلّ </w:t>
      </w:r>
      <w:r>
        <w:rPr>
          <w:rStyle w:val="FootnoteAnchor"/>
          <w:rtl w:val="true"/>
        </w:rPr>
        <w:footnoteReference w:id="7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بعته قبل أن یکون خمراً و هو حلال، فلا بأس </w:t>
      </w:r>
      <w:r>
        <w:rPr>
          <w:rStyle w:val="FootnoteAnchor"/>
          <w:rtl w:val="true"/>
        </w:rPr>
        <w:footnoteReference w:id="796"/>
      </w:r>
      <w:r>
        <w:rPr>
          <w:rFonts w:ascii="IRNazanin" w:hAnsi="IRNazanin" w:eastAsia="IRNazanin"/>
          <w:color w:val="111111"/>
          <w:sz w:val="28"/>
          <w:sz w:val="28"/>
          <w:szCs w:val="28"/>
          <w:rtl w:val="true"/>
          <w:lang w:bidi="fa-IR"/>
        </w:rPr>
        <w:t xml:space="preserve">، إنتهی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والإنصاف انّ الإستدلال علی نجاسة العصیر من هذا الوجه مشکل، و من المعلوم أنّ ماء العنب بمجرّد غلیانه لا یکون خمراً، بل الخمر إسم لمسمّی معلوم عند أهل العرف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غیر کلام الفقیه نقلاً عن أبیه ظهوره فی کون العصیر بمجرّد الغلیان خمراً، محلّ منع و نظر، بل لعلّه ظاهر فی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کلام المهذّب، فلعلّ المراد منه، و هو المظنون، إنّما هو فی مقابلة کون الخمر إسما للنبیذ أو الفقّاع، و یشهد بذلک دعویه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کلام کنز العرفان، فظاهر فی العدم کما یشهد بذلک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 یسمّی مسکراً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أمّا الخبر، فهو مع کونه محمولاً علی نوع من التجوّز لبیان أنّ الخمر تکون من هذه الخمسة ، و أمّا أنّ العصیر بأیّ حالة کان العصیر علیها فهو خمر ، فلا دلالة فی الخبر علیه، و لذا لم ینصّ فیه علی غلیانه واشتداده، والخبر الثانی لا دلالة فیه کما لا یخفی، و کذا الثالث کما لا یخفی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یؤیّد عدم کون الخمر إسما للعصیر المغلی ما رواه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العصیر حتّی یغلی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bookmarkStart w:id="358" w:name="pg3696_43504"/>
    </w:p>
    <w:p>
      <w:pPr>
        <w:pStyle w:val="BookText"/>
        <w:rPr/>
      </w:pPr>
      <w:bookmarkEnd w:id="358"/>
      <w:r>
        <w:rPr>
          <w:rFonts w:ascii="IRNazanin" w:hAnsi="IRNazanin" w:eastAsia="IRNazanin"/>
          <w:color w:val="111111"/>
          <w:sz w:val="28"/>
          <w:sz w:val="28"/>
          <w:szCs w:val="28"/>
          <w:rtl w:val="true"/>
          <w:lang w:bidi="fa-IR"/>
        </w:rPr>
        <w:t xml:space="preserve">و ما رواه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عاصم،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بشرب العصیر ستّة أیّام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 رواه فیه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حمّاد بن عثمان،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شرب العصیر،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ما لم یغل، فإذا غلی فلا تشربه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Heading6"/>
        <w:numPr>
          <w:ilvl w:val="5"/>
          <w:numId w:val="1"/>
        </w:numPr>
        <w:rPr/>
      </w:pPr>
      <w:bookmarkStart w:id="359" w:name="__RefHeading___Toc488487_2281741623"/>
      <w:bookmarkStart w:id="360" w:name="_Toc137"/>
      <w:bookmarkEnd w:id="359"/>
      <w:r>
        <w:rPr>
          <w:rtl w:val="true"/>
        </w:rPr>
        <w:t xml:space="preserve">الثالث </w:t>
      </w:r>
      <w:r>
        <w:rPr>
          <w:rtl w:val="true"/>
        </w:rPr>
        <w:t xml:space="preserve">: </w:t>
      </w:r>
      <w:r>
        <w:rPr>
          <w:rtl w:val="true"/>
        </w:rPr>
        <w:t>انّ العصیر المغلی مسکر مطلقاً أو الکثیر منه</w:t>
      </w:r>
      <w:bookmarkEnd w:id="360"/>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بعض من کون العصیر المغلی مسکرا مطلقاً، أوالکثیر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السیّد السند، العالم المتبحّر، المشتهر شهرة صادقة ببحر العلوم، فی مصابیحه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الحکم بتحریم العصیر قبل ذهاب ثلثیه تعبّد محض، أو معلّل بالإسکار الخفیّ المسبّب عن الغلیان، أو لعروض التخمیر له إذا بقی و طال مکثه ؟ إحتمالات، أوسطها الأوسط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بان لک وجهه ممّا مضی و یأتی تحقیق ذلک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جواهر الکلام فی مقام دفع إستبعاد کون العصیر خمرا بعدم کونه مسکرا فلا تخمیر فیه للعقل فلیس بخمر، قال بعد أن ذکر وجها أولاً لدفع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بمنع عدم تحقّق الإسکار فیه حتّی بالکثیر منه، نعم هو لم یکن معروفاً بذلک، و لعلّه هو منشأ حرمته فی علم اللّه إن لم یکن الظاهر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یستدلّ علی ذلک أو یجعل مؤیّدا لذلک بما قد إستفاضت من الروایات ، بل کادت تکون متواترة بتعلیق الحرمة فی النبیذ و غیره علی الإسکار و عدمها، </w:t>
      </w:r>
    </w:p>
    <w:p>
      <w:pPr>
        <w:pStyle w:val="BookText"/>
        <w:rPr/>
      </w:pPr>
      <w:r>
        <w:rPr>
          <w:rFonts w:ascii="IRNazanin" w:hAnsi="IRNazanin" w:eastAsia="IRNazanin"/>
          <w:color w:val="111111"/>
          <w:sz w:val="28"/>
          <w:sz w:val="28"/>
          <w:szCs w:val="28"/>
          <w:rtl w:val="true"/>
          <w:lang w:bidi="fa-IR"/>
        </w:rPr>
        <w:t xml:space="preserve">مع إستفاضة الروایات بحرمة عصیر العنب إذا غلی قبل ذهاب الثلثین، بتقریب أنّ حملها علی التخصیص لیس بأولی من حملها علی تحقّق الإسکار فیه، بل هو أولی لإصالة عدم التجوّز، بل لعلّه متعیّن لعدم القرینة، بل قد یقطع به لعدم ظهور شیء من روایات الحرمة فی خروج ذلک عن تلک 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روایة تدلّ علی أنّ الحرمة فی جمیع الأنواع تدور مدار الإسکار، نعم قد توجد فی أخبار النبیذ ذلک، و فی بعض الأخبار أنّ الخمر إنّما حرّم لعاقبتها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سلّمنا، لکن لا نسلّم أنّ الحمل علی تحقّق الإسکار أولی من الحمل علی التخصیص، بل العکس أولی کما لا یخفی لشیوع التخصّص، مع أنّ مثل هذه القواعد لا تثبت الموضوعات من الإسکار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إذا دار الأمر بین المجاز والتخصیص فالثانی أولی، و أصالة عدم التجوّز إنّما تفید بعد ثبوت إستعمال المسکر فیه و هو محلّ المنع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لو ثبت تواتر الأخبار أو إستفاضتها علی ما ادّعاه بل خبر واحد علی ذلک، أی علی تعلیق الحرمة مدار الإسکار، أو فهمنا من الأخبار هذه الکلّیة لکفی ذلک، إذ بعد ثبوت الحکم بالحرمة لقلنا بثبوت الإسکار و به تثبت النجاسة لأنّ کلّ مسکر نجس إذا کان مایعاً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یستدلّ أو یؤیّد بما ذکره العامّة فی بدو أمر الطِلآء أنّ عُمَر حین قدم الشام شکی إلیه أهل الشام وباء الأرض و ثقلها، و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یصلحنا إلاّ هذا الشراب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إشربوا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یصلحنا العسل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رجل من أهل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لک أن نجعل لک فی هذا الشراب شیئا لا یسکر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فطبخوه </w:t>
      </w:r>
    </w:p>
    <w:p>
      <w:pPr>
        <w:pStyle w:val="BookText"/>
        <w:rPr/>
      </w:pPr>
      <w:r>
        <w:rPr>
          <w:rFonts w:ascii="IRNazanin" w:hAnsi="IRNazanin" w:eastAsia="IRNazanin"/>
          <w:color w:val="111111"/>
          <w:sz w:val="28"/>
          <w:sz w:val="28"/>
          <w:szCs w:val="28"/>
          <w:rtl w:val="true"/>
          <w:lang w:bidi="fa-IR"/>
        </w:rPr>
        <w:t xml:space="preserve">حتّی ذهب منه ثلثاه و بقی الثلث، فأتوا به عمر، فأدخل فیه إصبعه، ثمّ رفع یده فتبعها یتمطّط،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الطِلآء مثل طلاء الإبل فأمرهم أن یشربوه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انّی لا أحلّ لهم شیئا حرّمته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إلی الناس أن أطبخوا شرابکم حتّی یذهب نصیب الشیطان منه، فإنّ للشیطان إثنین، و لکم واحد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هل لک أن نجعل 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إلی آخره، یدلّ علی أنّه یسکر قبل ذهاب الثلثین، و فیه انّ المراد بالشراب لعلّه الخمر لا العصیر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الإستدلال بمثل ذلک علی تحقّق الإسکار فیه المستلزم للنجاسة کماتری، نعم لا بأس للتأیید بها و أیّ نفع فیه بعد عدم الدلیل علی تحقّق الإسکار فیه، و لا علی 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إمکان دعوی شهادة الوجدان علی عدم تحقّق الإسکار فیه، مضافا إلی الأصل الثابت فی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قیل من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دعوی شهادة الوجدان بعدم الإسکار فیجب التخصیص ممنوعة أشدّ المنع، إذ من جرّب ذلک فوجد خلافه و لو بالکثیر منه، خصوصاً مع الإکتفاء به و لو بالنسبة إلی بعض الأمزجة فی بعض الأمکنة و الأزمنة و الأهویة، حتّی الخفیّ منه ؛ کلاّ انّ دعوی ذلک فریة بیّنة </w:t>
      </w:r>
      <w:r>
        <w:rPr>
          <w:rStyle w:val="FootnoteAnchor"/>
          <w:rtl w:val="true"/>
        </w:rPr>
        <w:footnoteReference w:id="80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انّ الوجدان لا یتوقّف شهادته علی شرب الکثیر، و لذا نعلم بعدم الإسکار فی کثیر من الأشیاء مع عدم شرب الکثیر، و لذا تری الأذهان سابقة إلی ذلک مع أنّک لو سأل عن ذلک من کلّ أحد لقالک بذلک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لانسلّم بکفایة الإسکار فی بعض الأمزجة بل الأمکنة والأزمنة، بل المدار علی المزاج والهواء والمکان والزمان السالم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أظهر من ذلک ضعف کلامه الآخر حیث قال بعد جملة ما 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ذلک کلّه یظهر لک إمکان 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 xml:space="preserve">] </w:t>
      </w:r>
      <w:r>
        <w:rPr>
          <w:rStyle w:val="FootnoteAnchor"/>
          <w:rtl w:val="true"/>
        </w:rPr>
        <w:footnoteReference w:id="804"/>
      </w:r>
      <w:r>
        <w:rPr>
          <w:rFonts w:ascii="IRNazanin" w:hAnsi="IRNazanin" w:eastAsia="IRNazanin"/>
          <w:color w:val="111111"/>
          <w:sz w:val="28"/>
          <w:sz w:val="28"/>
          <w:szCs w:val="28"/>
          <w:rtl w:val="true"/>
          <w:lang w:bidi="fa-IR"/>
        </w:rPr>
        <w:t xml:space="preserve">دعوی فرض النزاع فی المعلوم عدم الإسکار، نعم هو لیس فیما علم تحقّق الإسکار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النزاع فی العصیر العنبی من غیر تقیید، إذ لعلّ وصف الإسکار لازم له و لو بالکثیر منه، فلو فرض البحث فی فاقده کان نزاعاً فی موضوع وهمیّ لا یلیق بالفقیه </w:t>
      </w:r>
      <w:r>
        <w:rPr>
          <w:rStyle w:val="FootnoteAnchor"/>
          <w:rtl w:val="true"/>
        </w:rPr>
        <w:footnoteReference w:id="80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وفیه إنّ‌الإحتمال المذکور غیر کاف فیالحکم علی وجه الإطلاق والعموم وهذا هوالمقصود له ولیس النزاع فیماعلم تحقّق‌الإسکار فیه علی فرض ثبوت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منع کون النزاع فی المعلوم عدم إسکاره، محلّ نظر، بل ظاهر کلماتهم الأعمّ بل الظاهر إنحصار النزاع فیه بعد ما ثبت من أنّه لیس بمسکر، ثمّ نحن نعکس الأمر و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 البحث فی واجده کان نزاعاً فی موضوع وهمیّ لا یلیق بالفقیه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فالإنصاف أنّه لا علم للقائلین بالطهارة بعدم إسکاره حتّی بالکثیر منه، کما أنّه لا علم للقائلین بالنجاسة بإسکاره و لو بالکثیر منه، لعدم تعارف شرب مثله السکر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وإن کان مقتضی الإنصاف بالنسبة إلی الجزء الأخیر، لکن بالنسبة إلی الجزء الأوّل قد یقال إنّه ما أنصف، لما مرّ من عدم تشکیک أحد فی أنّ العصیر </w:t>
      </w:r>
      <w:bookmarkStart w:id="361" w:name="pg3696_43508"/>
    </w:p>
    <w:p>
      <w:pPr>
        <w:pStyle w:val="BookText"/>
        <w:rPr/>
      </w:pPr>
      <w:bookmarkEnd w:id="361"/>
      <w:r>
        <w:rPr>
          <w:rFonts w:ascii="IRNazanin" w:hAnsi="IRNazanin" w:eastAsia="IRNazanin"/>
          <w:color w:val="111111"/>
          <w:sz w:val="28"/>
          <w:sz w:val="28"/>
          <w:szCs w:val="28"/>
          <w:rtl w:val="true"/>
          <w:lang w:bidi="fa-IR"/>
        </w:rPr>
        <w:t xml:space="preserve">بمجرّد الغلیان لا یسکر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لکن لا یحتاج القائلون بالطهارة مثلاً إلی العلم، بل الأصل کاف لهم </w:t>
      </w:r>
      <w:r>
        <w:rPr>
          <w:rFonts w:eastAsia="IRNazanin" w:cs="IRNazanin"/>
          <w:color w:val="111111"/>
          <w:sz w:val="28"/>
          <w:szCs w:val="28"/>
          <w:rtl w:val="true"/>
          <w:lang w:bidi="fa-IR"/>
        </w:rPr>
        <w:t>.</w:t>
      </w:r>
    </w:p>
    <w:p>
      <w:pPr>
        <w:pStyle w:val="Heading6"/>
        <w:numPr>
          <w:ilvl w:val="5"/>
          <w:numId w:val="1"/>
        </w:numPr>
        <w:rPr/>
      </w:pPr>
      <w:bookmarkStart w:id="362" w:name="__RefHeading___Toc488489_2281741623"/>
      <w:bookmarkStart w:id="363" w:name="_Toc138"/>
      <w:bookmarkEnd w:id="362"/>
      <w:r>
        <w:rPr>
          <w:rtl w:val="true"/>
        </w:rPr>
        <w:t xml:space="preserve">الرابع </w:t>
      </w:r>
      <w:r>
        <w:rPr>
          <w:rtl w:val="true"/>
        </w:rPr>
        <w:t xml:space="preserve">: </w:t>
      </w:r>
      <w:r>
        <w:rPr>
          <w:rtl w:val="true"/>
        </w:rPr>
        <w:t>ما رواه فی التهذیب عن معاویة بن عمّار</w:t>
      </w:r>
      <w:bookmarkEnd w:id="363"/>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عن أحمد بن محمّد، عن محمّد بن إسماعیل، عن یونس بن یعقوب،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من أهل المعرفة بالحقّ یأتینی بالبختج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 أنا أعرفه أنّه یشربه علی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 نعرفه یشربه علی الثلث، و لا یستحلّه علی النصف، یخبرنا أنّ عندنا بختجاً علی الثلث قد ذهب ثلثاه و بقی ثلثه یشرب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إنّ الروایة صحیحة، لأنّ الظاهر انّ أحمد بن محمّد هذا هو أحمد بن محمّد بن عیسی، و محمّد بن إسماعیل هو محمّد بن إسماعیل بن بزیع، فجعله من الموثّق کما فی جواهر الکلام، لا أعرف له وجهاً </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یعترض علی هذه الروایة بأنّها مرویّة فی الکافی بدون لفظ الخمر هکذا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أفأشربه بقوله و هو یشربه علی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Style w:val="FootnoteAnchor"/>
          <w:rtl w:val="true"/>
        </w:rPr>
        <w:footnoteReference w:id="809"/>
      </w:r>
      <w:r>
        <w:rPr>
          <w:rFonts w:ascii="IRNazanin" w:hAnsi="IRNazanin" w:eastAsia="IRNazanin"/>
          <w:color w:val="111111"/>
          <w:sz w:val="28"/>
          <w:sz w:val="28"/>
          <w:szCs w:val="28"/>
          <w:rtl w:val="true"/>
          <w:lang w:bidi="fa-IR"/>
        </w:rPr>
        <w:t xml:space="preserve">، و هو أضبط من التهذیب، مضافاً إلی قوّة إحتمال إرادة الحرمة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عقیب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الکافی و إن کان أضبط، لکن علی وجه یوجب الحکم بأنّ الزیادة إشتباه من التهذیب، لأنّ مثل هذه الزیادة یبعد الإشتباه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الترجیح بالأضبطیّة لیس إلاّ لحصول الظنّ فی جانب الأضبط والظنّ هنا قد یکون بالعکس، نعم قد یکون الإختلاف فی لفظ واحد فیقدّم الکافی لأضبطیّته و کذلک إذا کان الأمر بالعکس،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أنّ الإختلاف بین ما فی الکافی والتهذیب لیس فی هذه الزیادة فقط، بل فی ألفاظ الآخر، فیکشف ذلک عن انّ الإختلاف من الأصل إمّا من الرواة أو من الکتب والأصول التّی بیدهما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الکافی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من أهل المعرفة بالحقّ یأتینی بالبختج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 أنا أعلم أنّه یشربه علی النصف أفأشربه بقوله و هو یشربه علی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 نعرفه یشربه علی الثلث و لا یستحلّه علی النصف یخبرنا أنّ عنده بختجاً علی الثلث قد ذهب ثلثاه و بقی ثلثه نشرب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لم یعلم أضبطیّة أحد الأصلین من الآخر، والترجیح فی جانب الزیادة قطعا، فالخبر المذکور بانضمام ما مرّ من الفقیه نقلاً عن أبیه علی وجه یظهر منه الإرتضاء بذلک، مع ما مرّ من الشهرة المؤیّدة بالإجماعین السابقین، کاف فی الحکم بنجاسة العصیر بعد الغلیان، مؤیّدا ذلک کلّه بما مرّ من الأخبار، و ما ربما یظهر منها بعد التصفّح لها أنّ النجاسة ملازمة للحرمة، أو الحرمة دائرة مدار الإسکار، فیکون نجساً لما ثبت سابقا أنّ کلّ مسکر مائع نجس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ذلک یظهر لک ضعف إستناد الخصم للحکم بالطهارة بالأصل والعمومات، أمّا الأصل فظاهر ، و أمّا العمومات فإن کانت العمومات الأوّلیّة من قوله تعالی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خلق لکم ما فی الأرض جمیعا </w:t>
      </w:r>
      <w:r>
        <w:rPr>
          <w:rFonts w:eastAsia="IRNazanin" w:cs="IRNazanin"/>
          <w:color w:val="111111"/>
          <w:sz w:val="28"/>
          <w:szCs w:val="28"/>
          <w:rtl w:val="true"/>
          <w:lang w:bidi="fa-IR"/>
        </w:rPr>
        <w:t xml:space="preserve">» </w:t>
      </w:r>
      <w:r>
        <w:rPr>
          <w:rStyle w:val="FootnoteAnchor"/>
          <w:rtl w:val="true"/>
        </w:rPr>
        <w:footnoteReference w:id="812"/>
      </w:r>
      <w:r>
        <w:rPr>
          <w:rFonts w:ascii="IRNazanin" w:hAnsi="IRNazanin" w:eastAsia="IRNazanin"/>
          <w:color w:val="111111"/>
          <w:sz w:val="28"/>
          <w:sz w:val="28"/>
          <w:szCs w:val="28"/>
          <w:rtl w:val="true"/>
          <w:lang w:bidi="fa-IR"/>
        </w:rPr>
        <w:t xml:space="preserve">و غیره، فتخصّص بما مرّ، و إن کانت غیرها، فهی و إن کانت کذلک لکنّا لم نجدها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bookmarkStart w:id="364" w:name="pg3696_43511"/>
    </w:p>
    <w:p>
      <w:pPr>
        <w:pStyle w:val="Heading3"/>
        <w:numPr>
          <w:ilvl w:val="2"/>
          <w:numId w:val="1"/>
        </w:numPr>
        <w:rPr/>
      </w:pPr>
      <w:bookmarkStart w:id="365" w:name="__RefHeading___Toc488491_2281741623"/>
      <w:bookmarkStart w:id="366" w:name="_Toc139"/>
      <w:bookmarkEnd w:id="364"/>
      <w:bookmarkEnd w:id="365"/>
      <w:r>
        <w:rPr>
          <w:rtl w:val="true"/>
        </w:rPr>
        <w:t>مسألة العصیر و تحیق الحال فیها</w:t>
      </w:r>
      <w:r>
        <w:rPr>
          <w:rtl w:val="true"/>
        </w:rPr>
        <w:t>:</w:t>
      </w:r>
      <w:bookmarkEnd w:id="366"/>
    </w:p>
    <w:p>
      <w:pPr>
        <w:pStyle w:val="Heading4"/>
        <w:numPr>
          <w:ilvl w:val="3"/>
          <w:numId w:val="1"/>
        </w:numPr>
        <w:rPr/>
      </w:pPr>
      <w:bookmarkStart w:id="367" w:name="__RefHeading___Toc488493_2281741623"/>
      <w:bookmarkStart w:id="368" w:name="_Toc140"/>
      <w:bookmarkEnd w:id="367"/>
      <w:r>
        <w:rPr>
          <w:rtl w:val="true"/>
        </w:rPr>
        <w:t>المقصد الأول</w:t>
      </w:r>
      <w:r>
        <w:rPr>
          <w:rtl w:val="true"/>
        </w:rPr>
        <w:t xml:space="preserve">: </w:t>
      </w:r>
      <w:r>
        <w:rPr>
          <w:rtl w:val="true"/>
        </w:rPr>
        <w:t>فی العصیر العنبی</w:t>
      </w:r>
      <w:bookmarkEnd w:id="36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69" w:name="__RefHeading___Toc488495_2281741623"/>
      <w:bookmarkStart w:id="370" w:name="_Toc141"/>
      <w:bookmarkEnd w:id="369"/>
      <w:r>
        <w:rPr>
          <w:rtl w:val="true"/>
        </w:rPr>
        <w:t>اشارة</w:t>
      </w:r>
      <w:bookmarkEnd w:id="37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1" w:name="pg3696_43513"/>
      <w:bookmarkStart w:id="372" w:name="pg3696_43513"/>
      <w:bookmarkEnd w:id="372"/>
    </w:p>
    <w:p>
      <w:pPr>
        <w:pStyle w:val="BookText"/>
        <w:rPr/>
      </w:pPr>
      <w:bookmarkStart w:id="373" w:name="pg3696_43513"/>
      <w:bookmarkEnd w:id="373"/>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والصلاة علی خیر خلقه محمّد و آله الطاهرین</w:t>
      </w:r>
    </w:p>
    <w:p>
      <w:pPr>
        <w:pStyle w:val="BookText"/>
        <w:rPr/>
      </w:pPr>
      <w:r>
        <w:rPr>
          <w:rFonts w:ascii="IRNazanin" w:hAnsi="IRNazanin" w:eastAsia="IRNazanin"/>
          <w:color w:val="111111"/>
          <w:sz w:val="28"/>
          <w:sz w:val="28"/>
          <w:szCs w:val="28"/>
          <w:rtl w:val="true"/>
          <w:lang w:bidi="fa-IR"/>
        </w:rPr>
        <w:t xml:space="preserve">مسألة العصیر و تحقیق الحال فیها یحتاج إلی رسم مقاصد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المقصد الأوّل</w:t>
      </w:r>
    </w:p>
    <w:p>
      <w:pPr>
        <w:pStyle w:val="BookText"/>
        <w:rPr/>
      </w:pPr>
      <w:r>
        <w:rPr>
          <w:rFonts w:ascii="IRNazanin" w:hAnsi="IRNazanin" w:eastAsia="IRNazanin"/>
          <w:color w:val="111111"/>
          <w:sz w:val="28"/>
          <w:sz w:val="28"/>
          <w:szCs w:val="28"/>
          <w:rtl w:val="true"/>
          <w:lang w:bidi="fa-IR"/>
        </w:rPr>
        <w:t>فی العصیر العنبی</w:t>
      </w:r>
    </w:p>
    <w:p>
      <w:pPr>
        <w:pStyle w:val="BookText"/>
        <w:rPr/>
      </w:pPr>
      <w:r>
        <w:rPr>
          <w:rFonts w:ascii="IRNazanin" w:hAnsi="IRNazanin" w:eastAsia="IRNazanin"/>
          <w:color w:val="111111"/>
          <w:sz w:val="28"/>
          <w:sz w:val="28"/>
          <w:szCs w:val="28"/>
          <w:rtl w:val="true"/>
          <w:lang w:bidi="fa-IR"/>
        </w:rPr>
        <w:t xml:space="preserve">و تنقیح المقال فیه یحتاج إلی بسط مختصر الکلام فی فصول </w:t>
      </w:r>
      <w:r>
        <w:rPr>
          <w:rFonts w:eastAsia="IRNazanin" w:cs="IRNazanin"/>
          <w:color w:val="111111"/>
          <w:sz w:val="28"/>
          <w:szCs w:val="28"/>
          <w:rtl w:val="true"/>
          <w:lang w:bidi="fa-IR"/>
        </w:rPr>
        <w:t>:</w:t>
      </w:r>
    </w:p>
    <w:p>
      <w:pPr>
        <w:pStyle w:val="Heading5"/>
        <w:numPr>
          <w:ilvl w:val="4"/>
          <w:numId w:val="1"/>
        </w:numPr>
        <w:rPr/>
      </w:pPr>
      <w:bookmarkStart w:id="374" w:name="__RefHeading___Toc488497_2281741623"/>
      <w:bookmarkStart w:id="375" w:name="_Toc142"/>
      <w:bookmarkEnd w:id="374"/>
      <w:r>
        <w:rPr>
          <w:rtl w:val="true"/>
        </w:rPr>
        <w:t xml:space="preserve">الفصل الأوّل </w:t>
      </w:r>
      <w:r>
        <w:rPr>
          <w:rtl w:val="true"/>
        </w:rPr>
        <w:t xml:space="preserve">: </w:t>
      </w:r>
      <w:r>
        <w:rPr>
          <w:rtl w:val="true"/>
        </w:rPr>
        <w:t>فی الأخبار الواردة فی هذا الباب</w:t>
      </w:r>
      <w:bookmarkEnd w:id="375"/>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IRNazanin" w:hAnsi="IRNazanin" w:eastAsia="IRNazanin"/>
          <w:color w:val="111111"/>
          <w:sz w:val="28"/>
          <w:sz w:val="28"/>
          <w:szCs w:val="28"/>
          <w:rtl w:val="true"/>
          <w:lang w:bidi="fa-IR"/>
        </w:rPr>
        <w:t>فی الأخبار الواردة فی هذا الباب و توضیح ما فیها</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الکافی فی باب العصیر من أبواب کتاب الأشربة، وفی التهذیب فی باب الذبائح والأطعمة، عن حمّاد بن عثمان،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یحرم العصیر حتّی یغلی </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بل الحسن المرویّ فی الکافی فی الباب المذکور ، عن إبن أبی عمیر، عن محمّد بن عاصم،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بشرب العصیر ستّة أیّام، قال إبن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لم یغل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محمّد بن عاصم و إن کان مجهولاً فی الرجال، لکن روایة إبن أبی عمیر عنه تدلّ علی حسن حاله، فضلاً عمّا فی رجال الکشی، فی الواقفة، عن محمّد بن عاصم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علیه‌السلام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محمّد بن عاصم بلغنی أنّک تجالس الواقفة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جعلت فداک ، أجالسهم و أنا مخالف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تجالسهم فإنّ اللّه عزّوجلّ یقول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نَزَّلَ عَلَیْکُمْ فِی الکِتابِ أَنْ إِذا سَمِعْتُم أیاتُ اللّه‌ِ یُکْفَرُ بِها وَ یُسْتَهْزَی‌ءُ بِها فلا تَقْعُدُوا حَتّی یَخُوضُوا فِی حَدِیثٍ غَیْرِهِ أَنَّکُمْ إذا مِثْلَهُمْ </w:t>
      </w:r>
      <w:r>
        <w:rPr>
          <w:rFonts w:eastAsia="Amiri" w:cs="Amiri" w:ascii="Amiri" w:hAnsi="Amiri"/>
          <w:color w:val="111111"/>
          <w:sz w:val="28"/>
          <w:szCs w:val="28"/>
          <w:rtl w:val="true"/>
          <w:lang w:bidi="ar-SA"/>
        </w:rPr>
        <w:t xml:space="preserve">» </w:t>
      </w:r>
      <w:r>
        <w:rPr>
          <w:rStyle w:val="FootnoteAnchor"/>
          <w:rtl w:val="true"/>
        </w:rPr>
        <w:footnoteReference w:id="815"/>
      </w:r>
      <w:r>
        <w:rPr>
          <w:rFonts w:ascii="IRNazanin" w:hAnsi="IRNazanin" w:eastAsia="IRNazanin"/>
          <w:color w:val="111111"/>
          <w:sz w:val="28"/>
          <w:sz w:val="28"/>
          <w:szCs w:val="28"/>
          <w:rtl w:val="true"/>
          <w:lang w:bidi="fa-IR"/>
        </w:rPr>
        <w:t xml:space="preserve">، یعنی بالآیات الأوصیاء والّذین کفروا بها، الواقفة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القویّ لأبی یحیی الواسطیّ المرویّ فیها، عن حمّاد بن عثمان،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شرب العصیر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ما لم یغل، فإذا غلی فلا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أیّ شیء الغلیان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بإبن فضّال المرویّ فیهما عن ذریح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العصیر أو غلی حرم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النشیش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الماء و غیره إذا غلی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حدیث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فلا تشرب، أی إذا غلی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العرف إنّ الغلیان ما إذا کان بالنار، والنشیش ما إذا کان من عند نفسه، کما یؤمی إلیه عطف الغلیان علی النشیش فی الخبر، وفی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نشّ العصیر من غیر أن تمسّه النار فدعه حتّی یصیر خلاًّ </w:t>
      </w:r>
      <w:r>
        <w:rPr>
          <w:rStyle w:val="FootnoteAnchor"/>
          <w:rtl w:val="true"/>
        </w:rPr>
        <w:footnoteReference w:id="821"/>
      </w:r>
      <w:r>
        <w:rPr>
          <w:rFonts w:ascii="IRNazanin" w:hAnsi="IRNazanin" w:eastAsia="IRNazanin"/>
          <w:color w:val="111111"/>
          <w:sz w:val="28"/>
          <w:sz w:val="28"/>
          <w:szCs w:val="28"/>
          <w:rtl w:val="true"/>
          <w:lang w:bidi="fa-IR"/>
        </w:rPr>
        <w:t xml:space="preserve">، لکن الّذی یظهر من عبارات القوم إنّ الغلیان أعمّ من أن یکون بالنار ، و قد یظهر ذلک من الأخبار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واحتمل بعض أن یکون التردید من الراوی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کلّ حال فالمعتبر الغلیان و هو أن یصیر أسفله أعلاه، کما نصّ علیه جماعة من الأصحاب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الکافی فی باب العصیر الّذی قد مسّته النار ، وفی التهذیب فی الباب المذکور، عن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عصیر أصابته النار فهو حرام، حتّی یذهب ثلثاه و یبقی ثلثه </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فیهما ، عن محمّد بن الهیثم ، عن رجل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العصیر یطبخ بالنار حتّی یغلی من ساعته فیشربه </w:t>
      </w:r>
    </w:p>
    <w:p>
      <w:pPr>
        <w:pStyle w:val="BookText"/>
        <w:rPr/>
      </w:pPr>
      <w:r>
        <w:rPr>
          <w:rFonts w:ascii="IRNazanin" w:hAnsi="IRNazanin" w:eastAsia="IRNazanin"/>
          <w:color w:val="111111"/>
          <w:sz w:val="28"/>
          <w:sz w:val="28"/>
          <w:szCs w:val="28"/>
          <w:rtl w:val="true"/>
          <w:lang w:bidi="fa-IR"/>
        </w:rPr>
        <w:t xml:space="preserve">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عن حاله و غلی فلا خیر فیه ، حتّی یذهب ثلثاه ویبقی ثلثه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الکافی فی باب الطِلآء،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سئل عن الطِلآء،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طبخ حتّی یذهب منه إثنان و یبقی واحد فهو حلال، و ما کان دون ذلک فلیس فیه خیر </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فیه،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إذا طبخ حتّی یذهب ثلثاه و یبقی ثلثه فهو حلال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فیه وفی التهذیب، عن إبن أبییعفور،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الطِلآء علی الثلث فهو حرام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فیهما أیضا، عن إبن أبی 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الطِلآء علی الثلث أُوقیّة فهو حرام </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الطِلآء بالکسر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المطبوخ من عصیر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أوقیّة بضمّ الأوّل و تشدید الیاء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سبعة مثاقیل </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المرویّ فی التهذیب فی الباب المذکور ، عن عبداللّه بن سنان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إذا طبخ حتّی یذهب منه ثلاثة دوانیق و نصف، ثمّ </w:t>
      </w:r>
    </w:p>
    <w:p>
      <w:pPr>
        <w:pStyle w:val="BookText"/>
        <w:rPr/>
      </w:pPr>
      <w:r>
        <w:rPr>
          <w:rFonts w:ascii="IRNazanin" w:hAnsi="IRNazanin" w:eastAsia="IRNazanin"/>
          <w:color w:val="111111"/>
          <w:sz w:val="28"/>
          <w:sz w:val="28"/>
          <w:szCs w:val="28"/>
          <w:rtl w:val="true"/>
          <w:lang w:bidi="fa-IR"/>
        </w:rPr>
        <w:t xml:space="preserve">یترک حتّی یبرد فقد ذهب ثلثاه و یبقی ثلثه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یخفی علیک انّ ما فی الخبر ناقص عن الثلثین بنصف دانق، و یمکن الجمع بأنّ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یترک حتّی 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دلالة علی أنّ التبرّد دخیل فی هذا الحکم، و لیس ذلک إلاّ لأجل زیادة القوام و نقصان المائیّة بالتبرّد، و منه ینقص النصف الآخر من الدانق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بل الصحیح المرویّ فی الباب المذکور،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من أهل المعرفة بالحقّ یأتینی بالبختج ویقول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 أنا أعلم أنّه یشربه علی النصف أفأشربه بقوله، و هو یشربه علی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 نعرف یشربه علی الثلث و لا یستحلّه علی النصف یخبرنا أنّ عنده بختجاً علی الثلث قد ذهب ثلثاه و بقی ثلثه نشرب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النخعی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أهدی إلیه بختج فکان یشربه مع 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البختج العصیر المطبوخ، و أصله بالفارسیّة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میبخته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عصیر مطبوخ، و إنّما شربه مع العکر خیفة أن لا یصفیه فیشتدّ و یسکر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والموثّق بل الصحیح المرویّ فی التهذیب،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من أهل المعرفة تأتینی بالبختج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 أنا أعرفه أنّه یشربه علی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 نعرفه یشربه علی الثلث و لایستحلّه علی النصف یخبرنا </w:t>
      </w:r>
    </w:p>
    <w:p>
      <w:pPr>
        <w:pStyle w:val="BookText"/>
        <w:rPr/>
      </w:pPr>
      <w:r>
        <w:rPr>
          <w:rFonts w:ascii="IRNazanin" w:hAnsi="IRNazanin" w:eastAsia="IRNazanin"/>
          <w:color w:val="111111"/>
          <w:sz w:val="28"/>
          <w:sz w:val="28"/>
          <w:szCs w:val="28"/>
          <w:rtl w:val="true"/>
          <w:lang w:bidi="fa-IR"/>
        </w:rPr>
        <w:t xml:space="preserve">أنّ عنده بختجاً علی الثلث قد ذهب ثلثاه و بقی ثلثه یشرب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هذان الخبران و إن کان من المحتمل قویّا أنّهما واحد، لکن الإختلاف فی المتن والسند دعانا إلی ذکرهما معا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المتن فغیر مخفیّ علیک بعد الملاحظة، و أمّا السند، فلأنّ الکافی روی الأوّل عن محمّد بن یحیی، عن أحمد بن محمّد، عن محمّد بن إسماعیل، عن یونس بن یعقوب، عن معاویة بن عمّار، و روی الثانی فی التهذیب عن أحمد بن محمّد، عن محمّد بن إسماعیل، عن یونس، عن معاویة بن عمّار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صحّحنا الخبر لأنّ الظاهر صحّة یونس و وثاقته، و ما فی رجال الکشّی من فطحیّته، فالوجه أنّه کان کذلک فرجع کما صرّح به النجاشی </w:t>
      </w:r>
      <w:r>
        <w:rPr>
          <w:rStyle w:val="FootnoteAnchor"/>
          <w:rtl w:val="true"/>
        </w:rPr>
        <w:footnoteReference w:id="834"/>
      </w:r>
      <w:r>
        <w:rPr>
          <w:rFonts w:ascii="IRNazanin" w:hAnsi="IRNazanin" w:eastAsia="IRNazanin"/>
          <w:color w:val="111111"/>
          <w:sz w:val="28"/>
          <w:sz w:val="28"/>
          <w:szCs w:val="28"/>
          <w:rtl w:val="true"/>
          <w:lang w:bidi="fa-IR"/>
        </w:rPr>
        <w:t xml:space="preserve">، بل فی رجال الکشّی أحادیث تدلّ علی صحّة عقیدته </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والخبر المرویّ فی الکافی فی باب بیع العصیر والعنب، عن أبی کهمس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أباعبداللّه علیه‌السلام عن العصیر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کَرْمٌ و أنا أعصره کلّ سنة، و أجعله فی الدنان، وأبیعه قبل أن یغلی؟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وإن غلی، فلا یحلّ بیعه </w:t>
      </w:r>
      <w:r>
        <w:rPr>
          <w:rStyle w:val="FootnoteAnchor"/>
          <w:rtl w:val="true"/>
        </w:rPr>
        <w:footnoteReference w:id="836"/>
      </w:r>
      <w:r>
        <w:rPr>
          <w:rFonts w:ascii="IRNazanin" w:hAnsi="IRNazanin" w:eastAsia="IRNazanin"/>
          <w:color w:val="111111"/>
          <w:sz w:val="28"/>
          <w:sz w:val="28"/>
          <w:szCs w:val="28"/>
          <w:rtl w:val="true"/>
          <w:lang w:bidi="fa-IR"/>
        </w:rPr>
        <w:t>، الخبر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و سیأتی بعضها </w:t>
      </w:r>
      <w:r>
        <w:rPr>
          <w:rFonts w:eastAsia="IRNazanin" w:cs="IRNazanin"/>
          <w:color w:val="111111"/>
          <w:sz w:val="28"/>
          <w:szCs w:val="28"/>
          <w:rtl w:val="true"/>
          <w:lang w:bidi="fa-IR"/>
        </w:rPr>
        <w:t xml:space="preserve">. </w:t>
      </w:r>
      <w:bookmarkStart w:id="376" w:name="pg3696_43519"/>
    </w:p>
    <w:p>
      <w:pPr>
        <w:pStyle w:val="Heading5"/>
        <w:numPr>
          <w:ilvl w:val="4"/>
          <w:numId w:val="1"/>
        </w:numPr>
        <w:rPr/>
      </w:pPr>
      <w:bookmarkStart w:id="377" w:name="__RefHeading___Toc488499_2281741623"/>
      <w:bookmarkStart w:id="378" w:name="_Toc143"/>
      <w:bookmarkEnd w:id="376"/>
      <w:bookmarkEnd w:id="377"/>
      <w:r>
        <w:rPr>
          <w:rtl w:val="true"/>
        </w:rPr>
        <w:t xml:space="preserve">الفصل الثانی </w:t>
      </w:r>
      <w:r>
        <w:rPr>
          <w:rtl w:val="true"/>
        </w:rPr>
        <w:t xml:space="preserve">: </w:t>
      </w:r>
      <w:r>
        <w:rPr>
          <w:rtl w:val="true"/>
        </w:rPr>
        <w:t>فی عبارات الأصحاب</w:t>
      </w:r>
      <w:bookmarkEnd w:id="378"/>
    </w:p>
    <w:p>
      <w:pPr>
        <w:pStyle w:val="BookText"/>
        <w:rPr/>
      </w:pPr>
      <w:r>
        <w:rPr>
          <w:rFonts w:ascii="IRNazanin" w:hAnsi="IRNazanin" w:eastAsia="IRNazanin"/>
          <w:color w:val="111111"/>
          <w:sz w:val="28"/>
          <w:sz w:val="28"/>
          <w:szCs w:val="28"/>
          <w:rtl w:val="true"/>
          <w:lang w:bidi="fa-IR"/>
        </w:rPr>
        <w:t>الفصل الثانی</w:t>
      </w:r>
    </w:p>
    <w:p>
      <w:pPr>
        <w:pStyle w:val="BookText"/>
        <w:rPr/>
      </w:pPr>
      <w:r>
        <w:rPr>
          <w:rFonts w:ascii="IRNazanin" w:hAnsi="IRNazanin" w:eastAsia="IRNazanin"/>
          <w:color w:val="111111"/>
          <w:sz w:val="28"/>
          <w:sz w:val="28"/>
          <w:szCs w:val="28"/>
          <w:rtl w:val="true"/>
          <w:lang w:bidi="fa-IR"/>
        </w:rPr>
        <w:t>فی عبارات الأصحاب</w:t>
      </w:r>
    </w:p>
    <w:p>
      <w:pPr>
        <w:pStyle w:val="BookText"/>
        <w:rPr/>
      </w:pPr>
      <w:r>
        <w:rPr>
          <w:rFonts w:ascii="IRNazanin" w:hAnsi="IRNazanin" w:eastAsia="IRNazanin"/>
          <w:color w:val="111111"/>
          <w:sz w:val="28"/>
          <w:sz w:val="28"/>
          <w:szCs w:val="28"/>
          <w:rtl w:val="true"/>
          <w:lang w:bidi="fa-IR"/>
        </w:rPr>
        <w:t xml:space="preserve">قال فی النهایة، فی باب الأشربة المحظورة والمباحة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لا بأس بشربه و بیعه ما لم یغل، و حدّ الغلیان الّذی یحرم ذلک أن یصیر أسفله أعلاه، فإذا غلی حرم شربه و بیعه إلی أن یعود إلی کونه خلاًّ، و إذا غلی العصیر علی النار لم یجز شربه إلی أن یذهب ثلثاه و یبقی ثلثه، و حدّ ذلک هو أن یراه صار حلوا، أو یخضب الإناء و یعلق به ، أو یذهب من کلّ درهم ثلاثة دوانیق و نصف ، و هو علی النار ، ثمّ ینزل به و یترک حتّی یبرد، فإذا برد فقد ذهب ثلثاه و بقی ثلثه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کان عصیرا لم یخل إمّا غلی أو لم یغل ، فإن غلی لم یخل إمّا غلی من قبل نفسه أو بالنار، فإن غلی من قبل نفسه حتّی یعود أسفله أعلاه حرم ونجس إلاّ أن یصیر خلاًّ بنفسه أو بفعل غیره فیعود حلالاً طیّبا، و إن غلی بالنار حرم شربه حتّی یذهب علی النار نصفه و نصف سدسه، و لم ینجس </w:t>
      </w:r>
      <w:r>
        <w:rPr>
          <w:rStyle w:val="FootnoteAnchor"/>
          <w:rtl w:val="true"/>
        </w:rPr>
        <w:footnoteReference w:id="838"/>
      </w:r>
      <w:r>
        <w:rPr>
          <w:rFonts w:ascii="IRNazanin" w:hAnsi="IRNazanin" w:eastAsia="IRNazanin"/>
          <w:color w:val="111111"/>
          <w:sz w:val="28"/>
          <w:sz w:val="28"/>
          <w:szCs w:val="28"/>
          <w:rtl w:val="true"/>
          <w:lang w:bidi="fa-IR"/>
        </w:rPr>
        <w:t xml:space="preserve">، أو یخضب الإناء و یعلق به و یحلو، و إن لم یغل أصلاً حلّ، خلاًّ کان أو عصیرا، وإن کان نبیذا و هو أن یطرح شیء من التمر أو الزبیب فی الماء، فإن تغیّر کان فی حکم الخمر وإن لم یتغیّر جاز شربه والتوضّی به ما لم‌یسلبه إطلاق إسم الماء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عصیر العنب فلا بأس بشربه ما لم یلحقه نشیش بنفسه، </w:t>
      </w:r>
    </w:p>
    <w:p>
      <w:pPr>
        <w:pStyle w:val="BookText"/>
        <w:rPr/>
      </w:pPr>
      <w:r>
        <w:rPr>
          <w:rFonts w:ascii="IRNazanin" w:hAnsi="IRNazanin" w:eastAsia="IRNazanin"/>
          <w:color w:val="111111"/>
          <w:sz w:val="28"/>
          <w:sz w:val="28"/>
          <w:szCs w:val="28"/>
          <w:rtl w:val="true"/>
          <w:lang w:bidi="fa-IR"/>
        </w:rPr>
        <w:t xml:space="preserve">فإن لحقه طبخ قبل نشیشه حتّی یذهب ثلثاه و یبقی ثلثه حلّ شرب الثلث الباقی، فإن لم یذهب ثلثاه و یبقی ثلثه کان ذلک حراما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الغلیان علی ما روی الّذی یحرم ذلک و هو أن یصیر أسفله أعلاه، فإذا غلی حرم شربه و بیعه والتصرّف فیه إلی أن یعود إلی کونه خلاًّ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الشرائع، فی کتاب الطهارة، فی القول فی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و فی تنجیسها خلاف، والأظهر النجاسة، و فی حکمها العصیر إذا غلی واشتدّ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العصیر إذا غلی، سواء غلی من قبل نفسه أو بالنار، و لایحلّ حتّی یذهب ثلثاه أو ینقلب خلاًّ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النافع، فی کتاب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فی المایعات، والمحرّم 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الخمر، و کلّ مسکر، والعصیر إذا غلی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المعتبر،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نجاسة العصیر بغلیانه قبل إشتداده تردّد، أمّا التحریم فعلیه إجماع فقهائنا، ثمّ منهم من أتبع التحریم النجاسة، والوجه الحکم بالتحریم مع‌الغلیان حتّی یذهب الثلثان ووقوف النجاسة علی الإشتداد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التحریر،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کلّها نجسة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العصیر إذا غلی ما لم یذهب ثلثاه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القواعد، فی کتاب الطهارة، فی عداد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عشرة، والمسکرات، و یلحق بها العصیر إذا غلی واشتدّ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الأطعمة و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العصیر إذا غلی حرام، نجس، سواء غلی من قبل نفسه أو بالنار، ولایحلّ حتّی یذهب ثلثاه أو یصیر خلاًّ، وکذا الخمر یطهر بانقلابه من نفسه أو بعلاج ما لم یمازجه نجس ، و لا فرق بین أن یکون ما یعالج به باقیاً أو مستهلکاً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الإرشاد فی کتاب الطهارة حیث یعدّ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العصیر إذا غلی و اشتدّ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منها، أی من المایعات،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واشتدّ إلاّ أن ینقلب خلاًّ أو یذهب ثلثاه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نهایة الأحکام، فی کتاب الطهارة، فی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واشتدّ و إن لم یبلغ حدّ الإسکار نجس، سواء غلی من نفسه أو بالنار أو بالشمس إلاّ أن یذهب ثلثاه </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رمی فی العصیر قبل إشتداده أو بعده، أو فی الخمر جسم طاهر، کان بحکمه فی الطهارة والنجاسة قبل الإنقلاب و بعده، سواء إستهلکت </w:t>
      </w:r>
    </w:p>
    <w:p>
      <w:pPr>
        <w:pStyle w:val="BookText"/>
        <w:rPr/>
      </w:pPr>
      <w:r>
        <w:rPr>
          <w:rFonts w:ascii="IRNazanin" w:hAnsi="IRNazanin" w:eastAsia="IRNazanin"/>
          <w:color w:val="111111"/>
          <w:sz w:val="28"/>
          <w:sz w:val="28"/>
          <w:szCs w:val="28"/>
          <w:rtl w:val="true"/>
          <w:lang w:bidi="fa-IR"/>
        </w:rPr>
        <w:t xml:space="preserve">عینه أو کانت باقیة </w:t>
      </w:r>
      <w:r>
        <w:rPr>
          <w:rStyle w:val="FootnoteAnchor"/>
          <w:rtl w:val="true"/>
        </w:rPr>
        <w:footnoteReference w:id="849"/>
      </w:r>
      <w:r>
        <w:rPr>
          <w:rFonts w:ascii="IRNazanin" w:hAnsi="IRNazanin" w:eastAsia="IRNazanin"/>
          <w:color w:val="111111"/>
          <w:sz w:val="28"/>
          <w:sz w:val="28"/>
          <w:szCs w:val="28"/>
          <w:rtl w:val="true"/>
          <w:lang w:bidi="fa-IR"/>
        </w:rPr>
        <w:t xml:space="preserve">، إلی آخر کلامه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المطهّرات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واشتدّ لحقه حکم التنجیس و یطهر بانقلابه خلاًّ أو ذهاب ثلثیه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سائر کتب العلاّمة قدس‌سره 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یطهر الخمر بالخلّیة و إن عولج إذا کان بطاهر، والعصیر المشتدّ بها </w:t>
      </w:r>
      <w:r>
        <w:rPr>
          <w:rStyle w:val="FootnoteAnchor"/>
          <w:rtl w:val="true"/>
        </w:rPr>
        <w:footnoteReference w:id="852"/>
      </w:r>
      <w:r>
        <w:rPr>
          <w:rFonts w:ascii="IRNazanin" w:hAnsi="IRNazanin" w:eastAsia="IRNazanin"/>
          <w:color w:val="111111"/>
          <w:sz w:val="28"/>
          <w:sz w:val="28"/>
          <w:szCs w:val="28"/>
          <w:rtl w:val="true"/>
          <w:lang w:bidi="fa-IR"/>
        </w:rPr>
        <w:t xml:space="preserve">، و بذهاب ثلثیه بالغلیان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والحرام منه أی من المائع ثمانیة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العصیر العنبی إذا غلی واشتدّ، و حدّه أن یصیر أسفله أعلاه ما لم یذهب ثلثاه أو ینقلب خلاًّ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الذکری حیث یعدّ الأعیان النجسة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حکمها العصیر إذا غلی و اشتدّ ، فی قول إبن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مع الغلیان حتّی یذهب الثلثان، و لا ینجس إلاّ مع الإشتداد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فکأنّه یری الشدّة المطریة ؛ إذ الثخانة </w:t>
      </w:r>
      <w:r>
        <w:rPr>
          <w:rStyle w:val="FootnoteAnchor"/>
          <w:rtl w:val="true"/>
        </w:rPr>
        <w:footnoteReference w:id="855"/>
      </w:r>
      <w:r>
        <w:rPr>
          <w:rFonts w:ascii="IRNazanin" w:hAnsi="IRNazanin" w:eastAsia="IRNazanin"/>
          <w:color w:val="111111"/>
          <w:sz w:val="28"/>
          <w:sz w:val="28"/>
          <w:szCs w:val="28"/>
          <w:rtl w:val="true"/>
          <w:lang w:bidi="fa-IR"/>
        </w:rPr>
        <w:t xml:space="preserve">حاصلة بمجرّد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توقّف الفاضل </w:t>
      </w:r>
    </w:p>
    <w:p>
      <w:pPr>
        <w:pStyle w:val="BookText"/>
        <w:rPr/>
      </w:pPr>
      <w:r>
        <w:rPr>
          <w:rFonts w:ascii="IRNazanin" w:hAnsi="IRNazanin" w:eastAsia="IRNazanin"/>
          <w:color w:val="111111"/>
          <w:sz w:val="28"/>
          <w:sz w:val="28"/>
          <w:szCs w:val="28"/>
          <w:rtl w:val="true"/>
          <w:lang w:bidi="fa-IR"/>
        </w:rPr>
        <w:t xml:space="preserve">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لغیرهم علی قول بالنجاسة، و لا نصّ علی نجاسة غیر المسکر، وهو منتف هنا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لایخفی علیک ما فی هذه العبارة من مواضع للنظر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الثخانة حاصلة بمجرّد الغلیان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 تبعه المحقّق الثانی وغیره، و فیه نظر ظاهر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نسبة التوقّف إلی العلاّمة رحمه‌الله فی النهایة، و قد عرفت ما فیها، و لعلّه أراد التذکرة فسبق قلمه إلی النهایة، فإنّ فی التذکرة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إذا غلی حرم حتّی یذهب ثلثاه، و هل ینجس بالغلیان أو یقف علی الشدّة ؟ إشکال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حصر وقوفه علی هؤلاء مع أنّ جماعة، حتّی نفسه فی الألفیّة، ذهب إلی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بهما عصیر العنب إذا غلی و اشتدّ بمعنی الثخانة ، و لم أقف علی نصّ یقتضی تنجیسه إلاّ ما دلّ علی نجاسة المسکر، لکنّه لا یسکر بمجرّد غلیانه واشتداده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الروضة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یذکر المصنّف هنا من النجاسات العصیر العنبی إذا غلی واشتدّ و لم یذهب ثلثاه لعدم وقوفه علی دلیل یقتضی نجاسته کما اعترف به فی الذکری والبیان، لکن سیأتی أنّ ذهاب ثلثیه مطهّر و هو یدلّ علی حکم تنجیسه فلا عذر فی ترکه </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خلاف فی تحریمه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العصیر العنبی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متظافرة، و إنّما الکلام فی نجاسته فإنّ النصوص خالیة عنها، لکنّها مشهورة بین المتأخّرین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المسالک، فی باب الأطعمة والأشربة، فی شرح العبارة السابقة من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الأصحاب فی تحریم عصیر العنب إذا غلی بأن صار أسفله أعلاه، و أخبارهم ناطقة به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صحیحة عبداللّه بن سنان و خبر حمّاد بن عثمان،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هذه یستفاد عدم الفرق بین الغلیان بالنار وغیرها، وأنّ المراد منه أن یصیر أسفله أعلاه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أکثر المتأخّرین علی نجاسته أیضا، لکن قیّدوها بالإشتداد مع الغلیان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به أنّه یصیر له قوام و إن قلّ، بأن یذهب شیء من 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والنصوص خالیة عن الدلالة علی النجاسة، و القید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أغرب </w:t>
      </w:r>
      <w:r>
        <w:rPr>
          <w:rStyle w:val="FootnoteAnchor"/>
          <w:rtl w:val="true"/>
        </w:rPr>
        <w:footnoteReference w:id="862"/>
      </w:r>
      <w:r>
        <w:rPr>
          <w:rFonts w:ascii="IRNazanin" w:hAnsi="IRNazanin" w:eastAsia="IRNazanin"/>
          <w:color w:val="111111"/>
          <w:sz w:val="28"/>
          <w:sz w:val="28"/>
          <w:szCs w:val="28"/>
          <w:rtl w:val="true"/>
          <w:lang w:bidi="fa-IR"/>
        </w:rPr>
        <w:t xml:space="preserve">الشهید رحمه‌الله فی الذکری </w:t>
      </w:r>
      <w:r>
        <w:rPr>
          <w:rStyle w:val="FootnoteAnchor"/>
          <w:rtl w:val="true"/>
        </w:rPr>
        <w:footnoteReference w:id="863"/>
      </w:r>
      <w:r>
        <w:rPr>
          <w:rFonts w:ascii="IRNazanin" w:hAnsi="IRNazanin" w:eastAsia="IRNazanin"/>
          <w:color w:val="111111"/>
          <w:sz w:val="28"/>
          <w:sz w:val="28"/>
          <w:szCs w:val="28"/>
          <w:rtl w:val="true"/>
          <w:lang w:bidi="fa-IR"/>
        </w:rPr>
        <w:t xml:space="preserve">، فجعل الإشتداد الّذی هو سبب النجاسة مسبّبا عن مجرّد الغلیان، فجعل التحریم والنجاسة متلازمین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مع عدم الدلیل علیه، حتّی باعترافه فیها </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البیان </w:t>
      </w:r>
      <w:r>
        <w:rPr>
          <w:rStyle w:val="FootnoteAnchor"/>
          <w:rtl w:val="true"/>
        </w:rPr>
        <w:footnoteReference w:id="8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خلاف المفهوم من الإشتداد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ذلک یقرب مع الغلیان بالنار، لاستلزامه إرتفاع شیء من بخاره الموجب لنقصان مائیّته، أمّا مع إنقلابه </w:t>
      </w:r>
      <w:bookmarkStart w:id="379" w:name="pg3696_43525"/>
    </w:p>
    <w:p>
      <w:pPr>
        <w:pStyle w:val="BookText"/>
        <w:rPr/>
      </w:pPr>
      <w:bookmarkEnd w:id="379"/>
      <w:r>
        <w:rPr>
          <w:rFonts w:ascii="IRNazanin" w:hAnsi="IRNazanin" w:eastAsia="IRNazanin"/>
          <w:color w:val="111111"/>
          <w:sz w:val="28"/>
          <w:sz w:val="28"/>
          <w:szCs w:val="28"/>
          <w:rtl w:val="true"/>
          <w:lang w:bidi="fa-IR"/>
        </w:rPr>
        <w:t xml:space="preserve">بنفسه أو بالشمس فلا یتحقّق ذلک أصلاً، خصوصا فی الأوّل و إن طال الزمان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وفصّل إبن حمزة </w:t>
      </w:r>
      <w:r>
        <w:rPr>
          <w:rStyle w:val="FootnoteAnchor"/>
          <w:rtl w:val="true"/>
        </w:rPr>
        <w:footnoteReference w:id="865"/>
      </w:r>
      <w:r>
        <w:rPr>
          <w:rFonts w:ascii="IRNazanin" w:hAnsi="IRNazanin" w:eastAsia="IRNazanin"/>
          <w:color w:val="111111"/>
          <w:sz w:val="28"/>
          <w:sz w:val="28"/>
          <w:szCs w:val="28"/>
          <w:rtl w:val="true"/>
          <w:lang w:bidi="fa-IR"/>
        </w:rPr>
        <w:t xml:space="preserve">فحکم بنجاسته مع غلیانه بنفسه و بتحریمه خاصّة إن غلی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تحکّم و إن کان أقرب إلی الأصل من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الحکم، و هو نجاسته، من المشاهیر بغیر أصل، و إلحاقها بالمسکرات والفقّاع من حیث التحریم، لا یوجب إلحاقه بها مطلقاً </w:t>
      </w:r>
      <w:r>
        <w:rPr>
          <w:rStyle w:val="FootnoteAnchor"/>
          <w:rtl w:val="true"/>
        </w:rPr>
        <w:footnoteReference w:id="866"/>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کلمات الأصحاب، و ستأتی من ذلک جملة فی طیّ الفصول الآتیة، بل المقامات الأخر، إن شاء اللّه </w:t>
      </w:r>
      <w:r>
        <w:rPr>
          <w:rFonts w:eastAsia="IRNazanin" w:cs="IRNazanin"/>
          <w:color w:val="111111"/>
          <w:sz w:val="28"/>
          <w:szCs w:val="28"/>
          <w:rtl w:val="true"/>
          <w:lang w:bidi="fa-IR"/>
        </w:rPr>
        <w:t>.</w:t>
      </w:r>
    </w:p>
    <w:p>
      <w:pPr>
        <w:pStyle w:val="Heading5"/>
        <w:numPr>
          <w:ilvl w:val="4"/>
          <w:numId w:val="1"/>
        </w:numPr>
        <w:rPr/>
      </w:pPr>
      <w:bookmarkStart w:id="380" w:name="__RefHeading___Toc488501_2281741623"/>
      <w:bookmarkStart w:id="381" w:name="_Toc144"/>
      <w:bookmarkEnd w:id="380"/>
      <w:r>
        <w:rPr>
          <w:rtl w:val="true"/>
        </w:rPr>
        <w:t>الفصل الثالث</w:t>
      </w:r>
      <w:r>
        <w:rPr>
          <w:rtl w:val="true"/>
        </w:rPr>
        <w:t xml:space="preserve">: </w:t>
      </w:r>
      <w:r>
        <w:rPr>
          <w:rtl w:val="true"/>
        </w:rPr>
        <w:t>فی حرمته بعد الغلیان والنشیش قبل ذهاب الثلثین منه</w:t>
      </w:r>
      <w:bookmarkEnd w:id="381"/>
    </w:p>
    <w:p>
      <w:pPr>
        <w:pStyle w:val="Heading6"/>
        <w:numPr>
          <w:ilvl w:val="5"/>
          <w:numId w:val="1"/>
        </w:numPr>
        <w:rPr/>
      </w:pPr>
      <w:bookmarkStart w:id="382" w:name="__RefHeading___Toc488503_2281741623"/>
      <w:bookmarkStart w:id="383" w:name="_Toc145"/>
      <w:bookmarkEnd w:id="382"/>
      <w:r>
        <w:rPr>
          <w:rtl w:val="true"/>
        </w:rPr>
        <w:t>اشارة</w:t>
      </w:r>
      <w:bookmarkEnd w:id="383"/>
    </w:p>
    <w:p>
      <w:pPr>
        <w:pStyle w:val="BookText"/>
        <w:rPr/>
      </w:pPr>
      <w:r>
        <w:rPr>
          <w:rFonts w:ascii="IRNazanin" w:hAnsi="IRNazanin" w:eastAsia="IRNazanin"/>
          <w:color w:val="111111"/>
          <w:sz w:val="28"/>
          <w:sz w:val="28"/>
          <w:szCs w:val="28"/>
          <w:rtl w:val="true"/>
          <w:lang w:bidi="fa-IR"/>
        </w:rPr>
        <w:t>الفصل الثالث</w:t>
      </w:r>
    </w:p>
    <w:p>
      <w:pPr>
        <w:pStyle w:val="BookText"/>
        <w:rPr/>
      </w:pPr>
      <w:r>
        <w:rPr>
          <w:rFonts w:ascii="IRNazanin" w:hAnsi="IRNazanin" w:eastAsia="IRNazanin"/>
          <w:color w:val="111111"/>
          <w:sz w:val="28"/>
          <w:sz w:val="28"/>
          <w:szCs w:val="28"/>
          <w:rtl w:val="true"/>
          <w:lang w:bidi="fa-IR"/>
        </w:rPr>
        <w:t>فی حرمة العصیر بعد الغلیان والنشیش</w:t>
      </w:r>
    </w:p>
    <w:p>
      <w:pPr>
        <w:pStyle w:val="BookText"/>
        <w:rPr/>
      </w:pPr>
      <w:r>
        <w:rPr>
          <w:rFonts w:ascii="IRNazanin" w:hAnsi="IRNazanin" w:eastAsia="IRNazanin"/>
          <w:color w:val="111111"/>
          <w:sz w:val="28"/>
          <w:sz w:val="28"/>
          <w:szCs w:val="28"/>
          <w:rtl w:val="true"/>
          <w:lang w:bidi="fa-IR"/>
        </w:rPr>
        <w:t>قبل ذهاب الثلثین منه أو إنقلابه خلاًّ</w:t>
      </w:r>
    </w:p>
    <w:p>
      <w:pPr>
        <w:pStyle w:val="BookText"/>
        <w:rPr/>
      </w:pPr>
      <w:r>
        <w:rPr>
          <w:rFonts w:ascii="IRNazanin" w:hAnsi="IRNazanin" w:eastAsia="IRNazanin"/>
          <w:color w:val="111111"/>
          <w:sz w:val="28"/>
          <w:sz w:val="28"/>
          <w:szCs w:val="28"/>
          <w:rtl w:val="true"/>
          <w:lang w:bidi="fa-IR"/>
        </w:rPr>
        <w:t xml:space="preserve">و هذا ممّا لا خلاف فیه ، بل علیه الإجماع محصّلة و محکیّة کما تقدّم ذلک فی جملة من العبارات السابقة مثل ما فی المعتبر والمسالک و نحوهما </w:t>
      </w:r>
      <w:r>
        <w:rPr>
          <w:rFonts w:eastAsia="IRNazanin" w:cs="IRNazanin"/>
          <w:color w:val="111111"/>
          <w:sz w:val="28"/>
          <w:szCs w:val="28"/>
          <w:rtl w:val="true"/>
          <w:lang w:bidi="fa-IR"/>
        </w:rPr>
        <w:t>.</w:t>
      </w:r>
    </w:p>
    <w:p>
      <w:pPr>
        <w:pStyle w:val="Heading6"/>
        <w:numPr>
          <w:ilvl w:val="5"/>
          <w:numId w:val="1"/>
        </w:numPr>
        <w:rPr/>
      </w:pPr>
      <w:bookmarkStart w:id="384" w:name="__RefHeading___Toc488505_2281741623"/>
      <w:bookmarkStart w:id="385" w:name="_Toc146"/>
      <w:bookmarkEnd w:id="384"/>
      <w:r>
        <w:rPr>
          <w:rtl w:val="true"/>
        </w:rPr>
        <w:t>رأی المؤلّف و أدلّته</w:t>
      </w:r>
      <w:bookmarkEnd w:id="385"/>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الکفایة،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العصیر إذا غلی، سواء غلی بنفسه أو بالنار، والمراد به الماء المعتصر من العنب، و لاخلاف فی تحریمه بین الأصحاب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فی تحریم عصیر العنب إذا غلی بأن صار أسفله أعلاه قبل أن یذهب ثلثاه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لا خلاف فیه، و لایذهب علیک أنّ ما فی بعض الکتب من دعوی الإتّفاق أو نفی الخلاف فیما إذا غلی واشتدّ خارج عن مقامنا هذا، لأنّ تلک الکلمات إنّما هی بعدالإشتداد، وللکلام فیه محلّ آخر کما سیأتی إن شاءاللّه‌تعالی، فلا وجه لذکر کلماتهم هنا شاهدا لنفی الخلاف فیه فی المقام کما صنعه بعض أعیان علمائنا المعاصرین قدّس اللّه روحه الزکیّ، فی رسالته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یذهب علیک أیضا انّ ما فی بعض العبارات من السکوت عن عصیر العنب لیس خلافاً لهم فی حرمة العصیر کما فی المقنعة و المراسم و المهذّب و الغنیة ، فما استظهره بعض الأعیان من مخالفتهم لا وجه له، فکم من أحکام غیر مذکورة فی کلمات القدماء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دعوی الإجماع المحقّق فی المقام، إذ لا أجد خلافاً فیه مع فضل التتبّع، بل إنّما صرّحوا بالحرمة من غیر تأمّل فیها، و یدلّ علیه الأخبار المستفیضة بل المتواترة، و قد تقدّمت بعضها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لا یخفی علیک انّ بعضاً من العبارات یقتضی إختصاص التحریم بما غلی واشتدّ ؛ قال فی الإرشاد ما تقدّم منه، فی باب الأطعمة والأشربة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الخمر والنبیذ </w:t>
      </w:r>
      <w:r>
        <w:rPr>
          <w:rFonts w:eastAsia="IRNazanin" w:cs="IRNazanin"/>
          <w:color w:val="111111"/>
          <w:sz w:val="28"/>
          <w:szCs w:val="28"/>
          <w:rtl w:val="true"/>
          <w:lang w:bidi="fa-IR"/>
        </w:rPr>
        <w:t xml:space="preserve">. </w:t>
      </w:r>
      <w:bookmarkStart w:id="386" w:name="pg3696_43527"/>
    </w:p>
    <w:p>
      <w:pPr>
        <w:pStyle w:val="BookText"/>
        <w:rPr/>
      </w:pPr>
      <w:bookmarkEnd w:id="386"/>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واشتدّ قبل ذهاب ثلثیه أو إنقلابه خلاًّ </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سیأتی أنّه لیس خلافاً فیه کما لم ینسب أحد خلافاً إلی العلاّمة رحمه‌الله فیه، بل فی عبارة المعتبر ما هو صریح فی أنّ الحرمة ثابتة إجماعاً قبل الإشتداد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قال فی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غلیانه و قبل إشتداده فحرام إجماعا منّا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7" w:name="__RefHeading___Toc488507_2281741623"/>
      <w:bookmarkStart w:id="388" w:name="_Toc147"/>
      <w:bookmarkEnd w:id="387"/>
      <w:r>
        <w:rPr>
          <w:rtl w:val="true"/>
        </w:rPr>
        <w:t>الفصل‌الرابع</w:t>
      </w:r>
      <w:r>
        <w:rPr>
          <w:rtl w:val="true"/>
        </w:rPr>
        <w:t xml:space="preserve">: </w:t>
      </w:r>
      <w:r>
        <w:rPr>
          <w:rtl w:val="true"/>
        </w:rPr>
        <w:t>فی نجاسته وطهارته بعدالغلیان قبل ذهاب الثلثین منه</w:t>
      </w:r>
      <w:bookmarkEnd w:id="388"/>
    </w:p>
    <w:p>
      <w:pPr>
        <w:pStyle w:val="Heading6"/>
        <w:numPr>
          <w:ilvl w:val="5"/>
          <w:numId w:val="1"/>
        </w:numPr>
        <w:rPr/>
      </w:pPr>
      <w:bookmarkStart w:id="389" w:name="__RefHeading___Toc488509_2281741623"/>
      <w:bookmarkStart w:id="390" w:name="_Toc148"/>
      <w:bookmarkEnd w:id="389"/>
      <w:r>
        <w:rPr>
          <w:rtl w:val="true"/>
        </w:rPr>
        <w:t>اشارة</w:t>
      </w:r>
      <w:bookmarkEnd w:id="390"/>
    </w:p>
    <w:p>
      <w:pPr>
        <w:pStyle w:val="BookText"/>
        <w:rPr/>
      </w:pPr>
      <w:r>
        <w:rPr>
          <w:rFonts w:ascii="IRNazanin" w:hAnsi="IRNazanin" w:eastAsia="IRNazanin"/>
          <w:color w:val="111111"/>
          <w:sz w:val="28"/>
          <w:sz w:val="28"/>
          <w:szCs w:val="28"/>
          <w:rtl w:val="true"/>
          <w:lang w:bidi="fa-IR"/>
        </w:rPr>
        <w:t>الفصل الرابع</w:t>
      </w:r>
    </w:p>
    <w:p>
      <w:pPr>
        <w:pStyle w:val="BookText"/>
        <w:rPr/>
      </w:pPr>
      <w:r>
        <w:rPr>
          <w:rFonts w:ascii="IRNazanin" w:hAnsi="IRNazanin" w:eastAsia="IRNazanin"/>
          <w:color w:val="111111"/>
          <w:sz w:val="28"/>
          <w:sz w:val="28"/>
          <w:szCs w:val="28"/>
          <w:rtl w:val="true"/>
          <w:lang w:bidi="fa-IR"/>
        </w:rPr>
        <w:t>فی نجاسته و طهارته حینئذٍ</w:t>
      </w:r>
    </w:p>
    <w:p>
      <w:pPr>
        <w:pStyle w:val="BookText"/>
        <w:rPr/>
      </w:pPr>
      <w:r>
        <w:rPr>
          <w:rFonts w:ascii="IRNazanin" w:hAnsi="IRNazanin" w:eastAsia="IRNazanin"/>
          <w:color w:val="111111"/>
          <w:sz w:val="28"/>
          <w:sz w:val="28"/>
          <w:szCs w:val="28"/>
          <w:rtl w:val="true"/>
          <w:lang w:bidi="fa-IR"/>
        </w:rPr>
        <w:t>أی بعد الغلیان قبل ذهاب الثلثین أو الإستحالة</w:t>
      </w:r>
    </w:p>
    <w:p>
      <w:pPr>
        <w:pStyle w:val="Heading6"/>
        <w:numPr>
          <w:ilvl w:val="5"/>
          <w:numId w:val="1"/>
        </w:numPr>
        <w:rPr/>
      </w:pPr>
      <w:bookmarkStart w:id="391" w:name="__RefHeading___Toc488511_2281741623"/>
      <w:bookmarkStart w:id="392" w:name="_Toc149"/>
      <w:bookmarkEnd w:id="391"/>
      <w:r>
        <w:rPr>
          <w:rtl w:val="true"/>
        </w:rPr>
        <w:t xml:space="preserve">و فیه أقوال </w:t>
      </w:r>
      <w:r>
        <w:rPr>
          <w:rtl w:val="true"/>
        </w:rPr>
        <w:t>:</w:t>
      </w:r>
      <w:bookmarkEnd w:id="392"/>
    </w:p>
    <w:p>
      <w:pPr>
        <w:pStyle w:val="Heading6"/>
        <w:numPr>
          <w:ilvl w:val="5"/>
          <w:numId w:val="1"/>
        </w:numPr>
        <w:rPr/>
      </w:pPr>
      <w:bookmarkStart w:id="393" w:name="__RefHeading___Toc488513_2281741623"/>
      <w:bookmarkStart w:id="394" w:name="_Toc150"/>
      <w:bookmarkEnd w:id="393"/>
      <w:r>
        <w:rPr>
          <w:rtl w:val="true"/>
        </w:rPr>
        <w:t xml:space="preserve">القول الأوّل </w:t>
      </w:r>
      <w:r>
        <w:rPr>
          <w:rtl w:val="true"/>
        </w:rPr>
        <w:t xml:space="preserve">: </w:t>
      </w:r>
      <w:r>
        <w:rPr>
          <w:rtl w:val="true"/>
        </w:rPr>
        <w:t>النجاسة مطلقاً</w:t>
      </w:r>
      <w:bookmarkEnd w:id="39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النجاسة مطلقاً ، سواء مع الإشتداد أو بدونه ، و سواء کان الغلیان بالنار أو بغیرها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الظاهر من جملة ؛ قال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کلّ مسکر والفقّاع والعصیر إذا غلی قبل ذهاب ثلثیه بالنار أو من نفسه نجس، ذهب إلیه أکثر علمائنا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التلخیص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رأی </w:t>
      </w:r>
      <w:r>
        <w:rPr>
          <w:rFonts w:eastAsia="IRNazanin" w:cs="IRNazanin"/>
          <w:color w:val="111111"/>
          <w:sz w:val="28"/>
          <w:szCs w:val="28"/>
          <w:rtl w:val="true"/>
          <w:lang w:bidi="fa-IR"/>
        </w:rPr>
        <w:t xml:space="preserve">] </w:t>
      </w:r>
      <w:r>
        <w:rPr>
          <w:rStyle w:val="FootnoteAnchor"/>
          <w:rtl w:val="true"/>
        </w:rPr>
        <w:footnoteReference w:id="874"/>
      </w:r>
      <w:r>
        <w:rPr>
          <w:rFonts w:ascii="IRNazanin" w:hAnsi="IRNazanin" w:eastAsia="IRNazanin"/>
          <w:color w:val="111111"/>
          <w:sz w:val="28"/>
          <w:sz w:val="28"/>
          <w:szCs w:val="28"/>
          <w:rtl w:val="true"/>
          <w:lang w:bidi="fa-IR"/>
        </w:rPr>
        <w:t xml:space="preserve">، و الفقّاع و العصیر إذا غلی أنجاس </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 xml:space="preserve">. </w:t>
      </w:r>
      <w:bookmarkStart w:id="395" w:name="pg3696_43528"/>
    </w:p>
    <w:p>
      <w:pPr>
        <w:pStyle w:val="BookText"/>
        <w:rPr/>
      </w:pPr>
      <w:bookmarkEnd w:id="395"/>
      <w:r>
        <w:rPr>
          <w:rFonts w:ascii="IRNazanin" w:hAnsi="IRNazanin" w:eastAsia="IRNazanin"/>
          <w:color w:val="111111"/>
          <w:sz w:val="28"/>
          <w:sz w:val="28"/>
          <w:szCs w:val="28"/>
          <w:rtl w:val="true"/>
          <w:lang w:bidi="fa-IR"/>
        </w:rPr>
        <w:t xml:space="preserve">و قال فی النزهة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إذا صار أسفله أعلاه و لحرارته نقص نجس و حرم شربه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القواعد ما تقدّم منه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فی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المسکرات کلّها نجسة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العصیر إذا غلی ما لم یذهب ثلثاه </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المحرر فی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عشرة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مسکر مائع، و یلحقه عصیر العنب إذا غلی و لو من نفسه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ممّن جعل الغلیان و الإشتداد متقارنین، و إن کان الثانی سبباً عن الأوّل کما فی حواشی المحقّق الثانی رحمه‌الله و سیأتی عباراتها، بل نسبه فی المختلف و جامع المقاصد إلی المشهور </w:t>
      </w:r>
      <w:r>
        <w:rPr>
          <w:rFonts w:eastAsia="IRNazanin" w:cs="IRNazanin"/>
          <w:color w:val="111111"/>
          <w:sz w:val="28"/>
          <w:szCs w:val="28"/>
          <w:rtl w:val="true"/>
          <w:lang w:bidi="fa-IR"/>
        </w:rPr>
        <w:t>.</w:t>
      </w:r>
    </w:p>
    <w:p>
      <w:pPr>
        <w:pStyle w:val="Heading6"/>
        <w:numPr>
          <w:ilvl w:val="5"/>
          <w:numId w:val="1"/>
        </w:numPr>
        <w:rPr/>
      </w:pPr>
      <w:bookmarkStart w:id="396" w:name="__RefHeading___Toc488515_2281741623"/>
      <w:bookmarkStart w:id="397" w:name="_Toc151"/>
      <w:bookmarkEnd w:id="396"/>
      <w:r>
        <w:rPr>
          <w:rtl w:val="true"/>
        </w:rPr>
        <w:t xml:space="preserve">القول الثانی </w:t>
      </w:r>
      <w:r>
        <w:rPr>
          <w:rtl w:val="true"/>
        </w:rPr>
        <w:t xml:space="preserve">: </w:t>
      </w:r>
      <w:r>
        <w:rPr>
          <w:rtl w:val="true"/>
        </w:rPr>
        <w:t>الطهارة مطلقاً و إن کان حراماً</w:t>
      </w:r>
      <w:bookmarkEnd w:id="39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مطلقاً، و إن کان حراماً ؛ و هو المحکی عن إبن أبی عقیل </w:t>
      </w:r>
      <w:r>
        <w:rPr>
          <w:rStyle w:val="FootnoteAnchor"/>
          <w:rtl w:val="true"/>
        </w:rPr>
        <w:footnoteReference w:id="880"/>
      </w:r>
      <w:r>
        <w:rPr>
          <w:rFonts w:ascii="IRNazanin" w:hAnsi="IRNazanin" w:eastAsia="IRNazanin"/>
          <w:color w:val="111111"/>
          <w:sz w:val="28"/>
          <w:sz w:val="28"/>
          <w:szCs w:val="28"/>
          <w:rtl w:val="true"/>
          <w:lang w:bidi="fa-IR"/>
        </w:rPr>
        <w:t xml:space="preserve">، و هو الظاهر من الذکری، بل والبیان کما تقدّم نقل عبارتیهما، بل و هو الظاهر من المسالک، بل الصریح منه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هو المصرّح به فی مجمع الفائدة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العصیر العنبیّ، فالظاهر طهارته مع التحریم کما یظهر من الدروس </w:t>
      </w:r>
      <w:r>
        <w:rPr>
          <w:rStyle w:val="FootnoteAnchor"/>
          <w:rtl w:val="true"/>
        </w:rPr>
        <w:footnoteReference w:id="882"/>
      </w:r>
      <w:r>
        <w:rPr>
          <w:rFonts w:ascii="IRNazanin" w:hAnsi="IRNazanin" w:eastAsia="IRNazanin"/>
          <w:color w:val="111111"/>
          <w:sz w:val="28"/>
          <w:sz w:val="28"/>
          <w:szCs w:val="28"/>
          <w:rtl w:val="true"/>
          <w:lang w:bidi="fa-IR"/>
        </w:rPr>
        <w:t xml:space="preserve">، لعدم دلیل النجاسة مع دلیله و دلیلها </w:t>
      </w:r>
      <w:bookmarkStart w:id="398" w:name="pg3696_43529"/>
    </w:p>
    <w:p>
      <w:pPr>
        <w:pStyle w:val="BookText"/>
        <w:rPr/>
      </w:pPr>
      <w:bookmarkEnd w:id="398"/>
      <w:r>
        <w:rPr>
          <w:rFonts w:ascii="IRNazanin" w:hAnsi="IRNazanin" w:eastAsia="IRNazanin"/>
          <w:color w:val="111111"/>
          <w:sz w:val="28"/>
          <w:sz w:val="28"/>
          <w:szCs w:val="28"/>
          <w:rtl w:val="true"/>
          <w:lang w:bidi="fa-IR"/>
        </w:rPr>
        <w:t xml:space="preserve">و قلّة القائل، کما یظهر من الذکری، مع القول بنجاسته فی الرسالة، و هو غریب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الحکم أعنی نجاسة العصیر إذا غلی واشتدّ و لا یذهب ثلثاه مشهور بین المتأخّرین، و لا نعلم مأخذه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اعترف الشهید رحمه‌الله فی الذکری و البیان بأنّه لم یقف علی دلیل یدلّ علی نجاسته، و ذکر أنّ المصرّح به بنجاسته قلیل من الأصحاب، و مع ذلک فأفتی فی الرسالة بنجاسته، و هو عجیب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نقل عن إبن أبی عقیل التصریح بطهارته، و مال إلیه جدّی قدس‌سره فی حواشی القواعد، و قوّاه شیخنا المعاصر، و هو المعتمد تمسّکا بمقتضی الأصل السالم عن المعارض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الکفایة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بعض الأصحاب بالخمر فی التنجیس العصیر إذا غلی واشتدّ و لم یذهب ثلثاه، واکتفی بعضهم فی التنجیس بمجرّد الغلیان، والأقرب الأشهر الطهارة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الطهارة وفاقاً للحسن، والشهید، و ظاهر النافع، والتبصرة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99" w:name="__RefHeading___Toc488517_2281741623"/>
      <w:bookmarkStart w:id="400" w:name="_Toc152"/>
      <w:bookmarkEnd w:id="399"/>
      <w:r>
        <w:rPr>
          <w:rtl w:val="true"/>
        </w:rPr>
        <w:t xml:space="preserve">القول الثالث </w:t>
      </w:r>
      <w:r>
        <w:rPr>
          <w:rtl w:val="true"/>
        </w:rPr>
        <w:t xml:space="preserve">: </w:t>
      </w:r>
      <w:r>
        <w:rPr>
          <w:rtl w:val="true"/>
        </w:rPr>
        <w:t>التفصیل بین ما لو اشتدّ و ما لم یشتدّ</w:t>
      </w:r>
      <w:bookmarkEnd w:id="40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لو اشتدّ فنجس، و ما لم یشتدّ فطاهر، فهو حرام قبل الإشتداد، و حرام نجس بعد الإشتداد </w:t>
      </w:r>
      <w:r>
        <w:rPr>
          <w:rFonts w:eastAsia="IRNazanin" w:cs="IRNazanin"/>
          <w:color w:val="111111"/>
          <w:sz w:val="28"/>
          <w:szCs w:val="28"/>
          <w:rtl w:val="true"/>
          <w:lang w:bidi="fa-IR"/>
        </w:rPr>
        <w:t xml:space="preserve">. </w:t>
      </w:r>
      <w:bookmarkStart w:id="401" w:name="pg3696_43530"/>
    </w:p>
    <w:p>
      <w:pPr>
        <w:pStyle w:val="BookText"/>
        <w:rPr/>
      </w:pPr>
      <w:bookmarkEnd w:id="401"/>
      <w:r>
        <w:rPr>
          <w:rFonts w:ascii="IRNazanin" w:hAnsi="IRNazanin" w:eastAsia="IRNazanin"/>
          <w:color w:val="111111"/>
          <w:sz w:val="28"/>
          <w:sz w:val="28"/>
          <w:szCs w:val="28"/>
          <w:rtl w:val="true"/>
          <w:lang w:bidi="fa-IR"/>
        </w:rPr>
        <w:t xml:space="preserve">قال فی المعتبر ما تقدّم منه، و قال فی الشرائع، فی کتاب الطهارة، و فی کتاب الأطعمة والأشربة ما تقدّم </w:t>
      </w:r>
      <w:r>
        <w:rPr>
          <w:rStyle w:val="FootnoteAnchor"/>
          <w:rtl w:val="true"/>
        </w:rPr>
        <w:footnoteReference w:id="887"/>
      </w:r>
      <w:r>
        <w:rPr>
          <w:rFonts w:ascii="IRNazanin" w:hAnsi="IRNazanin" w:eastAsia="IRNazanin"/>
          <w:color w:val="111111"/>
          <w:sz w:val="28"/>
          <w:sz w:val="28"/>
          <w:szCs w:val="28"/>
          <w:rtl w:val="true"/>
          <w:lang w:bidi="fa-IR"/>
        </w:rPr>
        <w:t xml:space="preserve">؛ فإنّ کلامه فی کتاب الأطعمة یقتضی التحریم بالغلیان فقط، و فی کتاب الطهارة النجاسة بالغلیان والإشتداد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النهایة ما تقدّم منه </w:t>
      </w:r>
      <w:r>
        <w:rPr>
          <w:rStyle w:val="FootnoteAnchor"/>
          <w:rtl w:val="true"/>
        </w:rPr>
        <w:footnoteReference w:id="888"/>
      </w:r>
      <w:r>
        <w:rPr>
          <w:rFonts w:ascii="IRNazanin" w:hAnsi="IRNazanin" w:eastAsia="IRNazanin"/>
          <w:color w:val="111111"/>
          <w:sz w:val="28"/>
          <w:sz w:val="28"/>
          <w:szCs w:val="28"/>
          <w:rtl w:val="true"/>
          <w:lang w:bidi="fa-IR"/>
        </w:rPr>
        <w:t xml:space="preserve">، و نحوه ما عن المنتهی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القواعد ما تقدّم منه </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الجعفریّة حیث یعدّ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والمسکر المائع، و فی حکمه الفقّاع، والعصیر العنبی إذا غلی واشتدّ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الظاهر من الروض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یحرم مع الغلیان و لا ینجس إلاّ مع الإشتداد، و هذا هو الظاهر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2" w:name="__RefHeading___Toc488519_2281741623"/>
      <w:bookmarkStart w:id="403" w:name="_Toc153"/>
      <w:bookmarkEnd w:id="402"/>
      <w:r>
        <w:rPr>
          <w:rtl w:val="true"/>
        </w:rPr>
        <w:t xml:space="preserve">القول الرابع </w:t>
      </w:r>
      <w:r>
        <w:rPr>
          <w:rtl w:val="true"/>
        </w:rPr>
        <w:t xml:space="preserve">: </w:t>
      </w:r>
      <w:r>
        <w:rPr>
          <w:rtl w:val="true"/>
        </w:rPr>
        <w:t>التفصیل بین ما إذا غلی بنفسه أو بالشمس أو بالنار</w:t>
      </w:r>
      <w:bookmarkEnd w:id="403"/>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غلی بنفسه أو بالشمس فنجس ، و ما إذا غلی بالنار فطاهر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مذهب إبن حمزة فی الوسیلة، و قد تقدّم نقل عبارتها </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4" w:name="__RefHeading___Toc488521_2281741623"/>
      <w:bookmarkStart w:id="405" w:name="_Toc154"/>
      <w:bookmarkEnd w:id="404"/>
      <w:r>
        <w:rPr>
          <w:rtl w:val="true"/>
        </w:rPr>
        <w:t xml:space="preserve">المستند للقول الأوّل أمور </w:t>
      </w:r>
      <w:r>
        <w:rPr>
          <w:rtl w:val="true"/>
        </w:rPr>
        <w:t>:</w:t>
      </w:r>
      <w:bookmarkEnd w:id="405"/>
    </w:p>
    <w:p>
      <w:pPr>
        <w:pStyle w:val="Heading6"/>
        <w:numPr>
          <w:ilvl w:val="5"/>
          <w:numId w:val="1"/>
        </w:numPr>
        <w:rPr/>
      </w:pPr>
      <w:bookmarkStart w:id="406" w:name="__RefHeading___Toc488523_2281741623"/>
      <w:bookmarkStart w:id="407" w:name="_Toc155"/>
      <w:bookmarkEnd w:id="406"/>
      <w:r>
        <w:rPr>
          <w:rtl w:val="true"/>
        </w:rPr>
        <w:t>اشارة</w:t>
      </w:r>
      <w:bookmarkEnd w:id="407"/>
    </w:p>
    <w:p>
      <w:pPr>
        <w:pStyle w:val="BookText"/>
        <w:rPr/>
      </w:pPr>
      <w:r>
        <w:rPr>
          <w:rFonts w:ascii="Amiri" w:hAnsi="Amiri" w:eastAsia="Amiri" w:cs="Amiri"/>
          <w:color w:val="111111"/>
          <w:sz w:val="28"/>
          <w:sz w:val="28"/>
          <w:szCs w:val="28"/>
          <w:rtl w:val="true"/>
          <w:lang w:bidi="ar-SA"/>
        </w:rPr>
        <w:t xml:space="preserve">والمستند أمّا للقول الأوّل و هو النجاسة مطلقاً أمور </w:t>
      </w:r>
      <w:r>
        <w:rPr>
          <w:rFonts w:eastAsia="Amiri" w:cs="Amiri" w:ascii="Amiri" w:hAnsi="Amiri"/>
          <w:color w:val="111111"/>
          <w:sz w:val="28"/>
          <w:szCs w:val="28"/>
          <w:rtl w:val="true"/>
          <w:lang w:bidi="ar-SA"/>
        </w:rPr>
        <w:t>:</w:t>
      </w:r>
    </w:p>
    <w:p>
      <w:pPr>
        <w:pStyle w:val="Heading6"/>
        <w:numPr>
          <w:ilvl w:val="5"/>
          <w:numId w:val="1"/>
        </w:numPr>
        <w:rPr/>
      </w:pPr>
      <w:bookmarkStart w:id="408" w:name="__RefHeading___Toc488525_2281741623"/>
      <w:bookmarkStart w:id="409" w:name="_Toc156"/>
      <w:bookmarkEnd w:id="408"/>
      <w:r>
        <w:rPr>
          <w:rtl w:val="true"/>
        </w:rPr>
        <w:t xml:space="preserve">أحدها </w:t>
      </w:r>
      <w:r>
        <w:rPr>
          <w:rtl w:val="true"/>
        </w:rPr>
        <w:t xml:space="preserve">: </w:t>
      </w:r>
      <w:r>
        <w:rPr>
          <w:rtl w:val="true"/>
        </w:rPr>
        <w:t>ما دلّ علی أنّ العصیر بعد الغلیان خمر حقیقة أو حکما</w:t>
      </w:r>
      <w:bookmarkEnd w:id="409"/>
    </w:p>
    <w:p>
      <w:pPr>
        <w:pStyle w:val="Heading6"/>
        <w:numPr>
          <w:ilvl w:val="5"/>
          <w:numId w:val="1"/>
        </w:numPr>
        <w:rPr/>
      </w:pPr>
      <w:bookmarkStart w:id="410" w:name="__RefHeading___Toc488527_2281741623"/>
      <w:bookmarkStart w:id="411" w:name="_Toc157"/>
      <w:bookmarkEnd w:id="410"/>
      <w:r>
        <w:rPr>
          <w:rtl w:val="true"/>
        </w:rPr>
        <w:t>اشارة</w:t>
      </w:r>
      <w:bookmarkEnd w:id="41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العصیر بعد الغلیان خمر حقیقة أو حکما، و أظهر </w:t>
      </w:r>
      <w:bookmarkStart w:id="412" w:name="pg3696_43531"/>
    </w:p>
    <w:p>
      <w:pPr>
        <w:pStyle w:val="BookText"/>
        <w:rPr/>
      </w:pPr>
      <w:bookmarkEnd w:id="412"/>
      <w:r>
        <w:rPr>
          <w:rFonts w:ascii="IRNazanin" w:hAnsi="IRNazanin" w:eastAsia="IRNazanin"/>
          <w:color w:val="111111"/>
          <w:sz w:val="28"/>
          <w:sz w:val="28"/>
          <w:szCs w:val="28"/>
          <w:rtl w:val="true"/>
          <w:lang w:bidi="fa-IR"/>
        </w:rPr>
        <w:t xml:space="preserve">أحکامها الحرمة والنجاسة، بل عن 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إسم الخمر حقیقة فی عصیر العنب بالإجماع </w:t>
      </w:r>
      <w:r>
        <w:rPr>
          <w:rStyle w:val="FootnoteAnchor"/>
          <w:rtl w:val="true"/>
        </w:rPr>
        <w:footnoteReference w:id="894"/>
      </w:r>
      <w:r>
        <w:rPr>
          <w:rFonts w:ascii="IRNazanin" w:hAnsi="IRNazanin" w:eastAsia="IRNazanin"/>
          <w:color w:val="111111"/>
          <w:sz w:val="28"/>
          <w:sz w:val="28"/>
          <w:szCs w:val="28"/>
          <w:rtl w:val="true"/>
          <w:lang w:bidi="fa-IR"/>
        </w:rPr>
        <w:t xml:space="preserve">، کما عن أطعمة التنقیح أیضا و إن لم أجدها فیها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بعض الأخبار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معاویة بن عمّار علی الوجه المرویّ فی التهذیب لقول الإمام علیه‌السلام بأنّ البختج خمر، و لیس البختج إلاّ العصیر المطبوخ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نصّ علیه إبن الأثیر فی النهایة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13" w:name="__RefHeading___Toc488529_2281741623"/>
      <w:bookmarkStart w:id="414" w:name="_Toc158"/>
      <w:bookmarkEnd w:id="413"/>
      <w:r>
        <w:rPr>
          <w:rtl w:val="true"/>
        </w:rPr>
        <w:t>الجواب عنها</w:t>
      </w:r>
      <w:bookmarkEnd w:id="414"/>
    </w:p>
    <w:p>
      <w:pPr>
        <w:pStyle w:val="BookText"/>
        <w:rPr/>
      </w:pPr>
      <w:r>
        <w:rPr>
          <w:rFonts w:ascii="IRNazanin" w:hAnsi="IRNazanin" w:eastAsia="IRNazanin"/>
          <w:color w:val="111111"/>
          <w:sz w:val="28"/>
          <w:sz w:val="28"/>
          <w:szCs w:val="28"/>
          <w:rtl w:val="true"/>
          <w:lang w:bidi="fa-IR"/>
        </w:rPr>
        <w:t xml:space="preserve">و یمکن الجواب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ظاهر الخبر انّه بعد الإشتداد، لأنّه لا أقلّ من طبخه حتّی ذهب منه النصف، و أیضا لابدّ من حمل الخبر علی خلاف ظاهره، لأنّ الّذی أتی به الرجل لمعاویة بن عمّار الراوی للخبر هو الّذی یحتمل أن یکون ممّا قد ذهب منه الثلثان، فیکون هذا للتحریص علی الإجتناب،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أن یجاب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بعد معلومیّة أنّ العصیر المطبوخ لیس خمرا معروفاً لابدّ من حمل اللفظ علی المجاز، و یکفی فی إطلاق لفظ الخمر علیه فی کلام الإمام علی الحرمة فقط کما یقتضیه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تشربه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لإقتضاء قرینة الإمام ذلک، فتأمّل </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ذلک مع قوّة إحتمال کون الزیادة من غیر الإمام لخلوّ الکافی عنه، و أنّ الحمل المذکور غیر صحیح فیما احتمل فیه ذهاب الثلثین، بل إخبار ذی الید شاهد علیه فکیف یطلق علیه أنّه 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إحتمال کون المراد العصیر المطبوخ </w:t>
      </w:r>
    </w:p>
    <w:p>
      <w:pPr>
        <w:pStyle w:val="BookText"/>
        <w:rPr/>
      </w:pPr>
      <w:r>
        <w:rPr>
          <w:rFonts w:ascii="IRNazanin" w:hAnsi="IRNazanin" w:eastAsia="IRNazanin"/>
          <w:color w:val="111111"/>
          <w:sz w:val="28"/>
          <w:sz w:val="28"/>
          <w:szCs w:val="28"/>
          <w:rtl w:val="true"/>
          <w:lang w:bidi="fa-IR"/>
        </w:rPr>
        <w:t xml:space="preserve">قبل ذهاب الثلثین مدفوع بأنّ السؤال لیس منه، بل السائل عالم بأنّه لایجوز شربه کما یقتضیه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مع عدم معلومیّة کون العمل علی مضمون الخبر من عدم العمل بقول المخبر و هو من أهل المعرفة بمجردّ کون عمله علی خلاف تکلیفه والعمل بقول المخبر و هو من غیر أهل المعرفة لکون عمله علی ما یوافق الحقّ،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المرویّ فی الکافی، فی باب بیع العصیر والخمر،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ثمن العصیر قبل أن یغلی لمن یبتاعه لیطبخه أو یجعله خمراً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بعته قبل أن یکون خمراً و هو حلال فلا بأس </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الظاهر منه أنّ بعد الغلیان خمر حیث انّ السؤال عن قبل الغلیان، و مطابقة الجواب للسؤال یقتضی ما ذکرناه، مضافاً إلی ما یستفاد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أنّه ما دام حراماً خمر، و ما دام حلالاً لیس بخمر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أنّه مع ضعفه جدّا لمکان علیّ بن أبی حمزة ضعیف الدلالة، أمّا الوجه الأوّل فظاهر، و أمّا الوجه الثانی فلإحتمال کون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قبل أن یکون خمراً و هو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الغلیان لیکون کلّ من القیدین مؤسّساً لا مؤکّداً الثانی للأوّل،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عن المهذّب البارع و أطعمة التنقیح من الإجماع، فعلی تقدیر صدق النسبة فلم یتبیّن کون المراد أزید من کونه حقیقة فی عصیر العنب دون عصیر سائر الأشیاء، کما یؤمی إلیه عدم التقیید بالغلیان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ذلک یظهر لک أنّ الإستدلال علی النجاسة بما دلّ علی أنّ الخمر عصیر </w:t>
      </w:r>
      <w:bookmarkStart w:id="415" w:name="pg3696_43533"/>
    </w:p>
    <w:p>
      <w:pPr>
        <w:pStyle w:val="BookText"/>
        <w:rPr/>
      </w:pPr>
      <w:bookmarkEnd w:id="415"/>
      <w:r>
        <w:rPr>
          <w:rFonts w:ascii="IRNazanin" w:hAnsi="IRNazanin" w:eastAsia="IRNazanin"/>
          <w:color w:val="111111"/>
          <w:sz w:val="28"/>
          <w:sz w:val="28"/>
          <w:szCs w:val="28"/>
          <w:rtl w:val="true"/>
          <w:lang w:bidi="fa-IR"/>
        </w:rPr>
        <w:t xml:space="preserve">العنب لا وجه له من قولهم علیهم‌السلام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الخمر من خمسة العصیر من الکرم، والنقیع من الزبیب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الخبر </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هکذا کلمات أهل اللغة و نحوهم من أنّ الخمر عصیر العنب، لا دلالة له علی ما نحن فیه من کون العصیر فی أوّل غلیانه خمراً، فإنّ کلّ ذلک لبیان معنی الخمر فی الجملة، لا علی التفصیل حتّی یکون عصیر العنب مطلقاً خمراً، و إلاّ فقبل الغلیان أیضا عصیر </w:t>
      </w:r>
      <w:r>
        <w:rPr>
          <w:rFonts w:eastAsia="IRNazanin" w:cs="IRNazanin"/>
          <w:color w:val="111111"/>
          <w:sz w:val="28"/>
          <w:szCs w:val="28"/>
          <w:rtl w:val="true"/>
          <w:lang w:bidi="fa-IR"/>
        </w:rPr>
        <w:t>.</w:t>
      </w:r>
    </w:p>
    <w:p>
      <w:pPr>
        <w:pStyle w:val="Heading6"/>
        <w:numPr>
          <w:ilvl w:val="5"/>
          <w:numId w:val="1"/>
        </w:numPr>
        <w:rPr/>
      </w:pPr>
      <w:bookmarkStart w:id="416" w:name="__RefHeading___Toc488531_2281741623"/>
      <w:bookmarkStart w:id="417" w:name="_Toc159"/>
      <w:bookmarkEnd w:id="416"/>
      <w:r>
        <w:rPr>
          <w:rtl w:val="true"/>
        </w:rPr>
        <w:t xml:space="preserve">ثانیها </w:t>
      </w:r>
      <w:r>
        <w:rPr>
          <w:rtl w:val="true"/>
        </w:rPr>
        <w:t xml:space="preserve">: </w:t>
      </w:r>
      <w:r>
        <w:rPr>
          <w:rtl w:val="true"/>
        </w:rPr>
        <w:t>بعض الإجماعات المنقولة فی أنّ العصیر بعد الغلیان فی حکم الخمر</w:t>
      </w:r>
      <w:bookmarkEnd w:id="417"/>
    </w:p>
    <w:p>
      <w:pPr>
        <w:pStyle w:val="Heading6"/>
        <w:numPr>
          <w:ilvl w:val="5"/>
          <w:numId w:val="1"/>
        </w:numPr>
        <w:rPr/>
      </w:pPr>
      <w:bookmarkStart w:id="418" w:name="__RefHeading___Toc488533_2281741623"/>
      <w:bookmarkStart w:id="419" w:name="_Toc160"/>
      <w:bookmarkEnd w:id="418"/>
      <w:r>
        <w:rPr>
          <w:rtl w:val="true"/>
        </w:rPr>
        <w:t>اشارة</w:t>
      </w:r>
      <w:bookmarkEnd w:id="419"/>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الإجماعات المنقولة فی أنّ العصیر بعد الغلیان فی حکم الخمر و سائر المسکرات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المسالک فی باب حدّ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انّ العصیر العنبیّ إذا غلی بأن صار أسفله أعلاه محرّم، و یصیر بمنزلة الخمر فی الأحکام، و یستمرّ حکمه کذلک إلی أن یذهب ثلثاه أو ینقلب إلی حقیقة أخری بأن یصیر خلاًّ أو دبسا علی قول و إن بعد الفرض لأنّ صیرورته دبسا لا یحصل غالبا إلاّ بعد ذهاب أزید من ثلثیه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 علماؤنا أیضا علی أنّ عصیر العنب إذا غلی حکمه حکم المسکر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20" w:name="__RefHeading___Toc488535_2281741623"/>
      <w:bookmarkStart w:id="421" w:name="_Toc161"/>
      <w:bookmarkEnd w:id="420"/>
      <w:r>
        <w:rPr>
          <w:rtl w:val="true"/>
        </w:rPr>
        <w:t>الجواب عنها</w:t>
      </w:r>
      <w:bookmarkEnd w:id="421"/>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فمضافاً إلی ظهور الخلاف العظیم فی ذلک فجملة ذهبوا إلی توقّفها علی الإشتداد و جملة إلی طهارته کما عرفت، و انّ الشهید الثانی رحمه‌الله </w:t>
      </w:r>
      <w:bookmarkStart w:id="422" w:name="pg3696_43535"/>
    </w:p>
    <w:p>
      <w:pPr>
        <w:pStyle w:val="BookText"/>
        <w:rPr/>
      </w:pPr>
      <w:bookmarkEnd w:id="422"/>
      <w:r>
        <w:rPr>
          <w:rFonts w:ascii="IRNazanin" w:hAnsi="IRNazanin" w:eastAsia="IRNazanin"/>
          <w:color w:val="111111"/>
          <w:sz w:val="28"/>
          <w:sz w:val="28"/>
          <w:szCs w:val="28"/>
          <w:rtl w:val="true"/>
          <w:lang w:bidi="fa-IR"/>
        </w:rPr>
        <w:t xml:space="preserve">القائل بالکلام الأوّل قد اختار فی الأطعمة والأشربة، الطهارة کما عرفت، یحتمل قویّا أن یکون مرادهما الحرمة دون النجاسة، و ما أبعد الفرق بین هذه الإجماعات و بین ما فی الذکری أنّ المصرّح بالنجاسة قلیل من الأصحاب، أو منحصر فی إثنین أو ثلاثة </w:t>
      </w:r>
      <w:r>
        <w:rPr>
          <w:rFonts w:eastAsia="IRNazanin" w:cs="IRNazanin"/>
          <w:color w:val="111111"/>
          <w:sz w:val="28"/>
          <w:szCs w:val="28"/>
          <w:rtl w:val="true"/>
          <w:lang w:bidi="fa-IR"/>
        </w:rPr>
        <w:t>.</w:t>
      </w:r>
    </w:p>
    <w:p>
      <w:pPr>
        <w:pStyle w:val="Heading6"/>
        <w:numPr>
          <w:ilvl w:val="5"/>
          <w:numId w:val="1"/>
        </w:numPr>
        <w:rPr/>
      </w:pPr>
      <w:bookmarkStart w:id="423" w:name="__RefHeading___Toc488537_2281741623"/>
      <w:bookmarkStart w:id="424" w:name="_Toc162"/>
      <w:bookmarkEnd w:id="423"/>
      <w:r>
        <w:rPr>
          <w:rtl w:val="true"/>
        </w:rPr>
        <w:t xml:space="preserve">ثالثها </w:t>
      </w:r>
      <w:r>
        <w:rPr>
          <w:rtl w:val="true"/>
        </w:rPr>
        <w:t xml:space="preserve">: </w:t>
      </w:r>
      <w:r>
        <w:rPr>
          <w:rtl w:val="true"/>
        </w:rPr>
        <w:t>کلّ ما دلّ علی نجاسة المائع المسکر قلیله و کثیره</w:t>
      </w:r>
      <w:bookmarkEnd w:id="424"/>
    </w:p>
    <w:p>
      <w:pPr>
        <w:pStyle w:val="Heading6"/>
        <w:numPr>
          <w:ilvl w:val="5"/>
          <w:numId w:val="1"/>
        </w:numPr>
        <w:rPr/>
      </w:pPr>
      <w:bookmarkStart w:id="425" w:name="__RefHeading___Toc488539_2281741623"/>
      <w:bookmarkStart w:id="426" w:name="_Toc163"/>
      <w:bookmarkEnd w:id="425"/>
      <w:r>
        <w:rPr>
          <w:rtl w:val="true"/>
        </w:rPr>
        <w:t>اشارة</w:t>
      </w:r>
      <w:bookmarkEnd w:id="426"/>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أمتن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بعد غلیانه أوّل إسکاره و مبدأ إنشائه فینجس لکلّ ما دلّ علی نجاسة المائع المسکر قلیله و کثیره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یدلّ علیه الصحیح المرویّ فی الکافی، فی باب الطلاء، عن عمر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یهدی إلیّ البختج من غیر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یستحلّ المسکر فلا تشربه ، و إن کان ممّن لا یستحلّ شربه فاقبله ،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المستفاد منه أنّه قبل ذهاب الثلثین مسکر کما لا یخفی </w:t>
      </w:r>
      <w:r>
        <w:rPr>
          <w:rFonts w:eastAsia="IRNazanin" w:cs="IRNazanin"/>
          <w:color w:val="111111"/>
          <w:sz w:val="28"/>
          <w:szCs w:val="28"/>
          <w:rtl w:val="true"/>
          <w:lang w:bidi="fa-IR"/>
        </w:rPr>
        <w:t>.</w:t>
      </w:r>
    </w:p>
    <w:p>
      <w:pPr>
        <w:pStyle w:val="Heading6"/>
        <w:numPr>
          <w:ilvl w:val="5"/>
          <w:numId w:val="1"/>
        </w:numPr>
        <w:rPr/>
      </w:pPr>
      <w:bookmarkStart w:id="427" w:name="__RefHeading___Toc488541_2281741623"/>
      <w:bookmarkStart w:id="428" w:name="_Toc164"/>
      <w:bookmarkEnd w:id="427"/>
      <w:r>
        <w:rPr>
          <w:rtl w:val="true"/>
        </w:rPr>
        <w:t>الجواب عنها</w:t>
      </w:r>
      <w:bookmarkEnd w:id="428"/>
    </w:p>
    <w:p>
      <w:pPr>
        <w:pStyle w:val="BookText"/>
        <w:rPr/>
      </w:pPr>
      <w:r>
        <w:rPr>
          <w:rFonts w:ascii="IRNazanin" w:hAnsi="IRNazanin" w:eastAsia="IRNazanin"/>
          <w:color w:val="111111"/>
          <w:sz w:val="28"/>
          <w:sz w:val="28"/>
          <w:szCs w:val="28"/>
          <w:rtl w:val="true"/>
          <w:lang w:bidi="fa-IR"/>
        </w:rPr>
        <w:t xml:space="preserve">و یمکن الجواب عنه بأنّه لا یدلّ علی أزید من کونه کذلک بعد الإشتداد ، و لا دلالة فیه مطلقاً، فتأمّل </w:t>
      </w:r>
      <w:r>
        <w:rPr>
          <w:rFonts w:eastAsia="IRNazanin" w:cs="IRNazanin"/>
          <w:color w:val="111111"/>
          <w:sz w:val="28"/>
          <w:szCs w:val="28"/>
          <w:rtl w:val="true"/>
          <w:lang w:bidi="fa-IR"/>
        </w:rPr>
        <w:t>!</w:t>
      </w:r>
    </w:p>
    <w:p>
      <w:pPr>
        <w:pStyle w:val="Heading6"/>
        <w:numPr>
          <w:ilvl w:val="5"/>
          <w:numId w:val="1"/>
        </w:numPr>
        <w:rPr/>
      </w:pPr>
      <w:bookmarkStart w:id="429" w:name="__RefHeading___Toc488543_2281741623"/>
      <w:bookmarkStart w:id="430" w:name="_Toc165"/>
      <w:bookmarkEnd w:id="429"/>
      <w:r>
        <w:rPr>
          <w:rtl w:val="true"/>
        </w:rPr>
        <w:t xml:space="preserve">رابعها </w:t>
      </w:r>
      <w:r>
        <w:rPr>
          <w:rtl w:val="true"/>
        </w:rPr>
        <w:t xml:space="preserve">: </w:t>
      </w:r>
      <w:r>
        <w:rPr>
          <w:rtl w:val="true"/>
        </w:rPr>
        <w:t>الأخبار الواردة فی أصل تحریم الخمر و بدؤه</w:t>
      </w:r>
      <w:bookmarkEnd w:id="43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أصل تحریم الخمر و بدؤه، و قد تمسّک بها جملة حتّی قیل </w:t>
      </w:r>
      <w:r>
        <w:rPr>
          <w:rStyle w:val="FootnoteAnchor"/>
          <w:rtl w:val="true"/>
        </w:rPr>
        <w:footnoteReference w:id="9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السارد لها مع الإنصاف یحصل له الظنّ القویّ إن لم یکن القطع بدخول عصیر العنب مع الغلیان فی مسمّی الخمر حقیقة ، أو بمساواته له فی حکمه من الحرمة و النجاسة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 xml:space="preserve">. </w:t>
      </w:r>
      <w:bookmarkStart w:id="431" w:name="pg3696_43537"/>
    </w:p>
    <w:p>
      <w:pPr>
        <w:pStyle w:val="BookText"/>
        <w:rPr/>
      </w:pPr>
      <w:bookmarkEnd w:id="431"/>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الأخبار خفیّة الدلالة جدّاً علی هذا المقام و هو النجاسة بالغلیان، فانّ مفاد هذه الأخبار انّ فی الکَرْم شرکة من الشیطان و انّما ترتفع بذهاب الثلثین، و ان توقّف الحرمة علی أمور آخر مثل الغلیان و نحوه مع انّه لا دلالة فیها علی النجاسة الشرعیّة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لا یمکن العمل بظاهرها حتّی یدور حکم مدارها، و إلاّ کان الحکم بعد الغلیان و قبله علی حدّ سواء، و إن کان ینبغی ذکره فی ضمن الأمر الأوّل لکن لإستقلاله من جهات شتّی جعلناه أمراً مستقلاً و هو انّ فی جملة من کلمات الأصحاب فی باب حدّ شارب الخمر، دلالة علی انّ العصیر بالغلیان خمر، وسیأتی الکلام فیه إن شاء اللّه تعالی </w:t>
      </w:r>
      <w:r>
        <w:rPr>
          <w:rFonts w:eastAsia="IRNazanin" w:cs="IRNazanin"/>
          <w:color w:val="111111"/>
          <w:sz w:val="28"/>
          <w:szCs w:val="28"/>
          <w:rtl w:val="true"/>
          <w:lang w:bidi="fa-IR"/>
        </w:rPr>
        <w:t>.</w:t>
      </w:r>
    </w:p>
    <w:p>
      <w:pPr>
        <w:pStyle w:val="Heading6"/>
        <w:numPr>
          <w:ilvl w:val="5"/>
          <w:numId w:val="1"/>
        </w:numPr>
        <w:rPr/>
      </w:pPr>
      <w:bookmarkStart w:id="432" w:name="__RefHeading___Toc488545_2281741623"/>
      <w:bookmarkStart w:id="433" w:name="_Toc166"/>
      <w:bookmarkEnd w:id="432"/>
      <w:r>
        <w:rPr>
          <w:rtl w:val="true"/>
        </w:rPr>
        <w:t>المستند للقول الثانی</w:t>
      </w:r>
      <w:bookmarkEnd w:id="433"/>
    </w:p>
    <w:p>
      <w:pPr>
        <w:pStyle w:val="Heading6"/>
        <w:numPr>
          <w:ilvl w:val="5"/>
          <w:numId w:val="1"/>
        </w:numPr>
        <w:rPr/>
      </w:pPr>
      <w:bookmarkStart w:id="434" w:name="__RefHeading___Toc488547_2281741623"/>
      <w:bookmarkStart w:id="435" w:name="_Toc167"/>
      <w:bookmarkEnd w:id="434"/>
      <w:r>
        <w:rPr>
          <w:rtl w:val="true"/>
        </w:rPr>
        <w:t>اشارة</w:t>
      </w:r>
      <w:bookmarkEnd w:id="435"/>
    </w:p>
    <w:p>
      <w:pPr>
        <w:pStyle w:val="BookText"/>
        <w:rPr/>
      </w:pPr>
      <w:r>
        <w:rPr>
          <w:rFonts w:ascii="IRNazanin" w:hAnsi="IRNazanin" w:eastAsia="IRNazanin"/>
          <w:color w:val="111111"/>
          <w:sz w:val="28"/>
          <w:sz w:val="28"/>
          <w:szCs w:val="28"/>
          <w:rtl w:val="true"/>
          <w:lang w:bidi="fa-IR"/>
        </w:rPr>
        <w:t xml:space="preserve">و أمّا المستند للقول الثانی و هو القول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فعمدته الأصل من إستصحاب الطهارة، و قاعدتها و دلیلها من الموثّق المرویّ فی طهارة التهذیب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نظیف حتّی تعلم أنّه قذر </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6" w:name="__RefHeading___Toc488549_2281741623"/>
      <w:bookmarkStart w:id="437" w:name="_Toc168"/>
      <w:bookmarkEnd w:id="436"/>
      <w:r>
        <w:rPr>
          <w:rtl w:val="true"/>
        </w:rPr>
        <w:t>بسط الکلام فی معنی الإشتداد</w:t>
      </w:r>
      <w:bookmarkEnd w:id="437"/>
    </w:p>
    <w:p>
      <w:pPr>
        <w:pStyle w:val="BookText"/>
        <w:rPr/>
      </w:pPr>
      <w:r>
        <w:rPr>
          <w:rFonts w:ascii="IRNazanin" w:hAnsi="IRNazanin" w:eastAsia="IRNazanin"/>
          <w:color w:val="111111"/>
          <w:sz w:val="28"/>
          <w:sz w:val="28"/>
          <w:szCs w:val="28"/>
          <w:rtl w:val="true"/>
          <w:lang w:bidi="fa-IR"/>
        </w:rPr>
        <w:t xml:space="preserve">و أمّا المستند للثالث و هو التفصیل بین صورة الإشتداد و عدمه، فتوقّف أوّلاً علی معرفة الإشتداد، والّذی یظهر انّ فی معناه أقوالاً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المشهور انّه الثخانة، و هو المصرّح به فی جملة من کتب الشهید الأوّل رحمه‌الله ، و کتب المحقّق الثانی رحمه‌الله ، و الشهید الثانی رحمه‌الله ، و من تأخّر عنهم </w:t>
      </w:r>
      <w:r>
        <w:rPr>
          <w:rFonts w:eastAsia="IRNazanin" w:cs="IRNazanin"/>
          <w:color w:val="111111"/>
          <w:sz w:val="28"/>
          <w:szCs w:val="28"/>
          <w:rtl w:val="true"/>
          <w:lang w:bidi="fa-IR"/>
        </w:rPr>
        <w:t>.</w:t>
      </w:r>
    </w:p>
    <w:p>
      <w:pPr>
        <w:pStyle w:val="Heading6"/>
        <w:numPr>
          <w:ilvl w:val="5"/>
          <w:numId w:val="1"/>
        </w:numPr>
        <w:rPr/>
      </w:pPr>
      <w:bookmarkStart w:id="438" w:name="__RefHeading___Toc488551_2281741623"/>
      <w:bookmarkStart w:id="439" w:name="_Toc169"/>
      <w:bookmarkEnd w:id="438"/>
      <w:r>
        <w:rPr>
          <w:rtl w:val="true"/>
        </w:rPr>
        <w:t xml:space="preserve">الأقوال فی معنی الإشتداد </w:t>
      </w:r>
      <w:r>
        <w:rPr>
          <w:rtl w:val="true"/>
        </w:rPr>
        <w:t>:</w:t>
      </w:r>
      <w:bookmarkEnd w:id="439"/>
    </w:p>
    <w:p>
      <w:pPr>
        <w:pStyle w:val="Heading6"/>
        <w:numPr>
          <w:ilvl w:val="5"/>
          <w:numId w:val="1"/>
        </w:numPr>
        <w:rPr/>
      </w:pPr>
      <w:bookmarkStart w:id="440" w:name="__RefHeading___Toc488553_2281741623"/>
      <w:bookmarkStart w:id="441" w:name="_Toc170"/>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 xml:space="preserve">و هؤلاء علی وجوه </w:t>
      </w:r>
      <w:r>
        <w:rPr>
          <w:rFonts w:eastAsia="IRNazanin" w:cs="IRNazanin"/>
          <w:color w:val="111111"/>
          <w:sz w:val="28"/>
          <w:szCs w:val="28"/>
          <w:rtl w:val="true"/>
          <w:lang w:bidi="fa-IR"/>
        </w:rPr>
        <w:t>:</w:t>
      </w:r>
    </w:p>
    <w:p>
      <w:pPr>
        <w:pStyle w:val="Heading6"/>
        <w:numPr>
          <w:ilvl w:val="5"/>
          <w:numId w:val="1"/>
        </w:numPr>
        <w:rPr/>
      </w:pPr>
      <w:bookmarkStart w:id="442" w:name="__RefHeading___Toc488555_2281741623"/>
      <w:bookmarkStart w:id="443" w:name="_Toc171"/>
      <w:bookmarkEnd w:id="442"/>
      <w:r>
        <w:rPr>
          <w:rtl w:val="true"/>
        </w:rPr>
        <w:t xml:space="preserve">القول الأوّل </w:t>
      </w:r>
      <w:r>
        <w:rPr>
          <w:rtl w:val="true"/>
        </w:rPr>
        <w:t xml:space="preserve">: </w:t>
      </w:r>
      <w:r>
        <w:rPr>
          <w:rtl w:val="true"/>
        </w:rPr>
        <w:t>انّ الإشتداد هو الثخانة</w:t>
      </w:r>
      <w:bookmarkEnd w:id="443"/>
    </w:p>
    <w:p>
      <w:pPr>
        <w:pStyle w:val="Heading6"/>
        <w:numPr>
          <w:ilvl w:val="5"/>
          <w:numId w:val="1"/>
        </w:numPr>
        <w:rPr/>
      </w:pPr>
      <w:bookmarkStart w:id="444" w:name="__RefHeading___Toc488557_2281741623"/>
      <w:bookmarkStart w:id="445" w:name="_Toc172"/>
      <w:bookmarkEnd w:id="444"/>
      <w:r>
        <w:rPr>
          <w:rtl w:val="true"/>
        </w:rPr>
        <w:t xml:space="preserve">الوجوه التی یقال فی تفسیر الثخانة </w:t>
      </w:r>
      <w:r>
        <w:rPr>
          <w:rtl w:val="true"/>
        </w:rPr>
        <w:t>:</w:t>
      </w:r>
      <w:bookmarkEnd w:id="445"/>
    </w:p>
    <w:p>
      <w:pPr>
        <w:pStyle w:val="Heading6"/>
        <w:numPr>
          <w:ilvl w:val="5"/>
          <w:numId w:val="1"/>
        </w:numPr>
        <w:rPr/>
      </w:pPr>
      <w:bookmarkStart w:id="446" w:name="__RefHeading___Toc488559_2281741623"/>
      <w:bookmarkStart w:id="447" w:name="_Toc173"/>
      <w:bookmarkEnd w:id="446"/>
      <w:r>
        <w:rPr>
          <w:rtl w:val="true"/>
        </w:rPr>
        <w:t xml:space="preserve">أحدها </w:t>
      </w:r>
      <w:r>
        <w:rPr>
          <w:rtl w:val="true"/>
        </w:rPr>
        <w:t xml:space="preserve">: </w:t>
      </w:r>
      <w:r>
        <w:rPr>
          <w:rtl w:val="true"/>
        </w:rPr>
        <w:t>انّ الثخانة مقارنة للغلیان و مسبّبة عنه</w:t>
      </w:r>
      <w:bookmarkEnd w:id="447"/>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الثخانة مقارنة للغلیان و مسبّبة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الذکری و البیان ما تقدّم منهما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حاشیة الشرائع بعد ما یظهر منه من ارتضائه ما فی الشرائع من إعتبار الغلیان والشدّة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بغلیانه صیرورة أعلاه أسفل، و باشتداده حصول الثخانة المسبّبة عن الغلیان، و یبقی کذلک حتّی یذهب ثلثاه أو یصیر دبساً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حاشیة الإرشاد بعد ارتضائه ما فیه من إعتبار الغلیان و الشدّة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بغلیانه صیرورة أعلاه أسفله بالنار و الشمس، و المراد باشتداده أوّل أخذه بالثخانة، و هو لازم للغلیان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یحرم مع الغلیان حتّی یذهب ثلثاه أو یصیر دبساً، و لا ینجس إلاّ مع الإشتداد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کانّه یعتبر بالإشتداد معنی آخر ، إذ الثخانة حاصلة بمجرّد الغلیان، وهو مطالب بالمستند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جامع المقاصد بعد ما یظهر من ارتضائه ما فی القواعد من إعتبار الأمرین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بغلیانه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صیرورة أعلاه أسفله، و باشتداده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الثخانة المسبّبة عن مجرّد الغلیان، و یبقی کذلک حتّی یذهب ثلثاه أو یصیر دبساً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هو المشهور بین الأصحاب کما ذکره فی المختلف، و عبارة الذکری تدلّ علی خلاف ذلک، و علی النجاسة، فإذا حکم بطهره طهر کلّ ما یزاوله </w:t>
      </w:r>
      <w:r>
        <w:rPr>
          <w:rStyle w:val="FootnoteAnchor"/>
          <w:rtl w:val="true"/>
        </w:rPr>
        <w:footnoteReference w:id="909"/>
      </w:r>
      <w:r>
        <w:rPr>
          <w:rFonts w:ascii="IRNazanin" w:hAnsi="IRNazanin" w:eastAsia="IRNazanin"/>
          <w:color w:val="111111"/>
          <w:sz w:val="28"/>
          <w:sz w:val="28"/>
          <w:szCs w:val="28"/>
          <w:rtl w:val="true"/>
          <w:lang w:bidi="fa-IR"/>
        </w:rPr>
        <w:t xml:space="preserve">؛ إنتهی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مقتضی هذه العبارات انّ أوّل أخذه فی الغلیان تحصل له ثخانة ما، یعنی هو أوّل أخذه فی الثخانة ، و قد بیّنه فی المسالک و الروض، و عبارة المسالک قد تقدّمت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 xml:space="preserve">. </w:t>
      </w:r>
      <w:bookmarkStart w:id="448" w:name="pg3696_43541"/>
    </w:p>
    <w:p>
      <w:pPr>
        <w:pStyle w:val="BookText"/>
        <w:rPr/>
      </w:pPr>
      <w:bookmarkEnd w:id="448"/>
      <w:r>
        <w:rPr>
          <w:rFonts w:ascii="IRNazanin" w:hAnsi="IRNazanin" w:eastAsia="IRNazanin"/>
          <w:color w:val="111111"/>
          <w:sz w:val="28"/>
          <w:sz w:val="28"/>
          <w:szCs w:val="28"/>
          <w:rtl w:val="true"/>
          <w:lang w:bidi="fa-IR"/>
        </w:rPr>
        <w:t xml:space="preserve">وقال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ووجه انّ الثخانة مسبّبة عن مجرّد الغلیان </w:t>
      </w:r>
      <w:r>
        <w:rPr>
          <w:rFonts w:eastAsia="IRNazanin" w:cs="IRNazanin"/>
          <w:color w:val="111111"/>
          <w:sz w:val="28"/>
          <w:szCs w:val="28"/>
          <w:rtl w:val="true"/>
          <w:lang w:bidi="fa-IR"/>
        </w:rPr>
        <w:t xml:space="preserve">] </w:t>
      </w:r>
      <w:r>
        <w:rPr>
          <w:rStyle w:val="FootnoteAnchor"/>
          <w:rtl w:val="true"/>
        </w:rPr>
        <w:footnoteReference w:id="912"/>
      </w:r>
      <w:r>
        <w:rPr>
          <w:rFonts w:ascii="IRNazanin" w:hAnsi="IRNazanin" w:eastAsia="IRNazanin"/>
          <w:color w:val="111111"/>
          <w:sz w:val="28"/>
          <w:sz w:val="28"/>
          <w:szCs w:val="28"/>
          <w:rtl w:val="true"/>
          <w:lang w:bidi="fa-IR"/>
        </w:rPr>
        <w:t xml:space="preserve">انّ الغلیان لما کان هو الموجب لها فکلّ جزء منه یوجب جزءاً منها، و لما کان المعتبر أوّل أخذه فیالثخانة کفی فیه أوّل أخذه فی الغلیان وإن لم‌تظهر للحسّ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49" w:name="__RefHeading___Toc488561_2281741623"/>
      <w:bookmarkStart w:id="450" w:name="_Toc174"/>
      <w:bookmarkEnd w:id="449"/>
      <w:r>
        <w:rPr>
          <w:rtl w:val="true"/>
        </w:rPr>
        <w:t xml:space="preserve">ثانیها </w:t>
      </w:r>
      <w:r>
        <w:rPr>
          <w:rtl w:val="true"/>
        </w:rPr>
        <w:t xml:space="preserve">: </w:t>
      </w:r>
      <w:r>
        <w:rPr>
          <w:rtl w:val="true"/>
        </w:rPr>
        <w:t>انّ الثخانة أمر عرفیّ یحصل متدرّجاً بعد الغلیان</w:t>
      </w:r>
      <w:bookmarkEnd w:id="450"/>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الثخانة أمر عرفیّ یحصل متدرّجاً بعد الغلیان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المصرّح به فی کلام 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التلازم غیر ظاهر خصوصاً فیما غلی بنفسه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بغلیانه صیرورة أعلاه أسفله، و باشتداده حصول الثخانة له، و ینبغی الرجوع فیه إلی العرف، و ذکر المحقّق الشیخ علیّ أنّها یتحقّق بمجرّد الغلیان، و هو غیر واضح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الذخیرة ما یطول نقله </w:t>
      </w:r>
      <w:r>
        <w:rPr>
          <w:rStyle w:val="FootnoteAnchor"/>
          <w:rtl w:val="true"/>
        </w:rPr>
        <w:footnoteReference w:id="916"/>
      </w:r>
      <w:r>
        <w:rPr>
          <w:rFonts w:ascii="Amiri" w:hAnsi="Amiri" w:eastAsia="Amiri" w:cs="Amiri"/>
          <w:color w:val="111111"/>
          <w:sz w:val="28"/>
          <w:sz w:val="28"/>
          <w:szCs w:val="28"/>
          <w:rtl w:val="true"/>
          <w:lang w:bidi="ar-SA"/>
        </w:rPr>
        <w:t xml:space="preserve">، و هو مختار جملة من الأواخر </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51" w:name="__RefHeading___Toc488563_2281741623"/>
      <w:bookmarkStart w:id="452" w:name="_Toc175"/>
      <w:bookmarkEnd w:id="451"/>
      <w:r>
        <w:rPr>
          <w:rtl w:val="true"/>
        </w:rPr>
        <w:t xml:space="preserve">ثالثها </w:t>
      </w:r>
      <w:r>
        <w:rPr>
          <w:rtl w:val="true"/>
        </w:rPr>
        <w:t xml:space="preserve">: </w:t>
      </w:r>
      <w:r>
        <w:rPr>
          <w:rtl w:val="true"/>
        </w:rPr>
        <w:t>التفصیل بین الغلیان بالنار و بغیرها</w:t>
      </w:r>
      <w:bookmarkEnd w:id="452"/>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لو کان الغلیان بالنار فالنجاسة مسببة عن الغلیان و تحصل فی أوّل الغلیان، و ما لو کان الغلیان بالهواء و الشمس خصوصاً الاوّل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المستفاد من الروض حیث قال بعد ذکر عبارة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واشتدّ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الاشتداد </w:t>
      </w:r>
      <w:r>
        <w:rPr>
          <w:rFonts w:eastAsia="IRNazanin" w:cs="IRNazanin"/>
          <w:color w:val="111111"/>
          <w:sz w:val="28"/>
          <w:szCs w:val="28"/>
          <w:rtl w:val="true"/>
          <w:lang w:bidi="fa-IR"/>
        </w:rPr>
        <w:t xml:space="preserve">] </w:t>
      </w:r>
      <w:r>
        <w:rPr>
          <w:rStyle w:val="FootnoteAnchor"/>
          <w:rtl w:val="true"/>
        </w:rPr>
        <w:footnoteReference w:id="918"/>
      </w:r>
      <w:r>
        <w:rPr>
          <w:rFonts w:ascii="IRNazanin" w:hAnsi="IRNazanin" w:eastAsia="IRNazanin"/>
          <w:color w:val="111111"/>
          <w:sz w:val="28"/>
          <w:sz w:val="28"/>
          <w:szCs w:val="28"/>
          <w:rtl w:val="true"/>
          <w:lang w:bidi="fa-IR"/>
        </w:rPr>
        <w:t xml:space="preserve">أن یحصل له ثخانة و هی مسببة عن مجرّد </w:t>
      </w:r>
      <w:bookmarkStart w:id="453" w:name="pg3696_43544"/>
    </w:p>
    <w:p>
      <w:pPr>
        <w:pStyle w:val="BookText"/>
        <w:rPr/>
      </w:pPr>
      <w:bookmarkEnd w:id="453"/>
      <w:r>
        <w:rPr>
          <w:rFonts w:ascii="IRNazanin" w:hAnsi="IRNazanin" w:eastAsia="IRNazanin"/>
          <w:color w:val="111111"/>
          <w:sz w:val="28"/>
          <w:sz w:val="28"/>
          <w:szCs w:val="28"/>
          <w:rtl w:val="true"/>
          <w:lang w:bidi="fa-IR"/>
        </w:rPr>
        <w:t xml:space="preserve">الغلیان عند الشهید رحمه‌الله ، و تبعه الشیخ علیّ رحمه‌الله ، و وجهه انّ الغلیان </w:t>
      </w:r>
      <w:r>
        <w:rPr>
          <w:rFonts w:eastAsia="IRNazanin" w:cs="IRNazanin"/>
          <w:color w:val="111111"/>
          <w:sz w:val="28"/>
          <w:szCs w:val="28"/>
          <w:rtl w:val="true"/>
          <w:lang w:bidi="fa-IR"/>
        </w:rPr>
        <w:t xml:space="preserve">... </w:t>
      </w:r>
      <w:r>
        <w:rPr>
          <w:rStyle w:val="FootnoteAnchor"/>
          <w:rtl w:val="true"/>
        </w:rPr>
        <w:footnoteReference w:id="919"/>
      </w:r>
      <w:r>
        <w:rPr>
          <w:rFonts w:ascii="IRNazanin" w:hAnsi="IRNazanin" w:eastAsia="IRNazanin"/>
          <w:color w:val="111111"/>
          <w:sz w:val="28"/>
          <w:sz w:val="28"/>
          <w:szCs w:val="28"/>
          <w:rtl w:val="true"/>
          <w:lang w:bidi="fa-IR"/>
        </w:rPr>
        <w:t xml:space="preserve">، إلی آخر ما تقدّم منه آنفاً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المعتبر یحرم مع الغلیان و لاینجس إلاّ مع الاشتداد، و هذا هو الظاهر، فانّ التلازم غیر ظاهر خصوصاً فیما غلی بنفسه </w:t>
      </w:r>
      <w:r>
        <w:rPr>
          <w:rStyle w:val="FootnoteAnchor"/>
          <w:rtl w:val="true"/>
        </w:rPr>
        <w:footnoteReference w:id="920"/>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Heading6"/>
        <w:numPr>
          <w:ilvl w:val="5"/>
          <w:numId w:val="1"/>
        </w:numPr>
        <w:rPr/>
      </w:pPr>
      <w:bookmarkStart w:id="454" w:name="__RefHeading___Toc488565_2281741623"/>
      <w:bookmarkStart w:id="455" w:name="_Toc176"/>
      <w:bookmarkEnd w:id="454"/>
      <w:r>
        <w:rPr>
          <w:rtl w:val="true"/>
        </w:rPr>
        <w:t>الأقوی فی هذه الوجوه</w:t>
      </w:r>
      <w:bookmarkEnd w:id="455"/>
    </w:p>
    <w:p>
      <w:pPr>
        <w:pStyle w:val="BookText"/>
        <w:rPr/>
      </w:pPr>
      <w:r>
        <w:rPr>
          <w:rFonts w:ascii="IRNazanin" w:hAnsi="IRNazanin" w:eastAsia="IRNazanin"/>
          <w:color w:val="111111"/>
          <w:sz w:val="28"/>
          <w:sz w:val="28"/>
          <w:szCs w:val="28"/>
          <w:rtl w:val="true"/>
          <w:lang w:bidi="fa-IR"/>
        </w:rPr>
        <w:t xml:space="preserve">والأقوی فی هذه الوجوه هو الثانی، لا لما ذکره أصحاب هذا القول من انّ المرجع فی أمثال ذلک إلی العرف أو اللغة ، و کلاهما یأباه، بل لما ستعرف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انّه لو کان لما کان، لذکر الإشتداد فائدة کما لایخفی، و أیضاً مجرّد ذهاب شیء یسیر من الأجزاء المائیّة لا یجعله ثخیناً </w:t>
      </w:r>
      <w:r>
        <w:rPr>
          <w:rFonts w:eastAsia="IRNazanin" w:cs="IRNazanin"/>
          <w:color w:val="111111"/>
          <w:sz w:val="28"/>
          <w:szCs w:val="28"/>
          <w:rtl w:val="true"/>
          <w:lang w:bidi="fa-IR"/>
        </w:rPr>
        <w:t>.</w:t>
      </w:r>
    </w:p>
    <w:p>
      <w:pPr>
        <w:pStyle w:val="Heading6"/>
        <w:numPr>
          <w:ilvl w:val="5"/>
          <w:numId w:val="1"/>
        </w:numPr>
        <w:rPr/>
      </w:pPr>
      <w:bookmarkStart w:id="456" w:name="__RefHeading___Toc488567_2281741623"/>
      <w:bookmarkStart w:id="457" w:name="_Toc177"/>
      <w:bookmarkEnd w:id="456"/>
      <w:r>
        <w:rPr>
          <w:rtl w:val="true"/>
        </w:rPr>
        <w:t xml:space="preserve">القول الثانی </w:t>
      </w:r>
      <w:r>
        <w:rPr>
          <w:rtl w:val="true"/>
        </w:rPr>
        <w:t xml:space="preserve">: </w:t>
      </w:r>
      <w:r>
        <w:rPr>
          <w:rtl w:val="true"/>
        </w:rPr>
        <w:t>انّ الإشتداد هو صیرورة أعلاه أسفله</w:t>
      </w:r>
      <w:bookmarkEnd w:id="457"/>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الإشتداد هو صیرورة أعلاه أسفله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المحکی عن الإیضاح ناسباً له فی ظاهره إلی الأصحاب، و کذا فی مجمع البحرین فی وجه من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قال فی محکی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بالإشتداد عند الجمهور الشدّة المطریة، وعندنا أن یصیر أعلاه أسفله بالغلیان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غلیانه و اشتداده، و فسّر بصیرورة أعلاه أسفله، نجس حرام، نقل علیه الإجماع من الإمامیّة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bookmarkStart w:id="458" w:name="pg3696_43546"/>
    </w:p>
    <w:p>
      <w:pPr>
        <w:pStyle w:val="BookText"/>
        <w:rPr/>
      </w:pPr>
      <w:bookmarkEnd w:id="458"/>
      <w:r>
        <w:rPr>
          <w:rFonts w:ascii="IRNazanin" w:hAnsi="IRNazanin" w:eastAsia="IRNazanin"/>
          <w:color w:val="111111"/>
          <w:sz w:val="28"/>
          <w:sz w:val="28"/>
          <w:szCs w:val="28"/>
          <w:rtl w:val="true"/>
          <w:lang w:bidi="fa-IR"/>
        </w:rPr>
        <w:t xml:space="preserve">و لعلّ هذا یرجع إلی ما تقدّم من تفسیره بالثخانة المسبّبة عن مجرّد الغلیان، وقد تقدّم ما فیه </w:t>
      </w:r>
      <w:r>
        <w:rPr>
          <w:rFonts w:eastAsia="IRNazanin" w:cs="IRNazanin"/>
          <w:color w:val="111111"/>
          <w:sz w:val="28"/>
          <w:szCs w:val="28"/>
          <w:rtl w:val="true"/>
          <w:lang w:bidi="fa-IR"/>
        </w:rPr>
        <w:t>.</w:t>
      </w:r>
    </w:p>
    <w:p>
      <w:pPr>
        <w:pStyle w:val="Heading6"/>
        <w:numPr>
          <w:ilvl w:val="5"/>
          <w:numId w:val="1"/>
        </w:numPr>
        <w:rPr/>
      </w:pPr>
      <w:bookmarkStart w:id="459" w:name="__RefHeading___Toc488569_2281741623"/>
      <w:bookmarkStart w:id="460" w:name="_Toc178"/>
      <w:bookmarkEnd w:id="459"/>
      <w:r>
        <w:rPr>
          <w:rtl w:val="true"/>
        </w:rPr>
        <w:t xml:space="preserve">القول الثالث </w:t>
      </w:r>
      <w:r>
        <w:rPr>
          <w:rtl w:val="true"/>
        </w:rPr>
        <w:t xml:space="preserve">: </w:t>
      </w:r>
      <w:r>
        <w:rPr>
          <w:rtl w:val="true"/>
        </w:rPr>
        <w:t>انّ الاشتداد هو الشدّة المطریة</w:t>
      </w:r>
      <w:bookmarkEnd w:id="460"/>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الاشتداد هو الشدّة المطریة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حکاه فی الإیضاح عن الجمهور </w:t>
      </w:r>
      <w:r>
        <w:rPr>
          <w:rStyle w:val="FootnoteAnchor"/>
          <w:rtl w:val="true"/>
        </w:rPr>
        <w:footnoteReference w:id="923"/>
      </w:r>
      <w:r>
        <w:rPr>
          <w:rFonts w:ascii="IRNazanin" w:hAnsi="IRNazanin" w:eastAsia="IRNazanin"/>
          <w:color w:val="111111"/>
          <w:sz w:val="28"/>
          <w:sz w:val="28"/>
          <w:szCs w:val="28"/>
          <w:rtl w:val="true"/>
          <w:lang w:bidi="fa-IR"/>
        </w:rPr>
        <w:t xml:space="preserve">، کما احتمله فی الذکری فی عبارة المعتبر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المطریة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أن تکون بالطاء المهملة، والیاء المثناة التحتانیّة، کما فی جملة من النسخ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اتخم وانتفخ بطنه، و أطروان الشباب بالضم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و غلواؤه </w:t>
      </w:r>
      <w:r>
        <w:rPr>
          <w:rStyle w:val="FootnoteAnchor"/>
          <w:rtl w:val="true"/>
        </w:rPr>
        <w:footnoteReference w:id="92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المراد منه حینئذ إنتفاخ العصیر أو شدّة غلیانه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تکون بالظاء المعجمة، و الباء الموحّدة، کما فی نسخة من الذکری معجمة هکذا ؛ قال فی النهایة و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ظربت حوافر الدابة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اشتدّت و صلبت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فتکون حینئذ بصیغة المفعول من باب التفعیل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ظربت الحوافر بالضمّ تظریبا، فهی مظرّبة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صلبت واشتدت </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1" w:name="__RefHeading___Toc488571_2281741623"/>
      <w:bookmarkStart w:id="462" w:name="_Toc179"/>
      <w:bookmarkEnd w:id="461"/>
      <w:r>
        <w:rPr>
          <w:rtl w:val="true"/>
        </w:rPr>
        <w:t xml:space="preserve">القول الرابع </w:t>
      </w:r>
      <w:r>
        <w:rPr>
          <w:rtl w:val="true"/>
        </w:rPr>
        <w:t xml:space="preserve">: </w:t>
      </w:r>
      <w:r>
        <w:rPr>
          <w:rtl w:val="true"/>
        </w:rPr>
        <w:t>انّ الإشتداد هو القذف بالزبد</w:t>
      </w:r>
      <w:bookmarkEnd w:id="462"/>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الإشتداد هو القذف بالزبد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 الظاهر من محکیّ الإیضاح حیث قال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بالإشتداد عند الجمهور الشدّة المطریة و عندنا أن یصیر أعلاه أسفله بالغلیان أو یقذف بالزبد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 xml:space="preserve">. </w:t>
      </w:r>
      <w:bookmarkStart w:id="463" w:name="pg3696_43548"/>
    </w:p>
    <w:p>
      <w:pPr>
        <w:pStyle w:val="BookText"/>
        <w:rPr/>
      </w:pPr>
      <w:bookmarkEnd w:id="463"/>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انّ جملة من الأصحاب صرّحوا بانّه لیس القذف بالزبد هو حدّ النجاسة، بل یظهر منهم انّه مذهب العامّة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64" w:name="__RefHeading___Toc488573_2281741623"/>
      <w:bookmarkStart w:id="465" w:name="_Toc180"/>
      <w:bookmarkEnd w:id="464"/>
      <w:r>
        <w:rPr>
          <w:rtl w:val="true"/>
        </w:rPr>
        <w:t xml:space="preserve">القول الخامس </w:t>
      </w:r>
      <w:r>
        <w:rPr>
          <w:rtl w:val="true"/>
        </w:rPr>
        <w:t xml:space="preserve">: </w:t>
      </w:r>
      <w:r>
        <w:rPr>
          <w:rtl w:val="true"/>
        </w:rPr>
        <w:t xml:space="preserve">انّ الإشتداد </w:t>
      </w:r>
      <w:r>
        <w:rPr>
          <w:rtl w:val="true"/>
        </w:rPr>
        <w:t xml:space="preserve">: </w:t>
      </w:r>
      <w:r>
        <w:rPr>
          <w:rtl w:val="true"/>
        </w:rPr>
        <w:t>النشیش الحاصل من قبل نفسه</w:t>
      </w:r>
      <w:bookmarkEnd w:id="465"/>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جواهر الکلام من انّ الإشتداد النشیش الحاصل من قبل نفسه فیکون الغلیان فیما إذا کان بالنار، و الإشتداد ما کان من أصل 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لا عبارات بعض الأصحاب </w:t>
      </w:r>
      <w:r>
        <w:rPr>
          <w:rStyle w:val="FootnoteAnchor"/>
          <w:rtl w:val="true"/>
        </w:rPr>
        <w:footnoteReference w:id="930"/>
      </w:r>
      <w:r>
        <w:rPr>
          <w:rFonts w:ascii="IRNazanin" w:hAnsi="IRNazanin" w:eastAsia="IRNazanin"/>
          <w:color w:val="111111"/>
          <w:sz w:val="28"/>
          <w:sz w:val="28"/>
          <w:szCs w:val="28"/>
          <w:rtl w:val="true"/>
          <w:lang w:bidi="fa-IR"/>
        </w:rPr>
        <w:t xml:space="preserve">لأمکن أن یراد بالشدّة الحالة الملازمة للعصیر إذا نشّ من قبل نفسه، و هو الّذی أشار إلیه الفخر بقذف الزبد و مثله لایسمّی غلیانا عرفا، أو لا ینساق إلی الذهن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ما فی المتن و نحوه من ذکر الغلیان و الإشتداد یراد به حینئذ التعمیم للفردین، أی ما غلی بأن صار أعلاه أسفل و بالعکس و ما اشتدّ حتّی قذف الزبد بأن نشّ، لا أنّه یراد إجتماعهما فی عصیر واحد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أنّه خلاف ظاهر الأصحاب بل صریحهم، مضافاً إلی ما اعترف به هو من انّه لو کان کذلک لکان المناسب أن یقولوا إذا غلی أو اشتدّ ، بأو لا بالواو، کما فی خبر ذریح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غلی أو نشّ </w:t>
      </w:r>
      <w:r>
        <w:rPr>
          <w:rFonts w:eastAsia="IRNazanin" w:cs="IRNazanin"/>
          <w:color w:val="111111"/>
          <w:sz w:val="28"/>
          <w:szCs w:val="28"/>
          <w:rtl w:val="true"/>
          <w:lang w:bidi="fa-IR"/>
        </w:rPr>
        <w:t>.</w:t>
      </w:r>
    </w:p>
    <w:p>
      <w:pPr>
        <w:pStyle w:val="Heading6"/>
        <w:numPr>
          <w:ilvl w:val="5"/>
          <w:numId w:val="1"/>
        </w:numPr>
        <w:rPr/>
      </w:pPr>
      <w:bookmarkStart w:id="466" w:name="__RefHeading___Toc488575_2281741623"/>
      <w:bookmarkStart w:id="467" w:name="_Toc181"/>
      <w:bookmarkEnd w:id="466"/>
      <w:r>
        <w:rPr>
          <w:rtl w:val="true"/>
        </w:rPr>
        <w:t xml:space="preserve">القول السادس </w:t>
      </w:r>
      <w:r>
        <w:rPr>
          <w:rtl w:val="true"/>
        </w:rPr>
        <w:t xml:space="preserve">: </w:t>
      </w:r>
      <w:r>
        <w:rPr>
          <w:rtl w:val="true"/>
        </w:rPr>
        <w:t>إنّ المراد بالإشتداد الإشتداد فی الغلیان</w:t>
      </w:r>
      <w:bookmarkEnd w:id="467"/>
    </w:p>
    <w:p>
      <w:pPr>
        <w:pStyle w:val="Heading6"/>
        <w:numPr>
          <w:ilvl w:val="5"/>
          <w:numId w:val="1"/>
        </w:numPr>
        <w:rPr/>
      </w:pPr>
      <w:bookmarkStart w:id="468" w:name="__RefHeading___Toc488577_2281741623"/>
      <w:bookmarkStart w:id="469" w:name="_Toc182"/>
      <w:bookmarkEnd w:id="468"/>
      <w:r>
        <w:rPr>
          <w:rtl w:val="true"/>
        </w:rPr>
        <w:t>اشارة</w:t>
      </w:r>
      <w:bookmarkEnd w:id="469"/>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المراد بالإشتداد، الإشتداد فی الغلیان، کما یدلّ علیه بعض نسخ المفاتیح حیث انّ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غلی واشتدّ غلیانه </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خلاف الظاهر، إذ الظاهر انّ فاعل 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و هو معطوف علی غلی، بل هو خلاف کلماتهم السابقة </w:t>
      </w:r>
      <w:r>
        <w:rPr>
          <w:rFonts w:eastAsia="IRNazanin" w:cs="IRNazanin"/>
          <w:color w:val="111111"/>
          <w:sz w:val="28"/>
          <w:szCs w:val="28"/>
          <w:rtl w:val="true"/>
          <w:lang w:bidi="fa-IR"/>
        </w:rPr>
        <w:t xml:space="preserve">. </w:t>
      </w:r>
      <w:bookmarkStart w:id="470" w:name="pg3696_43549"/>
    </w:p>
    <w:p>
      <w:pPr>
        <w:pStyle w:val="BookText"/>
        <w:rPr/>
      </w:pPr>
      <w:bookmarkEnd w:id="470"/>
      <w:r>
        <w:rPr>
          <w:rFonts w:ascii="IRNazanin" w:hAnsi="IRNazanin" w:eastAsia="IRNazanin"/>
          <w:color w:val="111111"/>
          <w:sz w:val="28"/>
          <w:sz w:val="28"/>
          <w:szCs w:val="28"/>
          <w:rtl w:val="true"/>
          <w:lang w:bidi="fa-IR"/>
        </w:rPr>
        <w:t xml:space="preserve">إذا عرفت ذلک، فنقول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الإشتداد والثخانة الّذی فسّر هو بها لیس فیهما إصطلاح خاصّ، بل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الإشتداد إمّا مأخوذ من الشدّة بمعنی القوة والصلابة کما فی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تبیعوا الحب حتّی یشتدّ </w:t>
      </w:r>
      <w:r>
        <w:rPr>
          <w:rStyle w:val="FootnoteAnchor"/>
          <w:rtl w:val="true"/>
        </w:rPr>
        <w:footnoteReference w:id="9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اشتداده قوّته و صلابته، و الإشتداد فی کلّ شیء بحسبه فلذا فسّروه بالثخانة ، و تکون الثخانة راجعة إلی العرف کما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 بمعنی البلوغ إلی حدّ الکمال کما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اشتدّ النهار إذا علا وارتفع،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یبلغ أشدّه أی قوّته، و شددنا ملکه أی قوّیناه، فیکون المراد بلوغه إلی حدّه، و قوّته فی نفسه </w:t>
      </w:r>
      <w:r>
        <w:rPr>
          <w:rFonts w:eastAsia="IRNazanin" w:cs="IRNazanin"/>
          <w:color w:val="111111"/>
          <w:sz w:val="28"/>
          <w:szCs w:val="28"/>
          <w:rtl w:val="true"/>
          <w:lang w:bidi="fa-IR"/>
        </w:rPr>
        <w:t>.</w:t>
      </w:r>
    </w:p>
    <w:p>
      <w:pPr>
        <w:pStyle w:val="Heading6"/>
        <w:numPr>
          <w:ilvl w:val="5"/>
          <w:numId w:val="1"/>
        </w:numPr>
        <w:rPr/>
      </w:pPr>
      <w:bookmarkStart w:id="471" w:name="__RefHeading___Toc488579_2281741623"/>
      <w:bookmarkStart w:id="472" w:name="_Toc183"/>
      <w:bookmarkEnd w:id="471"/>
      <w:r>
        <w:rPr>
          <w:rtl w:val="true"/>
        </w:rPr>
        <w:t>تحقیق المؤلّف فی معنی الإشتداد</w:t>
      </w:r>
      <w:bookmarkEnd w:id="472"/>
    </w:p>
    <w:p>
      <w:pPr>
        <w:pStyle w:val="BookText"/>
        <w:rPr/>
      </w:pPr>
      <w:r>
        <w:rPr>
          <w:rFonts w:ascii="IRNazanin" w:hAnsi="IRNazanin" w:eastAsia="IRNazanin"/>
          <w:color w:val="111111"/>
          <w:sz w:val="28"/>
          <w:sz w:val="28"/>
          <w:szCs w:val="28"/>
          <w:rtl w:val="true"/>
          <w:lang w:bidi="fa-IR"/>
        </w:rPr>
        <w:t xml:space="preserve">و لم أر إستعماله هنا فی کلام أهل اللغة ما یبیّن منه المقصود تماماً إلاّ ما فی القاموس فی کتاب القاف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الباذق </w:t>
      </w:r>
      <w:r>
        <w:rPr>
          <w:rStyle w:val="FootnoteAnchor"/>
          <w:rtl w:val="true"/>
        </w:rPr>
        <w:footnoteReference w:id="934"/>
      </w:r>
      <w:r>
        <w:rPr>
          <w:rFonts w:ascii="IRNazanin" w:hAnsi="IRNazanin" w:eastAsia="IRNazanin"/>
          <w:color w:val="111111"/>
          <w:sz w:val="28"/>
          <w:sz w:val="28"/>
          <w:szCs w:val="28"/>
          <w:rtl w:val="true"/>
          <w:lang w:bidi="fa-IR"/>
        </w:rPr>
        <w:t xml:space="preserve">بکسر الذال و فتحها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طبخ من عصیر العنب أدنی طبخة فصار شدیداً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یظهر من ذلک انّ المطبوخ من عصیر العنب شدید، فالمراد من الإشتداد المطبوخ، و لو کان قلیلاً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 المنضوح إذا کان من قبل نفسه </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الثخانة، فهی أمر معروف عرفاً و لا ینبغی الریب فی عدم حصولها بأوّل الغلیان ، والّذی فسّره بها انّما أراد ما أشرنا إلیه من أنّ أوّل الغلیان أوّل أخذه فی الثخانة، کما عرفت من الشهید الثانی رحمه‌الله و نحوه </w:t>
      </w:r>
      <w:r>
        <w:rPr>
          <w:rFonts w:eastAsia="IRNazanin" w:cs="IRNazanin"/>
          <w:color w:val="111111"/>
          <w:sz w:val="28"/>
          <w:szCs w:val="28"/>
          <w:rtl w:val="true"/>
          <w:lang w:bidi="fa-IR"/>
        </w:rPr>
        <w:t xml:space="preserve">. </w:t>
      </w:r>
      <w:bookmarkStart w:id="473" w:name="pg3696_43551"/>
    </w:p>
    <w:p>
      <w:pPr>
        <w:pStyle w:val="BookText"/>
        <w:rPr/>
      </w:pPr>
      <w:bookmarkEnd w:id="473"/>
      <w:r>
        <w:rPr>
          <w:rFonts w:ascii="IRNazanin" w:hAnsi="IRNazanin" w:eastAsia="IRNazanin"/>
          <w:color w:val="111111"/>
          <w:sz w:val="28"/>
          <w:sz w:val="28"/>
          <w:szCs w:val="28"/>
          <w:rtl w:val="true"/>
          <w:lang w:bidi="fa-IR"/>
        </w:rPr>
        <w:t xml:space="preserve">و نقول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الإشتداد لیس هو مذکوراً فی أخبار الباب حتّی نحتاج إلی تنقیح معناه، و انّما المذکور فیها الغلیان الّذی هو بمعنی القلب و صیرورة أسفله أعلاه، و هو سبب الحرمة فقط، أو الحرمة و النجاسة معا </w:t>
      </w:r>
      <w:r>
        <w:rPr>
          <w:rFonts w:eastAsia="IRNazanin" w:cs="IRNazanin"/>
          <w:color w:val="111111"/>
          <w:sz w:val="28"/>
          <w:szCs w:val="28"/>
          <w:rtl w:val="true"/>
          <w:lang w:bidi="fa-IR"/>
        </w:rPr>
        <w:t>.</w:t>
      </w:r>
    </w:p>
    <w:p>
      <w:pPr>
        <w:pStyle w:val="Heading6"/>
        <w:numPr>
          <w:ilvl w:val="5"/>
          <w:numId w:val="1"/>
        </w:numPr>
        <w:rPr/>
      </w:pPr>
      <w:bookmarkStart w:id="474" w:name="__RefHeading___Toc488581_2281741623"/>
      <w:bookmarkStart w:id="475" w:name="_Toc184"/>
      <w:bookmarkEnd w:id="474"/>
      <w:r>
        <w:rPr>
          <w:rtl w:val="true"/>
        </w:rPr>
        <w:t xml:space="preserve">المستند للقول الثالث أمور </w:t>
      </w:r>
      <w:r>
        <w:rPr>
          <w:rtl w:val="true"/>
        </w:rPr>
        <w:t>:</w:t>
      </w:r>
      <w:bookmarkEnd w:id="475"/>
    </w:p>
    <w:p>
      <w:pPr>
        <w:pStyle w:val="Heading6"/>
        <w:numPr>
          <w:ilvl w:val="5"/>
          <w:numId w:val="1"/>
        </w:numPr>
        <w:rPr/>
      </w:pPr>
      <w:bookmarkStart w:id="476" w:name="__RefHeading___Toc488583_2281741623"/>
      <w:bookmarkStart w:id="477" w:name="_Toc185"/>
      <w:bookmarkEnd w:id="476"/>
      <w:r>
        <w:rPr>
          <w:rtl w:val="true"/>
        </w:rPr>
        <w:t>اشارة</w:t>
      </w:r>
      <w:bookmarkEnd w:id="477"/>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المستند فی هذا القول، أمّا فی الطهارة قبل الإشتداد فهو الأصول کما عرفت، و أمّا فی النجاسة بعد الإشتداد فأمور </w:t>
      </w:r>
      <w:r>
        <w:rPr>
          <w:rFonts w:eastAsia="IRNazanin" w:cs="IRNazanin"/>
          <w:color w:val="111111"/>
          <w:sz w:val="28"/>
          <w:szCs w:val="28"/>
          <w:rtl w:val="true"/>
          <w:lang w:bidi="fa-IR"/>
        </w:rPr>
        <w:t>:</w:t>
      </w:r>
    </w:p>
    <w:p>
      <w:pPr>
        <w:pStyle w:val="Heading6"/>
        <w:numPr>
          <w:ilvl w:val="5"/>
          <w:numId w:val="1"/>
        </w:numPr>
        <w:rPr/>
      </w:pPr>
      <w:bookmarkStart w:id="478" w:name="__RefHeading___Toc488585_2281741623"/>
      <w:bookmarkStart w:id="479" w:name="_Toc186"/>
      <w:bookmarkEnd w:id="478"/>
      <w:r>
        <w:rPr>
          <w:rtl w:val="true"/>
        </w:rPr>
        <w:t xml:space="preserve">الأوّل </w:t>
      </w:r>
      <w:r>
        <w:rPr>
          <w:rtl w:val="true"/>
        </w:rPr>
        <w:t xml:space="preserve">: </w:t>
      </w:r>
      <w:r>
        <w:rPr>
          <w:rtl w:val="true"/>
        </w:rPr>
        <w:t>الإجماع المحکیّ فی کنز العرفان و مجمع البحرین</w:t>
      </w:r>
      <w:bookmarkEnd w:id="479"/>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المحکیّ فی کنز العرفان و مجمع 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العنب قبل غلیانه طاهر حلال، و بعد غلیانه واشتداده نجس حرام، و ذلک إجماع من فقهائنا، أمّا بعد غلیانه و قبل اشتداده فحرام إجماعا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النجاسة ، فعند بعضنا أنّه نجس أیضا ، و عند آخرین أنّه طاهر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العصیر من العنب،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عصرت العنب عصرا، من باب ضرب إستخرجت ماءه، و إسم الماء العصیر فعیل بمعنی مفعول، و هو قبل غلیانه طاهر حلال، و بعد غلیانه و إشتداده ـ و فسّر بصیرورة أعلاه أسفله ـ نجس حرام، نقل علیه الإجماع من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غلیانه و قبل إشتداده فحرام أیضاً، و أمّا النجاسة فمختلف فیها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هذان الإجماعان مؤیّدان بالشهرة بین المتأخّرین کما فی کثیر من کلماتهم کالمسالک و المقاصد العلیة و المفاتیح ونحوها </w:t>
      </w:r>
      <w:r>
        <w:rPr>
          <w:rStyle w:val="FootnoteAnchor"/>
          <w:rtl w:val="true"/>
        </w:rPr>
        <w:footnoteReference w:id="938"/>
      </w:r>
      <w:r>
        <w:rPr>
          <w:rFonts w:ascii="IRNazanin" w:hAnsi="IRNazanin" w:eastAsia="IRNazanin"/>
          <w:color w:val="111111"/>
          <w:sz w:val="28"/>
          <w:sz w:val="28"/>
          <w:szCs w:val="28"/>
          <w:rtl w:val="true"/>
          <w:lang w:bidi="fa-IR"/>
        </w:rPr>
        <w:t xml:space="preserve">، کما عن حاشیة الشهید رحمه‌الله </w:t>
      </w:r>
    </w:p>
    <w:p>
      <w:pPr>
        <w:pStyle w:val="BookText"/>
        <w:rPr/>
      </w:pPr>
      <w:r>
        <w:rPr>
          <w:rFonts w:ascii="IRNazanin" w:hAnsi="IRNazanin" w:eastAsia="IRNazanin"/>
          <w:color w:val="111111"/>
          <w:sz w:val="28"/>
          <w:sz w:val="28"/>
          <w:szCs w:val="28"/>
          <w:rtl w:val="true"/>
          <w:lang w:bidi="fa-IR"/>
        </w:rPr>
        <w:t xml:space="preserve">علی القواعد </w:t>
      </w:r>
      <w:r>
        <w:rPr>
          <w:rStyle w:val="FootnoteAnchor"/>
          <w:rtl w:val="true"/>
        </w:rPr>
        <w:footnoteReference w:id="939"/>
      </w:r>
      <w:r>
        <w:rPr>
          <w:rFonts w:ascii="IRNazanin" w:hAnsi="IRNazanin" w:eastAsia="IRNazanin"/>
          <w:color w:val="111111"/>
          <w:sz w:val="28"/>
          <w:sz w:val="28"/>
          <w:szCs w:val="28"/>
          <w:rtl w:val="true"/>
          <w:lang w:bidi="fa-IR"/>
        </w:rPr>
        <w:t xml:space="preserve">، و شرح الألفیة للمحقّق الثانی رحمه‌الله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الریاض نسبتها إلی المشهور بین الأصحاب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إلی القول بالنجاسة </w:t>
      </w:r>
      <w:r>
        <w:rPr>
          <w:rFonts w:eastAsia="IRNazanin" w:cs="IRNazanin"/>
          <w:color w:val="111111"/>
          <w:sz w:val="28"/>
          <w:szCs w:val="28"/>
          <w:rtl w:val="true"/>
          <w:lang w:bidi="fa-IR"/>
        </w:rPr>
        <w:t xml:space="preserve">] </w:t>
      </w:r>
      <w:r>
        <w:rPr>
          <w:rStyle w:val="FootnoteAnchor"/>
          <w:rtl w:val="true"/>
        </w:rPr>
        <w:footnoteReference w:id="942"/>
      </w:r>
      <w:r>
        <w:rPr>
          <w:rFonts w:ascii="IRNazanin" w:hAnsi="IRNazanin" w:eastAsia="IRNazanin"/>
          <w:color w:val="111111"/>
          <w:sz w:val="28"/>
          <w:sz w:val="28"/>
          <w:szCs w:val="28"/>
          <w:rtl w:val="true"/>
          <w:lang w:bidi="fa-IR"/>
        </w:rPr>
        <w:t xml:space="preserve">، أکثر علمائنا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یظهر لک بعد التأمّل فی عبارة المعتبر و التذکرة و غیرها انّ النجاسة أمر مسلّم ، فلاحظ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الشهید رحمه‌الله فی الذکری نسبه إلی قلیل من الأصحاب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قدس‌سره کأنّه لم یظفر بما ذکره فی المختلف، و نسبه إلی أکثر علمائنا، و ما ذکره فی الشرائع، و ما ذکره فی التلخیص، والتحریر، والقواعد، والنهایة، و نحوها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اختار فی الألفیّة هذا القول و کذا فی الدروس، بل و اللمعة، و قد تقدّمت عبارة الدروس فی کتاب الطهارة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الألفیّة علی ما حکی عنها عند تعداد النجاسات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المسکر المائع، وفی حکمه الفقّاع، و العصیر العنبی إذا غلی واشتدّ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 xml:space="preserve">. </w:t>
      </w:r>
      <w:bookmarkStart w:id="480" w:name="pg3696_43555"/>
    </w:p>
    <w:p>
      <w:pPr>
        <w:pStyle w:val="BookText"/>
        <w:rPr/>
      </w:pPr>
      <w:bookmarkEnd w:id="480"/>
      <w:r>
        <w:rPr>
          <w:rFonts w:ascii="IRNazanin" w:hAnsi="IRNazanin" w:eastAsia="IRNazanin"/>
          <w:color w:val="111111"/>
          <w:sz w:val="28"/>
          <w:sz w:val="28"/>
          <w:szCs w:val="28"/>
          <w:rtl w:val="true"/>
          <w:lang w:bidi="fa-IR"/>
        </w:rPr>
        <w:t xml:space="preserve">و قال فی اللمعة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المطهّرات عشرة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ذهاب ثلثی العصیر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 کذا البیان فإنّه قال فی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عشرة و جعل أوّلها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ثلثی العصیر بالغلیان ولو بالشمس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الجمع فی القائل بالنجاسة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نقف لغیرهم علی قول بالنجاسة </w:t>
      </w:r>
      <w:r>
        <w:rPr>
          <w:rStyle w:val="FootnoteAnchor"/>
          <w:rtl w:val="true"/>
        </w:rPr>
        <w:footnoteReference w:id="9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من الجمع العلاّمة رحمه‌الله الّذی جعله متوقّفاً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أبعد بین هذا الشهید و الشهید الآخر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بنجاسته مشهور بین المتأخّرین، و لیس علیه نصّ ظاهر کما اعترف به المصنّف قدس‌سره فی البیان، بل نسب النجاسة فی الذکری إلی قلیل من الأصحاب، غیر أنّ الباقین منهم لم‌یصرّحوا بالطهارة، فتحقّق القولین فی المسألة مشکوک فیه و إن ضعف طریق المشهور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1" w:name="__RefHeading___Toc488587_2281741623"/>
      <w:bookmarkStart w:id="482" w:name="_Toc187"/>
      <w:bookmarkEnd w:id="481"/>
      <w:r>
        <w:rPr>
          <w:rtl w:val="true"/>
        </w:rPr>
        <w:t xml:space="preserve">الثانی </w:t>
      </w:r>
      <w:r>
        <w:rPr>
          <w:rtl w:val="true"/>
        </w:rPr>
        <w:t xml:space="preserve">: </w:t>
      </w:r>
      <w:r>
        <w:rPr>
          <w:rtl w:val="true"/>
        </w:rPr>
        <w:t>ما یظهر من جماعة أنّه بعد الإشتداد أو مطلقاً خمر أو مسکر</w:t>
      </w:r>
      <w:bookmarkEnd w:id="482"/>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جماعة أنّه بعد الإشتداد أو مطلقاً خمر أو مسکر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الصدوق رحمه‌الله فی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والدی فی وصیّته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یا بنیّ انّ أصل الخمر من الکرم إذا أصابته النار أو غلی من غیر أن تصیبه النار فیصیر أسفله أعلاه، فهو خمر لا یحلّ شربه إلی أن یذهب ثلثاه و یبقی ثلثه ، فإن نش من غیر أن تصیبه النار فدعه حتی یصیر خلاًّ من ذاته من غیر أن تلقی ملحا أو غیره حتّی یتحوّل خلاًّ </w:t>
      </w:r>
      <w:r>
        <w:rPr>
          <w:rStyle w:val="FootnoteAnchor"/>
          <w:rtl w:val="true"/>
        </w:rPr>
        <w:footnoteReference w:id="9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الفقیه فی باب حدّ شرب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رضی‌الله‌عنه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أصل الخمر من الکرم إذا أصابته النار أو غلی من غیر أن تمسه النار فیصیر أسفله أعلاه فهو خمر، فلا یحلّ شربه إلاّ أن یذهب ثلثاه و یبقی ثلثه </w:t>
      </w:r>
      <w:r>
        <w:rPr>
          <w:rStyle w:val="FootnoteAnchor"/>
          <w:rtl w:val="true"/>
        </w:rPr>
        <w:footnoteReference w:id="953"/>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فقه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 أصل الخمر من الکرم إذا أصابته النار أو غلی من غیر أن تصیبه النار فهو خمر، و لایحلّ شربه إلاّ أن یذهب ثلثاه علی النار و یبقی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نشّ من غیر أن تصیبه النار، فدعه حتّی یصیر خلاًّ من ذاته من غیر أن یلقی فیه شیء </w:t>
      </w:r>
      <w:r>
        <w:rPr>
          <w:rStyle w:val="FootnoteAnchor"/>
          <w:rtl w:val="true"/>
        </w:rPr>
        <w:footnoteReference w:id="954"/>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فی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بیان الأشربة المسکرة و أنواعها، فالخمر مجمع علی تحریمها و هو عصیر العنب الّذی إشتدّ و أسکر، و فیهم من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اشتدّ و أسکر و أزبد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فاعتبر أن یزبد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والأوّل مذهبنا، فهذا حرام نجس، یحدّ شاربها، سکر أم لم یسکر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عداها من الأشربة و هو ما عمل من العنب فمسته النار أو الطبخ، أو من غیر العنب مسّه الطبخ أو لم یمسّه، فکلّ شراب أسکر کثیره فکثیره و قلیله حرام، و کلّ عندنا خمر، حرام، نجس، یحدّ شاربه، سکر أو لم یسکر، کالخمر سواء، و سواء عمل من تمر، أو زبیب، أو عسل، أو حنطة، أو شعیر، أو ذرة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الشهادات، فی فصل من تقبّل شهادته و من لا تقبل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الشراب </w:t>
      </w:r>
    </w:p>
    <w:p>
      <w:pPr>
        <w:pStyle w:val="BookText"/>
        <w:rPr/>
      </w:pPr>
      <w:r>
        <w:rPr>
          <w:rFonts w:ascii="IRNazanin" w:hAnsi="IRNazanin" w:eastAsia="IRNazanin"/>
          <w:color w:val="111111"/>
          <w:sz w:val="28"/>
          <w:sz w:val="28"/>
          <w:szCs w:val="28"/>
          <w:rtl w:val="true"/>
          <w:lang w:bidi="fa-IR"/>
        </w:rPr>
        <w:t xml:space="preserve">ضربان خمر و غیر خمر، فالخمر عصیر العنب الّذی لم تمسه النار، و لا خالطه ماء و هو إذا اشتدّ و أسکر، و إذا کان کذلک فمتی شرب عنه و لو قطرة واحدة مع العلم بالتحریم حددناه، و فسقناه، و رددنا شهادته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غیرها من المسکرات، و هو ما عمل من تمر أو زبیب أو عسل أو ذرة جملته کلّما مسته النار أو طرح فیها ماء، فإذا اشتدّ و اسکر فانّ من شرب منه حتّی یسکر ردّت شهادته بلا خلاف، لانّه مجمع علی تحریمه و ان شرب منه الیسیر الذی لا یسکر حددناه، و فسقناه، و رددنا نحن شهادته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جملته ان عندنا حکمه حکم الخمر سواء، فامّا ما لا یسکر من الأشربة، و هو عصیر العنب قبل أن یشتد و کلّما عمل من تمر و غیره قبل أن یسکر فکلّه حلال، و لا یکره شربه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الکلمات بل فی المسالک، فی باب حدّ المسکر، ما تقدّم منه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انّ العصیر العنبی إذا غلی، بأن صار أسفله أعلاه، محرم یصیر بمنزلة الخمر فی الأحکام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 علماؤنا أیضا علی أنّ عصیر العنب إذا غلی حکمه حکم المسکر إلاّ أن یذهب ثلثاه </w:t>
      </w:r>
      <w:r>
        <w:rPr>
          <w:rStyle w:val="FootnoteAnchor"/>
          <w:rtl w:val="true"/>
        </w:rPr>
        <w:footnoteReference w:id="95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کنز العرفان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فی الأصل مصدر خمّره إذا ستره، سمّی به عصیر العنب والتمر إذا غلی واشتدّ، لأنّه یخمّر العقل، أی یستره </w:t>
      </w:r>
      <w:r>
        <w:rPr>
          <w:rStyle w:val="FootnoteAnchor"/>
          <w:rtl w:val="true"/>
        </w:rPr>
        <w:footnoteReference w:id="959"/>
      </w:r>
      <w:r>
        <w:rPr>
          <w:rFonts w:eastAsia="Times New Roman" w:cs="Times New Roman" w:ascii="Times New Roman" w:hAnsi="Times New Roman"/>
          <w:color w:val="111111"/>
          <w:sz w:val="28"/>
          <w:szCs w:val="28"/>
          <w:rtl w:val="true"/>
          <w:lang w:val="en-US" w:bidi="en-US"/>
        </w:rPr>
        <w:t xml:space="preserve">. </w:t>
      </w:r>
      <w:bookmarkStart w:id="483" w:name="pg3696_43562"/>
    </w:p>
    <w:p>
      <w:pPr>
        <w:pStyle w:val="BookText"/>
        <w:rPr/>
      </w:pPr>
      <w:bookmarkEnd w:id="483"/>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أحکام عصیر العنب من حیثیّات مختلفة قد ذکرها الأصحاب فی مواضع من الفقه، منها فی کتاب الطهارة فی موضعین منه، أحدهما فی موضع النجاسات، و ثانیهما فی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فی کتاب الأشربة، و منها فی کتاب الشهادات، و منها فی کتاب الحدود، فی باب حدّ شرب الخمر والمسکر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ذکرنا کثیراً من عباراتهم فی کتاب الطهارة والأشربة، و إن حصل لی المجال ذکرت شرذمة من العبارات ممّا فی کتاب الشهادات و الحدود لانّه یستفاد منها بعض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لعلّنا نذکر فصلاً فی أنّه هل یحدّ الشارب العصیر أم لا ، إن شاء اللّه تعالی، ونذکر ما یتعلّق بما فی الحدود هناک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یزید ذلک بیاناً ما قد یظهر من جملة من الأخبار أنّ الحرمة دائرة مدار الإسکار، منها الأخبار الواردة فی النبیذ و الفقّاع و یطول الکلام فی إیرادها ولایخفی علی المتأمّل فیها، و فی الأخبار الواردة فی العصیر المصرحة بالحرمة، و منها الأخبار الواردة فی أنّ کلّ مسکر قلیله و کثیره حرام کالخبر المرویّ فی الکافی فی باب انّ رسول اللّه صلی‌الله‌علیه‌و‌آله حرّم کلّ مسکر قلیله و کثیره، عن الفضیل بن یسار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84" w:name="__RefHeading___Toc488589_2281741623"/>
      <w:bookmarkStart w:id="485" w:name="_Toc188"/>
      <w:bookmarkEnd w:id="484"/>
      <w:r>
        <w:rPr>
          <w:rtl w:val="true"/>
        </w:rPr>
        <w:t xml:space="preserve">الثالث </w:t>
      </w:r>
      <w:r>
        <w:rPr>
          <w:rtl w:val="true"/>
        </w:rPr>
        <w:t xml:space="preserve">: </w:t>
      </w:r>
      <w:r>
        <w:rPr>
          <w:rtl w:val="true"/>
        </w:rPr>
        <w:t>الأخبار الواردة فی انّ العصیر قبل ذهاب الثلثین منه خمر</w:t>
      </w:r>
      <w:bookmarkEnd w:id="48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الأخبار الواردة فی انّ العصیر قبل ذهاب الثلثین منه خمر أو مسکر کالصحیح السابق المرویّ فی التهذیب،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من أهل المعرفة بالحقّ یأتینی بالبختج و یقول قد طبخ علی الثلث و أنا أعرفه انّه یشربه علی النصف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لانعرفه یشربه علی الثلث، و لایستحلّه علی النصف </w:t>
      </w:r>
    </w:p>
    <w:p>
      <w:pPr>
        <w:pStyle w:val="BookText"/>
        <w:rPr/>
      </w:pPr>
      <w:r>
        <w:rPr>
          <w:rFonts w:ascii="IRNazanin" w:hAnsi="IRNazanin" w:eastAsia="IRNazanin"/>
          <w:color w:val="111111"/>
          <w:sz w:val="28"/>
          <w:sz w:val="28"/>
          <w:szCs w:val="28"/>
          <w:rtl w:val="true"/>
          <w:lang w:bidi="fa-IR"/>
        </w:rPr>
        <w:t xml:space="preserve">یخبرنا ان عنده بختجاً علی الثلث قد ذهب ثلثاه و بقی ثلثه فشرب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فإنّ البختج لا ینفکّ عن الإشتداد قبل ذهاب الثلثین، و کونه خمرا إن لم یکن محمولاً فلا أقلّ من کونه مجازاً له أحکام الخمر </w:t>
      </w:r>
      <w:r>
        <w:rPr>
          <w:rStyle w:val="FootnoteAnchor"/>
          <w:rtl w:val="true"/>
        </w:rPr>
        <w:footnoteReference w:id="9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عنه بما عرفت سابقاً من 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فی الکافی، بل فی بعض نسخ التهذیب الموجودة عندی الّتی بها آثار الصحة لیس فیها لفظة 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ما تقدّم أیضاً من أنّ المجهول الحال الّذی عنه السؤال لا وجه للحکم بکونه خمراً، و کون المقصود البختج الغیر البالغ حدّ الثلث خلاف الظاهر جدّاً کلّ ذلک مضافاً إلی أضبطیّة الکافی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الصحیح المرویّ فی الکافی و التهذیب،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الرجل یهدی إلی البختج من غیر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یستحلّ المسکر فلا تشربه، و إن کان ممّن لایستحلّ فاشربه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الکافی فاقبله،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أشربه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کان ممّن یستحل المسکر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دلالة علی أنّه قبل ذهاب الثلثین مسکراً و فی حکم المسکر، و المسکر المائع نجس إجماعاً </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السابق المرویّ فی الکافی، فی باب بیع العصیر و الخمر، من کتاب المعیشة،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ثمن العصیر قبل أن یغلی </w:t>
      </w:r>
      <w:bookmarkStart w:id="486" w:name="pg3696_43566"/>
    </w:p>
    <w:p>
      <w:pPr>
        <w:pStyle w:val="BookText"/>
        <w:rPr/>
      </w:pPr>
      <w:bookmarkEnd w:id="486"/>
      <w:r>
        <w:rPr>
          <w:rFonts w:ascii="IRNazanin" w:hAnsi="IRNazanin" w:eastAsia="IRNazanin"/>
          <w:color w:val="111111"/>
          <w:sz w:val="28"/>
          <w:sz w:val="28"/>
          <w:szCs w:val="28"/>
          <w:rtl w:val="true"/>
          <w:lang w:bidi="fa-IR"/>
        </w:rPr>
        <w:t xml:space="preserve">لمن یبتاعه لیطبخه أو یجعله خمراً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بعته قبل أن یکون خمراً و هو حلال، فلا بأس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المستفاد منه انّه مادام کونه حراماً خمر، و هو بعد الإشتداد إجماعاً </w:t>
      </w:r>
      <w:r>
        <w:rPr>
          <w:rFonts w:eastAsia="IRNazanin" w:cs="IRNazanin"/>
          <w:color w:val="111111"/>
          <w:sz w:val="28"/>
          <w:szCs w:val="28"/>
          <w:rtl w:val="true"/>
          <w:lang w:bidi="fa-IR"/>
        </w:rPr>
        <w:t>.</w:t>
      </w:r>
    </w:p>
    <w:p>
      <w:pPr>
        <w:pStyle w:val="Heading6"/>
        <w:numPr>
          <w:ilvl w:val="5"/>
          <w:numId w:val="1"/>
        </w:numPr>
        <w:rPr/>
      </w:pPr>
      <w:bookmarkStart w:id="487" w:name="__RefHeading___Toc488591_2281741623"/>
      <w:bookmarkStart w:id="488" w:name="_Toc189"/>
      <w:bookmarkEnd w:id="487"/>
      <w:r>
        <w:rPr>
          <w:rtl w:val="true"/>
        </w:rPr>
        <w:t xml:space="preserve">الرابع </w:t>
      </w:r>
      <w:r>
        <w:rPr>
          <w:rtl w:val="true"/>
        </w:rPr>
        <w:t xml:space="preserve">: </w:t>
      </w:r>
      <w:r>
        <w:rPr>
          <w:rtl w:val="true"/>
        </w:rPr>
        <w:t>بعض الأخبار التی دلّت علی أنّه لاخیر فیه قبل ذهاب الثلثین منه</w:t>
      </w:r>
      <w:bookmarkEnd w:id="488"/>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الّتی دلّت علی أنّه لا خیر فیه قبل ذهاب الثلثین منه، فان نفی الخیر فیه من کلّ جهة إنّما یوافق النجاسة و إلاّ فالطهارة خیر، کالخبر المرویّ فی الکافی و التهذیب عن محمّد بن الهیثم عن رجل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العصیر یطبخ بالنار حتّی یغلی من ساعته و یشربه </w:t>
      </w:r>
      <w:r>
        <w:rPr>
          <w:rStyle w:val="FootnoteAnchor"/>
          <w:rtl w:val="true"/>
        </w:rPr>
        <w:footnoteReference w:id="965"/>
      </w:r>
      <w:r>
        <w:rPr>
          <w:rFonts w:ascii="IRNazanin" w:hAnsi="IRNazanin" w:eastAsia="IRNazanin"/>
          <w:color w:val="111111"/>
          <w:sz w:val="28"/>
          <w:sz w:val="28"/>
          <w:szCs w:val="28"/>
          <w:rtl w:val="true"/>
          <w:lang w:bidi="fa-IR"/>
        </w:rPr>
        <w:t>صاحبه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عن حاله و غلی فلا خیر فیه حتّی یذهب ثلثاه و یبقی ثلثه </w:t>
      </w:r>
      <w:r>
        <w:rPr>
          <w:rStyle w:val="FootnoteAnchor"/>
          <w:rtl w:val="true"/>
        </w:rPr>
        <w:footnoteReference w:id="9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إنّ مقتضاه النجاسة بعد الغلیان، لا بعد الاشتداد </w:t>
      </w:r>
      <w:r>
        <w:rPr>
          <w:rFonts w:eastAsia="IRNazanin" w:cs="IRNazanin"/>
          <w:color w:val="111111"/>
          <w:sz w:val="28"/>
          <w:szCs w:val="28"/>
          <w:rtl w:val="true"/>
          <w:lang w:bidi="fa-IR"/>
        </w:rPr>
        <w:t>.</w:t>
      </w:r>
    </w:p>
    <w:p>
      <w:pPr>
        <w:pStyle w:val="Heading5"/>
        <w:numPr>
          <w:ilvl w:val="4"/>
          <w:numId w:val="1"/>
        </w:numPr>
        <w:rPr/>
      </w:pPr>
      <w:bookmarkStart w:id="489" w:name="__RefHeading___Toc488593_2281741623"/>
      <w:bookmarkStart w:id="490" w:name="_Toc190"/>
      <w:bookmarkEnd w:id="489"/>
      <w:r>
        <w:rPr>
          <w:rtl w:val="true"/>
        </w:rPr>
        <w:t>مطالب</w:t>
      </w:r>
      <w:r>
        <w:rPr>
          <w:rtl w:val="true"/>
        </w:rPr>
        <w:t>:</w:t>
      </w:r>
      <w:bookmarkEnd w:id="490"/>
    </w:p>
    <w:p>
      <w:pPr>
        <w:pStyle w:val="Heading6"/>
        <w:numPr>
          <w:ilvl w:val="5"/>
          <w:numId w:val="1"/>
        </w:numPr>
        <w:rPr/>
      </w:pPr>
      <w:bookmarkStart w:id="491" w:name="__RefHeading___Toc488595_2281741623"/>
      <w:bookmarkStart w:id="492" w:name="_Toc191"/>
      <w:bookmarkEnd w:id="491"/>
      <w:r>
        <w:rPr>
          <w:rtl w:val="true"/>
        </w:rPr>
        <w:t>اشارة</w:t>
      </w:r>
      <w:bookmarkEnd w:id="492"/>
    </w:p>
    <w:p>
      <w:pPr>
        <w:pStyle w:val="BookText"/>
        <w:rPr/>
      </w:pPr>
      <w:r>
        <w:rPr>
          <w:rFonts w:ascii="IRNazanin" w:hAnsi="IRNazanin" w:eastAsia="IRNazanin"/>
          <w:color w:val="111111"/>
          <w:sz w:val="28"/>
          <w:sz w:val="28"/>
          <w:szCs w:val="28"/>
          <w:rtl w:val="true"/>
          <w:lang w:bidi="fa-IR"/>
        </w:rPr>
        <w:t xml:space="preserve">إذا عرفت هذه الأقوال، فتحقیق الحال فی هذا المجال یحتاج إلی بیان مطالب </w:t>
      </w:r>
      <w:r>
        <w:rPr>
          <w:rFonts w:eastAsia="IRNazanin" w:cs="IRNazanin"/>
          <w:color w:val="111111"/>
          <w:sz w:val="28"/>
          <w:szCs w:val="28"/>
          <w:rtl w:val="true"/>
          <w:lang w:bidi="fa-IR"/>
        </w:rPr>
        <w:t>:</w:t>
      </w:r>
    </w:p>
    <w:p>
      <w:pPr>
        <w:pStyle w:val="Heading6"/>
        <w:numPr>
          <w:ilvl w:val="5"/>
          <w:numId w:val="1"/>
        </w:numPr>
        <w:rPr/>
      </w:pPr>
      <w:bookmarkStart w:id="493" w:name="__RefHeading___Toc488597_2281741623"/>
      <w:bookmarkStart w:id="494" w:name="_Toc192"/>
      <w:bookmarkEnd w:id="493"/>
      <w:r>
        <w:rPr>
          <w:rtl w:val="true"/>
        </w:rPr>
        <w:t xml:space="preserve">المطلب الأوّل </w:t>
      </w:r>
      <w:r>
        <w:rPr>
          <w:rtl w:val="true"/>
        </w:rPr>
        <w:t xml:space="preserve">: </w:t>
      </w:r>
      <w:r>
        <w:rPr>
          <w:rtl w:val="true"/>
        </w:rPr>
        <w:t>إنّ صدق الخمر علی عصیر العنب یتوقّف علی الشدّة الحاصلة بالغلیان</w:t>
      </w:r>
      <w:bookmarkEnd w:id="494"/>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صدق الخمر علی عصیر العنب یتوقّف علی الشدّة الحاصلة بالغلیان بنفسه لا بالنار ، و قد یعبّر ذلک بالنشیش ، و یترتّب علیه أحکام الخمر ، ولا یدور الأمر فیه مدار الإسکار الفعلی، لانّه خمر و الأحکام تدور مدار إسمها ، و أمّا غیر الخمر فانّما یدور الحکم فیه مدار الإسکار، و یدلّ علی ذلک جملة من کلمات المتقدّمین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المبسوط فی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مجمع علی تحریمها و هو عصیر العنب الّذی إشتدّ و أسکر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حرام نجس، یحدّ شاربها سکر أم لم یسکر بلا خلاف، و أمّا ما عداها من الأشربة و هو ما عمل من العنب فمسته النار أو طبخ أو من غیر العنب مسه طبخ أو لم یمسه، فکلّ شراب أسکر کثیره فکثیره و قلیله حرام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عصیر العنب الّذی لم تمسه النار، و لا خالطه ماء و هو إذا اشتد و أسکر، و إذا کان کذلک فمتی شرب منه و لو قطرة واحدة مع العلم بالتحریم حددناه و فسقناه و رددنا شهادته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لا یسکر من الأشربة و هو عصیر العنب قبل أن یشتدّ وکلّما عمل من تمر و غیره قبل أن یسکر فکلّه حلال </w:t>
      </w:r>
      <w:r>
        <w:rPr>
          <w:rStyle w:val="FootnoteAnchor"/>
          <w:rtl w:val="true"/>
        </w:rPr>
        <w:footnoteReference w:id="968"/>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فلاحظ کلماته الدالّة علی أمرین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الإشتداد هو المناط فی حکم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الإشتداد هو الّذی یحصل فی العصیر بنفسه لا بالنار، و انّ العصیر المطبوخ هو عنوان آخر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الخلاف فی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المجمع علی تحریمها هی عصیر العنب الّذی إشتدّ و أسکر و أزبد، فاعتبر أن یزبد، فهذه حرام یحدّ شاربها، سکر أو لم یسکر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أنّه لا یعتبر الإزباد إجماع الفرقة، و الظواهر کلّها یتناوله لأنّ أهل اللغة یسمّونه الخمر إذا أسکر و اشتدّ و إن لم یزبد، و من اعتبر فعلیه الدلالة </w:t>
      </w:r>
      <w:r>
        <w:rPr>
          <w:rStyle w:val="FootnoteAnchor"/>
          <w:rtl w:val="true"/>
        </w:rPr>
        <w:footnoteReference w:id="96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bookmarkStart w:id="495" w:name="pg3696_43570"/>
    </w:p>
    <w:p>
      <w:pPr>
        <w:pStyle w:val="BookText"/>
        <w:rPr/>
      </w:pPr>
      <w:bookmarkEnd w:id="495"/>
      <w:r>
        <w:rPr>
          <w:rFonts w:ascii="IRNazanin" w:hAnsi="IRNazanin" w:eastAsia="IRNazanin"/>
          <w:color w:val="111111"/>
          <w:sz w:val="28"/>
          <w:sz w:val="28"/>
          <w:szCs w:val="28"/>
          <w:rtl w:val="true"/>
          <w:lang w:bidi="fa-IR"/>
        </w:rPr>
        <w:t xml:space="preserve">فإنّ هذه الکلمات و ما ضاهاها دالّة علی أنّ الحرمة تتحقّق فی العصیر بالإشتداد ،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هذه الکلمات یحتمل أن یکون معناه الظاهر کما یحتمل أن یکون المراد سکونه عن الغلیان المفرط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سکرت الریح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سکنت، و لیلة ساکرة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ساکنة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هو الشائع فی إستعمالهم فی القهوة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مسکّرة </w:t>
      </w:r>
      <w:r>
        <w:rPr>
          <w:rFonts w:eastAsia="IRNazanin" w:cs="IRNazanin"/>
          <w:color w:val="111111"/>
          <w:sz w:val="28"/>
          <w:szCs w:val="28"/>
          <w:rtl w:val="true"/>
          <w:lang w:bidi="fa-IR"/>
        </w:rPr>
        <w:t>.</w:t>
      </w:r>
    </w:p>
    <w:p>
      <w:pPr>
        <w:pStyle w:val="Heading6"/>
        <w:numPr>
          <w:ilvl w:val="5"/>
          <w:numId w:val="1"/>
        </w:numPr>
        <w:rPr/>
      </w:pPr>
      <w:bookmarkStart w:id="496" w:name="__RefHeading___Toc488599_2281741623"/>
      <w:bookmarkStart w:id="497" w:name="_Toc193"/>
      <w:bookmarkEnd w:id="496"/>
      <w:r>
        <w:rPr>
          <w:rtl w:val="true"/>
        </w:rPr>
        <w:t xml:space="preserve">المطلب الثانی </w:t>
      </w:r>
      <w:r>
        <w:rPr>
          <w:rtl w:val="true"/>
        </w:rPr>
        <w:t xml:space="preserve">: </w:t>
      </w:r>
      <w:r>
        <w:rPr>
          <w:rtl w:val="true"/>
        </w:rPr>
        <w:t>إنّ الشدّة هل هی عین الغلیان أو وصف مترتّب علی الغلیان لازم له؟</w:t>
      </w:r>
      <w:bookmarkEnd w:id="497"/>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الشدّة علی ما یظهر من جملة من العبارات هی عین الغلیان أو وصف مترتّب علی الغلیان لازم له، و قد یظهر ذلک من کلام بعض أهل اللغة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واختمارها، أی إختمار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إدراکها و غلیانها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عتیق من اللغة، و یحتمل أن یکون التهذیب الأزهری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معروف، و إختمارها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إدراکها و غلیانها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هو الظاهر من جملة من کلمات الأصحاب ؛ قال فی الشرائع، فی باب حدّ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ویتعلّق الحکم ـ أی وجوب الحدّ ـ بالعصیر إذا غلی و اشتدّ و إن لم یقذف بالزبد، و ما عداه إذا حصلت فیه الشدّة المسکرة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البحث فی الزبیب إذا نقع بالماء فغلی من نفسه أو بالنار، فالأشبه انّه لا یحرم ما لم یبلغ الشدّة المسکرة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الأطعمة و الأشربة فی قسم المایعات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الخمر و کلّ مسکر کالنبیذ و البتع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العصیر إذا غلی ، سواء غلی من قبل نفسه أو بالنار ، ولا یحلّ حتّی ینقلب خلاًّ أو یذهب ثلثاه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القواعد، فی باب الحدود، فی فصل حدّ الشرب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الموجب، و هو تناول ما أسکر جنسه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والفقّاع کالمسکر و ان لم یکن مسکرا، و کذا العصیر إذا غلی و إن لم یقذف بالزبد، سواء غلی من نفسه أو بالنار، إلاّ أن یذهب ثلثاه أو ینقلب خلاًّ، وکذا غیر العصیر إذا حصلت فیه الشدّة المسکرة، و التمر إذا غلی و لم یبلغ حدّ الإسکار ففی تحریمه نظر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الأطعمة و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حرام نجس، سواء غلی من قبل نفسه أو بالنار، و لایحلّ حتّی یذهب ثلثاه أو یصیر خلاًّ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وکذا أی لا یقبل شهادة شارب المسکر خمراً کان أو غیره و إن کان قطرة ، و کذا الفقّاع والعصیر إذا غلی بنفسه أو بالنار قبل ذهاب ثلثیه وإن لم یسکر </w:t>
      </w:r>
      <w:r>
        <w:rPr>
          <w:rStyle w:val="FootnoteAnchor"/>
          <w:rtl w:val="true"/>
        </w:rPr>
        <w:footnoteReference w:id="977"/>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الکلمات، فإنّ إقتصارهم علی الغلیان یدلّ علی ما ذکرناه فضلاً عمّا فی الدروس حیث قال فی الأطعمة و الأشربة، حیث یعدّ الحرام المائع ثمانیة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العنبی إذا غلی واشتدّ، وحدّه أن یصیر أسفله أعلاه </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ونحوه ما فی کنز العرفان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أنت تری أنّ هذا التفسیر فی کلماتهم تفسیر للغلیان، هذا مع انّ عباراتهم مختلفة فی ذکر الإشتداد عقیب الغلیان، و عدمه غیر مضبوطة جدّاً فقد یتّفق لمصنّف واحد فی کتاب واحد ذکر الغلیان فقط فی موضع و الغلیان مع الشدّة فی موضع آخر، و لا یخفی علیک ذلک بعد الإحاطة بجمیع عباراتهم،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جملة من المتأخّرین فرّقوا بین الغلیان و الإشتداد کما مرّ علیک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أوّل من رأینا منه ذلک المحقّق رحمه‌الله فی المعتبر حیث فرّق بین التحریم والنجاسة فحرم بالغلیان و نجس بالإشتداد، و قد ردّ علیه فی الذکری،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کانّه یری الشدّة المطریة، إذ الثخانة حاصلة بمجرّد الغلیان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تصریح الشهید رحمه‌الله فی البیان انّ الإشتداد بمعنی الثخانة، وقد صرّح المحقّق الثانی فی جملة من کتبه انّه الثخانة المسببة عن مجرّد الغلیان، و هذا انّ الفحلان، أی الشهید الأوّل و المحقّق الثانی رحمهماالله ، جعلاهما سبباً ومسبّباً، والأمر فیهما سهل، إذ لا فائدة معتدّ بها فی ذلک بعد الإقتران </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الشهید الثانی رحمه‌الله جعل الإشتداد بمعنی القوام فی الجملة، لکن أورد علی إعتباره بعدم الدلیل علیه تارة، و أخری بأنّه مناسب للغلیان بالنار لا بالهواء وغیره، بل ذهب إلی الطهارة مطلقاً ؛ و منشأ ذلک کلّه جعله بمعنی الثخانة، و هو غیر معلوم، بل لعلّه معلوم العدم، لانّ عبارات الشیخ رحمه‌الله و نحوه تدلّ علی خلاف ذلک، بل و لعلّه خلاف التجربة، بل قد یستعمل الشدّة بعد الثخانة و الطبخ </w:t>
      </w:r>
      <w:r>
        <w:rPr>
          <w:rFonts w:eastAsia="IRNazanin" w:cs="IRNazanin"/>
          <w:color w:val="111111"/>
          <w:sz w:val="28"/>
          <w:szCs w:val="28"/>
          <w:rtl w:val="true"/>
          <w:lang w:bidi="fa-IR"/>
        </w:rPr>
        <w:t xml:space="preserve">. </w:t>
      </w:r>
      <w:bookmarkStart w:id="498" w:name="pg3696_43576"/>
    </w:p>
    <w:p>
      <w:pPr>
        <w:pStyle w:val="BookText"/>
        <w:rPr/>
      </w:pPr>
      <w:bookmarkEnd w:id="498"/>
      <w:r>
        <w:rPr>
          <w:rFonts w:ascii="IRNazanin" w:hAnsi="IRNazanin" w:eastAsia="IRNazanin"/>
          <w:color w:val="111111"/>
          <w:sz w:val="28"/>
          <w:sz w:val="28"/>
          <w:szCs w:val="28"/>
          <w:rtl w:val="true"/>
          <w:lang w:bidi="fa-IR"/>
        </w:rPr>
        <w:t xml:space="preserve">قال فی الکشّاف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طبخ حتّی ذهب ثلثاه ثمّ غلی واشتدّ ذهب خبثه و نصیب الشیطان، و حلّ شربه ما دون السکر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أبوحنیفة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نقیع الزبیب و التمر إذا طبخ حتّی ذهب ثلثاه ثمّ اشتدّ، حلّ شربه ما دون السکر </w:t>
      </w:r>
      <w:r>
        <w:rPr>
          <w:rStyle w:val="FootnoteAnchor"/>
          <w:rtl w:val="true"/>
        </w:rPr>
        <w:footnoteReference w:id="98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مراده من الإشتداد الغلیان </w:t>
      </w:r>
      <w:r>
        <w:rPr>
          <w:rFonts w:eastAsia="IRNazanin" w:cs="IRNazanin"/>
          <w:color w:val="111111"/>
          <w:sz w:val="28"/>
          <w:szCs w:val="28"/>
          <w:rtl w:val="true"/>
          <w:lang w:bidi="fa-IR"/>
        </w:rPr>
        <w:t>.</w:t>
      </w:r>
    </w:p>
    <w:p>
      <w:pPr>
        <w:pStyle w:val="Heading6"/>
        <w:numPr>
          <w:ilvl w:val="5"/>
          <w:numId w:val="1"/>
        </w:numPr>
        <w:rPr/>
      </w:pPr>
      <w:bookmarkStart w:id="499" w:name="__RefHeading___Toc488601_2281741623"/>
      <w:bookmarkStart w:id="500" w:name="_Toc194"/>
      <w:bookmarkEnd w:id="499"/>
      <w:r>
        <w:rPr>
          <w:rtl w:val="true"/>
        </w:rPr>
        <w:t xml:space="preserve">المطلب الثالث </w:t>
      </w:r>
      <w:r>
        <w:rPr>
          <w:rtl w:val="true"/>
        </w:rPr>
        <w:t xml:space="preserve">: </w:t>
      </w:r>
      <w:r>
        <w:rPr>
          <w:rtl w:val="true"/>
        </w:rPr>
        <w:t>إنّ الظاهر من الغلیان فی الأخبار و کلمات الأصحاب الغلیان بالنفس</w:t>
      </w:r>
      <w:bookmarkEnd w:id="500"/>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الغلیان فی الأخبار و کلمات الأصحاب الغلیان بالنفس، فإنّ من استقام فهمه یفهم من الأخبار أنّ الغلیان لازم للعصیر بعد مضی أیّام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تری خبر محمّد بن عاصم فإنّ فیه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بشرب العصیر ستّة أیّام ؛ قال إبن أبی 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ما لم یغل </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 المرویّ فی الکافی، فی باب بیع العصیر والخمر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عن أبی کهمس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أباعبداللّه علیه‌السلام عن العصیر، 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کرم و أنا أعصره فی کلّ سنة واجعله فی الدنان و أبیعه قبل أن یغلی، قال لا بأس به، و إن غلی فلا یحلّ بیعه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الدِنان بکسر الدال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الدَن بفتحها، و هو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الراقود العظیم أو أطول من الحب أو أصغر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 xml:space="preserve">. </w:t>
      </w:r>
      <w:bookmarkStart w:id="501" w:name="pg3696_43578"/>
    </w:p>
    <w:p>
      <w:pPr>
        <w:pStyle w:val="Heading5"/>
        <w:numPr>
          <w:ilvl w:val="4"/>
          <w:numId w:val="1"/>
        </w:numPr>
        <w:rPr/>
      </w:pPr>
      <w:bookmarkStart w:id="502" w:name="__RefHeading___Toc488603_2281741623"/>
      <w:bookmarkStart w:id="503" w:name="_Toc195"/>
      <w:bookmarkEnd w:id="501"/>
      <w:bookmarkEnd w:id="502"/>
      <w:r>
        <w:rPr>
          <w:rtl w:val="true"/>
        </w:rPr>
        <w:t>مسئلتان</w:t>
      </w:r>
      <w:r>
        <w:rPr>
          <w:rtl w:val="true"/>
        </w:rPr>
        <w:t>:</w:t>
      </w:r>
      <w:bookmarkEnd w:id="503"/>
    </w:p>
    <w:p>
      <w:pPr>
        <w:pStyle w:val="Heading6"/>
        <w:numPr>
          <w:ilvl w:val="5"/>
          <w:numId w:val="1"/>
        </w:numPr>
        <w:rPr/>
      </w:pPr>
      <w:bookmarkStart w:id="504" w:name="__RefHeading___Toc488605_2281741623"/>
      <w:bookmarkStart w:id="505" w:name="_Toc196"/>
      <w:bookmarkEnd w:id="504"/>
      <w:r>
        <w:rPr>
          <w:rtl w:val="true"/>
        </w:rPr>
        <w:t>اشارة</w:t>
      </w:r>
      <w:bookmarkEnd w:id="505"/>
    </w:p>
    <w:p>
      <w:pPr>
        <w:pStyle w:val="BookText"/>
        <w:rPr/>
      </w:pPr>
      <w:r>
        <w:rPr>
          <w:rFonts w:ascii="IRNazanin" w:hAnsi="IRNazanin" w:eastAsia="IRNazanin"/>
          <w:color w:val="111111"/>
          <w:sz w:val="28"/>
          <w:sz w:val="28"/>
          <w:szCs w:val="28"/>
          <w:rtl w:val="true"/>
          <w:lang w:bidi="fa-IR"/>
        </w:rPr>
        <w:t xml:space="preserve">إذا عرفت ذلک کلّه، فنقول هنا مسئلتان </w:t>
      </w:r>
      <w:r>
        <w:rPr>
          <w:rFonts w:eastAsia="IRNazanin" w:cs="IRNazanin"/>
          <w:color w:val="111111"/>
          <w:sz w:val="28"/>
          <w:szCs w:val="28"/>
          <w:rtl w:val="true"/>
          <w:lang w:bidi="fa-IR"/>
        </w:rPr>
        <w:t>:</w:t>
      </w:r>
    </w:p>
    <w:p>
      <w:pPr>
        <w:pStyle w:val="Heading6"/>
        <w:numPr>
          <w:ilvl w:val="5"/>
          <w:numId w:val="1"/>
        </w:numPr>
        <w:rPr/>
      </w:pPr>
      <w:bookmarkStart w:id="506" w:name="__RefHeading___Toc488607_2281741623"/>
      <w:bookmarkStart w:id="507" w:name="_Toc197"/>
      <w:bookmarkEnd w:id="506"/>
      <w:r>
        <w:rPr>
          <w:rtl w:val="true"/>
        </w:rPr>
        <w:t xml:space="preserve">« </w:t>
      </w:r>
      <w:r>
        <w:rPr>
          <w:rtl w:val="true"/>
        </w:rPr>
        <w:t xml:space="preserve">المسألة الأولی </w:t>
      </w:r>
      <w:r>
        <w:rPr>
          <w:rtl w:val="true"/>
        </w:rPr>
        <w:t xml:space="preserve">» : </w:t>
      </w:r>
      <w:r>
        <w:rPr>
          <w:rtl w:val="true"/>
        </w:rPr>
        <w:t>انّه إذا غلی العصیر بنفسه هل هو نجس أم لا ؟ بل یتوقّف علی أمر آخر کالإشتداد</w:t>
      </w:r>
      <w:bookmarkEnd w:id="507"/>
    </w:p>
    <w:p>
      <w:pPr>
        <w:pStyle w:val="Heading6"/>
        <w:numPr>
          <w:ilvl w:val="5"/>
          <w:numId w:val="1"/>
        </w:numPr>
        <w:rPr/>
      </w:pPr>
      <w:bookmarkStart w:id="508" w:name="__RefHeading___Toc488609_2281741623"/>
      <w:bookmarkStart w:id="509" w:name="_Toc198"/>
      <w:bookmarkEnd w:id="508"/>
      <w:r>
        <w:rPr>
          <w:rtl w:val="true"/>
        </w:rPr>
        <w:t>اشارة</w:t>
      </w:r>
      <w:bookmarkEnd w:id="509"/>
    </w:p>
    <w:p>
      <w:pPr>
        <w:pStyle w:val="BookText"/>
        <w:rPr/>
      </w:pPr>
      <w:r>
        <w:rPr>
          <w:rFonts w:ascii="IRNazanin" w:hAnsi="IRNazanin" w:eastAsia="IRNazanin"/>
          <w:color w:val="111111"/>
          <w:sz w:val="28"/>
          <w:sz w:val="28"/>
          <w:szCs w:val="28"/>
          <w:rtl w:val="true"/>
          <w:lang w:bidi="fa-IR"/>
        </w:rPr>
        <w:t xml:space="preserve">إحدیهما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غلی العصیر بنفسه فلا شکّ فی انّه حرام حینئذ، بل علیه الإجماع المحقّق و المنقول فی المعتبر، و کنز العرفان، و غیرهما </w:t>
      </w:r>
      <w:r>
        <w:rPr>
          <w:rStyle w:val="FootnoteAnchor"/>
          <w:rtl w:val="true"/>
        </w:rPr>
        <w:footnoteReference w:id="986"/>
      </w:r>
      <w:r>
        <w:rPr>
          <w:rFonts w:ascii="IRNazanin" w:hAnsi="IRNazanin" w:eastAsia="IRNazanin"/>
          <w:color w:val="111111"/>
          <w:sz w:val="28"/>
          <w:sz w:val="28"/>
          <w:szCs w:val="28"/>
          <w:rtl w:val="true"/>
          <w:lang w:bidi="fa-IR"/>
        </w:rPr>
        <w:t xml:space="preserve">، و لا یقدح فیه ما ربما یظهر من بعض کلماتهم من تعلیقها بالشدّة لقولهم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غلی واشتدّ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عرفت، و هل هو نجس حینئذ أم لا، بل یتوقّف علی أمر آخر کالإشتداد ؟</w:t>
      </w:r>
    </w:p>
    <w:p>
      <w:pPr>
        <w:pStyle w:val="Heading6"/>
        <w:numPr>
          <w:ilvl w:val="5"/>
          <w:numId w:val="1"/>
        </w:numPr>
        <w:rPr/>
      </w:pPr>
      <w:bookmarkStart w:id="510" w:name="__RefHeading___Toc488611_2281741623"/>
      <w:bookmarkStart w:id="511" w:name="_Toc199"/>
      <w:bookmarkEnd w:id="510"/>
      <w:r>
        <w:rPr>
          <w:rtl w:val="true"/>
        </w:rPr>
        <w:t>تحقیق المؤلّف فی المسألة و أدلّته</w:t>
      </w:r>
      <w:bookmarkEnd w:id="511"/>
    </w:p>
    <w:p>
      <w:pPr>
        <w:pStyle w:val="BookText"/>
        <w:rPr/>
      </w:pPr>
      <w:r>
        <w:rPr>
          <w:rFonts w:ascii="IRNazanin" w:hAnsi="IRNazanin" w:eastAsia="IRNazanin"/>
          <w:color w:val="111111"/>
          <w:sz w:val="28"/>
          <w:sz w:val="28"/>
          <w:szCs w:val="28"/>
          <w:rtl w:val="true"/>
          <w:lang w:bidi="fa-IR"/>
        </w:rPr>
        <w:t xml:space="preserve">الحقّ هو الأوّل لوجوه ذکرنا بعضها ، و نذکر هنا خلاصتها ، و نزید علیها جملة أخری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التفریق بین الحکمین لم نجد إلاّ من المحقّق الأوّل رحمه‌الله فی المعتبر، و لم یتبعه غیره، و ما ربما یوهم ذلک من بعض العبارات من ذکر الإشتداد عقیب الغلیان، فلا وقع له أصلاً، فانّ بعضاً منهم ذکره فی حکم التحریم أیضاً، مع انّ المحقّق المذکور بنفسه قد ادّعی الإجماع علی عدم توقّفه علی الإشتداد ، کالعلاّمة رحمه‌الله فی جملة من کتبه، و کذا الشهید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بیان ذلک انّ المحقّق قدس‌سره حسبما رأیناه، أوّل من قال بهذا الکلام، بل هو أوّل ناظم لمسألة العصیر علی هذا النظم، و هو لم یذکر الإشتداد فی الشرائع والمختصر فی المواضع الثلاثة أو الأربعة إلاّ فی کتاب الطهارة من الشرائع </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المعتبر، فانّما ذکر الکلام المذکور فیه و هو قد تردّد فی ذلک، و یحتمل حمل کلامه علی حمل الشدّة علی الإشتداد بنفسه، و حمل الغلیان علی الغلیان بالنار ، فإنّ عبارته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نجاسة العصیر بغلیانه قبل إشتداده تردّد ، </w:t>
      </w:r>
    </w:p>
    <w:p>
      <w:pPr>
        <w:pStyle w:val="BookText"/>
        <w:rPr/>
      </w:pPr>
      <w:r>
        <w:rPr>
          <w:rFonts w:ascii="IRNazanin" w:hAnsi="IRNazanin" w:eastAsia="IRNazanin"/>
          <w:color w:val="111111"/>
          <w:sz w:val="28"/>
          <w:sz w:val="28"/>
          <w:szCs w:val="28"/>
          <w:rtl w:val="true"/>
          <w:lang w:bidi="fa-IR"/>
        </w:rPr>
        <w:t xml:space="preserve">أمّا التحریم فعلیه إجماع فقهائنا، ثمّ منهم من اتبع التحریم النجاسة والوجه الحکم بالتحریم مع الغلیان حتّی یذهب الثلثان و وقوف النجاسة علی الإشتداد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القواعد، فإنّه و ان اعتبر الإشتداد فی کتاب الطهارة،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یلحق بها ، أی بالمسکرات، العصیر إذا غلی واشتدّ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قال فی کتاب الأطعمة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حرام نجس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فامّا الارشاد، فانّه و ان اعتبر الإشتداد فی الطهارة، لکن اعتبره أیضاً فی کتاب الحدود و لم یعتبره فی کتاب الأطعمة، و أمّا التحریم فلم یعتبر الإشتداد لا فی کتاب الطهارة، و لا فی سائر الکتب من الأشربة والشهادات و الحدود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التذکرة فقد عرفت منها التردّد فی ذلک </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الشهید الأوّل رحمه‌الله ، فانّه و ان اعتبر الإشتداد فی کتاب الطهارة ، لکنّه قد اعتبره أیضاً فی کتاب الأطعمة والأشربة، مع انّه لایعتبر فی التحریم الإشتداد قطعاً مع انّه من القائلین أو المائلین بالطهارة، و کذا الشهید الثانی رحمه‌الله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المحقّق الثانی رحمه‌الله ، فظاهره و إن کان إعتبار الإشتداد، لکنّه جعل الإشتداد مسبّباً عن مجرّد الغلیان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ذکرهم الإشتداد فی موضع دون آخر، لا دلالة فیه علی إعتبارهم الإشتداد فی النجاسة کما لا یخفی علی المنصف، مع قوّة کون الإشتداد عندهم ثخانة ما حاصلة بمجرّد الغلیان کما نصّ علیه المحقّق الثانی رحمه‌الله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فالتفصیل الّذی ذکره المحقّق رحمه‌الله فی المعتبر مختصّ به فیه، نعم قال فی التذکرة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إذا غلی حرم حتّی یذهب ثلثاه ، و هل ینجس بالغلیان أو یقف علی الشدّة ؟ إشکال </w:t>
      </w:r>
      <w:r>
        <w:rPr>
          <w:rStyle w:val="FootnoteAnchor"/>
          <w:rtl w:val="true"/>
        </w:rPr>
        <w:footnoteReference w:id="99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تردّد منه فی ذلک، مع أنّ ظاهر عبارته فی الغلیان فی النار، بقرینة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یذهب ثلثاه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فی مسألتنا هذه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مع أنّه فی المختلف و هو آخر مصنّفاته کما هو المشهور، قال بالنجاسة بمجرّد الغلیان، و نسبها إلی المشهور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کلّ من ذکر الإشتداد و لاسیّما المحقّق الثانی، حیث جعل الإشتداد بمعنی الثخانة، بل و کذا کلّ من جعل الإشتداد بمعنی الثخانة العرفیّة کالشهید الثانی رحمه‌الله علی ما یظهر منه فی الأطعمة و الأشربة، وصاحب المدارک رحمه‌الله و نحوهما، ظاهرهم ذلک </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أشرنا إلی الجواب عنه آنفاً ، و الثخانة العرفیّة مع انّه لا وجه لها کما عرفت، غیر ضارّ لنا فی مقامنا هذا، لانّ من قال بها لا یقول بالنجاسة کما لایخفی، مع انّ الثخانة بهذا المعنی انّما هی فی ما إذا غلی بالنار، و الثخانة المسبّبة عن مجرّد الغلیان بالمعنی الّذی ذکره الشهید الثانی لا تضرّنا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هذا، مع انّک قد عرفت انّ الشدّة غیر منفکّة عن الغلیان إذا کان بنفسه لا بالنّار، بل الغلیان الّذی هو بمعنی القلب المصرّح به فی الأخبار هو الشدّة، و لیست الشدّة بمعنی الثخانة، بل قد عرفت انّه حینئذ خمر لغة و شرعاً و عرفاً، و لا یدور الأمر فی الخمر مدار الإسکار إن لم یکن مثل هذا کثیره مسکراً، بل الظاهر بل الصریح منهم ذلک، فلاحظ عباراتهم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انّ القول بالطهارة قول حادث غیر معتبر، والقول بالتفصیل الّذی ذکره فی المعتبر مختصّ به کما عرفت، و التفصیل الّذی ذکره ابن‌حمزة رحمه‌الله فی الوسیلة لیس تفصیلاً فی مسألتنا هذه، و هی مسألة نجاسة العصیر إذا غلی بنفسه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الشهید الأوّل رحمه‌الله فی الذکری و البیان، و الشهید الثانی رحمه‌الله وبعض من تبعهما قالوا بالطهارة مطلقاً حتّی بعد الإشتداد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القول لیس منهم إلاّ لعدم الظفر بدلیل علی النجاسة کما لا یخفی، وقد عرفت بعض الأدلّة علی النجاسة و سیأتی إن شاء اللّه تعالی، مع انّ الشهید رحمه‌الله فی آخر مصنّفاته و هو الألفیة، صرّح بالنجاسة، و کذا فی الدروس کما عرفت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الشهید الثانی رحمه‌الله قد صرّح فی المقاصد العلیّة بالشکّ فی تحقّق قول بالطهارة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بنجاسته مشهور بین المتأخّرین ، و لیس علیه نصّ ظاهر کما اعترف به المصنّف فی البیان، بل نسب النجاسة فی الذکری إلی قلیل من الأصحاب، غیر أنّ الباقین منهم لم یصرّحوا بالطهارة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فتحقّق القولین فی المسألة مشکوک فیه و إن ضعف طریق المشهور </w:t>
      </w:r>
      <w:r>
        <w:rPr>
          <w:rStyle w:val="FootnoteAnchor"/>
          <w:rtl w:val="true"/>
        </w:rPr>
        <w:footnoteReference w:id="99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فمثل هذین القائلین کیف یکون کلامهما المذکور قادحاً فیما نحن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الثانی رحمه‌الله فی کتاب الأطعمة والأشربة، صرّح بأنّ نجاسته من المشاهیر بغیر 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مراده انّه لا دلیل علیها، و إلاّ فقد أذعن بانّه من المشاهیر، و إعترافه بذلک کاف فی ما نحن بصدده من انّ النجاسة مسلّمة بین الأصحاب کما هو المصرّح به فی المقاصد العلیّة، فیکون المقاصد العلیّة کاشفاً عن مراده فی المسالک مع انّ عبارة المسالک أیضاً لائحة منها ذلک، إذ الظاهر انّ مراده من المشاهیر انّه من الأحکام المشهورة المعروفة بین الأصحاب، لا انّ المراد ما یدلّ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أشار إلی ما ذکرناه شارح المفاتیح المولی البهبهانیّ رحمه‌الله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الشهید الثانی قدس‌سره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نجاسته من المشاهیر بغیر أصل ، و المراد منه الدلیل کما لا یخفی، إذ هو صرّح بأنّ الأصل یطلق علی معان أربع، منها الدلیل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انّ مراده بغیر دلیل معروف یعرفه، لا أنّ الفقهاء إتّفقوا هنا علی الفتوی بغیر دلیل، حاشاه عن تجویز ذلک بالنسبة إلی مؤمن، فضلاً عن کونه من الفقهاء، فضلاً عن إتّفاق الفقهاء المشهورین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فرض أن یکون العیاذ باللّه أراد ذلک، فمن البدیهیّات کونه خطأ و کیف یصیر مستنداً ؟ سیّما مع بداهة کون عدم الوجدان مغایراً لعدم الوجود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ذلک و ما سیأتی إن شاء اللّه، یندفع أثر خلاف من تقدّم علیهما و من تقدّم عنهما، أمّا من تقدّم علیهما فلیس إلاّ الصدوق و إبن أبی عقیل رحمهماالله علی ما نسب إلیهما، و هما من القائلین بطهارة الخمر، فلیس خلافهما قادحاً فی المقام الّذی </w:t>
      </w:r>
    </w:p>
    <w:p>
      <w:pPr>
        <w:pStyle w:val="BookText"/>
        <w:rPr/>
      </w:pPr>
      <w:r>
        <w:rPr>
          <w:rFonts w:ascii="IRNazanin" w:hAnsi="IRNazanin" w:eastAsia="IRNazanin"/>
          <w:color w:val="111111"/>
          <w:sz w:val="28"/>
          <w:sz w:val="28"/>
          <w:szCs w:val="28"/>
          <w:rtl w:val="true"/>
          <w:lang w:bidi="fa-IR"/>
        </w:rPr>
        <w:t xml:space="preserve">نحن فیه، لانّا قد فرغنا عن ذلک سابقاً والکلام فی هذه المسألة مع المفروغیّة عن نجاسة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تأخّر عنهما، فمنهم الأردبیلیّ قدس‌سره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العصیر العنبی فالظاهر طهارته مع التحریم، کما یظهر من الدروس لعدم دلیل النجاسة مع دلیله و دلیلها و قلّة القائل کما یظهر من الذکری، و مع القول بنجاسته فی الرسالة و هو غریب </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نسب إلی الدروس القول بالطهارة، و هو أغرب، فإنّ المصرّح به فی الدروس النجاسة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الماء المضاف ، و تطهر الخمر بالخلّیة وإن عولج إذا کان بطاهر، و العصیر المشتدّ بها، و بذهاب ثلثیه بالغلیان </w:t>
      </w:r>
      <w:r>
        <w:rPr>
          <w:rStyle w:val="FootnoteAnchor"/>
          <w:rtl w:val="true"/>
        </w:rPr>
        <w:footnoteReference w:id="9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قوله فی المطهرات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نقص العصیر و إنقلابه </w:t>
      </w:r>
      <w:r>
        <w:rPr>
          <w:rStyle w:val="FootnoteAnchor"/>
          <w:rtl w:val="true"/>
        </w:rPr>
        <w:footnoteReference w:id="9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علّل الحکم المذکور بعدم دلیل النجاسة، و سیأتی دلیلها عدا الإجماع المدّعی فی کنز العرفان، و المنقول فی مجمع البحرین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القائلین أو المائلین بطهارة الخمر، و لیس کلامنا مع من قال بهذه المقالة، والّذی سهّل علیه الأمر فی هذا القول قوله فی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دلیلها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أعرف معناه و لعلّ النسخ مغلوطة إذ رأیت نسختین من مجمع الفائدة و کانتا کما نقلت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توهّم قلّة القائل متوهّماً ذلک من الذکری، و قد عرفت انّ القائل </w:t>
      </w:r>
    </w:p>
    <w:p>
      <w:pPr>
        <w:pStyle w:val="BookText"/>
        <w:rPr/>
      </w:pPr>
      <w:r>
        <w:rPr>
          <w:rFonts w:ascii="IRNazanin" w:hAnsi="IRNazanin" w:eastAsia="IRNazanin"/>
          <w:color w:val="111111"/>
          <w:sz w:val="28"/>
          <w:sz w:val="28"/>
          <w:szCs w:val="28"/>
          <w:rtl w:val="true"/>
          <w:lang w:bidi="fa-IR"/>
        </w:rPr>
        <w:t xml:space="preserve">بالنجاسة کثیر، بل القول بالنجاسة مشهور کما نسب إلی المشهور جماعة کثیرة من العلاّمة رحمه‌الله ، و المحقّق الثانی رحمه‌الله ، و الشهید الثانی رحمه‌الله فی جملة من کتبه کالروض، و الروضة، والمسالک، و المقاصد، و صاحب المدارک رحمه‌الله و نحوها، و أمّا صاحب المدارک فقد تبع شیخه، و کلّ ذلک من هؤلاء لعدم الظفر بدلیل النجاسة، و سیأتی لک ما یغنیک من الدلیل فضلاً عمّا 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العصیر إذا غلی بنفسه خمر، و قد صرّح به الصدوق رحمه‌الله نقلاً عن والده، والشیخ الطوسی رحمه‌الله فی موضعین أو مواضع من المبسوط کما عرفت، فلاحظ عباراتها و عبارة الخلاف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المجمع علی تحریمها هی عصیر العنب الّذی اشتدّ و أسکر، و به قال أبویوسف، و محمّد، و الشافعی، و قال أبوحنیفه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إشتدّ و أسکر و أزبد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فاعتبر أن یزبد، فهذه حرام نجسة یحدّ شاربها، سکر أو لم یسکر بلا 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علی أنّه لا یعتبر الإزباد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إجماع الفرقة، والظواهر کلّها تتناوله، لأنّ أهل اللغة یسمّونه الخمر إذا أسکر واشتدّ و إن لم یزبد، فمن اعتبر ذلک فعلیه الدلالة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تقدّمت هذه العبارة، 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و قد تقدّم من کنزالعرفان ما تقدّم من دعوی الإجماع علی أنّ العصیر إذا غلی واشتدّ فهو خمر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صرّح بکونه خمرا ، المولی البهبهانیّ رحمه‌الله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 من لایحضره الفقیه و الکافی واضحان فی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خمراً حقیقة عند الصدوقین بعد الکلینی و البخاری من العامّة و غیره </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إطلاق لفظ الخمر علی العصیر الغالی ممّا لا شبهة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کون ظاهره الحقیقة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شبهة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أقوی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الفقاع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لظهور کثرة إستعمال لفظ الخمر فیه، بل و ظهور کون الغالی خمرا حقیقیّا بل هو الخمر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فظاهر الصدوقین و الکلینی کونه خمرا حقیقة، و هو الظاهر من صحیح البخاری من علماء العامّة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فی مقام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فی کتاب فقه من العامّة ذکر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الأشربة المحرّمة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و هو عصیر العنب إذا غلی و اشتدّ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الأخبار و غیرها أنّ عصیر العنب بمجرّد الغلیان یصیر خمرا، کما هو الأظهر </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إذا غلی واشتدّ فهو خمر، و الإشتداد کما عرفت لیس بمعنی الثخانة، بل بمعنی الغلیان، أو هو مسبّب عن الغلیان کما صرّح به المحقّقون من أصحابنا، و تسمیته ثخانة و عدمها ممّا لا یهمنا، إذ لیس الکلام فی التسمیة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یدلّ علی ذلک مضافاً إلی ما ذکرناه ما فی الخلاف حیث أتی بخبر من طریق العامّة،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رووه عن أبی مسعود أنّ النبیّ صلی‌الله‌علیه‌و‌آله أتی بنبیذ السقایة فشمّه و قطب، و استدعی ذنوباً من ماء زمزم فصبه فیه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اغتملت </w:t>
      </w:r>
      <w:r>
        <w:rPr>
          <w:rStyle w:val="FootnoteAnchor"/>
          <w:rtl w:val="true"/>
        </w:rPr>
        <w:footnoteReference w:id="1005"/>
      </w:r>
      <w:r>
        <w:rPr>
          <w:rFonts w:ascii="IRNazanin" w:hAnsi="IRNazanin" w:eastAsia="IRNazanin"/>
          <w:color w:val="111111"/>
          <w:sz w:val="28"/>
          <w:sz w:val="28"/>
          <w:szCs w:val="28"/>
          <w:rtl w:val="true"/>
          <w:lang w:bidi="fa-IR"/>
        </w:rPr>
        <w:t xml:space="preserve">علیکم هذه الأنبذة فاکسروها بالماء </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فالجواب عنه إنّ نبیذ السقایة ما کان مسکرا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صبّ النبیّ صلی‌الله‌علیه‌و‌آله الماء علیه لثخانته لا لشدّته، قال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خاثراً فصبّ الماء علیه حتّی یرق، و قولهم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قطب، قال الاوزاعی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فعل ذلک لأنّه کان حمض، لا أنّه إشتدّ، لأنّه لو کان للشدّة کان حراماً عندکم، لأنّه نقیع غیر مطبوخ </w:t>
      </w:r>
      <w:r>
        <w:rPr>
          <w:rStyle w:val="FootnoteAnchor"/>
          <w:rtl w:val="true"/>
        </w:rPr>
        <w:footnoteReference w:id="1007"/>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لم یکن نجساً فمتی یصیر نجسا ، لأنّ غایته إمّا الغلیان بنفسه أو الشدّة، والمفروض حصوله کما عرفت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الحرمة لیست إلاّ لأجل حلول مادّة خبیثة فیه بالغلیان، و هی مادّة الأمر من الحرمة والنجاسة، فالنجاسة مترتبة علی الحرمة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حینئذ مسکر و لو بالکثیر منه، أو مبدأ حصول مادّة الإسکار فیه، و قد أشار إلیه السیّد الطباطبائی بحرالعلوم رحمه‌الله فی المصابیح حیث انّه بعد أن أثبت الحرمة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الحکم بتحریم الخمر قبل ذهاب ثلثیه تعبّد محض، أو معلّل بالإسکار الخفی المسبب عن الغلیان، أو لعروض التخمیر له إذا بقی و طال مکثه ؟ إحتمالات، أوسطها الوسط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جواهر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عدم تحقّق الإسکار فیه ممنوع حتّی بالکثیر منه، وجعل لذلک مؤیّدات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الأخبار، منها الأخبار الواردة فی ما یتّخذ منه الخمر، </w:t>
      </w:r>
    </w:p>
    <w:p>
      <w:pPr>
        <w:pStyle w:val="BookText"/>
        <w:rPr/>
      </w:pPr>
      <w:r>
        <w:rPr>
          <w:rFonts w:ascii="IRNazanin" w:hAnsi="IRNazanin" w:eastAsia="IRNazanin"/>
          <w:color w:val="111111"/>
          <w:sz w:val="28"/>
          <w:sz w:val="28"/>
          <w:szCs w:val="28"/>
          <w:rtl w:val="true"/>
          <w:lang w:bidi="fa-IR"/>
        </w:rPr>
        <w:t xml:space="preserve">کالصحیح المرویّ فی الکافی فی باب ما یتّخذ منه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عبدالرّحمن بن الحجاج،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 النقیع من الزبیب، و البتع من العسل، و المزر من الشعیر، والنبیذ من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والخبر المرویّ فیه، عن علیّ بن جعفر بن اسحاق‌الهاشمی،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 و النقیع من الزبیب </w:t>
      </w:r>
      <w:r>
        <w:rPr>
          <w:rStyle w:val="FootnoteAnchor"/>
          <w:rtl w:val="true"/>
        </w:rPr>
        <w:footnoteReference w:id="1010"/>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الإستدلال إقتضاء هذه الأخبار إطلاق الخمر علی العصیر، و معلوم انّه لیس المراد قبل الغلیان و بعده لا مانع منه، والإطلاق یشمله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الأخبار الواردة فی أصل تحریم الخمر کالخبر المرویّ فی الکافی ، فی باب أصل تحریم الخمر ، عن علیّ بن أبی حمزة، عن إبراهیم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عزّوجلّ لما اهبط آدم علیه‌السلام أمره بالحرث و الزرع و طرح إلیه غرساً من غروس الجنّة فاعطاه النخل و العنب و الزیتون و الرمان، فغرسها لیکون لعقبه و ذرّیته، فأکل هو من ثمارها فقال له إبلیس 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الغرس الّذی لم أکن أعرفه فی الأرض وقد کنت فیها قبلک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إئذن لی أکل منها شیئا، فأبی آدم علیه‌السلام أن یدعه </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فجاء إبلیس عند آخر عمر آدم علیه‌السلام و قال لحوّاء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أجهدنی الجوع والعطش، فقالت له حواء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الّذی ترید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أرید أن تذیقنی من هذه الثمار، فقالت له حواء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آدم علیه‌السلام عهد إلیّ أن لاأطعمک شیئاً من هذا الغرس لانّه </w:t>
      </w:r>
    </w:p>
    <w:p>
      <w:pPr>
        <w:pStyle w:val="BookText"/>
        <w:rPr/>
      </w:pPr>
      <w:r>
        <w:rPr>
          <w:rFonts w:ascii="IRNazanin" w:hAnsi="IRNazanin" w:eastAsia="IRNazanin"/>
          <w:color w:val="111111"/>
          <w:sz w:val="28"/>
          <w:sz w:val="28"/>
          <w:szCs w:val="28"/>
          <w:rtl w:val="true"/>
          <w:lang w:bidi="fa-IR"/>
        </w:rPr>
        <w:t xml:space="preserve">من الجنّة، و لا ینبغی لک أن تأکل منها شیئاً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فاعصری فی کفّی شیئا منه فأبت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ذرینی أمصه و لا أکله، فأخذت عنقوداً من عنب فاعطته فمصه، و لم یأکل منه لما کانت حواء قد أکدت علیه فلمّا ذهب یعض علیه جذبته حواء من فیه، فأوحی اللّه تبارک و تعالی إلی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العنب قد مصه عدوّی و عدوّک إبلیس ـ لعنه اللّه ـ و قد حرّمت علیک من عصیره الخمر ما خالطه نفس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فحرمت الخمر لانّ عدوّ اللّه إبلیس مکر بحواء حتّی مص العنب، و لو أکلها لحرمت الکرمة من أوّلها إلی آخرها و جمیع ثمرها و ما یخرج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قال لحواء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امصصتنی شیئاً من هذا التمر کما امصصتنی من العنب فاعطته تمراً فمصها، و کانت العنبة و التمرة أشدّ رائحة و أزکی من المسک الازفر و أحلی من العسل، فلمّا مصها عدوّ اللّه إبلیس ـ لعنه اللّه ـ ذهبت رائحتهما وانتقصت حلاوتهما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إبلیس الملعون ـ لعنه اللّه ـ ذهب بعد وفاة آدم علیه‌السلام فبال فی أصل الکرمة و النخلة، فجری الماء فی عروقها من بول عدوّ اللّه، فمن ثمّ یختمر </w:t>
      </w:r>
      <w:r>
        <w:rPr>
          <w:rStyle w:val="FootnoteAnchor"/>
          <w:rtl w:val="true"/>
        </w:rPr>
        <w:footnoteReference w:id="1011"/>
      </w:r>
      <w:r>
        <w:rPr>
          <w:rFonts w:ascii="IRNazanin" w:hAnsi="IRNazanin" w:eastAsia="IRNazanin"/>
          <w:color w:val="111111"/>
          <w:sz w:val="28"/>
          <w:sz w:val="28"/>
          <w:szCs w:val="28"/>
          <w:rtl w:val="true"/>
          <w:lang w:bidi="fa-IR"/>
        </w:rPr>
        <w:t xml:space="preserve">العنب و التمر ، فحرّم اللّه عزّوجلّ علی ذرّیة آدم علیه‌السلام کلّ مسکر ، لانّ الماء جری ببول عدوّ اللّه فی النخل و العنب و صار کلّ مختمر خمراً، لانّ الماء اختمر فی النخلة و الکرمة من رائحة بول عدوّ اللّه إبلیس لعنه اللّه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وجه الإستدلال به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حرمت علیک من عصیرة الخمر، فانّ المراد منه العصیر فی أوّل الغلیان إذ هو مبدأ الحرمة و أطلق الخمر حینئذ علیه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فحرّم اللّه علی ذرّیة آدم کلّ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کلّ مسکر منهما کما لایخفی، فانّ فیه دلالة علی انّه وقت الغلیان مسکر ذاتاً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صار کلّ مختمر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فیه أیضاً دلالة علی انّه خمر، و أیضاً المستفاد عنه انّ أصل الحرمة و النجاسة من مص إبلیس و بوله، و اختمار الخمر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إدراکها و غلیانها </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قال ابن الأعرابی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سمّیت الخمر خمراً لانّها ترکت فاختمرت واختمارها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 ریحها، و یقال سمّیت بذلک لمخامرتها </w:t>
      </w:r>
      <w:r>
        <w:rPr>
          <w:rStyle w:val="FootnoteAnchor"/>
          <w:rtl w:val="true"/>
        </w:rPr>
        <w:footnoteReference w:id="1014"/>
      </w:r>
      <w:r>
        <w:rPr>
          <w:rFonts w:ascii="IRNazanin" w:hAnsi="IRNazanin" w:eastAsia="IRNazanin"/>
          <w:color w:val="111111"/>
          <w:sz w:val="28"/>
          <w:sz w:val="28"/>
          <w:szCs w:val="28"/>
          <w:rtl w:val="true"/>
          <w:lang w:bidi="fa-IR"/>
        </w:rPr>
        <w:t xml:space="preserve">العقل </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یستفاد من جملة من أخبار الخمر و النبیذ و الفقّاع و نحوها أنّ النجاسة دائرة مدار الحرمة و الخمریّة، فلاحظ أخبار الفقّاع حیث علّل فی بعض أخبارها بانّه خمر مجهول فإذا أصاب ثوبک فاغسله، و العصیر المغلی أظهر من الفقّاع فی کونه خمراً فانّ جماعة صرّحوا بکونه خمراً حقیقة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معاویة بن عمّار السابق علی الوجه المرویّ فی التهذیب، فانّ النسخ المعتبرة من التهذیب فیها لفظ الخمر </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أبی بصیر السابق و هو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أباعبداللّه علیه‌السلام عن ثمن العصیر قبل أن یغلی لمن یبتاعه لیطبخه أو یجعله خمرا،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بعته قبل أن یکون خمرا و هو حلال فلا بأس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حیث انّ المستفاد منه أنّ الحلیة و الحرمة دائرة مدار الخمریّة و عدمها و لما ثبت الحرمة بعد الغلیان ثبت الخمریة حینئذ، فثبتت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حکم العصیر الغالی، بل المغلی، حکم الخمر فی جمیع الأحکام، ومن جملة الأحکام النجاسة، بل هو عینها کما عرفت حتّی فی الحدّ و الجلد بثمانین جلدة، کما صرّح به علماؤنا من متقدّمیهم و متأخّریهم، و سیأتی إن شاء اللّه تعالی، بل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أنّ العصیر العنبی إذا غلی بأن صار أسفله أعلاه محرّم و یصیر بمنزلة الخمر فی الأحکام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التنقیح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إتّفق علماؤنا أیضا علی أنّ عصیر العنب إذا غلی حکمه حکم المسکر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تمسّک بهذه المنزلة فی إثبات الحدّ فی المسالک و غیره، و اتّفاقهم علی ثبوت الحدّ علی شاربه مع عدم دلیل ظاهر یدلّ علی کونه خمرا، أو بمنزلة الخمر فی جمیع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إتّفاقهم علی ثبوت جملة من أحکام الخمر له مع عدم دلیل ظاهر یدلّ علی أنّ بنائهم علی کونه خمراً، و من ذلک ثبوت الحدّ علی شاربه مع انّه أعظم من حکم النجاسة بمراتب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تلخیص کلام و تنقیح مرام فی أصل ما هو المقصود، و إن استلزم إعادة بعض الکلمات السابقة، حیث أنّ المقصود جمع المتشتّت و هو أمور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إذا غلی خمر لیس إلاّ إذا کان بنفسه غلی </w:t>
      </w:r>
      <w:r>
        <w:rPr>
          <w:rFonts w:eastAsia="IRNazanin" w:cs="IRNazanin"/>
          <w:color w:val="111111"/>
          <w:sz w:val="28"/>
          <w:szCs w:val="28"/>
          <w:rtl w:val="true"/>
          <w:lang w:bidi="fa-IR"/>
        </w:rPr>
        <w:t xml:space="preserve">. </w:t>
      </w:r>
      <w:bookmarkStart w:id="512" w:name="pg3696_43605"/>
    </w:p>
    <w:p>
      <w:pPr>
        <w:pStyle w:val="BookText"/>
        <w:rPr/>
      </w:pPr>
      <w:bookmarkEnd w:id="512"/>
      <w:r>
        <w:rPr>
          <w:rFonts w:ascii="IRNazanin" w:hAnsi="IRNazanin" w:eastAsia="IRNazanin"/>
          <w:color w:val="111111"/>
          <w:sz w:val="28"/>
          <w:sz w:val="28"/>
          <w:szCs w:val="28"/>
          <w:rtl w:val="true"/>
          <w:lang w:bidi="fa-IR"/>
        </w:rPr>
        <w:t xml:space="preserve">و یدلّ علیه کلمات أهل اللغة و کلمات جملة من متقدّمی الأصحاب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کلمات أهل اللغة فقد مرّ من القاموس أنّ إختمار الخمر إدراکها و غلیانها، و نحوه غیره کما عرفت </w:t>
      </w:r>
      <w:r>
        <w:rPr>
          <w:rFonts w:eastAsia="IRNazanin" w:cs="IRNazanin"/>
          <w:color w:val="111111"/>
          <w:sz w:val="28"/>
          <w:szCs w:val="28"/>
          <w:rtl w:val="true"/>
          <w:lang w:bidi="fa-IR"/>
        </w:rPr>
        <w:t>.</w:t>
      </w:r>
    </w:p>
    <w:p>
      <w:pPr>
        <w:pStyle w:val="Heading6"/>
        <w:numPr>
          <w:ilvl w:val="5"/>
          <w:numId w:val="1"/>
        </w:numPr>
        <w:rPr/>
      </w:pPr>
      <w:bookmarkStart w:id="513" w:name="__RefHeading___Toc488613_2281741623"/>
      <w:bookmarkStart w:id="514" w:name="_Toc200"/>
      <w:bookmarkEnd w:id="513"/>
      <w:r>
        <w:rPr>
          <w:rtl w:val="true"/>
        </w:rPr>
        <w:t xml:space="preserve">التعرّض لأمور </w:t>
      </w:r>
      <w:r>
        <w:rPr>
          <w:rtl w:val="true"/>
        </w:rPr>
        <w:t>:</w:t>
      </w:r>
      <w:bookmarkEnd w:id="514"/>
    </w:p>
    <w:p>
      <w:pPr>
        <w:pStyle w:val="Heading6"/>
        <w:numPr>
          <w:ilvl w:val="5"/>
          <w:numId w:val="1"/>
        </w:numPr>
        <w:rPr/>
      </w:pPr>
      <w:bookmarkStart w:id="515" w:name="__RefHeading___Toc488615_2281741623"/>
      <w:bookmarkStart w:id="516" w:name="_Toc201"/>
      <w:bookmarkEnd w:id="515"/>
      <w:r>
        <w:rPr>
          <w:rtl w:val="true"/>
        </w:rPr>
        <w:t>اشارة</w:t>
      </w:r>
      <w:bookmarkEnd w:id="516"/>
    </w:p>
    <w:p>
      <w:pPr>
        <w:pStyle w:val="BookText"/>
        <w:rPr/>
      </w:pPr>
      <w:r>
        <w:rPr>
          <w:rFonts w:ascii="IRNazanin" w:hAnsi="IRNazanin" w:eastAsia="IRNazanin"/>
          <w:color w:val="111111"/>
          <w:sz w:val="28"/>
          <w:sz w:val="28"/>
          <w:szCs w:val="28"/>
          <w:rtl w:val="true"/>
          <w:lang w:bidi="fa-IR"/>
        </w:rPr>
        <w:t xml:space="preserve">و ینبغی تتمیم المقام ببیان أمور </w:t>
      </w:r>
      <w:r>
        <w:rPr>
          <w:rFonts w:eastAsia="IRNazanin" w:cs="IRNazanin"/>
          <w:color w:val="111111"/>
          <w:sz w:val="28"/>
          <w:szCs w:val="28"/>
          <w:rtl w:val="true"/>
          <w:lang w:bidi="fa-IR"/>
        </w:rPr>
        <w:t>:</w:t>
      </w:r>
    </w:p>
    <w:p>
      <w:pPr>
        <w:pStyle w:val="Heading6"/>
        <w:numPr>
          <w:ilvl w:val="5"/>
          <w:numId w:val="1"/>
        </w:numPr>
        <w:rPr/>
      </w:pPr>
      <w:bookmarkStart w:id="517" w:name="__RefHeading___Toc488617_2281741623"/>
      <w:bookmarkStart w:id="518" w:name="_Toc202"/>
      <w:bookmarkEnd w:id="517"/>
      <w:r>
        <w:rPr>
          <w:rtl w:val="true"/>
        </w:rPr>
        <w:t>الأمرالأوّل</w:t>
      </w:r>
      <w:r>
        <w:rPr>
          <w:rtl w:val="true"/>
        </w:rPr>
        <w:t xml:space="preserve">: </w:t>
      </w:r>
      <w:r>
        <w:rPr>
          <w:rtl w:val="true"/>
        </w:rPr>
        <w:t>إنّ العصیر العنبی إذا غلی بنفسه وکذاالخمر انّما یحلّ بانقلابه خلاًّ</w:t>
      </w:r>
      <w:bookmarkEnd w:id="518"/>
    </w:p>
    <w:p>
      <w:pPr>
        <w:pStyle w:val="Heading6"/>
        <w:numPr>
          <w:ilvl w:val="5"/>
          <w:numId w:val="1"/>
        </w:numPr>
        <w:rPr/>
      </w:pPr>
      <w:bookmarkStart w:id="519" w:name="__RefHeading___Toc488619_2281741623"/>
      <w:bookmarkStart w:id="520" w:name="_Toc203"/>
      <w:bookmarkEnd w:id="519"/>
      <w:r>
        <w:rPr>
          <w:rtl w:val="true"/>
        </w:rPr>
        <w:t>اشارة</w:t>
      </w:r>
      <w:bookmarkEnd w:id="520"/>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العنبی إذا غلی بنفسه و کذا الخمر انّما یحلّ بانقلابه خلاًّ، کما صرّح به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مضافاً إلی الإجماع و ما یأتی من الأخبار انّ الإنقلاب مطهّر کما هو مذکور فی محلّه، فإنّ النجاسة و الطهارة فی الأعیان النجسة تدوران مدار الإسم، و الخمر نجس أو العصیر الغالی حرام و نجس، فإذا صار خلاًّ حلّ و طهر، لأنّ الخلّ 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روی فی الکافی، فی باب الخل، عن سماعة،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 الخمر یشدّ اللثة، و یقتل دواب البطن، و یشدّ العقل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عن سفیان بن السمط، عن أبی عبداللّه علیه‌السلام انّه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 بخل الخمر فاغمس فیه، فانّه لایبقی فی جوفک دابة إلاّ قتلها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الآتیة و غیرها، و من ذلک ما فی قرب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الخمر یکون أوّله خمراً ثمّ یصیر خلاًّ یؤکل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ذهب سکره فلا بأس </w:t>
      </w:r>
      <w:r>
        <w:rPr>
          <w:rStyle w:val="FootnoteAnchor"/>
          <w:rtl w:val="true"/>
        </w:rPr>
        <w:footnoteReference w:id="1022"/>
      </w:r>
      <w:r>
        <w:rPr>
          <w:rFonts w:eastAsia="Times New Roman" w:cs="Times New Roman" w:ascii="Times New Roman" w:hAnsi="Times New Roman"/>
          <w:color w:val="111111"/>
          <w:sz w:val="28"/>
          <w:szCs w:val="28"/>
          <w:rtl w:val="true"/>
          <w:lang w:val="en-US" w:bidi="en-US"/>
        </w:rPr>
        <w:t xml:space="preserve">. </w:t>
      </w:r>
      <w:bookmarkStart w:id="521" w:name="pg3696_43607"/>
    </w:p>
    <w:p>
      <w:pPr>
        <w:pStyle w:val="BookText"/>
        <w:rPr/>
      </w:pPr>
      <w:bookmarkEnd w:id="521"/>
      <w:r>
        <w:rPr>
          <w:rFonts w:ascii="IRNazanin" w:hAnsi="IRNazanin" w:eastAsia="IRNazanin"/>
          <w:color w:val="111111"/>
          <w:sz w:val="28"/>
          <w:sz w:val="28"/>
          <w:szCs w:val="28"/>
          <w:rtl w:val="true"/>
          <w:lang w:bidi="fa-IR"/>
        </w:rPr>
        <w:t xml:space="preserve">و نحوه فی مسائل علیّ بن جعفر بتفاوت قلیل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2" w:name="__RefHeading___Toc488621_2281741623"/>
      <w:bookmarkStart w:id="523" w:name="_Toc204"/>
      <w:bookmarkEnd w:id="522"/>
      <w:r>
        <w:rPr>
          <w:rtl w:val="true"/>
        </w:rPr>
        <w:t>الحکم ثابت مطلقاً أو یختصّ بما إذا کان ذلک الإنقلاب بنفسه ؟</w:t>
      </w:r>
      <w:bookmarkEnd w:id="523"/>
    </w:p>
    <w:p>
      <w:pPr>
        <w:pStyle w:val="BookText"/>
        <w:rPr/>
      </w:pPr>
      <w:r>
        <w:rPr>
          <w:rFonts w:ascii="IRNazanin" w:hAnsi="IRNazanin" w:eastAsia="IRNazanin"/>
          <w:color w:val="111111"/>
          <w:sz w:val="28"/>
          <w:sz w:val="28"/>
          <w:szCs w:val="28"/>
          <w:rtl w:val="true"/>
          <w:lang w:bidi="fa-IR"/>
        </w:rPr>
        <w:t xml:space="preserve">و هل الحکم ثابت مطلقاً حتّی ما لو کان ذلک بالعلاج، أو یختصّ بما إذا کان ذلک الإنقلاب بنفسه ؟ قولان أو أقوال </w:t>
      </w:r>
      <w:r>
        <w:rPr>
          <w:rFonts w:eastAsia="IRNazanin" w:cs="IRNazanin"/>
          <w:color w:val="111111"/>
          <w:sz w:val="28"/>
          <w:szCs w:val="28"/>
          <w:rtl w:val="true"/>
          <w:lang w:bidi="fa-IR"/>
        </w:rPr>
        <w:t>:</w:t>
      </w:r>
    </w:p>
    <w:p>
      <w:pPr>
        <w:pStyle w:val="Heading6"/>
        <w:numPr>
          <w:ilvl w:val="5"/>
          <w:numId w:val="1"/>
        </w:numPr>
        <w:rPr/>
      </w:pPr>
      <w:bookmarkStart w:id="524" w:name="__RefHeading___Toc488623_2281741623"/>
      <w:bookmarkStart w:id="525" w:name="_Toc205"/>
      <w:bookmarkEnd w:id="524"/>
      <w:r>
        <w:rPr>
          <w:rtl w:val="true"/>
        </w:rPr>
        <w:t xml:space="preserve">الأقوال فی ذلک </w:t>
      </w:r>
      <w:r>
        <w:rPr>
          <w:rtl w:val="true"/>
        </w:rPr>
        <w:t>:</w:t>
      </w:r>
      <w:bookmarkEnd w:id="525"/>
    </w:p>
    <w:p>
      <w:pPr>
        <w:pStyle w:val="Heading6"/>
        <w:numPr>
          <w:ilvl w:val="5"/>
          <w:numId w:val="1"/>
        </w:numPr>
        <w:rPr/>
      </w:pPr>
      <w:bookmarkStart w:id="526" w:name="__RefHeading___Toc488625_2281741623"/>
      <w:bookmarkStart w:id="527" w:name="_Toc206"/>
      <w:bookmarkEnd w:id="526"/>
      <w:r>
        <w:rPr>
          <w:rtl w:val="true"/>
        </w:rPr>
        <w:t xml:space="preserve">القول الأوّل </w:t>
      </w:r>
      <w:r>
        <w:rPr>
          <w:rtl w:val="true"/>
        </w:rPr>
        <w:t xml:space="preserve">: </w:t>
      </w:r>
      <w:r>
        <w:rPr>
          <w:rtl w:val="true"/>
        </w:rPr>
        <w:t>انّ الحلیة و الطهارة ثابتتان مطلقاً و لو کان الإنقلاب بالعلاج</w:t>
      </w:r>
      <w:bookmarkEnd w:id="52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الحلیة و الطهارة ثابتتان مطلقاً و لو کان الإنقلاب بالعلاج، و هو المصرّح به فی جملة من الکتب کالإنتصار، والسرائر، والشرائع، والنافع، والقواعد، والنهایة، و التحریر، و الدروس، و 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الإنتصار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الإمامیّة إذا انقلب الخمر خلاًّ بنفسها أو بفعل آدمی إذا طرح فیها ما ینقلب فیه إلی الخلّ حلّت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دلیلنا الإجماع المتردّد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الخمر إذا صار خلاًّ جاز إستعماله، سواء صار ذلک من قبل نفسه أو بعلاج إذا طرح فیها ما ینقلب إلی الخلّ، غیر أنّه یستحبّ له أن لا یغیّر بشیء یطرح فیه، علی ما روی بل یترک حتّی یصیر خلا من قبل نفسه </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الخمر إذا انقلبت خلاًّ ، سواء کان إنقلابها بعلاج ، أو من قبل نفسها ، و سواء کان ما یعالج به عیناً باقیة ، أو مستهلکة ، و إن کان یکره العلاج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تحلّ إذا انقلبت خلاًّ و لو کان بعلاج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یطهّر بانقلابه من نفسه أو بعلاج ما لم یمازجه نجس، و لا فرق بین أن یکون ما یعالج به باقیاً أو مستهلکاً، و إن کان العلاج مکروهاً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والدروس والمسالک وغیرها ما سیأتی إن شاء اللّه تعالی، بل فی المسالک و البحار و نحوهما انّه المشهور بین الأصحاب، بل فی الإنتصار والتنقیح و غیرهما دعوی الإجماع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الإنتصار ما تقدّم منه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خلاف بین الفقهاء أنّ الخمر إذا انقلبت لذاتها خلاًّ تطهر، ویحلّ تناوله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الإنقلاب بعلاج أجمع أصحابنا علی حلّه، و به قال أبو حنیفة، خلافاً للشافعی و مالک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ما رواه فی مستطرفات السرائر ، عن جامع البزنطی صاحب الرضا علیه‌السلام ، عنه، عن أبی عبداللّه علیه‌السلام ، انّه سئل عن الخمر یعالج بالملح و غیره لیحول خلاًّ،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بمعالجتها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فانّی عالجتها و طینت رأسها ثمّ کشفت عنها فنظرت إلیها قبل الوقت أو بعده فوجدتها خمراً، أیحلّ لی امساکها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بذلک انّما أرادتک أن تتحوّل الخمر خلاًّ و لیس أرادتک الفساد </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الموثّق المرویّ فی الکافی، فی باب الخمر یجعل خلاًّ، من کتاب الأشربة، عن عبید بن زرارة،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الرجل یأخذ الخمر فیجعلها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الظاهر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یجعلها خلاًّ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أن یکون ذلک بفعل و عمل و علاج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نحوه الصحیح المرویّ فیه، عن زرارة،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الخمر العتیقة تجعل خلاًّ،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والموثّق کالصحیح المرویّ فی التهذیب، فی کتاب الذبائح والأطعمة، عن عبید بن زرارة، عن أبی عبداللّه علیه‌السلام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الرجل إذا باع عصیراً فحبسه السلطان حتّی صار خمراً فجعله صاحبه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تحوّل عن إسم الخمر فلابأس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الصحیح المرویّ فیه، عن جمیل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یکون لی علی الرجل الدراهم فیعطینی بها خمراً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خذها ثمّ أفسدها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واجعلها خلاًّ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بعض النسخ من التهذیب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الظاهر أنّه من تصرّف النسّاخ ، فانّ الظاهر انّ المراد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علیّ بن حدید کما صرّح به فی الإستبصار </w:t>
      </w:r>
      <w:r>
        <w:rPr>
          <w:rStyle w:val="FootnoteAnchor"/>
          <w:rtl w:val="true"/>
        </w:rPr>
        <w:footnoteReference w:id="1036"/>
      </w:r>
      <w:r>
        <w:rPr>
          <w:rFonts w:ascii="IRNazanin" w:hAnsi="IRNazanin" w:eastAsia="IRNazanin"/>
          <w:color w:val="111111"/>
          <w:sz w:val="28"/>
          <w:sz w:val="28"/>
          <w:szCs w:val="28"/>
          <w:rtl w:val="true"/>
          <w:lang w:bidi="fa-IR"/>
        </w:rPr>
        <w:t xml:space="preserve">، والراوی عن جمیل فی هذه الروایة إبن أبی عمیر و علیّ بن حدید </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فیه عن عبدالعزیز المهدیّ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العصیر یصیر خمراً فیصب علیه الخل و شیء یغیّره حتّی یصیر خلاًّ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bookmarkStart w:id="528" w:name="pg3696_43613"/>
    </w:p>
    <w:p>
      <w:pPr>
        <w:pStyle w:val="Heading6"/>
        <w:numPr>
          <w:ilvl w:val="5"/>
          <w:numId w:val="1"/>
        </w:numPr>
        <w:rPr/>
      </w:pPr>
      <w:bookmarkStart w:id="529" w:name="__RefHeading___Toc488627_2281741623"/>
      <w:bookmarkStart w:id="530" w:name="_Toc207"/>
      <w:bookmarkEnd w:id="528"/>
      <w:bookmarkEnd w:id="529"/>
      <w:r>
        <w:rPr>
          <w:rtl w:val="true"/>
        </w:rPr>
        <w:t xml:space="preserve">القول الثانی </w:t>
      </w:r>
      <w:r>
        <w:rPr>
          <w:rtl w:val="true"/>
        </w:rPr>
        <w:t xml:space="preserve">: </w:t>
      </w:r>
      <w:r>
        <w:rPr>
          <w:rtl w:val="true"/>
        </w:rPr>
        <w:t>إنّ الحلّیة والطهارة مختصّتان بما إذا کان الإنقلاب بنفسه</w:t>
      </w:r>
      <w:bookmarkEnd w:id="530"/>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الحلّیة والطهارة مختصّتان بما إذا کان الإنقلاب بنفسه، و هو مذهب الصدوقین و بعض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الصدوق رحمه‌الله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رضی‌الله‌عنه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 أصل الخمر من الکرم الذی إذا أصابته النار أو غلی من غیر أن تمسّه النار فیصیر أسفله أعلاه فهو خمر، فلا یحلّ شربه إلاّ أن یذهب ثلثاه و یبقی ثلثه، فإن نشّ من غیر أن تمسّه النار فدعه حتّی یصیر خلاًّ من ذاته من غیر أن تلقی فیه شیئا، فإذا صار خلاًّ من ذاته حلّ أکله ، فإن تغیّر بعد ذلک و صار خمرا فلا بأس أن تلقی فیه ملحا أو غیره </w:t>
      </w:r>
      <w:r>
        <w:rPr>
          <w:rStyle w:val="FootnoteAnchor"/>
          <w:rtl w:val="true"/>
        </w:rPr>
        <w:footnoteReference w:id="10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فی المقنع و فی کتاب فقه الرضا علیه‌السلام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دلالة هذه الکلمات علی هذا القول ضعیفة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یدلّ علیه فی الجملة الموثّق کالصحیح المرویّ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تجعل خلاًّ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یجعل فیها ما یقلّبها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والصحیح المرویّ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حسین الأحمسی، عن محمّد بن مسلم وأبی بصیر و علیّ، عن أبی بصیر، عن أبی عبداللّه علیه‌السلام ، سئل عن الخمر یجعل فیها الخلّ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إلاّ ما جاء من قبل نفسه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والخبر المرویّ فی العیون باسناده عن الرضا علیه‌السلام ، عن آبائه علیهم‌السلام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أمیرالمؤمنین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خلّ الخمر فإنّه یقتل الدیدان فی البطن،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خلّ الخمر ما فسد، و لا تأکلوا ما أفسدتموه أنتم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الجواب عن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الخبر مذکور فی التهذیب و الإستبصار کما مرّ، و مذکور فی الکافی </w:t>
      </w:r>
      <w:r>
        <w:rPr>
          <w:rStyle w:val="FootnoteAnchor"/>
          <w:rtl w:val="true"/>
        </w:rPr>
        <w:footnoteReference w:id="10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یغلبها بالغین، و فی البحار </w:t>
      </w:r>
      <w:r>
        <w:rPr>
          <w:rStyle w:val="FootnoteAnchor"/>
          <w:rtl w:val="true"/>
        </w:rPr>
        <w:footnoteReference w:id="1044"/>
      </w:r>
      <w:r>
        <w:rPr>
          <w:rFonts w:ascii="IRNazanin" w:hAnsi="IRNazanin" w:eastAsia="IRNazanin"/>
          <w:color w:val="111111"/>
          <w:sz w:val="28"/>
          <w:sz w:val="28"/>
          <w:szCs w:val="28"/>
          <w:rtl w:val="true"/>
          <w:lang w:bidi="fa-IR"/>
        </w:rPr>
        <w:t xml:space="preserve">، و هو 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والمراد منه علی ما فی کشف اللثام </w:t>
      </w:r>
      <w:r>
        <w:rPr>
          <w:rStyle w:val="FootnoteAnchor"/>
          <w:rtl w:val="true"/>
        </w:rPr>
        <w:footnoteReference w:id="1045"/>
      </w:r>
      <w:r>
        <w:rPr>
          <w:rFonts w:ascii="IRNazanin" w:hAnsi="IRNazanin" w:eastAsia="IRNazanin"/>
          <w:color w:val="111111"/>
          <w:sz w:val="28"/>
          <w:sz w:val="28"/>
          <w:szCs w:val="28"/>
          <w:rtl w:val="true"/>
          <w:lang w:bidi="fa-IR"/>
        </w:rPr>
        <w:t xml:space="preserve">أن لا یکون التخلّل لغلبة الخلّ أو إستهلاکها فیه، أو النهی عن جعلها فیما یغلبها، و إن بقیت زماناً یظنّ فیه الإنقلاب حذرا عن أن لایکون انقلب، لأنّه حینئذ لا یحصل العلم بالإنقلاب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الأصحّ ما فی الکافی کما یظهر من التهذیب، بل الظاهر منه أنّ هذه الکلمة عنده أیضا بالغین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جعل فیه ما یغلب علیه فیظنّ أنّه خلّ، ولایکون کذلک مثل القلیل من الخمر یطرح علیه کثیر من الخلّ </w:t>
      </w:r>
      <w:r>
        <w:rPr>
          <w:rStyle w:val="FootnoteAnchor"/>
          <w:rtl w:val="true"/>
        </w:rPr>
        <w:footnoteReference w:id="1046"/>
      </w:r>
      <w:r>
        <w:rPr>
          <w:rFonts w:ascii="IRNazanin" w:hAnsi="IRNazanin" w:eastAsia="IRNazanin"/>
          <w:color w:val="111111"/>
          <w:sz w:val="28"/>
          <w:sz w:val="28"/>
          <w:szCs w:val="28"/>
          <w:rtl w:val="true"/>
          <w:lang w:bidi="fa-IR"/>
        </w:rPr>
        <w:t>، إلی آخر کلامه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فالظاهر أنّ ما بالقاف من سهو النساخ، فالمراد أن لا تکون الخلّیّة من غلبة الخلّ علیّ حتّی جعلت الخمر مستهلکة، فإنّ الإستحالة والإنقلاب إنّما یطهّرها لا الإستهلاک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 الخبر الثانی تارةً بأنّه کالأوّل و مسوق مساقه ؛ و تارةً بأنّ المراد أن صبّ الخلّ علیه بحیث غلب علیها الخلّ غیر کاف، بل اللازم الإستحالة ؛ و تارةً بما </w:t>
      </w:r>
      <w:bookmarkStart w:id="531" w:name="pg3696_43617"/>
    </w:p>
    <w:p>
      <w:pPr>
        <w:pStyle w:val="BookText"/>
        <w:rPr/>
      </w:pPr>
      <w:bookmarkEnd w:id="531"/>
      <w:r>
        <w:rPr>
          <w:rFonts w:ascii="IRNazanin" w:hAnsi="IRNazanin" w:eastAsia="IRNazanin"/>
          <w:color w:val="111111"/>
          <w:sz w:val="28"/>
          <w:sz w:val="28"/>
          <w:szCs w:val="28"/>
          <w:rtl w:val="true"/>
          <w:lang w:bidi="fa-IR"/>
        </w:rPr>
        <w:t xml:space="preserve">أجاب عنه فی التهذیب بحملها علی الکراهة،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یستحبّ أن یترک الخمر حتّی یصیر خلاًّ من قبل نفسه، و لایطرح فیه ما یغیّره من الملح و غیره، و إن کان لو فعل لم یکن محظوراً و لا کان فاعله مأثوماً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مقتضی الجمع بین الأخبار، و هو الجواب عن الثالث </w:t>
      </w:r>
      <w:r>
        <w:rPr>
          <w:rFonts w:eastAsia="IRNazanin" w:cs="IRNazanin"/>
          <w:color w:val="111111"/>
          <w:sz w:val="28"/>
          <w:szCs w:val="28"/>
          <w:rtl w:val="true"/>
          <w:lang w:bidi="fa-IR"/>
        </w:rPr>
        <w:t>.</w:t>
      </w:r>
    </w:p>
    <w:p>
      <w:pPr>
        <w:pStyle w:val="Heading6"/>
        <w:numPr>
          <w:ilvl w:val="5"/>
          <w:numId w:val="1"/>
        </w:numPr>
        <w:rPr/>
      </w:pPr>
      <w:bookmarkStart w:id="532" w:name="__RefHeading___Toc488629_2281741623"/>
      <w:bookmarkStart w:id="533" w:name="_Toc208"/>
      <w:bookmarkEnd w:id="532"/>
      <w:r>
        <w:rPr>
          <w:rtl w:val="true"/>
        </w:rPr>
        <w:t xml:space="preserve">القول الثالث </w:t>
      </w:r>
      <w:r>
        <w:rPr>
          <w:rtl w:val="true"/>
        </w:rPr>
        <w:t xml:space="preserve">: </w:t>
      </w:r>
      <w:r>
        <w:rPr>
          <w:rtl w:val="true"/>
        </w:rPr>
        <w:t>التفصیل بین ما إذا کانت العین قائمة بعینها بعد الإنقلاب و بین ما إذا کانت مستهلکة</w:t>
      </w:r>
      <w:bookmarkEnd w:id="533"/>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ما إذا کانت العین قائمة بعینها بعد الإنقلاب و بین ما إذا کانت مستهلکة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المنسوب فی المسالک إلی قائل مجهول علی وجه الإحتمال، ثمّ اختاره فی ظاهر کلامه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قیل باشتراط ذهاب عین المعالج به قبل أن یصیر خلاًّ، لأنّه ینجس بوضعه فلایطهّر بانقلابها خلاًّ، لأنّ المطهّر للخمر إنقلابها خلاًّ </w:t>
      </w:r>
      <w:r>
        <w:rPr>
          <w:rStyle w:val="FootnoteAnchor"/>
          <w:rtl w:val="true"/>
        </w:rPr>
        <w:footnoteReference w:id="1048"/>
      </w:r>
      <w:r>
        <w:rPr>
          <w:rFonts w:ascii="IRNazanin" w:hAnsi="IRNazanin" w:eastAsia="IRNazanin"/>
          <w:color w:val="111111"/>
          <w:sz w:val="28"/>
          <w:sz w:val="28"/>
          <w:szCs w:val="28"/>
          <w:rtl w:val="true"/>
          <w:lang w:bidi="fa-IR"/>
        </w:rPr>
        <w:t xml:space="preserve">، و هو غیر متحقّق فی ذلک الجسم الموضوع فیها، و لا یرد مثله فی الآنیة، لأنّها ممّا لاتنفکّ عنها الخمر، فلو لم یطهر معها لما أمکن الحکم بطهرها و إن انقلبت بنفسها، و هو متّجه إلاّ أنّ الأشهر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انّه لیس فی الأخبار المعینة ما یدلّ علی جواز علاجها بالأجسام، والحکم بطهرها کذلک، و إنّما هو عموم أو مفهوم کما أشرنا إلیه مع قطع النظر عن الإسناد إلیه </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نسبه إلی القیل علی وجه الإحتمال فی الکفایة أیضا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قیل إلاّ أنّه رجّح المشهور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 xml:space="preserve">. </w:t>
      </w:r>
      <w:bookmarkStart w:id="534" w:name="pg3696_43619"/>
    </w:p>
    <w:p>
      <w:pPr>
        <w:pStyle w:val="BookText"/>
        <w:rPr/>
      </w:pPr>
      <w:bookmarkEnd w:id="534"/>
      <w:r>
        <w:rPr>
          <w:rFonts w:ascii="IRNazanin" w:hAnsi="IRNazanin" w:eastAsia="IRNazanin"/>
          <w:color w:val="111111"/>
          <w:sz w:val="28"/>
          <w:sz w:val="28"/>
          <w:szCs w:val="28"/>
          <w:rtl w:val="true"/>
          <w:lang w:bidi="fa-IR"/>
        </w:rPr>
        <w:t xml:space="preserve">و ما ذکره فی المسالک مدفوع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بالأخبار المطلقة خصوصاً روایة عبدالعزیز المهتدی لترک الإستفصال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هذا القول ممّا لا قائل به قبل الشهید الثانی رحمه‌الله ، و لم یظهر منه إختیار هذا القول، بل إنّما وجه هذا الإحتمال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ما دلّ علی طهارة الخلّ المستحیلة من الخمر دلّ علی طهارة ما یتبعه عرفاً کما فی نظائره، و ما ذکره فی الآنیة إنّما یتّجه إذا کان الدلیل علی طهارة الآنیة ما ذکره، و لیس کذلک، بل الدلیل علیه 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لک أنّ ما فی الخمر من الأجسام التابعة لها تطهر، و إن لم تکن ممّا یعالج به کحبّات العنب و بذوره و عیدان العنقود و نحو ذلک، فإنّ کلّ ذلک تطهر بالتبعیّة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ما فی الخلّ من الأجسام الباقیة بعینها بعد صیرورته خلاًّ طاهر و إن لم یکن من الأعیان الدخیلة فی صیرورته خلاًّ، فإنّه علی تقدیر نجاسته و تحقّق الغلیان فیه إنّما تطهر تلک الأجسام بالتبعیّة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ینبغی الإشکال فیه فی الأجسام الملازمة غالبا للعنقود من العنب والتمر، بل علیه السیرة المستمرّة فی جمیع الأعصار و الأمصار ، بل و کذلک إذا کانت من غیرها، فإنّ قاعدة التبعیّة تشملها کما إذا اتّفق وقوع عود فیه أو ما هو المعمول من إلقاء بعض الأجسام فیه ، إمّا لإسراع الإنقلاب، أو لحصول رائحة طیّبة فیه من النارنج و نحوه، خصوصاً فیما إذا استحال هو بالخلّیة طعما و رائحةً </w:t>
      </w:r>
      <w:r>
        <w:rPr>
          <w:rFonts w:eastAsia="IRNazanin" w:cs="IRNazanin"/>
          <w:color w:val="111111"/>
          <w:sz w:val="28"/>
          <w:szCs w:val="28"/>
          <w:rtl w:val="true"/>
          <w:lang w:bidi="fa-IR"/>
        </w:rPr>
        <w:t>.</w:t>
      </w:r>
    </w:p>
    <w:p>
      <w:pPr>
        <w:pStyle w:val="Heading6"/>
        <w:numPr>
          <w:ilvl w:val="5"/>
          <w:numId w:val="1"/>
        </w:numPr>
        <w:rPr/>
      </w:pPr>
      <w:bookmarkStart w:id="535" w:name="__RefHeading___Toc488631_2281741623"/>
      <w:bookmarkStart w:id="536" w:name="_Toc209"/>
      <w:bookmarkEnd w:id="535"/>
      <w:r>
        <w:rPr>
          <w:rtl w:val="true"/>
        </w:rPr>
        <w:t>تنبیهات</w:t>
      </w:r>
      <w:r>
        <w:rPr>
          <w:rtl w:val="true"/>
        </w:rPr>
        <w:t>:</w:t>
      </w:r>
      <w:bookmarkEnd w:id="536"/>
    </w:p>
    <w:p>
      <w:pPr>
        <w:pStyle w:val="Heading6"/>
        <w:numPr>
          <w:ilvl w:val="5"/>
          <w:numId w:val="1"/>
        </w:numPr>
        <w:rPr/>
      </w:pPr>
      <w:bookmarkStart w:id="537" w:name="__RefHeading___Toc488633_2281741623"/>
      <w:bookmarkStart w:id="538" w:name="_Toc210"/>
      <w:bookmarkEnd w:id="537"/>
      <w:r>
        <w:rPr>
          <w:rtl w:val="true"/>
        </w:rPr>
        <w:t>اشارة</w:t>
      </w:r>
      <w:bookmarkEnd w:id="538"/>
    </w:p>
    <w:p>
      <w:pPr>
        <w:pStyle w:val="BookText"/>
        <w:rPr/>
      </w:pPr>
      <w:r>
        <w:rPr>
          <w:rFonts w:ascii="IRNazanin" w:hAnsi="IRNazanin" w:eastAsia="IRNazanin"/>
          <w:color w:val="111111"/>
          <w:sz w:val="28"/>
          <w:sz w:val="28"/>
          <w:szCs w:val="28"/>
          <w:rtl w:val="true"/>
          <w:lang w:bidi="fa-IR"/>
        </w:rPr>
        <w:t xml:space="preserve">و ینبغی التنبیه هنا علی أمور </w:t>
      </w:r>
      <w:r>
        <w:rPr>
          <w:rFonts w:eastAsia="IRNazanin" w:cs="IRNazanin"/>
          <w:color w:val="111111"/>
          <w:sz w:val="28"/>
          <w:szCs w:val="28"/>
          <w:rtl w:val="true"/>
          <w:lang w:bidi="fa-IR"/>
        </w:rPr>
        <w:t>:</w:t>
      </w:r>
    </w:p>
    <w:p>
      <w:pPr>
        <w:pStyle w:val="Heading6"/>
        <w:numPr>
          <w:ilvl w:val="5"/>
          <w:numId w:val="1"/>
        </w:numPr>
        <w:rPr/>
      </w:pPr>
      <w:bookmarkStart w:id="539" w:name="__RefHeading___Toc488635_2281741623"/>
      <w:bookmarkStart w:id="540" w:name="_Toc211"/>
      <w:bookmarkEnd w:id="539"/>
      <w:r>
        <w:rPr>
          <w:rtl w:val="true"/>
        </w:rPr>
        <w:t>التنبیه الأول</w:t>
      </w:r>
      <w:r>
        <w:rPr>
          <w:rtl w:val="true"/>
        </w:rPr>
        <w:t xml:space="preserve">: </w:t>
      </w:r>
      <w:r>
        <w:rPr>
          <w:rtl w:val="true"/>
        </w:rPr>
        <w:t>إنّه إذا جعل خلّ فی خمر کثیر فإن استحالت إلیه وانقلبت حلّت</w:t>
      </w:r>
      <w:bookmarkEnd w:id="540"/>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إذا جعل خلّ فی خمر کثیر ، فإن استحالت إلیه و انقلبت حلّت </w:t>
      </w:r>
    </w:p>
    <w:p>
      <w:pPr>
        <w:pStyle w:val="BookText"/>
        <w:rPr/>
      </w:pPr>
      <w:r>
        <w:rPr>
          <w:rFonts w:ascii="IRNazanin" w:hAnsi="IRNazanin" w:eastAsia="IRNazanin"/>
          <w:color w:val="111111"/>
          <w:sz w:val="28"/>
          <w:sz w:val="28"/>
          <w:szCs w:val="28"/>
          <w:rtl w:val="true"/>
          <w:lang w:bidi="fa-IR"/>
        </w:rPr>
        <w:t xml:space="preserve">کما تقدّم الکلام فیه، لکن فیه خلاف، فالّذی یظهر أنّ کلّ من هو قائل بالحلّیة فی المسألة الآتیة قائل بها فی هذه المسألة، و لعلّ المشهور بین المتأخّرین عدم الحلّیة کما سیأتی نقل جملة من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یفصّل بین ما لو کان هذا الجعل للعلاج فتحلّ بالإنقلاب و إلاّ فلا، و هو الظاهر من السبزواری فی الکفایة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یفصّل بین ما لو کان المعالج به کثیرا فلا یحلّ، و ما إذا کان قلیلاً فیحلّ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والمستند فی هذین القولین ظواهر الأخبار، و لا سیّما خبری أبی بصیر المشتملین علی التفصیل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فالأقوی هو القول الأوّل، و یدلّ علیه صحیح عبدالعزیز المهتدی و غیره من الأخبار السابقة، و لا یکفی مجرّد الغلبة، بل و لا الرائحة والحموضة، و لعلّ أباحنیفة قائل بحلّیتها حینئذ، کما یأتی فی عکس هذه المسألة </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رواه فی الکتب الثلاثة، الکافی، والتهذیب، والإستبصار، فی الموثّق کالصحیح،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یصنع فیها الشیء حتّی یخمض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الّذی یصنع فیها هو الغالب علی ما صنع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rtl w:val="true"/>
          <w:lang w:bidi="fa-IR"/>
        </w:rPr>
        <w:t xml:space="preserve">] </w:t>
      </w:r>
      <w:r>
        <w:rPr>
          <w:rStyle w:val="FootnoteAnchor"/>
          <w:rtl w:val="true"/>
        </w:rPr>
        <w:footnoteReference w:id="1052"/>
      </w:r>
      <w:r>
        <w:rPr>
          <w:rFonts w:ascii="IRNazanin" w:hAnsi="IRNazanin" w:eastAsia="IRNazanin"/>
          <w:color w:val="111111"/>
          <w:sz w:val="28"/>
          <w:sz w:val="28"/>
          <w:szCs w:val="28"/>
          <w:rtl w:val="true"/>
          <w:lang w:bidi="fa-IR"/>
        </w:rPr>
        <w:t xml:space="preserve">، فلا بأس به </w:t>
      </w:r>
      <w:r>
        <w:rPr>
          <w:rStyle w:val="FootnoteAnchor"/>
          <w:rtl w:val="true"/>
        </w:rPr>
        <w:footnoteReference w:id="1053"/>
      </w:r>
      <w:r>
        <w:rPr>
          <w:rFonts w:ascii="IRNazanin" w:hAnsi="IRNazanin" w:eastAsia="IRNazanin"/>
          <w:color w:val="111111"/>
          <w:sz w:val="28"/>
          <w:sz w:val="28"/>
          <w:szCs w:val="28"/>
          <w:rtl w:val="true"/>
          <w:lang w:bidi="fa-IR"/>
        </w:rPr>
        <w:t xml:space="preserve">؛ مرمیّ فی التهذیبین بالشذوذ، بل فی الإستبصار أنّه متروک الظاهر بالإجماع، و لیته سکت عن وجه الإجماع، فإنّه قال فی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خلاف أن ما یقع فیه الخمر أنّه ینجس، و إذا نجس فلا یجوز إستعماله و إن کان غالباً علیه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مورد الخبر ما إذا وقع الخلّ فی الخمر لا العکس،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ما یقع فیه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فیه ما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مقتضی ما ذکره عدم حصول الطهارة فیما إذا إستحالت أیضا، و إن کان یمکن دفعه بأنّ الإستحالة حینئذ مطهِّرة لا الخلّ الواقع فیها، فمراده ما دون صورة الإستحالة والأمر سهل، والأولی أن یجاب عن الخبر بأنّ المراد صورة الإستحالة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کشف اللثام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صنع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المصدریّة والموصولیّة، فإن کان الأوّل کان المعنی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ما فعله فیها غالبا علی فعله، أی قویّاً علی التخلیل، و إن کان الثانی احتمل صنع بالبناء للفاعل و حذف المفعول أی ما صنعه، و ما صنعه یحتمل التخلیل والخمر المخلّلة، والبناء للمفعول أی ما صنع فیه و هی الخمر، والغلبة علی الخمر أیضا بمعنی القوّة علی تخلیلها </w:t>
      </w:r>
      <w:r>
        <w:rPr>
          <w:rStyle w:val="FootnoteAnchor"/>
          <w:rtl w:val="true"/>
        </w:rPr>
        <w:footnoteReference w:id="105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ذکره إنّما یلائم علی الوجه المرویّ فی التهذیبین حیث أنّه لیس فیهما لفظة فیها الثانیة، والحاصل إنّ الروایة المذکورة إمّا مطروحة أو مأوّلة </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بعد جعل الخلّ الکثیر فی الخمر و تحقّقت الإستحالة، و هی إنّما تتحقّق بعد مضیّ زمان، فلا کلام و لا عبرة بالرائحة و لا بالحموضة، بل فی التهذیب فی معنی قوله فی 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إذا لم یجعل فیه ما یقلّبها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معناه إذا جعل فیه ما یغلب علیه فیظنّ أنّه خلّ، و لا یکون کذلک مثل القلیل من الخمر یطرح علیه کثیر من الخلّ، فإنّه یصیر بطعم الخلّ، و مع هذا فلا یجوز إستعماله حتّی یعزل من تلک الخمرة و یجعل مفرداً إلی أن یصیر خلاًّ، فإذا صار خلاًّ حلّ </w:t>
      </w:r>
      <w:bookmarkStart w:id="541" w:name="pg3696_43625"/>
    </w:p>
    <w:p>
      <w:pPr>
        <w:pStyle w:val="BookText"/>
        <w:rPr/>
      </w:pPr>
      <w:bookmarkEnd w:id="541"/>
      <w:r>
        <w:rPr>
          <w:rFonts w:ascii="IRNazanin" w:hAnsi="IRNazanin" w:eastAsia="IRNazanin"/>
          <w:color w:val="111111"/>
          <w:sz w:val="28"/>
          <w:sz w:val="28"/>
          <w:szCs w:val="28"/>
          <w:rtl w:val="true"/>
          <w:lang w:bidi="fa-IR"/>
        </w:rPr>
        <w:t xml:space="preserve">حینئذ ذلک الخلّ، فأمّا قبل ذلک فلا یجوز إستعماله علی حال </w:t>
      </w:r>
      <w:r>
        <w:rPr>
          <w:rStyle w:val="FootnoteAnchor"/>
          <w:rtl w:val="true"/>
        </w:rPr>
        <w:footnoteReference w:id="105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إنّ هذا العزل إن کان بعد الطرح فلا حاجة إلیه، و إن کان قبله فهو قبل العلاج، و لا ریب أنّ ما صبّ علیه الخلّ أسرع إلی الإستحالة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بأنّه و إن کان کذلک إلاّ أنّه لا تعلم الإستحالة إلاّ بعد ذلک، و سیأتی إن شاء اللّه لهذه المسألة بقیّة </w:t>
      </w:r>
      <w:r>
        <w:rPr>
          <w:rFonts w:eastAsia="IRNazanin" w:cs="IRNazanin"/>
          <w:color w:val="111111"/>
          <w:sz w:val="28"/>
          <w:szCs w:val="28"/>
          <w:rtl w:val="true"/>
          <w:lang w:bidi="fa-IR"/>
        </w:rPr>
        <w:t>.</w:t>
      </w:r>
    </w:p>
    <w:p>
      <w:pPr>
        <w:pStyle w:val="Heading6"/>
        <w:numPr>
          <w:ilvl w:val="5"/>
          <w:numId w:val="1"/>
        </w:numPr>
        <w:rPr/>
      </w:pPr>
      <w:bookmarkStart w:id="542" w:name="__RefHeading___Toc488637_2281741623"/>
      <w:bookmarkStart w:id="543" w:name="_Toc212"/>
      <w:bookmarkEnd w:id="542"/>
      <w:r>
        <w:rPr>
          <w:rtl w:val="true"/>
        </w:rPr>
        <w:t>التنبیه الثانی</w:t>
      </w:r>
      <w:r>
        <w:rPr>
          <w:rtl w:val="true"/>
        </w:rPr>
        <w:t xml:space="preserve">: </w:t>
      </w:r>
      <w:r>
        <w:rPr>
          <w:rtl w:val="true"/>
        </w:rPr>
        <w:t>أنّه إذا وقع خمر فی خلّ بحیث صارت مستحیلة بعد الوقوع فهل ینجس الخلّ أم لا ؟</w:t>
      </w:r>
      <w:bookmarkEnd w:id="543"/>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عکس الأوّل، و هو أنّه إذا وقع خمر فی خلّ بحیث صارت مستحیلة بعد الوقوع، فهل ینجس الخلّ أم لا ؟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طاهر حینئذ بالإستحالة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وقع شیء من الخمر فی الخلّ لم یجز إستعماله إلاّ بعد أن یصیر ذلک الخمر خلاًّ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أبو علی ابن الجنید، علی ما حکی فی المختلف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أخذ إنسان خمراً ثمّ صبّ علیه خلاًّ، فإنّه محرّم علیه شربه، والإصطباغ به فی الوقت، ما لم یمض علیه وقت ینتقل فی مثله العین من التحلیل إلی التحریم، أو من التحریم إلی التحلیل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فی فقه الرضا علیه‌السلام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صبّ فی الخلّ لم یحلّ أکله حتّی یذهب علیه أیّام و یصیر خلاًّ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نفی عنه البعد فی المختلف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باق علی نجاسته ؛ و هو صریح السرائر، و جملة ممّن تأخّر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فی بعض الأخبار أنّه إذا وقع شیء من الخمر فی الخلّ لم یجز إستعماله إلاّ بعد أن یصیر ذلک الخمر خلاًّ ؛ أورد الروایة شیخنا أبوجعفر فی نهایته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یقتضیه أصول مذهبنا ترک العمل بهذه الروایة الشاذّة، و لایلتفت إلیها ولا یعرج علیها، لأنّها مخالفة لأصول الأدلّة </w:t>
      </w:r>
      <w:r>
        <w:rPr>
          <w:rStyle w:val="FootnoteAnchor"/>
          <w:rtl w:val="true"/>
        </w:rPr>
        <w:footnoteReference w:id="1061"/>
      </w:r>
      <w:r>
        <w:rPr>
          <w:rFonts w:ascii="IRNazanin" w:hAnsi="IRNazanin" w:eastAsia="IRNazanin"/>
          <w:color w:val="111111"/>
          <w:sz w:val="28"/>
          <w:sz w:val="28"/>
          <w:szCs w:val="28"/>
          <w:rtl w:val="true"/>
          <w:lang w:bidi="fa-IR"/>
        </w:rPr>
        <w:t xml:space="preserve">، مضادّة للإجماع، لأنّ الخلّ بعد وقوع قلیل الخمر فی الخلّ صار بالإجماع الخلّ نجساً، و لا دلالة علی طهارته بعد ذلک و لا إجماع، لأنّه لیس له حال ینقلب إلیها، و لا یتعدّی طهارة ذلک الخمر المنفرد، واستحالته، وانقلابه، إلی الخلّ الواقع فیه قلیل الخمر، المختلط به، الّذی حصل الإجماع علی نجاسته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الشاذّة موافقة لمذهب أبی حنیفة، فإن صحّ ورودها فتحمل علی التقیّة، لأنّها موافقة لمذهب من سمّیناه بذلک، علی ما نبّهنا علیه قول السیّد المرتضی فی إنتصاره </w:t>
      </w:r>
      <w:r>
        <w:rPr>
          <w:rStyle w:val="FootnoteAnchor"/>
          <w:rtl w:val="true"/>
        </w:rPr>
        <w:footnoteReference w:id="1062"/>
      </w:r>
      <w:r>
        <w:rPr>
          <w:rFonts w:ascii="IRNazanin" w:hAnsi="IRNazanin" w:eastAsia="IRNazanin"/>
          <w:color w:val="111111"/>
          <w:sz w:val="28"/>
          <w:sz w:val="28"/>
          <w:szCs w:val="28"/>
          <w:rtl w:val="true"/>
          <w:lang w:bidi="fa-IR"/>
        </w:rPr>
        <w:t xml:space="preserve">، فإنّه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ـ عند الإمامیّة إذا انقلبت الخمر خلاًّ بنفسها، أو بفعل آدمیّ، إذا طرح فیها ما ینقلب به إلی الخلّ، حلّت، و خالف الشافعی و مالک فی ذلک، و أبوحنیفة لا یخالف الإمامیّة فیما ذکرناه إلاّ أنّه یزید علیهم، فیقول فیمن ألقی خمرا فی خلّ فغلب علیها حتّی لا یوجد طعم الخمر، إنّه بذلک یحلّ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الإمامیّة أنّ ذلک لایجوز، و متی لم ینقلب الخمر إلی الخلّ لم یحلّ ، فکأنّهم انفردوا من أبی حنیفة بأنّهم امتنعوا ممّا أجازه علی بعض الوجوه ، </w:t>
      </w:r>
    </w:p>
    <w:p>
      <w:pPr>
        <w:pStyle w:val="BookText"/>
        <w:rPr/>
      </w:pPr>
      <w:r>
        <w:rPr>
          <w:rFonts w:ascii="IRNazanin" w:hAnsi="IRNazanin" w:eastAsia="IRNazanin"/>
          <w:color w:val="111111"/>
          <w:sz w:val="28"/>
          <w:sz w:val="28"/>
          <w:szCs w:val="28"/>
          <w:rtl w:val="true"/>
          <w:lang w:bidi="fa-IR"/>
        </w:rPr>
        <w:t xml:space="preserve">و إن وافقوه علی إنقلاب الخمر إلی الخلّ، فجاز لذلک ذکر هذه المسألة فی الإنفرادات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دلیلنا بعد الإجماع المتردّد انّ التحریم إنّما یتناول ما هو خمر و ما انقلب خلاًّ، فقد خرج من أن یکون خمرا، وانّه لا خلاف فی إباحة الخلّ، و إسم الخلّ یتناول ما هو علی صفة مخصوصة، و لا فرق بین أسباب حصوله علیها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یقال لأصحاب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فرق بین غلبة الخلّ علی الخمر فی تحلیلها، وبین غلبة الماء علیها، أو غیره من المایعات، أو الجامدات، حتّی لا یوجد لها طعم، و لا رائحة ؟</w:t>
      </w:r>
    </w:p>
    <w:p>
      <w:pPr>
        <w:pStyle w:val="BookText"/>
        <w:rPr/>
      </w:pPr>
      <w:r>
        <w:rPr>
          <w:rFonts w:ascii="IRNazanin" w:hAnsi="IRNazanin" w:eastAsia="IRNazanin"/>
          <w:color w:val="111111"/>
          <w:sz w:val="28"/>
          <w:sz w:val="28"/>
          <w:szCs w:val="28"/>
          <w:rtl w:val="true"/>
          <w:lang w:bidi="fa-IR"/>
        </w:rPr>
        <w:t xml:space="preserve">فإن فرّقوا بین الأمرین بأنّ الخمر تنقلب إلی الخلّ، و لا تنقلب إلی غیره من المایعات والجامدات،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فیها علی الإنقلاب، والخمر إذا ألقیت فی الخلّ الکثیر، فما انقلبت فی الحال إلی الخلّ، بل عینها باقیة، و کذلک هی فی الماء، فما الفرق بین أن یلقی فیما یجوز أن ینقلب إلیه، و بین ما لا ینقلب إلیه إذا کانت فی الحال موجودة لم تنقلب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آخر کلام المرتضی قدس‌سره فی المسألة، فالحظه و تأمّله بعین قلبک، فإنّه دالّ علی ما قلناه، کاشف لما حرّرناه </w:t>
      </w:r>
      <w:r>
        <w:rPr>
          <w:rStyle w:val="FootnoteAnchor"/>
          <w:rtl w:val="true"/>
        </w:rPr>
        <w:footnoteReference w:id="106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بعد أن لاحظنا الإنتصار وتأمّلنا ما فیه بعین‌القلب ما وجدناه دالاًّ علی ما قاله، بل وجدناه علی خلافه أدلّ، فإنّ کلامه رحمه‌الله فی صورة الغلبة بدون الإستحالة، وأمّا مع الإستحالة فالسیّد رحمه‌الله قائل بالحلّیة والطهارة فی صریح کلامه، ولکن قد تبع الحلّی رحمه‌الله جملة ممّن تأخّر عنه کالمحقّق والعلاّمة والشهید وغیرهم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یظهر هنا قول ثالث من السبزواریّ رحمه‌الله فی الکفایة، و هو أنّه إذا کان هذا الصبّ للعلاج حلّ و طهر، و إلاّ فلا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القول بالحلّ والطهارة مطلقاً فی المسألة، مشیرا إلی المسألة السابقة علی هذه المسألة، نظرا إلی عموم موثّقة أبی بصیر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والأقوی هو القول الأوّل </w:t>
      </w:r>
      <w:r>
        <w:rPr>
          <w:rStyle w:val="FootnoteAnchor"/>
          <w:rtl w:val="true"/>
        </w:rPr>
        <w:footnoteReference w:id="1065"/>
      </w:r>
      <w:r>
        <w:rPr>
          <w:rFonts w:ascii="IRNazanin" w:hAnsi="IRNazanin" w:eastAsia="IRNazanin"/>
          <w:color w:val="111111"/>
          <w:sz w:val="28"/>
          <w:sz w:val="28"/>
          <w:szCs w:val="28"/>
          <w:rtl w:val="true"/>
          <w:lang w:bidi="fa-IR"/>
        </w:rPr>
        <w:t xml:space="preserve">لوجوه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الصبّ و الإمتزاج إمّا أن یصدق الخمر علیه أم لا، و بعبارة أخری إمّا أن یستهلک الخلّ بالخمر الواقع فیه أم لا، فإن کان الأوّل فالإستحالة مطهّرة کما هو المفروض ؛ و إن کان الثانی فغایة الأمر أنّه یصیر کموضوع ثالث و الإستحالة مطهِّرة محلِّلة مطلقاً ، و إنّما ینکشف الإستحالة باستحالة البقیّة والخمر المعزولة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إطلاق الأخبار الواردة بالحلّیة بالعلاج یشمله، فإنّ العلاج یشمل ما لو کان بالخلّ، بل لعلّه الأظهر من بعض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قائل بالفصل بین هذه المسألة و المسألة السابقة کما لا یخفی علی المتتبّع، و بعد أن رجّحنا الحلّیة والطهارة فی المسألة السابقة فکذا فی هذه المسألة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عبدالعزیز المهتدی، فإنّها و إن کانت فی عکس هذه المسألة إلاّ أنّه کما عرفت لا قائل بالفصل بین المسألتین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موثّقة أبی بصیر السابقة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یصنع فیها الشیء حتّی تخمض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الّذی صنع فیها هو الغالب علی ما صنع، فلابأس </w:t>
      </w:r>
      <w:r>
        <w:rPr>
          <w:rStyle w:val="FootnoteAnchor"/>
          <w:rtl w:val="true"/>
        </w:rPr>
        <w:footnoteReference w:id="10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المراد منها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ما فی الدروس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أبوبصیر الصادق علیه‌السلام فی الخمر یوضع فیها الشیء حتّی تخمض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الّذی صنع فیها هو الغالب علی ما صنع، فلا بأس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منه الشیخ أغلبیّة الموضوع فیها علیها، فنسبها إلی الشذوذ، و یمکن حمله علی العکس فلا إشکال </w:t>
      </w:r>
      <w:r>
        <w:rPr>
          <w:rStyle w:val="FootnoteAnchor"/>
          <w:rtl w:val="true"/>
        </w:rPr>
        <w:footnoteReference w:id="106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مراده أنّه إذا کانت الخمر الّتی وقع فیها ما وقع غالباً ثمّ حمضت، فلا إشکال حینئذ لتحقّق الإستحالة، و هذا یدلّ علی أنّ الشهید قائل بالقول الأوّل، و سیأتی لذلک تتمّة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فهذا الخبر أیضا بضمیمة عدم القول بالفصل یدلّ علی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والصحیح السابق المرویّ عن أبی عبداللّه علیه‌السلام ، سئل عن الخمر یجعل فیها الخلّ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إلاّ ما جاء من قبل نفسه </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السؤال عن نفس الغلبة کافیة فی الحلّیة، فأجاب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إلاّ ما جاء من قبل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لا إلاّ إذا استحال، والمفروض فی مقامنا الإستحالة بعد الجعل، فتأمّل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والخبر کالصحیح، عن عبید بن زرارة، عن أبی عبداللّه علیه‌السلام أنّه قال فی الرجل باع عصیرا فحبسه السلطان حتّی صار خمرا فجعله صاحبه خلاًّ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تحوّل عن إسم الخمر، فلا بأس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فی ترک الإستفصال عن کیفیّة الجعل دلالة علی ما ذکرناه، فضلاً عمّا یستفاد منه من الضابط، و هو التحویل عن الإسم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خامسها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تقدّم إجتماعهم علی أنّ العین المستهلکة إذا عولج بها لاتوجب النجاسة، بل إنّما تطهر الخمر بذلک، مع أنّ ما ذکروه من الإنفعال بالملاقاة یأتی فیها أیضا مع إمکان الفرض فیما نحن فیه أیضا بما إذا استهلکت الخلّ الواقع فی الخمر أو العکس،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الظاهر من جملة من الأصحاب فرض المسألة فی صورة الإستهلاک، لا ما إذا انقلب الخمر أو الخلّ بعد الإمتزاج بمضیّ زمان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ألقی الخمر فی الخلّ حتّی إستهلکها الخلّ أو بالعکس ، لم‌تطهر الخمر، فکان الخلّ نجساً، سواء إنقلب الباقی من الخمر خلاًّ أو لا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ألقی فی الخمر خلّ حتّی إستهلکه الخلّ و بالعکس، لم تحلّ و لم تطهر، و قول الشیخ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وقع قلیل خمر فی خلّ لم یجز إستعماله حتّی یصیر ذلک الخمر خلاًّ، لیس بجیّد </w:t>
      </w:r>
      <w:r>
        <w:rPr>
          <w:rStyle w:val="FootnoteAnchor"/>
          <w:rtl w:val="true"/>
        </w:rPr>
        <w:footnoteReference w:id="107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مزج الخمر بالخلّ واستهلکه الخلّ، لم یحلّ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ـ أی لم تطهر الخمر ـ لو ألقی فی الخمر خلّ حتّی استهلکت بالخلّ، و إن بقی من الخمر بقیّة فتخللت لم تطهر الخمر بذلک علی الأقرب، خلافا للنهایة، تأویلاً لروایة أبی بصیر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بجعل الخمر خلاًّ إذا لم‌یجعل فیها ما یقلّبها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لو حمل ذلک علی النهی عن العلاج کما رواه أیضا، إستغنی عن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إبن الجنید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 إذا مضی علیه وقت تنتقل فی مثله العین من التحریم إلی التحلیل، فلم یعتبر البقیّة، و لا إنقلابها، و هما بعیدان </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کلماتهم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فالنزاع حینئذ لفظیّ من جهة أنّ من قال بالحلّیة والطهارة فإنّما قال فی صورة الإنقلاب والإستحالة، و من قال ببقاء النجاسة فی صورة الإستهلاک و عدم العلم بالإستحالة والإنقلاب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هذا الوجه ستعرف إن شاء اللّه تعالی نظر، فإنّ عنوان کلماتهم و إن کان فی الإستهلاک إلاّ أنّ نقلهم خلاف الشیخ الظاهر فی صورة الإنقلاب، والردّ علیه شاهد علی أنّ مرادهم لیس مجرّد الإستهلاک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انّ المستفاد من کلماتهم أنّ مذهب الشیخ رحمه‌الله الّذی نسب إلیه فی النهایة، أنّه إذا وقع بعض من الخمر فی خلّ فإن استحال وانقلب الباقی من الخمر إلی الخلّ طهر و حلّ هذا الموضوع فیه الخمر، لأنّه یکشف عن إستحالة ذلک البعض الممزوج مع الخلّ </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هو المذکور فی الفقیه نقلاً عن والده رحمه‌الله قال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أبی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بنی إعلم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أصل الخمر من الکرم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إلی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صبّ فی الخلّ خمر لم یجز أکله حتّی یعزل من ذلک الخمر فی إناء و یصبر حتّی یصیر خلاًّ ، فإذا صار خلاًّ فکلّ ذلک الخلّ الّذی صبّ فیه الخمر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قریب منه ما فی المقنع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المستفاد من کلام الشیخ رحمه‌الله فی التهذیب، وقد تقدّم، فإنّه بعد أن ذکر خبر أبی بصیر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یجعل خلاًّ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إذا لم یجعل فیها ما یقلّبها ـ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معناه إذا جعل فیه ما یغلب علیه فیظنّ أنّه خلّ ولایکون کذلک </w:t>
      </w:r>
      <w:r>
        <w:rPr>
          <w:rStyle w:val="FootnoteAnchor"/>
          <w:rtl w:val="true"/>
        </w:rPr>
        <w:footnoteReference w:id="1078"/>
      </w:r>
      <w:r>
        <w:rPr>
          <w:rFonts w:ascii="IRNazanin" w:hAnsi="IRNazanin" w:eastAsia="IRNazanin"/>
          <w:color w:val="111111"/>
          <w:sz w:val="28"/>
          <w:sz w:val="28"/>
          <w:szCs w:val="28"/>
          <w:rtl w:val="true"/>
          <w:lang w:bidi="fa-IR"/>
        </w:rPr>
        <w:t xml:space="preserve">، مثل القلیل من الخمر یطرح علیه کثیر من الخلّ، فإنّه یصیر بطعم الخلّ، و مع هذا فلا یجوز إستعماله حتّی یعزل من تلک الخمرة و یجعل مفرداً إلی أن یصیر خلاًّ، فإذا صار خلاًّ حلّ به ذلک الخلّ، فأمّا قبل ذلک فلا یجوز إستعماله علی حال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کلام الحلّی رحمه‌الله المتقدّم أیضا یشهد بذلک </w:t>
      </w:r>
      <w:r>
        <w:rPr>
          <w:rStyle w:val="FootnoteAnchor"/>
          <w:rtl w:val="true"/>
        </w:rPr>
        <w:footnoteReference w:id="1080"/>
      </w:r>
      <w:r>
        <w:rPr>
          <w:rFonts w:ascii="IRNazanin" w:hAnsi="IRNazanin" w:eastAsia="IRNazanin"/>
          <w:color w:val="111111"/>
          <w:sz w:val="28"/>
          <w:sz w:val="28"/>
          <w:szCs w:val="28"/>
          <w:rtl w:val="true"/>
          <w:lang w:bidi="fa-IR"/>
        </w:rPr>
        <w:t xml:space="preserve">، فإنّه فهم من الشیخ رحمه‌الله فی النهایة ذلک، و کذا غیر الحلّی رحمه‌الله کما لایخفی علی المتأمّل فی کلماتهم ممّا مرّ، وغیره، و بالجملة هذا هو محلّ فرض الشیخ رحمه‌الله المسألة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الروایة الّتی أشاروا إلیها أنّ الشیخ رحمه‌الله أفتی بمقتضاها فی النهایة، هی روایة أبی بصیر المتقدّمة،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الخمر یصنع فیها الشیء </w:t>
      </w:r>
    </w:p>
    <w:p>
      <w:pPr>
        <w:pStyle w:val="BookText"/>
        <w:rPr/>
      </w:pPr>
      <w:r>
        <w:rPr>
          <w:rFonts w:ascii="IRNazanin" w:hAnsi="IRNazanin" w:eastAsia="IRNazanin"/>
          <w:color w:val="111111"/>
          <w:sz w:val="28"/>
          <w:sz w:val="28"/>
          <w:szCs w:val="28"/>
          <w:rtl w:val="true"/>
          <w:lang w:bidi="fa-IR"/>
        </w:rPr>
        <w:t xml:space="preserve">حتّی تخمض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الشیء الّذی صنع فیها هو الغالب علی ما صنع، فلابأس </w:t>
      </w:r>
      <w:r>
        <w:rPr>
          <w:rStyle w:val="FootnoteAnchor"/>
          <w:rtl w:val="true"/>
        </w:rPr>
        <w:footnoteReference w:id="10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عرفت ذلک من الدروس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إنّما أوردها الشیخ رحمه‌الله فی التهذیب والإستبصار، و ردّها بأنّ هذا الخبر شاذّ لا یجوز العمل علیه، لأنّا قد بیّنا أنّ الخمر نجس ینجس أیّ شیء حصل فیها، و لیس یصیر طاهراً بشیء یغلب علیها علی حال، فهذا خبر متروک، فإنّ الجمع بین کلامیه فی التهذیب، 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بعد ذکر خبر أبی بصیر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هذا بعد ذکر خبر أبی بصیر الثانی یقتضی ما ذکره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کان الأمر کذلک فما أورد علیه فی السرائر و غیره من أنّ الشیخ رحمه‌الله إنّما ذکر فی النهایة مضمون الروایة الشاذّة ، لا وجه له ، فإنّ الخبر الّذی صرّح الشیخ رحمه‌الله بأنّه شاذّ، الخبر الأخیر، دون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کلّ حال الشاذّ الخبر الدالّ علی أنّ الغلبة کافیة فی الحکم بالحلّیة، سواء کان الأوّل أو الثانی، فإنّ مقتضاهما فی ظاهر النظر کفایة الغلبة، والشیخ رحمه‌الله إنّما حمل واحداً منهما، أو الأوّل منهما، علی صورة الإستحالة، و هذا هو الّذی أفتی به فی النهایة، والّذی یکشف عن الإستحالة صیرورة البقیّة خلاًّ، و هو ما ذکره فی التهذیب فی کلامه الأوّل، و هو المراد من النهایة، کما فهمه الأصحاب بأن یکون مراده الإستحالة فی البقیّة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من الکلام فی هذا المقام أنّه یؤل إلی أمرین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الإستحالة فی هذا الممزوج مطهِّرة محلِّلة، أم لا ؟ فقد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إستحالة بقیّة الخمر لو کشفت عن إستحالة الخمر الممزوج، فإنّها لا توجب رفع </w:t>
      </w:r>
    </w:p>
    <w:p>
      <w:pPr>
        <w:pStyle w:val="BookText"/>
        <w:rPr/>
      </w:pPr>
      <w:r>
        <w:rPr>
          <w:rFonts w:ascii="IRNazanin" w:hAnsi="IRNazanin" w:eastAsia="IRNazanin"/>
          <w:color w:val="111111"/>
          <w:sz w:val="28"/>
          <w:sz w:val="28"/>
          <w:szCs w:val="28"/>
          <w:rtl w:val="true"/>
          <w:lang w:bidi="fa-IR"/>
        </w:rPr>
        <w:t xml:space="preserve">النجاسة الحاصلة للخلّ فی أوّل الملاقاة، والحاصلة للخمر الملاقیة للخلّ المتنجّس بعد الإستحالة، فالخلّ نجس من أوّل الأمر، والخمر المستحیل بالخلّ نجس بعد الإستحالة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إستحالة البقیّة هل تکشف عن إستحالة الممزوج أو الخمر الممتزج أم لا ؟ فقد ذکر فی المختلف من أنّ إنقلاب الخمر إلی الخلّ یدلّ علی تمامیّة إستعداد إنقلاب ذلک الخمر إلی الخلّ، والمزاج واحد، بل إستعداد الملقی فی الخلّ لصیرورته خلاًّ أتمّ، و لکن لا یعلم، لإمتزاجه بغیره، فإذا انقلب الأصل المأخوذ منه علم إنقلابه أیضا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فأمّا الأوّل، فقد أشار إلیه فی المختلف بعد کلامه المذکور أنّ نجاسة الخلّ تابعة للخمریّة، و قد زالت فتزول النجاسة عنه، کما فی الخمر إذا انقلبت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کشف المقال فیهما، أی فی الأمرین، یقتضی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التنجس علی حدّ واحد فی مطلق المعالجة بالأجسام، سواء کان العلاج بالخلّ و بغیره، و لاسیّما فی الأجسام الباقیة بعد الإنقلاب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جملة من الأصحاب بالحلّیة والطهارة حینئذ، و دلّت الأخبار بذلک، خصوصا خبر عبدالعزیز و خبری أبیبصیر المفصلین بین الغلبة و عدمها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لافرق فی التنجیس بین القلیل والکثیر، فإذا ارتفعت النجاسة بالإستحالة بالعلاج بإلقاء شیء طاهر فیالخمر، سواء استهلک قبل الإستحالة أم لا، دلّ ذلک علی أنّ التنجّس لا أثر له بعد الإستحالة، وقصد العلاج لا دخل له فی ذلک، فإنّ المقاصد غیر مؤثّرة فی الطهارة والنجاسة </w:t>
      </w:r>
      <w:r>
        <w:rPr>
          <w:rFonts w:eastAsia="IRNazanin" w:cs="IRNazanin"/>
          <w:color w:val="111111"/>
          <w:sz w:val="28"/>
          <w:szCs w:val="28"/>
          <w:rtl w:val="true"/>
          <w:lang w:bidi="fa-IR"/>
        </w:rPr>
        <w:t xml:space="preserve">. </w:t>
      </w:r>
      <w:bookmarkStart w:id="544" w:name="pg3696_43646"/>
    </w:p>
    <w:p>
      <w:pPr>
        <w:pStyle w:val="BookText"/>
        <w:rPr/>
      </w:pPr>
      <w:bookmarkEnd w:id="544"/>
      <w:r>
        <w:rPr>
          <w:rFonts w:ascii="IRNazanin" w:hAnsi="IRNazanin" w:eastAsia="IRNazanin"/>
          <w:color w:val="111111"/>
          <w:sz w:val="28"/>
          <w:sz w:val="28"/>
          <w:szCs w:val="28"/>
          <w:rtl w:val="true"/>
          <w:lang w:bidi="fa-IR"/>
        </w:rPr>
        <w:t xml:space="preserve">و أمّا الإستحالة، فکلّما کانت الخمر واردة أو مورودة أکثر فالإستحالة فیه أظهر، والخبران المشترطان لعدم الغلبة إنّما هما فی مقام الردّ لأبی حنیفة المعتبر للغلبة من دون الإستحالة، و أمّا مع قلّتها و کثرة الخلّ فقد یخفی الإستحالة فإن اتضحت بما مرّ من العلاّمة رحمه‌الله ، فهو و إلاّ فالإجتناب أحوط، خصوصا إذا وقع قلیل من خمر فی کثیر من الخلّ، فإنّ القلیل منها یستهلک فی الخلّ، و مع الإستهلاک لایتصوّر الإستحالة لعدم بقائه بحاله حتّی ینقلب و یستحیل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المختار هو قول الحلّی رحمه‌الله و أکثر الأصحاب من المتأخّرین فی الخمر القلیل مع الخلّ الکثیر واردة أو مورودة، و قول الشیخ و إبن الجنید رحمهماالله ، بل والسیّد رحمه‌الله فی الإنتصار والعلاّمة رحمه‌الله فی المختلف فی الخمر الکثیر مع الخلّ القلیل والأخبار أیضا نازلة علی هذه المنزلة کخبری أبی بصیر، فإنّ المراد من المشتمل علی ما صنع فیها، أن یکون الخمر المعالجة بفتح اللام، غالبة علی ما یعالج به فتکون الحموضة حینئذ کاشفة عن الإقلاب، بخلاف ما إذا کانت مغلوبة لاحتمال کون الحموضة من المعالج به، و کذا المراد من خبره الآخر، بل هو ظاهر منه بناء علی کون یغلبها بالغین کما هو الأصحّ </w:t>
      </w:r>
      <w:r>
        <w:rPr>
          <w:rFonts w:eastAsia="IRNazanin" w:cs="IRNazanin"/>
          <w:color w:val="111111"/>
          <w:sz w:val="28"/>
          <w:szCs w:val="28"/>
          <w:rtl w:val="true"/>
          <w:lang w:bidi="fa-IR"/>
        </w:rPr>
        <w:t>.</w:t>
      </w:r>
    </w:p>
    <w:p>
      <w:pPr>
        <w:pStyle w:val="Heading6"/>
        <w:numPr>
          <w:ilvl w:val="5"/>
          <w:numId w:val="1"/>
        </w:numPr>
        <w:rPr/>
      </w:pPr>
      <w:bookmarkStart w:id="545" w:name="__RefHeading___Toc488639_2281741623"/>
      <w:bookmarkStart w:id="546" w:name="_Toc213"/>
      <w:bookmarkEnd w:id="545"/>
      <w:r>
        <w:rPr>
          <w:rtl w:val="true"/>
        </w:rPr>
        <w:t xml:space="preserve">التنبیه الثالث </w:t>
      </w:r>
      <w:r>
        <w:rPr>
          <w:rtl w:val="true"/>
        </w:rPr>
        <w:t xml:space="preserve">: </w:t>
      </w:r>
      <w:r>
        <w:rPr>
          <w:rtl w:val="true"/>
        </w:rPr>
        <w:t>إنّه لو عولج العصیر بعد الغلیان أو الخمر بنجس أو باشره نجس ثمّ انقلب واستحال إلی الحلّیة، لم یطهر</w:t>
      </w:r>
      <w:bookmarkEnd w:id="546"/>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عولج العصیر بعد الغلیان أو الخمر بنجس ، أو باشره نجس ، ثمّ انقلب واستحال إلی الحلّیة، لم یطهر، کما صرّح به جملة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عولج بنجاسة أو بشیء نجس أو باشره کافر، لم یطهر بالإنقلاب </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 xml:space="preserve">. </w:t>
      </w:r>
      <w:bookmarkStart w:id="547" w:name="pg3696_43647"/>
    </w:p>
    <w:p>
      <w:pPr>
        <w:pStyle w:val="BookText"/>
        <w:rPr/>
      </w:pPr>
      <w:bookmarkEnd w:id="547"/>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لو عولج بنجس أو تنجّس </w:t>
      </w:r>
      <w:r>
        <w:rPr>
          <w:rStyle w:val="FootnoteAnchor"/>
          <w:rtl w:val="true"/>
        </w:rPr>
        <w:footnoteReference w:id="1085"/>
      </w:r>
      <w:r>
        <w:rPr>
          <w:rFonts w:ascii="IRNazanin" w:hAnsi="IRNazanin" w:eastAsia="IRNazanin"/>
          <w:color w:val="111111"/>
          <w:sz w:val="28"/>
          <w:sz w:val="28"/>
          <w:szCs w:val="28"/>
          <w:rtl w:val="true"/>
          <w:lang w:bidi="fa-IR"/>
        </w:rPr>
        <w:t xml:space="preserve">بنجاسة أخری، لم تطهر بالخلّیّة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بعض المتفقّهین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الخمر إذا عصره یهودیّ مثلاً یطهر مع إنقلابه خلاًّ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بشیء، لأنّ نجاسة مباشرة الیهودیّ مباینة لنجاسة الخمر بالنوع، ولایلزم من زوال أحدالنجاستین بسبب خاصّ زوال النجاسة الأخری</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الخمر بانقلابه خلاًّ إجماعاً بشرط نجاستها بسبب التخمیر، فلو لاقاه نجاسة من خارج قبل إنقلابه کمباشرة الکافر له أو غیر ذلک لم‌یطهر بالإنقلاب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أن یقال بالتفصیل بین ما لو تنجّس العصیر حال کونه طاهراً، ثمّ غلی أو تخمّر، فحینئذ لا یطهر بالإستحالة و ما لو عولج بعد الغلیان و صیرورته خمراً حیث أنّ النجس لا یتنجّس، لکن لم أجد قائلاً به </w:t>
      </w:r>
      <w:r>
        <w:rPr>
          <w:rFonts w:eastAsia="IRNazanin" w:cs="IRNazanin"/>
          <w:color w:val="111111"/>
          <w:sz w:val="28"/>
          <w:szCs w:val="28"/>
          <w:rtl w:val="true"/>
          <w:lang w:bidi="fa-IR"/>
        </w:rPr>
        <w:t>.</w:t>
      </w:r>
    </w:p>
    <w:p>
      <w:pPr>
        <w:pStyle w:val="Heading6"/>
        <w:numPr>
          <w:ilvl w:val="5"/>
          <w:numId w:val="1"/>
        </w:numPr>
        <w:rPr/>
      </w:pPr>
      <w:bookmarkStart w:id="548" w:name="__RefHeading___Toc488641_2281741623"/>
      <w:bookmarkStart w:id="549" w:name="_Toc214"/>
      <w:bookmarkEnd w:id="548"/>
      <w:r>
        <w:rPr>
          <w:rtl w:val="true"/>
        </w:rPr>
        <w:t xml:space="preserve">الأمر الثانی </w:t>
      </w:r>
      <w:r>
        <w:rPr>
          <w:rtl w:val="true"/>
        </w:rPr>
        <w:t xml:space="preserve">: </w:t>
      </w:r>
      <w:r>
        <w:rPr>
          <w:rtl w:val="true"/>
        </w:rPr>
        <w:t>فی أنّ المراد من الغلیان الموجب للتحریم فی العصیر ما هو ؟</w:t>
      </w:r>
      <w:r>
        <w:rPr>
          <w:rtl w:val="true"/>
        </w:rPr>
        <w:t>!</w:t>
      </w:r>
      <w:bookmarkEnd w:id="54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الأمور الّتی ینبغی تتمیم المقام به، أنّ الغلیان الموجب للتحریم فی العصیر، هل هو الغلیان التامّ بمعنی صیرورة الأسفل أعلی، کما هو معنی القلب المفسّر للغلیان فی خبر حمّاد بن عثمان السابق، و قد فسّر الغلیان بها جمّ غفیر من الأصحاب بحیث یمکن دعوی الإجماع علیه ؛ أو هو الغلیان مطلقاً، و هو أوّل الأخذ بالغلیان بدون صیرورة الأسفل أعلی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لم أجد مصرِّحا به، و قد یقتضیه بعض الکلمات المعلّقة للحکم بالغلیان، و هو مقتضی إطلاق جملة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یقال إنّ الأوّل هو الأقوی، لتقیّد الإطلاقات من الأخبار و کلمات الأصحاب بما صرّحوا به من معنی الغلیان، و هو القلب فی الأخبار، و صیرورة الأسفل أعلی فی کلمات الأصحاب، و یؤیّده تعقیب الغلیان بالإشتداد، لکن یمکن أن یقال إنّ الغلیان مطلقاً لاینفکّ عن صیرورة الأسفل أعلی فی الجملة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مضافاً إلی إمکان منعه فی أوّل الأخذ والشروع فیه، أنّه خلاف الظاهر والمتبادر من إطلاق الأخبار و کلمات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قلبته قلباً من باب ضرب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حوّلته عن وجهه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قلبت الرّداء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حوّلته و جعلت أعلاه أسفله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یمکن أن یقال إنّه فی أوّل الأمر و إن لم یکن غلیاناً إلاّ أنّه نشیش، و فی موثّقة ذریح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أباعبداللّه علیه‌السلام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العصیر أو غلی حرم </w:t>
      </w:r>
      <w:r>
        <w:rPr>
          <w:rStyle w:val="FootnoteAnchor"/>
          <w:rtl w:val="true"/>
        </w:rPr>
        <w:footnoteReference w:id="1090"/>
      </w:r>
      <w:r>
        <w:rPr>
          <w:rFonts w:ascii="IRNazanin" w:hAnsi="IRNazanin" w:eastAsia="IRNazanin"/>
          <w:color w:val="111111"/>
          <w:sz w:val="28"/>
          <w:sz w:val="28"/>
          <w:szCs w:val="28"/>
          <w:rtl w:val="true"/>
          <w:lang w:bidi="fa-IR"/>
        </w:rPr>
        <w:t xml:space="preserve">، بناء علی کون النشیش هو أوّل الغلیان بالمعنی المذکور، أی صیرورة الأسفل أعلی و مبدأ ظهوره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الفائق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نشّ فلاتشربه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تنش، إذا أخذت فیالغلیان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یدلّ علیه جملة من کلماتهم ؛ 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عصیر العنب، فلا بأس بشربه ما لم یلحقه نشیش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القول فیما ینبذ من الثمار فی الماء أو أعتصر من الأجسام من الأعصار فی جواز شربه ما لم یتغیّر، فإن تغیّر بالنشیش لم یشرب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الفقیه والمقنع و فقه الرضا علیه‌السلام أیضا دلالة علیه کما أشرنا إلیه، فإنّ فی الأوّلین قال أبی فی رسالته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أصل الخمر من الکرم إذا أصابته النار أو غلی من غیر أن تمسّه النار فیصیر أسفله أعلاه فهو خمر، فلا یحلّ شربه إلاّ أن یذهب ثلثاه و یبقی ثلثه، فإن نشّ من غیر أن تمسّه النار فدعه حتّی یصیر خلاًّ من ذاته من غیر أن تلقی فیه شیئا، فإذا صار خلاًّ من ذاته حلّ أکله، فإن تغیّر بعد ذلک وصار خمراً، فلا بأس أن تلقی فیه ملحاً أو غیره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الأخیر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أصل الخمر من الکرم إذا أصابته النار أو غلی من غیر أن تصیبه النار فهو خمر، و لایحلّ شربه إلاّ أن یذهب ثلثاه علی النار و یبقی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نشّ من غیر أن تصیبه النار، فدعه حتّی یصیر خلاًّ من ذاته من غیر أن یلقی فیه شیء ، فإن تغیّر بعد ذلک و صار خمراً ، فلا بأس أن تطرح فیه ملحاً أو غیره حتّی یتحوّل خلاًّ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لکن یمکن أن یقال إنّ النشیش إنّما هو عین الغلیان، أو لازمه و هو صوت الغلیان، أو مرتبة بعد الغلیان </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یدلّ علی الأوّل ما فی المحیط،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 والنشیش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الماء و غیره إذا غلی، و نشّ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ینش نشیشاً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أخذ ماؤه فی النضوب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ما فی النهایة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النبیذ إذا نشّ، فلا تشرب أی إذا غلی، یقال نشت الخمر تنش نشیشاً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یقال سبخة نشاشة، و هو ما یظهر من ماء السباخ فینشّ فیها حتّی یعود ملحاً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یدلّ علی الثانی ما فی القاموس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الماء و غیره إذا غلی</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النشیشة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السلخ فی سرعة، و صوت غلیان القدر، کالنشیش والدفع، والتحریک شدیداً </w:t>
      </w:r>
      <w:r>
        <w:rPr>
          <w:rStyle w:val="FootnoteAnchor"/>
          <w:rtl w:val="true"/>
        </w:rPr>
        <w:footnoteReference w:id="10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المصباح المنیر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النشیش صوت غلیان الماء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النشیش صوت الماء و غیره إذا غلی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علی الثالث بعض إستعمالات هذه المادّة ؛ قال فی المحیط ما تقدّم منه فی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 الغدیر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ماؤه فی النضوب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 الغدیر ینشّ نشیشا، أخذ ماؤه فی النضوب </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ذکر من معانی النشیشة نقص ما فی الوعاء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والنضوب کما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والماء نضوباً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نضبت الناقة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تنضیباً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لبنها و بطؤ درتها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ذلک النَش بالفتح، فإنّ المعنی الأوّل لدی أهل اللغة له نصف الأوقیة، و کان الأوقیة عندهم أربعون درهماً ؛ و فی المصباح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 الدرهم والرغیف نصفه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علی کلّ حال، فهذا الخبر أی خبر ذریح، لا یثبت به حکم لکثرة الإحتمالات فی معنی النشیش فیه، و إن کان الأظهر کونه بمعنی الغلیان لا الصوت، لأنّ فاعل نشّ العصیر و إن کان الصوت ملازماً للغلیان غالباً، مع إحتمال کون النشّ فیما إذا غلی بنفسه الغلیان فیما إذا کان بالنار کما ربما قیل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أنّ فی البحار نسبة الواو بدل أو إلی نسخ التهذیب </w:t>
      </w:r>
      <w:r>
        <w:rPr>
          <w:rStyle w:val="FootnoteAnchor"/>
          <w:rtl w:val="true"/>
        </w:rPr>
        <w:footnoteReference w:id="1107"/>
      </w:r>
      <w:r>
        <w:rPr>
          <w:rFonts w:ascii="IRNazanin" w:hAnsi="IRNazanin" w:eastAsia="IRNazanin"/>
          <w:color w:val="111111"/>
          <w:sz w:val="28"/>
          <w:sz w:val="28"/>
          <w:szCs w:val="28"/>
          <w:rtl w:val="true"/>
          <w:lang w:bidi="fa-IR"/>
        </w:rPr>
        <w:t xml:space="preserve">، و إن کان ما عندی فی نسخة معتبرة من التهذیب 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فی الکافی </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الحرمة والنجاسة إنّما تثبتان بالغلیان التامّ، و هو صیرورة الأسفل أعلی الّذی فسّر بالقلب فی خبر حمّاد بن عیسی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مع ذلک فالقلب مع ذلک فی تشویش و قلب، فإنّ القلب و إن کان قد فسّر به الغلیان إلاّ أنّ مبدأ الغلیان داخل فی الغلیان کمنتهاه، نعم لا عبرة بمقدّماته </w:t>
      </w:r>
      <w:r>
        <w:rPr>
          <w:rFonts w:eastAsia="IRNazanin" w:cs="IRNazanin"/>
          <w:color w:val="111111"/>
          <w:sz w:val="28"/>
          <w:szCs w:val="28"/>
          <w:rtl w:val="true"/>
          <w:lang w:bidi="fa-IR"/>
        </w:rPr>
        <w:t xml:space="preserve">. </w:t>
      </w:r>
      <w:bookmarkStart w:id="550" w:name="pg3696_43658"/>
    </w:p>
    <w:p>
      <w:pPr>
        <w:pStyle w:val="Heading6"/>
        <w:numPr>
          <w:ilvl w:val="5"/>
          <w:numId w:val="1"/>
        </w:numPr>
        <w:rPr/>
      </w:pPr>
      <w:bookmarkStart w:id="551" w:name="__RefHeading___Toc488643_2281741623"/>
      <w:bookmarkStart w:id="552" w:name="_Toc215"/>
      <w:bookmarkEnd w:id="550"/>
      <w:bookmarkEnd w:id="551"/>
      <w:r>
        <w:rPr>
          <w:rtl w:val="true"/>
        </w:rPr>
        <w:t>المسألة الثانیة</w:t>
      </w:r>
      <w:bookmarkEnd w:id="552"/>
    </w:p>
    <w:p>
      <w:pPr>
        <w:pStyle w:val="Heading6"/>
        <w:numPr>
          <w:ilvl w:val="5"/>
          <w:numId w:val="1"/>
        </w:numPr>
        <w:rPr/>
      </w:pPr>
      <w:bookmarkStart w:id="553" w:name="__RefHeading___Toc488645_2281741623"/>
      <w:bookmarkStart w:id="554" w:name="_Toc216"/>
      <w:bookmarkEnd w:id="553"/>
      <w:r>
        <w:rPr>
          <w:rtl w:val="true"/>
        </w:rPr>
        <w:t>اشارة</w:t>
      </w:r>
      <w:bookmarkEnd w:id="554"/>
    </w:p>
    <w:p>
      <w:pPr>
        <w:pStyle w:val="BookText"/>
        <w:rPr/>
      </w:pPr>
      <w:r>
        <w:rPr>
          <w:rFonts w:ascii="IRNazanin" w:hAnsi="IRNazanin" w:eastAsia="IRNazanin"/>
          <w:color w:val="111111"/>
          <w:sz w:val="28"/>
          <w:sz w:val="28"/>
          <w:szCs w:val="28"/>
          <w:rtl w:val="true"/>
          <w:lang w:bidi="fa-IR"/>
        </w:rPr>
        <w:t xml:space="preserve">إنّه إذا غلی العصیر بالنار فلا ریب فی حرمته حینئذ، بل علیه الإجماع محقّقة ومحکیّه بل لا خلاف فیه </w:t>
      </w:r>
      <w:r>
        <w:rPr>
          <w:rFonts w:eastAsia="IRNazanin" w:cs="IRNazanin"/>
          <w:color w:val="111111"/>
          <w:sz w:val="28"/>
          <w:szCs w:val="28"/>
          <w:rtl w:val="true"/>
          <w:lang w:bidi="fa-IR"/>
        </w:rPr>
        <w:t>.</w:t>
      </w:r>
    </w:p>
    <w:p>
      <w:pPr>
        <w:pStyle w:val="Heading6"/>
        <w:numPr>
          <w:ilvl w:val="5"/>
          <w:numId w:val="1"/>
        </w:numPr>
        <w:rPr/>
      </w:pPr>
      <w:bookmarkStart w:id="555" w:name="__RefHeading___Toc488647_2281741623"/>
      <w:bookmarkStart w:id="556" w:name="_Toc217"/>
      <w:bookmarkEnd w:id="555"/>
      <w:r>
        <w:rPr>
          <w:rtl w:val="true"/>
        </w:rPr>
        <w:t>انّه إذا غلی العصیر بالنار فلا ریب فی حرمته</w:t>
      </w:r>
      <w:bookmarkEnd w:id="556"/>
    </w:p>
    <w:p>
      <w:pPr>
        <w:pStyle w:val="BookText"/>
        <w:rPr/>
      </w:pPr>
      <w:r>
        <w:rPr>
          <w:rFonts w:ascii="IRNazanin" w:hAnsi="IRNazanin" w:eastAsia="IRNazanin"/>
          <w:color w:val="111111"/>
          <w:sz w:val="28"/>
          <w:sz w:val="28"/>
          <w:szCs w:val="28"/>
          <w:rtl w:val="true"/>
          <w:lang w:bidi="fa-IR"/>
        </w:rPr>
        <w:t xml:space="preserve">و یدلّ علیه إطلاق أخبار الغلیان، و إن کانت هی أظهر فی الغلیان بالنفس، والصحیح المرویّ فی الکافی والتهذیب، عن عبداللّه بن سنان، عن أبیعبداللّه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عصیر أصابته النار فهو حرام حتّی یذهب ثلثاه و یبقی ثلثه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والخبر المرویّ فیهما، عن محمّد بن الهیثم، عن رجل، عن أبی عبداللّه علیه‌السلام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العصیر یطبخ بالنار حتّی یغلی من ساعته یشربه صاحبه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تغیّر عن حاله و غلی فلا خیر فیه حتّی یذهب ثلثاه و یبقی ثلثه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7" w:name="__RefHeading___Toc488649_2281741623"/>
      <w:bookmarkStart w:id="558" w:name="_Toc218"/>
      <w:bookmarkEnd w:id="557"/>
      <w:r>
        <w:rPr>
          <w:rtl w:val="true"/>
        </w:rPr>
        <w:t xml:space="preserve">مطالب </w:t>
      </w:r>
      <w:r>
        <w:rPr>
          <w:rtl w:val="true"/>
        </w:rPr>
        <w:t>:</w:t>
      </w:r>
      <w:bookmarkEnd w:id="558"/>
    </w:p>
    <w:p>
      <w:pPr>
        <w:pStyle w:val="Heading6"/>
        <w:numPr>
          <w:ilvl w:val="5"/>
          <w:numId w:val="1"/>
        </w:numPr>
        <w:rPr/>
      </w:pPr>
      <w:bookmarkStart w:id="559" w:name="__RefHeading___Toc488651_2281741623"/>
      <w:bookmarkStart w:id="560" w:name="_Toc219"/>
      <w:bookmarkEnd w:id="559"/>
      <w:r>
        <w:rPr>
          <w:rtl w:val="true"/>
        </w:rPr>
        <w:t>اشارة</w:t>
      </w:r>
      <w:bookmarkEnd w:id="560"/>
    </w:p>
    <w:p>
      <w:pPr>
        <w:pStyle w:val="BookText"/>
        <w:rPr/>
      </w:pPr>
      <w:r>
        <w:rPr>
          <w:rFonts w:ascii="IRNazanin" w:hAnsi="IRNazanin" w:eastAsia="IRNazanin"/>
          <w:color w:val="111111"/>
          <w:sz w:val="28"/>
          <w:sz w:val="28"/>
          <w:szCs w:val="28"/>
          <w:rtl w:val="true"/>
          <w:lang w:bidi="fa-IR"/>
        </w:rPr>
        <w:t xml:space="preserve">إلی غیر ذلک من الأخبار و ستأتی منها جملة، و تنقیح الحال فیه یحتاج إلی بیان مطالب </w:t>
      </w:r>
      <w:r>
        <w:rPr>
          <w:rFonts w:eastAsia="IRNazanin" w:cs="IRNazanin"/>
          <w:color w:val="111111"/>
          <w:sz w:val="28"/>
          <w:szCs w:val="28"/>
          <w:rtl w:val="true"/>
          <w:lang w:bidi="fa-IR"/>
        </w:rPr>
        <w:t>:</w:t>
      </w:r>
    </w:p>
    <w:p>
      <w:pPr>
        <w:pStyle w:val="Heading6"/>
        <w:numPr>
          <w:ilvl w:val="5"/>
          <w:numId w:val="1"/>
        </w:numPr>
        <w:rPr/>
      </w:pPr>
      <w:bookmarkStart w:id="561" w:name="__RefHeading___Toc488653_2281741623"/>
      <w:bookmarkStart w:id="562" w:name="_Toc220"/>
      <w:bookmarkEnd w:id="561"/>
      <w:r>
        <w:rPr>
          <w:rtl w:val="true"/>
        </w:rPr>
        <w:t xml:space="preserve">المطلب الأوّل </w:t>
      </w:r>
      <w:r>
        <w:rPr>
          <w:rtl w:val="true"/>
        </w:rPr>
        <w:t xml:space="preserve">: </w:t>
      </w:r>
      <w:r>
        <w:rPr>
          <w:rtl w:val="true"/>
        </w:rPr>
        <w:t>إنّ غایة حرمته ما لم یذهب ثلثاه بالنار</w:t>
      </w:r>
      <w:bookmarkEnd w:id="562"/>
    </w:p>
    <w:p>
      <w:pPr>
        <w:pStyle w:val="BookText"/>
        <w:rPr/>
      </w:pPr>
      <w:r>
        <w:rPr>
          <w:rFonts w:ascii="IRNazanin" w:hAnsi="IRNazanin" w:eastAsia="IRNazanin"/>
          <w:color w:val="111111"/>
          <w:sz w:val="28"/>
          <w:sz w:val="28"/>
          <w:szCs w:val="28"/>
          <w:rtl w:val="true"/>
          <w:lang w:bidi="fa-IR"/>
        </w:rPr>
        <w:t>المطلب الأوّل</w:t>
      </w:r>
    </w:p>
    <w:p>
      <w:pPr>
        <w:pStyle w:val="BookText"/>
        <w:rPr/>
      </w:pPr>
      <w:r>
        <w:rPr>
          <w:rFonts w:ascii="IRNazanin" w:hAnsi="IRNazanin" w:eastAsia="IRNazanin"/>
          <w:color w:val="111111"/>
          <w:sz w:val="28"/>
          <w:sz w:val="28"/>
          <w:szCs w:val="28"/>
          <w:rtl w:val="true"/>
          <w:lang w:bidi="fa-IR"/>
        </w:rPr>
        <w:t xml:space="preserve">إنّ غایة حرمته ما لم یذهب ثلثاه بالنار، فهو قبل ذهاب الثلثین منه حرام فإذا ذهب ثلثاه بالنار حلّ، و هذا أیضا ممّا لا خلاف فیه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دلالة الأخبار السابقة و جملة من الأخبار الأخر کالصحیح المرویّ فی الکافی، فی باب الطلاء،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إنّ العصیر إذا طبخ حتّی یذهب ثلثاه و یبقی ثلثه فهو حلال </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والصحیح المرویّ فیه، عن إبن أبی 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علی الثلث فهو حرام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فیه، عن إبن أبی 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علی الثلث أوقیة فهو حرام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صحّحناه مع أنّ الراوی عن إبن أبی یعفور منصور، و هو مشترک، لکن الظاهر أنّه منصور بن حازم بقرینة غیره من الأسانید،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رواه فی التهذیب، عن إبن أبی یعفور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علی الثلث أوقیة فهو حرام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لعلّه أسقط من قلمه الإمام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زاد علی الثلث أوقیة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یفید بمفهومه أنّه إذا کان زائداً دون اللاقیة فلا بأس به، لکنّ الظاهر أنّ المراد ذکر الحدّ الأقلّ، فإنّ الأوقیة سبعة مثاقیل، و هی ما یضرب به المثل فی القلّة، أو یکون المراد أنّ الأقلّ منها ممّا یذهب بالهواء أو التبرّد کما ستعرف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غیر ذلک من الأخبار الّتی ستأتی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الطِلآء بکسر الطاء المهملة و مدّ الألف ککتاب،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الطِلآء بالکسر والمدّ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الشراب المطبوخ من عصیر العنب، و هو الرُبّ، و أصله القطران</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الخاثر </w:t>
      </w:r>
      <w:r>
        <w:rPr>
          <w:rStyle w:val="FootnoteAnchor"/>
          <w:rtl w:val="true"/>
        </w:rPr>
        <w:footnoteReference w:id="1115"/>
      </w:r>
      <w:r>
        <w:rPr>
          <w:rFonts w:ascii="IRNazanin" w:hAnsi="IRNazanin" w:eastAsia="IRNazanin"/>
          <w:color w:val="111111"/>
          <w:sz w:val="28"/>
          <w:sz w:val="28"/>
          <w:szCs w:val="28"/>
          <w:rtl w:val="true"/>
          <w:lang w:bidi="fa-IR"/>
        </w:rPr>
        <w:t xml:space="preserve">الّذی تطلی به الإبل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الطلاء ککساء، ما طبخ من عصیر العنب حتّی ذهب ثلثاه و یبقی ثلثه و یسمّی بالثلث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الطلاء ما طبخ من عصیر العنب حتّی ذهب ثلثاه، و یسمّیه العجم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المیبختج، و بعض العرب یسمّی الخمر الطلاء و یرید بذلک تحسین إسمها لا أنّها الطلاء بعینها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هذان الکلامان یقتضی أنّ الطلاء ما طبخ علی الثلث ، و الأخبار تقتضی أن یکون الأعمّ کما هو مقتضی ما فی النهایة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جملة من أهل اللغة لم یذکر هذا المعنی من معانی الطلاء، بل قالوا أنّه القَطِرَان ؛ و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الطلاء ککساء القطران و کلّ ما یطلّی به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فی المصباح </w:t>
      </w:r>
      <w:r>
        <w:rPr>
          <w:rStyle w:val="FootnoteAnchor"/>
          <w:rtl w:val="true"/>
        </w:rPr>
        <w:footnoteReference w:id="1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القطران هو بالفتح والکسر عصارة الابهل والأرز و نحوهما </w:t>
      </w:r>
      <w:r>
        <w:rPr>
          <w:rStyle w:val="FootnoteAnchor"/>
          <w:rtl w:val="true"/>
        </w:rPr>
        <w:footnoteReference w:id="1121"/>
      </w:r>
      <w:r>
        <w:rPr>
          <w:rFonts w:ascii="IRNazanin" w:hAnsi="IRNazanin" w:eastAsia="IRNazanin"/>
          <w:color w:val="111111"/>
          <w:sz w:val="28"/>
          <w:sz w:val="28"/>
          <w:szCs w:val="28"/>
          <w:rtl w:val="true"/>
          <w:lang w:bidi="fa-IR"/>
        </w:rPr>
        <w:t xml:space="preserve">، والأبهل شجر کبیر ورقه کالطرفاء، و ثمره کالنبق </w:t>
      </w:r>
      <w:r>
        <w:rPr>
          <w:rStyle w:val="FootnoteAnchor"/>
          <w:rtl w:val="true"/>
        </w:rPr>
        <w:footnoteReference w:id="1122"/>
      </w:r>
      <w:r>
        <w:rPr>
          <w:rFonts w:ascii="IRNazanin" w:hAnsi="IRNazanin" w:eastAsia="IRNazanin"/>
          <w:color w:val="111111"/>
          <w:sz w:val="28"/>
          <w:sz w:val="28"/>
          <w:szCs w:val="28"/>
          <w:rtl w:val="true"/>
          <w:lang w:bidi="fa-IR"/>
        </w:rPr>
        <w:t xml:space="preserve">، والأرز شجر الصنوبر أو العرعر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القَطِرَان ما یتحلّل من شجر الأبهل و یطلی به الإبل و غیرها، </w:t>
      </w:r>
      <w:bookmarkStart w:id="563" w:name="pg3696_43664"/>
    </w:p>
    <w:p>
      <w:pPr>
        <w:pStyle w:val="BookText"/>
        <w:rPr/>
      </w:pPr>
      <w:bookmarkEnd w:id="563"/>
      <w:r>
        <w:rPr>
          <w:rFonts w:ascii="IRNazanin" w:hAnsi="IRNazanin" w:eastAsia="IRNazanin"/>
          <w:color w:val="111111"/>
          <w:sz w:val="28"/>
          <w:sz w:val="28"/>
          <w:szCs w:val="28"/>
          <w:rtl w:val="true"/>
          <w:lang w:bidi="fa-IR"/>
        </w:rPr>
        <w:t xml:space="preserve">و فیه لغتان فتح القاف و کسر الطاء و بها قرأ السبعة 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سرابیلهم من قطران </w:t>
      </w:r>
      <w:r>
        <w:rPr>
          <w:rFonts w:eastAsia="IRNazanin" w:cs="IRNazanin"/>
          <w:color w:val="111111"/>
          <w:sz w:val="28"/>
          <w:szCs w:val="28"/>
          <w:rtl w:val="true"/>
          <w:lang w:bidi="fa-IR"/>
        </w:rPr>
        <w:t xml:space="preserve">» </w:t>
      </w:r>
      <w:r>
        <w:rPr>
          <w:rStyle w:val="FootnoteAnchor"/>
          <w:rtl w:val="true"/>
        </w:rPr>
        <w:footnoteReference w:id="1124"/>
      </w:r>
      <w:r>
        <w:rPr>
          <w:rFonts w:ascii="IRNazanin" w:hAnsi="IRNazanin" w:eastAsia="IRNazanin"/>
          <w:color w:val="111111"/>
          <w:sz w:val="28"/>
          <w:sz w:val="28"/>
          <w:szCs w:val="28"/>
          <w:rtl w:val="true"/>
          <w:lang w:bidi="fa-IR"/>
        </w:rPr>
        <w:t xml:space="preserve">، والثانیة کسر القاف و سکون الطاء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وزان عمران </w:t>
      </w:r>
      <w:r>
        <w:rPr>
          <w:rFonts w:eastAsia="IRNazanin" w:cs="IRNazanin"/>
          <w:color w:val="111111"/>
          <w:sz w:val="28"/>
          <w:szCs w:val="28"/>
          <w:rtl w:val="true"/>
          <w:lang w:bidi="fa-IR"/>
        </w:rPr>
        <w:t xml:space="preserve">] </w:t>
      </w:r>
      <w:r>
        <w:rPr>
          <w:rStyle w:val="FootnoteAnchor"/>
          <w:rtl w:val="true"/>
        </w:rPr>
        <w:footnoteReference w:id="1125"/>
      </w:r>
      <w:r>
        <w:rPr>
          <w:rFonts w:ascii="IRNazanin" w:hAnsi="IRNazanin" w:eastAsia="IRNazanin"/>
          <w:color w:val="111111"/>
          <w:sz w:val="28"/>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القَطِران هو بفتح القاف و کسر الطاء الّذی یطلی به الإبل الّتی فیها الجرب، فیحرق بحدته و حرارته الجرب یتّخذ من حمل شجر العرعر فیطبخ بها ثمّ یهنأ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سکون الطاء و فتح القاف و کسرها لغة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أوعد اللّه المشرکین أن یعذّبهم به لمعان 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للذعة و حرقته، و إشتعال النار فیه، و إسراعها فی المطلی به، و سواد لونه بحیث تشمئزّ عنه النفوس من نتن رایحته، فتطلی به جلودهم حتّی یعود طلاؤه لهم کالسرابیل، لأنّهم کانوا یستکبرون عن عبادته فألبسهم بذلک الخزی والهوان، و قری‌ء من قطران أی نحاس قد إنتهی حرّه و یقال الحدید المذاب </w:t>
      </w:r>
      <w:r>
        <w:rPr>
          <w:rStyle w:val="FootnoteAnchor"/>
          <w:rtl w:val="true"/>
        </w:rPr>
        <w:footnoteReference w:id="112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Heading6"/>
        <w:numPr>
          <w:ilvl w:val="5"/>
          <w:numId w:val="1"/>
        </w:numPr>
        <w:rPr/>
      </w:pPr>
      <w:bookmarkStart w:id="564" w:name="__RefHeading___Toc488655_2281741623"/>
      <w:bookmarkStart w:id="565" w:name="_Toc221"/>
      <w:bookmarkEnd w:id="564"/>
      <w:r>
        <w:rPr>
          <w:rtl w:val="true"/>
        </w:rPr>
        <w:t xml:space="preserve">المطلب الثانی </w:t>
      </w:r>
      <w:r>
        <w:rPr>
          <w:rtl w:val="true"/>
        </w:rPr>
        <w:t xml:space="preserve">: </w:t>
      </w:r>
      <w:r>
        <w:rPr>
          <w:rtl w:val="true"/>
        </w:rPr>
        <w:t>انّ ذهاب الثلثین انّما یعرف بأمور</w:t>
      </w:r>
      <w:bookmarkEnd w:id="565"/>
    </w:p>
    <w:p>
      <w:pPr>
        <w:pStyle w:val="Heading6"/>
        <w:numPr>
          <w:ilvl w:val="5"/>
          <w:numId w:val="1"/>
        </w:numPr>
        <w:rPr/>
      </w:pPr>
      <w:bookmarkStart w:id="566" w:name="__RefHeading___Toc488657_2281741623"/>
      <w:bookmarkStart w:id="567" w:name="_Toc222"/>
      <w:bookmarkEnd w:id="566"/>
      <w:r>
        <w:rPr>
          <w:rtl w:val="true"/>
        </w:rPr>
        <w:t>اشارة</w:t>
      </w:r>
      <w:bookmarkEnd w:id="567"/>
    </w:p>
    <w:p>
      <w:pPr>
        <w:pStyle w:val="BookText"/>
        <w:rPr/>
      </w:pPr>
      <w:r>
        <w:rPr>
          <w:rFonts w:ascii="IRNazanin" w:hAnsi="IRNazanin" w:eastAsia="IRNazanin"/>
          <w:color w:val="111111"/>
          <w:sz w:val="28"/>
          <w:sz w:val="28"/>
          <w:szCs w:val="28"/>
          <w:rtl w:val="true"/>
          <w:lang w:bidi="fa-IR"/>
        </w:rPr>
        <w:t>المطلب الثانی</w:t>
      </w:r>
    </w:p>
    <w:p>
      <w:pPr>
        <w:pStyle w:val="BookText"/>
        <w:rPr/>
      </w:pPr>
      <w:r>
        <w:rPr>
          <w:rFonts w:ascii="IRNazanin" w:hAnsi="IRNazanin" w:eastAsia="IRNazanin"/>
          <w:color w:val="111111"/>
          <w:sz w:val="28"/>
          <w:sz w:val="28"/>
          <w:szCs w:val="28"/>
          <w:rtl w:val="true"/>
          <w:lang w:bidi="fa-IR"/>
        </w:rPr>
        <w:t xml:space="preserve">إنّ ذهاب الثلثین إنّما یعرف تارة بالإختبار، و تارة بإخبار صاحب العصر المطبوخ، و تارة بصیرورته حلواً یخضب الإناء و یعلّق به، و تارة بصیرورته دبسا، و قد یجعل الأخیران موجبین للحکم بالحلّیة بنفسهما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أشار إلی ما عدا الآخر الشیخ فی النهایة وجعلها کاشفة عن ذهاب الثلثین،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غلی العصیر علی النار لم یجز شربه إلی أن یذهب ثلثاه و یبقی ثلثه، و حدّ </w:t>
      </w:r>
      <w:bookmarkStart w:id="568" w:name="pg3696_43666"/>
    </w:p>
    <w:p>
      <w:pPr>
        <w:pStyle w:val="BookText"/>
        <w:rPr/>
      </w:pPr>
      <w:bookmarkEnd w:id="568"/>
      <w:r>
        <w:rPr>
          <w:rFonts w:ascii="IRNazanin" w:hAnsi="IRNazanin" w:eastAsia="IRNazanin"/>
          <w:color w:val="111111"/>
          <w:sz w:val="28"/>
          <w:sz w:val="28"/>
          <w:szCs w:val="28"/>
          <w:rtl w:val="true"/>
          <w:lang w:bidi="fa-IR"/>
        </w:rPr>
        <w:t xml:space="preserve">ذلک هو أن یراه صار حلواً، أو یخضب الإناء و یعلق به، أو یذهب من کلّ درهم ثلاثة دوانیق و نصف ، و هو علی النار ، ثمّ ینزل به ، و یترک حتّی یبرد ، فإذا برد فقد ذهب ثلثاه و بقی ثلثه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69" w:name="__RefHeading___Toc488659_2281741623"/>
      <w:bookmarkStart w:id="570" w:name="_Toc223"/>
      <w:bookmarkEnd w:id="569"/>
      <w:r>
        <w:rPr>
          <w:rtl w:val="true"/>
        </w:rPr>
        <w:t xml:space="preserve">الأمر الأوّل </w:t>
      </w:r>
      <w:r>
        <w:rPr>
          <w:rtl w:val="true"/>
        </w:rPr>
        <w:t xml:space="preserve">: </w:t>
      </w:r>
      <w:r>
        <w:rPr>
          <w:rtl w:val="true"/>
        </w:rPr>
        <w:t>الإختبار</w:t>
      </w:r>
      <w:bookmarkEnd w:id="570"/>
    </w:p>
    <w:p>
      <w:pPr>
        <w:pStyle w:val="Heading6"/>
        <w:numPr>
          <w:ilvl w:val="5"/>
          <w:numId w:val="1"/>
        </w:numPr>
        <w:rPr/>
      </w:pPr>
      <w:bookmarkStart w:id="571" w:name="__RefHeading___Toc488661_2281741623"/>
      <w:bookmarkStart w:id="572" w:name="_Toc224"/>
      <w:bookmarkEnd w:id="571"/>
      <w:r>
        <w:rPr>
          <w:rtl w:val="true"/>
        </w:rPr>
        <w:t>اشارة</w:t>
      </w:r>
      <w:bookmarkEnd w:id="572"/>
    </w:p>
    <w:p>
      <w:pPr>
        <w:pStyle w:val="BookText"/>
        <w:rPr/>
      </w:pPr>
      <w:r>
        <w:rPr>
          <w:rFonts w:ascii="IRNazanin" w:hAnsi="IRNazanin" w:eastAsia="IRNazanin"/>
          <w:color w:val="111111"/>
          <w:sz w:val="28"/>
          <w:sz w:val="28"/>
          <w:szCs w:val="28"/>
          <w:rtl w:val="true"/>
          <w:lang w:bidi="fa-IR"/>
        </w:rPr>
        <w:t xml:space="preserve">أمّا الأوّل و هو الإختبار، فلا یحتاج إلی دلیل، و هو إنّما یعتبر إذا تحقّق وعلم ذهاب الثلثین بأیّ ما یتحقّق به، و قد یختبر بذهاب أربعة دوانیق من ستّة دوانیق، لکن فی عبارة النهایة الإکتفاء بذهاب ثلاثة دوانیق ونصف من کلّ درهم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ما رواه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إذا طبخ حتّی یذهب منه ثلاثة دوانیق و نصف ثمّ یترک حتّی یبرد فقد ذهب ثلثاه و بقی ثلثه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لعلّ ذلک لذهاب نصف الدانق الباقی بعد الوضع والترک حتّی یبرد، فإنّ تحقّق ذلک و علم به فهو، و إلاّ فهو مشکل، فإنّ الخبر ضعیف جدّا لاشتمال سنده علی عدّة من الضعفاء </w:t>
      </w:r>
      <w:r>
        <w:rPr>
          <w:rFonts w:eastAsia="IRNazanin" w:cs="IRNazanin"/>
          <w:color w:val="111111"/>
          <w:sz w:val="28"/>
          <w:szCs w:val="28"/>
          <w:rtl w:val="true"/>
          <w:lang w:bidi="fa-IR"/>
        </w:rPr>
        <w:t>.</w:t>
      </w:r>
    </w:p>
    <w:p>
      <w:pPr>
        <w:pStyle w:val="Heading6"/>
        <w:numPr>
          <w:ilvl w:val="5"/>
          <w:numId w:val="1"/>
        </w:numPr>
        <w:rPr/>
      </w:pPr>
      <w:bookmarkStart w:id="573" w:name="__RefHeading___Toc488663_2281741623"/>
      <w:bookmarkStart w:id="574" w:name="_Toc225"/>
      <w:bookmarkEnd w:id="573"/>
      <w:r>
        <w:rPr>
          <w:rtl w:val="true"/>
        </w:rPr>
        <w:t>ثمّ إنّ هذا الإختبار هل یکون بحسب الکیل أو بحسب الوزن ؟</w:t>
      </w:r>
      <w:bookmarkEnd w:id="574"/>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بعض الأخبار إعتبار الکیل، و ظاهر بعض الأصحاب کالمحقّق الأردبیلیّ رحمه‌الله إعتبار الوزن، و لم یتفطّن الأکثر للتفاوت بینهما، و لذا لم‌یتعرّضوا لذلک و معلوم أنّ نسبة الذاهب إلی الباقی فی العصیر المذکور مختلفة بحسب الإعتبارین، لتقدّم ذهاب جزء مفروض منه بحسب الکیل علی مثل هذا الجزء بحسب الوزن، و ذلک ظاهر بالتجربة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یمکن أن یستدلّ علیه أیضا بما تفطّن به بعض الأفاضل بأنّ نقصان الکیل والوزن هناک مسبّب عن إنقلاب بعض أجزائه إلی الهواء، و معلوم أنّ المنقلب إلی الهواء من تلک الأجزاء هو الألطف فالألطف و إنّ اللطیف أقلّ وزنا و أکثر حجما من الکثیف، فما ینقص من وزنه بالإنقلاب المذکور یلزم أن یکون أقلّ ممّا ینقص من کیله به دائما، علی أنّ نقصان الحجم قد یکون بسبب آخر أیضا کمداخلة بعض الأجزاء فی قوام بعض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دعوی أنّ تلک المداخلة لا یمکن فیما نحن فیه بناء علی أنّ الحرارة موجبة للتخلخل الّذی هو ضدّها، ساقطةٌ بجواز وقوعها من جهة ما یستلزمه من إنفتاح السُدَدِ المانعة عنها ، و حصول الفرج المعدّة لها ، مع ما یمکن هناک من أن یکون فی بعض الأجزاء قوّة نفوذ، و فی بعضها قوّة جذب و قبض، فیدخل بتینک القوّتین وزوال المانع و حصول المعدّ ما هو من قبیل الأوّل فیما هو من قبیل الثانی، و یستحکم فیه ، کما قیل فی سبب حصول السواد من ممازجة الزاج و العقص فتأمّل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تبیّن أنّ ذهاب الثلثین فی العصیر المذکور من حیث الکیل والحجم یتحقّق قبل ذهابهما فیه من حیث الوزن، فیحتمل هیهنا أن یکون المعیار للثلث والثلثین ما هو بحسب الکیل، لکونه معروفاً بین الناس فی أمثال ذلک، و لسهولته علیهم من حیث إمکان هذا النوع من التقدیر لهم بالقصعة والقدر و أمثالهما من الأدوات الدائرة، واستغنائه عن میزان صحیح أو قبّان مجرّب لایطمئنّ به إلاّ بعد تقویمات و تدقیقات لا یهتدی إلیها أکثر الناس، و لیتیسر تخمینهم الکیلیّة بین الذاهب والباقی بحسّ البصر أیضا بدون إحتیاج إلی آلة أصلاً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یدلّ علیه روایة عقبة بن خالد المتقدّمة حیث اعتبر علیه‌السلام علیه فیه الأرطال، والرطل یطلق غالباً علی الکیل لا الوزن کما حقّقناه فی رسالة الأوزان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یدلّ علیه الروایات الثلاث المتقدّمة فی کیفیّة الشراب الحلال، فإنّها صریحة فی أنّ المعتبر فی الثلث والثلثین الکیل دون الوزن، و إن أمکن أن یکون الذهاب بحسب الکیل کافیاً فی ترتّب الفوائد الّتی أفادها علیه‌السلام لهذا الدواء، بناء علی ما احتملناه بل إخترناه أنّ ذهاب الثلثین هاهنا لیس لتحقّق الحلّیة بل لترتّب الفوائد الطبّیّة، فإنّ الأطبّاء فی کثیر من الأدویة المرکّبة یذکرون ذلک و غرضهم حصول مزاج ذلک المرکّب و عدم إسراع الفساد إلیه و ترتّب کمال الفوائد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علی مذهب من یختار أنّ ذهاب الثلثین هنا للحلّیة هی صریحة فی ذلک، لکن علی ما اخترناه أیضا فیه إیماء إلیه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أن یقال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ذکر الشارع ذهاب الثلثین و لم یصرّح بالمراد، فمتی صدق علیه عرفاً أنّه ذهب ثلثاه یتحقّق الحلّ، و لا ریب فی أنّه یصدق علیه عرفاً أنّه ذهب ثلثاه، و فیه نظر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أن یکون المعیار هیهنا هو التقدیر الوزنی، و ما فی حکمه ممّا یطابقه و ذلک لأنّ حکمهم علیهم‌السلام فیما روی عنهم فی هذا الباب بترتّب الحلّیة علی ذهاب ثلثی العصیر و بقاء ثلثه، أو ما فی معناه من ذهاب اثنین منه و بقاء واحد، یدلّ علی وجوب تحقّق فناء هذا القدر منه بالطبخ ، فسواء أخذ هذا القدر بحسب الکیل أو بحسب الوزن لا یتحقّق هذا الفناء بالنسبة إلیه، مع بقاء الزائد علی الثلث بحسب الوزن فانّه مستلزم لامکان بقاء الزائد علیه بحسب الکیل أیضا لتوافقهما فی العصیر المذکور قبل الطبخ بلا شبهة، و إنّما اشتبهت حال الکیل بعده من جهة </w:t>
      </w:r>
      <w:bookmarkStart w:id="575" w:name="pg3696_43672"/>
    </w:p>
    <w:p>
      <w:pPr>
        <w:pStyle w:val="BookText"/>
        <w:rPr/>
      </w:pPr>
      <w:bookmarkEnd w:id="575"/>
      <w:r>
        <w:rPr>
          <w:rFonts w:ascii="IRNazanin" w:hAnsi="IRNazanin" w:eastAsia="IRNazanin"/>
          <w:color w:val="111111"/>
          <w:sz w:val="28"/>
          <w:sz w:val="28"/>
          <w:szCs w:val="28"/>
          <w:rtl w:val="true"/>
          <w:lang w:bidi="fa-IR"/>
        </w:rPr>
        <w:t xml:space="preserve">حصول القوام و احتمال مداخلة بعض الأجزاء فی بعض، فلا یعرف بمحض الکیل فی هذا الوقت قدر ثلثی العصیر أو ثلثه و إنّما یعرف بحسب الوزن فیه ذلک لعدم حصول الإشتباه فی حاله من جهة أصلاً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6" w:name="__RefHeading___Toc488665_2281741623"/>
      <w:bookmarkStart w:id="577" w:name="_Toc226"/>
      <w:bookmarkEnd w:id="576"/>
      <w:r>
        <w:rPr>
          <w:rtl w:val="true"/>
        </w:rPr>
        <w:t xml:space="preserve">الأمر الثانی </w:t>
      </w:r>
      <w:r>
        <w:rPr>
          <w:rtl w:val="true"/>
        </w:rPr>
        <w:t xml:space="preserve">: </w:t>
      </w:r>
      <w:r>
        <w:rPr>
          <w:rtl w:val="true"/>
        </w:rPr>
        <w:t>إخبار صاحب العصر المطبوخ</w:t>
      </w:r>
      <w:bookmarkEnd w:id="577"/>
    </w:p>
    <w:p>
      <w:pPr>
        <w:pStyle w:val="Heading6"/>
        <w:numPr>
          <w:ilvl w:val="5"/>
          <w:numId w:val="1"/>
        </w:numPr>
        <w:rPr/>
      </w:pPr>
      <w:bookmarkStart w:id="578" w:name="__RefHeading___Toc488667_2281741623"/>
      <w:bookmarkStart w:id="579" w:name="_Toc227"/>
      <w:bookmarkEnd w:id="578"/>
      <w:r>
        <w:rPr>
          <w:rtl w:val="true"/>
        </w:rPr>
        <w:t xml:space="preserve">و هو علی ضربین </w:t>
      </w:r>
      <w:r>
        <w:rPr>
          <w:rtl w:val="true"/>
        </w:rPr>
        <w:t>:</w:t>
      </w:r>
      <w:bookmarkEnd w:id="579"/>
    </w:p>
    <w:p>
      <w:pPr>
        <w:pStyle w:val="Heading6"/>
        <w:numPr>
          <w:ilvl w:val="5"/>
          <w:numId w:val="1"/>
        </w:numPr>
        <w:rPr/>
      </w:pPr>
      <w:bookmarkStart w:id="580" w:name="__RefHeading___Toc488669_2281741623"/>
      <w:bookmarkStart w:id="581" w:name="_Toc228"/>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 xml:space="preserve">و أمّا الثانی و هو الاخبار، فعلی ضربین </w:t>
      </w:r>
      <w:r>
        <w:rPr>
          <w:rFonts w:eastAsia="IRNazanin" w:cs="IRNazanin"/>
          <w:color w:val="111111"/>
          <w:sz w:val="28"/>
          <w:szCs w:val="28"/>
          <w:rtl w:val="true"/>
          <w:lang w:bidi="fa-IR"/>
        </w:rPr>
        <w:t>:</w:t>
      </w:r>
    </w:p>
    <w:p>
      <w:pPr>
        <w:pStyle w:val="Heading6"/>
        <w:numPr>
          <w:ilvl w:val="5"/>
          <w:numId w:val="1"/>
        </w:numPr>
        <w:rPr/>
      </w:pPr>
      <w:bookmarkStart w:id="582" w:name="__RefHeading___Toc488671_2281741623"/>
      <w:bookmarkStart w:id="583" w:name="_Toc229"/>
      <w:bookmarkEnd w:id="582"/>
      <w:r>
        <w:rPr>
          <w:rtl w:val="true"/>
        </w:rPr>
        <w:t xml:space="preserve">أحدهما </w:t>
      </w:r>
      <w:r>
        <w:rPr>
          <w:rtl w:val="true"/>
        </w:rPr>
        <w:t xml:space="preserve">: </w:t>
      </w:r>
      <w:r>
        <w:rPr>
          <w:rtl w:val="true"/>
        </w:rPr>
        <w:t>إخبار البیّنة</w:t>
      </w:r>
      <w:bookmarkEnd w:id="583"/>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البیّنة، فهی معتبرة مطلقاً، و لعلّ اخبار العدل الواحد کاف فیه</w:t>
      </w:r>
      <w:r>
        <w:rPr>
          <w:rFonts w:eastAsia="IRNazanin" w:cs="IRNazanin"/>
          <w:color w:val="111111"/>
          <w:sz w:val="28"/>
          <w:szCs w:val="28"/>
          <w:rtl w:val="true"/>
          <w:lang w:bidi="fa-IR"/>
        </w:rPr>
        <w:t>.</w:t>
      </w:r>
    </w:p>
    <w:p>
      <w:pPr>
        <w:pStyle w:val="Heading6"/>
        <w:numPr>
          <w:ilvl w:val="5"/>
          <w:numId w:val="1"/>
        </w:numPr>
        <w:rPr/>
      </w:pPr>
      <w:bookmarkStart w:id="584" w:name="__RefHeading___Toc488673_2281741623"/>
      <w:bookmarkStart w:id="585" w:name="_Toc230"/>
      <w:bookmarkEnd w:id="584"/>
      <w:r>
        <w:rPr>
          <w:rtl w:val="true"/>
        </w:rPr>
        <w:t xml:space="preserve">ثانیهما </w:t>
      </w:r>
      <w:r>
        <w:rPr>
          <w:rtl w:val="true"/>
        </w:rPr>
        <w:t xml:space="preserve">: </w:t>
      </w:r>
      <w:r>
        <w:rPr>
          <w:rtl w:val="true"/>
        </w:rPr>
        <w:t>إخبار ذی الید</w:t>
      </w:r>
      <w:bookmarkEnd w:id="585"/>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ذی الید، فإن کان من أهل الإیمان فقوله معتبر فیه، و إن لم‌یکن عدلاً و قد یدلّ علیه إطلاق الصحیح المرویّ فی الکافی و التهذیب ،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البختج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حلوا یخضب الإناء و قال صاحبه قد ذهب ثلثاه و بقی الثلث فاشربه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والصحیح المرویّ فی التهذیب و فی قرب الإسناد، عن علیّ بن جعفر، عن أخیه موسی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یصلّی للقبلة لا یوثّق به، أتی بشراب زعم أنّه علی الثلث أیحلّ شربه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یصدق إلاّ أن یکون مسلماً عارفاً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یصدق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السؤال المذکور لا دلالة له علی إعتبار العدالة، بل المعتبر فی الإستثناء و هو أن یکون مسلماً عارفاً، أی من أهل الإیمان والمعرفة </w:t>
      </w:r>
      <w:r>
        <w:rPr>
          <w:rFonts w:eastAsia="IRNazanin" w:cs="IRNazanin"/>
          <w:color w:val="111111"/>
          <w:sz w:val="28"/>
          <w:szCs w:val="28"/>
          <w:rtl w:val="true"/>
          <w:lang w:bidi="fa-IR"/>
        </w:rPr>
        <w:t>.</w:t>
      </w:r>
    </w:p>
    <w:p>
      <w:pPr>
        <w:pStyle w:val="Heading6"/>
        <w:numPr>
          <w:ilvl w:val="5"/>
          <w:numId w:val="1"/>
        </w:numPr>
        <w:rPr/>
      </w:pPr>
      <w:bookmarkStart w:id="586" w:name="__RefHeading___Toc488675_2281741623"/>
      <w:bookmarkStart w:id="587" w:name="_Toc231"/>
      <w:bookmarkEnd w:id="586"/>
      <w:r>
        <w:rPr>
          <w:rtl w:val="true"/>
        </w:rPr>
        <w:t>الأخبار الواردة فیه</w:t>
      </w:r>
      <w:bookmarkEnd w:id="58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وینبغی تقییده بما إذا لم یکن ممّن یشرب علی الزائد علی الثلث للخبر المرویّ فی الکافی و التهذیب، عن معاویة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من أهل المعرفة بالحقّ یأتینی بالبختج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طبخ علی الثلث وأنا أعلم أنّه یشربه علی النصف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لا تشربه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فرجل من غیر أهل المعرفة ممّن </w:t>
      </w:r>
    </w:p>
    <w:p>
      <w:pPr>
        <w:pStyle w:val="BookText"/>
        <w:rPr/>
      </w:pPr>
      <w:r>
        <w:rPr>
          <w:rFonts w:ascii="IRNazanin" w:hAnsi="IRNazanin" w:eastAsia="IRNazanin"/>
          <w:color w:val="111111"/>
          <w:sz w:val="28"/>
          <w:sz w:val="28"/>
          <w:szCs w:val="28"/>
          <w:rtl w:val="true"/>
          <w:lang w:bidi="fa-IR"/>
        </w:rPr>
        <w:t xml:space="preserve">لانعرفه یشربه علی الثلث و لایستحلّه علی النصف یخبرنا أنّ عنده بختجاً علی الثلث قد ذهب ثلثاه و بقی ثلثه نشرب منه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 لم یکن من أهل المعرفة والإیمان، فالظاهر قبول قوله إذا کان ممّن لایستحلّه إلاّ علی الثلث للخبر السابق، فصار الحاصل أنّ المدار فی قبول قول ذی الید علی کونه من أهل المذهب الحقّ فی هذه المسألة، لا علی الإیمان والعدالة، و بعبارة أخری علی الوثاقة فی الطبخ علی الثلث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یدلّ علیه مضافاً إلی الخبر المذکور بل الخبرین المذکورین من خبر علیّ بن جعفر، و خبر معاویة، و خبر عمر بن یزید، المرویّ فی الکافی والتهذیب،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یهدی إلی البختج من غیر أصحابنا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ممّن یستحلّ المسکر فلا تشربه، و إن کان ممّن لا یستحلّ فاشربه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ممّن لا یستحلّ شربه فاقبله، أو قال فاشربه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صحیح علیّ بن جعفر یدلّ علی إعتبار الإیمان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الجمع بینه و بین الخبرین الأخیرین یقتضی حمله علی العرفان فی هذه المسألة و الوثاقة فیه ، و یلحق بالأخبار الإتیان به فی معرض الأکل و الشرب کما یدلّ علیه الصحیح المرویّ فی قرب الإسناد،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سألته عن المسلم العارف یدخل بیت أخیه فیسقیه النبیذ أو الشراب لا یعرفه هل یصلح له شربه من غیر أن‌یسأله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مسلماً عارفاً فاشرب ما أتاک به إلاّ أن ینکره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588" w:name="pg3696_43677"/>
    </w:p>
    <w:p>
      <w:pPr>
        <w:pStyle w:val="BookText"/>
        <w:rPr/>
      </w:pPr>
      <w:bookmarkEnd w:id="588"/>
      <w:r>
        <w:rPr>
          <w:rFonts w:ascii="IRNazanin" w:hAnsi="IRNazanin" w:eastAsia="IRNazanin"/>
          <w:color w:val="111111"/>
          <w:sz w:val="28"/>
          <w:sz w:val="28"/>
          <w:szCs w:val="28"/>
          <w:rtl w:val="true"/>
          <w:lang w:bidi="fa-IR"/>
        </w:rPr>
        <w:t xml:space="preserve">ثمّ أنّ ما ذکرناه من قبول قول غیر المستحلّ و إن کان مخالفاً و عدم قبول قول المستحلّ و إن کان عارفاً، هو مقتضی الأخبار، لکنّ الأصحاب فیه علی قولین </w:t>
      </w:r>
      <w:r>
        <w:rPr>
          <w:rFonts w:eastAsia="IRNazanin" w:cs="IRNazanin"/>
          <w:color w:val="111111"/>
          <w:sz w:val="28"/>
          <w:szCs w:val="28"/>
          <w:rtl w:val="true"/>
          <w:lang w:bidi="fa-IR"/>
        </w:rPr>
        <w:t>:</w:t>
      </w:r>
    </w:p>
    <w:p>
      <w:pPr>
        <w:pStyle w:val="Heading6"/>
        <w:numPr>
          <w:ilvl w:val="5"/>
          <w:numId w:val="1"/>
        </w:numPr>
        <w:rPr/>
      </w:pPr>
      <w:bookmarkStart w:id="589" w:name="__RefHeading___Toc488677_2281741623"/>
      <w:bookmarkStart w:id="590" w:name="_Toc232"/>
      <w:bookmarkEnd w:id="589"/>
      <w:r>
        <w:rPr>
          <w:rtl w:val="true"/>
        </w:rPr>
        <w:t xml:space="preserve">أقوال الأصحاب فیه </w:t>
      </w:r>
      <w:r>
        <w:rPr>
          <w:rtl w:val="true"/>
        </w:rPr>
        <w:t>:</w:t>
      </w:r>
      <w:bookmarkEnd w:id="590"/>
    </w:p>
    <w:p>
      <w:pPr>
        <w:pStyle w:val="Heading6"/>
        <w:numPr>
          <w:ilvl w:val="5"/>
          <w:numId w:val="1"/>
        </w:numPr>
        <w:rPr/>
      </w:pPr>
      <w:bookmarkStart w:id="591" w:name="__RefHeading___Toc488679_2281741623"/>
      <w:bookmarkStart w:id="592" w:name="_Toc233"/>
      <w:bookmarkEnd w:id="591"/>
      <w:r>
        <w:rPr>
          <w:rtl w:val="true"/>
        </w:rPr>
        <w:t xml:space="preserve">القول الأوّل </w:t>
      </w:r>
      <w:r>
        <w:rPr>
          <w:rtl w:val="true"/>
        </w:rPr>
        <w:t xml:space="preserve">: </w:t>
      </w:r>
      <w:r>
        <w:rPr>
          <w:rtl w:val="true"/>
        </w:rPr>
        <w:t>لا یقبل قول المخبر قبل ذهاب الثلثین</w:t>
      </w:r>
      <w:bookmarkEnd w:id="592"/>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و قد أفتی به فی النهایة والسرائر والمهذّب والجامع والقواعد والدروس و نحوها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لایجوز أن یؤتمن علی طبخ العصیر من یستحلّ شربه علی أقلّ من الثلث و إن ذکر أنّه الثلث، و یقبل قول من لا یشربه إلاّ علی الثلث إذا ذکر أنّه کذلک و إن کان علی أقلّه و یکون ذلک فی رقبته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 من الثلث، قد یقال إنّه من سهو قلمه رحمه‌الله ، بل الصحیح أن یکون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أکثر من الثلث، والظاهر أنّه صحیح کما یشهد به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أقلّه، فیکون المراد الأقلّ من جنس الثلث والمراد الثلثان، والأمر سهل والمراد معلوم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یقبل فی طبخ العصیر و غیره شهادة من یری جواز شربه فی الحال الّتی لا یجوز شربه عندنا فیها و قد بیّناها، و یقبل قول من لا یری شربه إلاّ إذا ذهب ثلثاه و بقی ثلثه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البرّاج فی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کان یستحلّ شرب العصیر إذا طبخ و لم یذهب منه الثلثان، فلا یجوز أن یؤتمن علی طبخه، و لا یسمع فیه قوله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یؤتمن علیه، أی علی ذهاب الثلثین، إلاّ من یری حرمته إلی أن یذهب ثلثاه، و إن أخبر من یحلّه من دون ذهاب ذلک بذهاب ثلثیه لم یحلّ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 xml:space="preserve">. </w:t>
      </w:r>
      <w:bookmarkStart w:id="593" w:name="pg3696_43679"/>
    </w:p>
    <w:p>
      <w:pPr>
        <w:pStyle w:val="BookText"/>
        <w:rPr/>
      </w:pPr>
      <w:bookmarkEnd w:id="593"/>
      <w:r>
        <w:rPr>
          <w:rFonts w:ascii="IRNazanin" w:hAnsi="IRNazanin" w:eastAsia="IRNazanin"/>
          <w:color w:val="111111"/>
          <w:sz w:val="28"/>
          <w:sz w:val="28"/>
          <w:szCs w:val="28"/>
          <w:rtl w:val="true"/>
          <w:lang w:bidi="fa-IR"/>
        </w:rPr>
        <w:t xml:space="preserve">و 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یکره أن یؤتمن علی طبخه من یستحلّ شربه قبل ذهاب ثلثیه إذا کان مسلماً، و قیل بالمنع و هو أجود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یقبل قول من یستحلّ شرب العصیر قبل ذهاب ثلثیه فی ذهابهما لروایات، و قیل </w:t>
      </w:r>
      <w:r>
        <w:rPr>
          <w:rStyle w:val="FootnoteAnchor"/>
          <w:rtl w:val="true"/>
        </w:rPr>
        <w:footnoteReference w:id="1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یقبل علی کراهیّة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المحکی عن الإیضاح </w:t>
      </w:r>
      <w:r>
        <w:rPr>
          <w:rStyle w:val="FootnoteAnchor"/>
          <w:rtl w:val="true"/>
        </w:rPr>
        <w:footnoteReference w:id="1144"/>
      </w:r>
      <w:r>
        <w:rPr>
          <w:rFonts w:ascii="IRNazanin" w:hAnsi="IRNazanin" w:eastAsia="IRNazanin"/>
          <w:color w:val="111111"/>
          <w:sz w:val="28"/>
          <w:sz w:val="28"/>
          <w:szCs w:val="28"/>
          <w:rtl w:val="true"/>
          <w:lang w:bidi="fa-IR"/>
        </w:rPr>
        <w:t xml:space="preserve">، واختاره المقداد فی التنقیح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والمستند فی هذا القول ما تقدّم من صحیح علیّ بن جعفر، و حسن عمر بن یزید، و خبر معاویة بن عمّار، والموثّق المرویّ فی التهذیب، عن عمّار بن موسی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الرجل یأتی بالشراب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مطبوخ علی الثلث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مسلماً ورعاً مأموناً فلا بأس أن یشرب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مضافاً إلی إعتضادها بالأصل، فإنّ الأصل عدم ذهاب الثلثین و عدم معارضته بظاهر، و هو إقتضاء المذهب والعمل ذلک </w:t>
      </w:r>
      <w:r>
        <w:rPr>
          <w:rFonts w:eastAsia="IRNazanin" w:cs="IRNazanin"/>
          <w:color w:val="111111"/>
          <w:sz w:val="28"/>
          <w:szCs w:val="28"/>
          <w:rtl w:val="true"/>
          <w:lang w:bidi="fa-IR"/>
        </w:rPr>
        <w:t>.</w:t>
      </w:r>
    </w:p>
    <w:p>
      <w:pPr>
        <w:pStyle w:val="Heading6"/>
        <w:numPr>
          <w:ilvl w:val="5"/>
          <w:numId w:val="1"/>
        </w:numPr>
        <w:rPr/>
      </w:pPr>
      <w:bookmarkStart w:id="594" w:name="__RefHeading___Toc488681_2281741623"/>
      <w:bookmarkStart w:id="595" w:name="_Toc234"/>
      <w:bookmarkEnd w:id="594"/>
      <w:r>
        <w:rPr>
          <w:rtl w:val="true"/>
        </w:rPr>
        <w:t xml:space="preserve">القول الثانی </w:t>
      </w:r>
      <w:r>
        <w:rPr>
          <w:rtl w:val="true"/>
        </w:rPr>
        <w:t xml:space="preserve">: </w:t>
      </w:r>
      <w:r>
        <w:rPr>
          <w:rtl w:val="true"/>
        </w:rPr>
        <w:t>جواز الإعتماد علی قول المخبر مطلقاً</w:t>
      </w:r>
      <w:bookmarkEnd w:id="595"/>
    </w:p>
    <w:p>
      <w:pPr>
        <w:pStyle w:val="Heading6"/>
        <w:numPr>
          <w:ilvl w:val="5"/>
          <w:numId w:val="1"/>
        </w:numPr>
        <w:rPr/>
      </w:pPr>
      <w:bookmarkStart w:id="596" w:name="__RefHeading___Toc488683_2281741623"/>
      <w:bookmarkStart w:id="597" w:name="_Toc235"/>
      <w:bookmarkEnd w:id="596"/>
      <w:r>
        <w:rPr>
          <w:rtl w:val="true"/>
        </w:rPr>
        <w:t>اشارة</w:t>
      </w:r>
      <w:bookmarkEnd w:id="59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الإعتماد علی قول المخبر مطلقاً، و هو مذهب المحقّق رحمه‌الله فی الشرائع والنافع </w:t>
      </w:r>
      <w:r>
        <w:rPr>
          <w:rStyle w:val="FootnoteAnchor"/>
          <w:rtl w:val="true"/>
        </w:rPr>
        <w:footnoteReference w:id="1147"/>
      </w:r>
      <w:r>
        <w:rPr>
          <w:rFonts w:ascii="IRNazanin" w:hAnsi="IRNazanin" w:eastAsia="IRNazanin"/>
          <w:color w:val="111111"/>
          <w:sz w:val="28"/>
          <w:sz w:val="28"/>
          <w:szCs w:val="28"/>
          <w:rtl w:val="true"/>
          <w:lang w:bidi="fa-IR"/>
        </w:rPr>
        <w:t xml:space="preserve">، والعلاّمة رحمه‌الله فی التحریر والإرشاد </w:t>
      </w:r>
      <w:r>
        <w:rPr>
          <w:rStyle w:val="FootnoteAnchor"/>
          <w:rtl w:val="true"/>
        </w:rPr>
        <w:footnoteReference w:id="1148"/>
      </w:r>
      <w:r>
        <w:rPr>
          <w:rFonts w:ascii="IRNazanin" w:hAnsi="IRNazanin" w:eastAsia="IRNazanin"/>
          <w:color w:val="111111"/>
          <w:sz w:val="28"/>
          <w:sz w:val="28"/>
          <w:szCs w:val="28"/>
          <w:rtl w:val="true"/>
          <w:lang w:bidi="fa-IR"/>
        </w:rPr>
        <w:t xml:space="preserve">، والسبزواری رحمه‌الله </w:t>
      </w:r>
      <w:bookmarkStart w:id="598" w:name="pg3696_43681"/>
    </w:p>
    <w:p>
      <w:pPr>
        <w:pStyle w:val="BookText"/>
        <w:rPr/>
      </w:pPr>
      <w:bookmarkEnd w:id="598"/>
      <w:r>
        <w:rPr>
          <w:rFonts w:ascii="IRNazanin" w:hAnsi="IRNazanin" w:eastAsia="IRNazanin"/>
          <w:color w:val="111111"/>
          <w:sz w:val="28"/>
          <w:sz w:val="28"/>
          <w:szCs w:val="28"/>
          <w:rtl w:val="true"/>
          <w:lang w:bidi="fa-IR"/>
        </w:rPr>
        <w:t xml:space="preserve">فی الکفایة </w:t>
      </w:r>
      <w:r>
        <w:rPr>
          <w:rStyle w:val="FootnoteAnchor"/>
          <w:rtl w:val="true"/>
        </w:rPr>
        <w:footnoteReference w:id="1149"/>
      </w:r>
      <w:r>
        <w:rPr>
          <w:rFonts w:ascii="IRNazanin" w:hAnsi="IRNazanin" w:eastAsia="IRNazanin"/>
          <w:color w:val="111111"/>
          <w:sz w:val="28"/>
          <w:sz w:val="28"/>
          <w:szCs w:val="28"/>
          <w:rtl w:val="true"/>
          <w:lang w:bidi="fa-IR"/>
        </w:rPr>
        <w:t xml:space="preserve">، والسیّد قدس‌سره فی الریاض </w:t>
      </w:r>
      <w:r>
        <w:rPr>
          <w:rStyle w:val="FootnoteAnchor"/>
          <w:rtl w:val="true"/>
        </w:rPr>
        <w:footnoteReference w:id="1150"/>
      </w:r>
      <w:r>
        <w:rPr>
          <w:rFonts w:ascii="IRNazanin" w:hAnsi="IRNazanin" w:eastAsia="IRNazanin"/>
          <w:color w:val="111111"/>
          <w:sz w:val="28"/>
          <w:sz w:val="28"/>
          <w:szCs w:val="28"/>
          <w:rtl w:val="true"/>
          <w:lang w:bidi="fa-IR"/>
        </w:rPr>
        <w:t xml:space="preserve">، و نحوهم </w:t>
      </w:r>
      <w:r>
        <w:rPr>
          <w:rFonts w:eastAsia="IRNazanin" w:cs="IRNazanin"/>
          <w:color w:val="111111"/>
          <w:sz w:val="28"/>
          <w:szCs w:val="28"/>
          <w:rtl w:val="true"/>
          <w:lang w:bidi="fa-IR"/>
        </w:rPr>
        <w:t>.</w:t>
      </w:r>
    </w:p>
    <w:p>
      <w:pPr>
        <w:pStyle w:val="Heading6"/>
        <w:numPr>
          <w:ilvl w:val="5"/>
          <w:numId w:val="1"/>
        </w:numPr>
        <w:rPr/>
      </w:pPr>
      <w:bookmarkStart w:id="599" w:name="__RefHeading___Toc488685_2281741623"/>
      <w:bookmarkStart w:id="600" w:name="_Toc236"/>
      <w:bookmarkEnd w:id="599"/>
      <w:r>
        <w:rPr>
          <w:rtl w:val="true"/>
        </w:rPr>
        <w:t>المستند فی هذا القول</w:t>
      </w:r>
      <w:bookmarkEnd w:id="600"/>
    </w:p>
    <w:p>
      <w:pPr>
        <w:pStyle w:val="BookText"/>
        <w:rPr/>
      </w:pPr>
      <w:r>
        <w:rPr>
          <w:rFonts w:ascii="IRNazanin" w:hAnsi="IRNazanin" w:eastAsia="IRNazanin"/>
          <w:color w:val="111111"/>
          <w:sz w:val="28"/>
          <w:sz w:val="28"/>
          <w:szCs w:val="28"/>
          <w:rtl w:val="true"/>
          <w:lang w:bidi="fa-IR"/>
        </w:rPr>
        <w:t>والمستند لهم بعد قاعدة تصدیق قول ذیالید فیما تحت یده، صحیح معاویة بن وهب السابق، والخبر المرویّ عن 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یخضب الإناء فاشربه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1" w:name="__RefHeading___Toc488687_2281741623"/>
      <w:bookmarkStart w:id="602" w:name="_Toc237"/>
      <w:bookmarkEnd w:id="601"/>
      <w:r>
        <w:rPr>
          <w:rtl w:val="true"/>
        </w:rPr>
        <w:t>الجواب عنه</w:t>
      </w:r>
      <w:bookmarkEnd w:id="602"/>
    </w:p>
    <w:p>
      <w:pPr>
        <w:pStyle w:val="BookText"/>
        <w:rPr/>
      </w:pPr>
      <w:r>
        <w:rPr>
          <w:rFonts w:ascii="IRNazanin" w:hAnsi="IRNazanin" w:eastAsia="IRNazanin"/>
          <w:color w:val="111111"/>
          <w:sz w:val="28"/>
          <w:sz w:val="28"/>
          <w:szCs w:val="28"/>
          <w:rtl w:val="true"/>
          <w:lang w:bidi="fa-IR"/>
        </w:rPr>
        <w:t xml:space="preserve">ویمکن الجواب عن القاعدة بتخصیصها بمامرّ من الأخبار المعتبرة سندا وعملاً، و عن الخبرین باختصاصهما فی صورة الإشتمال علی الوصف الدالّ علی ذهاب الثلثین منه، و سیأتی إن شاء اللّه تعالی الکلام فیه، فقد یقال بکفایة الوصف عن الإخبار مع أنّ الخبر الثانی لا دخل له فی مقام الإخبار، و إن لم أجده فی کتب الأخبار بعد، مضافاً إلی إمکان تخصیص الأوّل بالأخبار السابقة </w:t>
      </w:r>
      <w:r>
        <w:rPr>
          <w:rFonts w:eastAsia="IRNazanin" w:cs="IRNazanin"/>
          <w:color w:val="111111"/>
          <w:sz w:val="28"/>
          <w:szCs w:val="28"/>
          <w:rtl w:val="true"/>
          <w:lang w:bidi="fa-IR"/>
        </w:rPr>
        <w:t>.</w:t>
      </w:r>
    </w:p>
    <w:p>
      <w:pPr>
        <w:pStyle w:val="Heading6"/>
        <w:numPr>
          <w:ilvl w:val="5"/>
          <w:numId w:val="1"/>
        </w:numPr>
        <w:rPr/>
      </w:pPr>
      <w:bookmarkStart w:id="603" w:name="__RefHeading___Toc488689_2281741623"/>
      <w:bookmarkStart w:id="604" w:name="_Toc238"/>
      <w:bookmarkEnd w:id="603"/>
      <w:r>
        <w:rPr>
          <w:rtl w:val="true"/>
        </w:rPr>
        <w:t xml:space="preserve">الأمر الثالث </w:t>
      </w:r>
      <w:r>
        <w:rPr>
          <w:rtl w:val="true"/>
        </w:rPr>
        <w:t xml:space="preserve">: </w:t>
      </w:r>
      <w:r>
        <w:rPr>
          <w:rtl w:val="true"/>
        </w:rPr>
        <w:t>الوصف</w:t>
      </w:r>
      <w:bookmarkEnd w:id="604"/>
    </w:p>
    <w:p>
      <w:pPr>
        <w:pStyle w:val="Heading6"/>
        <w:numPr>
          <w:ilvl w:val="5"/>
          <w:numId w:val="1"/>
        </w:numPr>
        <w:rPr/>
      </w:pPr>
      <w:bookmarkStart w:id="605" w:name="__RefHeading___Toc488691_2281741623"/>
      <w:bookmarkStart w:id="606" w:name="_Toc239"/>
      <w:bookmarkEnd w:id="605"/>
      <w:r>
        <w:rPr>
          <w:rtl w:val="true"/>
        </w:rPr>
        <w:t>اشارة</w:t>
      </w:r>
      <w:bookmarkEnd w:id="606"/>
    </w:p>
    <w:p>
      <w:pPr>
        <w:pStyle w:val="BookText"/>
        <w:rPr/>
      </w:pPr>
      <w:r>
        <w:rPr>
          <w:rFonts w:ascii="IRNazanin" w:hAnsi="IRNazanin" w:eastAsia="IRNazanin"/>
          <w:color w:val="111111"/>
          <w:sz w:val="28"/>
          <w:sz w:val="28"/>
          <w:szCs w:val="28"/>
          <w:rtl w:val="true"/>
          <w:lang w:bidi="fa-IR"/>
        </w:rPr>
        <w:t xml:space="preserve">و أمّا الثالث و هو الوصف، فقد ذکره الشیخ رحمه‌الله فی النهایة کما عرفت وحصره فی أحد أمرین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یصیر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یدلّ علیه مضافاً إلی ما یأتی إن شاء اللّه تعالی، الخبر المرویّ فی طبّ الأئمّة،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جعفر بن محمّد الصادق علیهماالسلام بعض الوجع و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الطبیب وصف لی شراباً و ذکر أنّ ذلک الشراب موافق لهذا الداء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له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وصف لک الطبیب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الزبیب و صبّ علیه الماء ثمّ صبّ علیه عسلاً ثمّ اطبخه حتّی یذهب ثلثاه و یبقی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لیس هو حلو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یابن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الحلو حیث وجدته أو حیث أصبته، و لم یزدنی علی هذا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 xml:space="preserve">. </w:t>
      </w:r>
      <w:bookmarkStart w:id="607" w:name="pg3696_43683"/>
    </w:p>
    <w:p>
      <w:pPr>
        <w:pStyle w:val="BookText"/>
        <w:rPr/>
      </w:pPr>
      <w:bookmarkEnd w:id="607"/>
      <w:r>
        <w:rPr>
          <w:rFonts w:ascii="IRNazanin" w:hAnsi="IRNazanin" w:eastAsia="IRNazanin"/>
          <w:color w:val="111111"/>
          <w:sz w:val="28"/>
          <w:sz w:val="28"/>
          <w:szCs w:val="28"/>
          <w:rtl w:val="true"/>
          <w:lang w:bidi="fa-IR"/>
        </w:rPr>
        <w:t xml:space="preserve">والخبر المرویّ فی الکافی فی باب صفة الشراب الحلال،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شکوت إلی أبیعبداللّه علیه‌السلام بعض الوجع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الطبیب وصف لی شرابا أخذ الزبیب وأصبّ علیه الماء للواحد إثنین ثمّ أصبّ علیه العسل ثمّ اطبخه حتّی یذهب ثلثاه ویبقی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حلواً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ولم أخبره کم العسل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یخضب الإناء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علیه الصحیح المرویّ فی الکافی والتهذیب، عن عمر بن یزید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یخضب الإناء فاشربه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علی الأمرین الصحیح المرویّ فیهما،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البختج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حلوا یخضب الإناء و قال صاحبه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ذهب ثلثاه و بقی الثلث فاشربه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کلّ ذلک لا یخلو عن نظر، والأولی لمکان عدم تعرّض معظم الأصحاب له ترک الإعتماد علی هذین الوصفین بنفسهما، و إن کان جواز الإعتماد علیهما معا لایخلو عن قوّة، فتأمّل </w:t>
      </w:r>
      <w:r>
        <w:rPr>
          <w:rFonts w:eastAsia="IRNazanin" w:cs="IRNazanin"/>
          <w:color w:val="111111"/>
          <w:sz w:val="28"/>
          <w:szCs w:val="28"/>
          <w:rtl w:val="true"/>
          <w:lang w:bidi="fa-IR"/>
        </w:rPr>
        <w:t>!</w:t>
      </w:r>
    </w:p>
    <w:p>
      <w:pPr>
        <w:pStyle w:val="Heading6"/>
        <w:numPr>
          <w:ilvl w:val="5"/>
          <w:numId w:val="1"/>
        </w:numPr>
        <w:rPr/>
      </w:pPr>
      <w:bookmarkStart w:id="608" w:name="__RefHeading___Toc488693_2281741623"/>
      <w:bookmarkStart w:id="609" w:name="_Toc240"/>
      <w:bookmarkEnd w:id="608"/>
      <w:r>
        <w:rPr>
          <w:rtl w:val="true"/>
        </w:rPr>
        <w:t>یظهر من دعائم الإسلام إعتبار وصف ثالث</w:t>
      </w:r>
      <w:bookmarkEnd w:id="609"/>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یظهر من دعائم الإسلام إعتبار وصف ثالث، و هو أن یحصل له قوام کقوام العسل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استخرج من عصیر العنب والتمر والزبیب و طبخ قبل أن ینشّ حتّی یصیر له قوام کقوام العسل فهو حلال شربه صرفاً و مشوباً بالماء ما لم یغل </w:t>
      </w:r>
      <w:r>
        <w:rPr>
          <w:rStyle w:val="FootnoteAnchor"/>
          <w:rtl w:val="true"/>
        </w:rPr>
        <w:footnoteReference w:id="115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ارجاعه إلی خضب الإناء </w:t>
      </w:r>
      <w:r>
        <w:rPr>
          <w:rFonts w:eastAsia="IRNazanin" w:cs="IRNazanin"/>
          <w:color w:val="111111"/>
          <w:sz w:val="28"/>
          <w:szCs w:val="28"/>
          <w:rtl w:val="true"/>
          <w:lang w:bidi="fa-IR"/>
        </w:rPr>
        <w:t xml:space="preserve">. </w:t>
      </w:r>
      <w:bookmarkStart w:id="610" w:name="pg3696_43686"/>
    </w:p>
    <w:p>
      <w:pPr>
        <w:pStyle w:val="BookText"/>
        <w:rPr/>
      </w:pPr>
      <w:bookmarkEnd w:id="61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لم یغل، أی ما لم یغل بعد ذلک، و لعلّه کنایة عن الإسکار وإلاّ فلاوجه له ظاهرا، و علی کلّ حال فهذا دالّ علی ذهاب الثلثین منه کما لا یخفی </w:t>
      </w:r>
      <w:r>
        <w:rPr>
          <w:rFonts w:eastAsia="IRNazanin" w:cs="IRNazanin"/>
          <w:color w:val="111111"/>
          <w:sz w:val="28"/>
          <w:szCs w:val="28"/>
          <w:rtl w:val="true"/>
          <w:lang w:bidi="fa-IR"/>
        </w:rPr>
        <w:t xml:space="preserve">]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1" w:name="__RefHeading___Toc488695_2281741623"/>
      <w:bookmarkStart w:id="612" w:name="_Toc241"/>
      <w:bookmarkEnd w:id="611"/>
      <w:r>
        <w:rPr>
          <w:rtl w:val="true"/>
        </w:rPr>
        <w:t xml:space="preserve">المطلب الثالث </w:t>
      </w:r>
      <w:r>
        <w:rPr>
          <w:rtl w:val="true"/>
        </w:rPr>
        <w:t xml:space="preserve">: </w:t>
      </w:r>
      <w:r>
        <w:rPr>
          <w:rtl w:val="true"/>
        </w:rPr>
        <w:t>انّه إذا انقلب العصیر بعد غلیانه إلی حدّ یتغیّر به الإسم کأن صار دبساً أو نحوه، فهل یحلّ بذلک أم لا ؟</w:t>
      </w:r>
      <w:bookmarkEnd w:id="612"/>
    </w:p>
    <w:p>
      <w:pPr>
        <w:pStyle w:val="Heading6"/>
        <w:numPr>
          <w:ilvl w:val="5"/>
          <w:numId w:val="1"/>
        </w:numPr>
        <w:rPr/>
      </w:pPr>
      <w:bookmarkStart w:id="613" w:name="__RefHeading___Toc488697_2281741623"/>
      <w:bookmarkStart w:id="614" w:name="_Toc242"/>
      <w:bookmarkEnd w:id="613"/>
      <w:r>
        <w:rPr>
          <w:rtl w:val="true"/>
        </w:rPr>
        <w:t>اشارة</w:t>
      </w:r>
      <w:bookmarkEnd w:id="614"/>
    </w:p>
    <w:p>
      <w:pPr>
        <w:pStyle w:val="BookText"/>
        <w:rPr/>
      </w:pPr>
      <w:r>
        <w:rPr>
          <w:rFonts w:ascii="IRNazanin" w:hAnsi="IRNazanin" w:eastAsia="IRNazanin"/>
          <w:color w:val="111111"/>
          <w:sz w:val="28"/>
          <w:sz w:val="28"/>
          <w:szCs w:val="28"/>
          <w:rtl w:val="true"/>
          <w:lang w:bidi="fa-IR"/>
        </w:rPr>
        <w:t>المطلب الثالث</w:t>
      </w:r>
    </w:p>
    <w:p>
      <w:pPr>
        <w:pStyle w:val="BookText"/>
        <w:rPr/>
      </w:pPr>
      <w:r>
        <w:rPr>
          <w:rFonts w:ascii="IRNazanin" w:hAnsi="IRNazanin" w:eastAsia="IRNazanin"/>
          <w:color w:val="111111"/>
          <w:sz w:val="28"/>
          <w:sz w:val="28"/>
          <w:szCs w:val="28"/>
          <w:rtl w:val="true"/>
          <w:lang w:bidi="fa-IR"/>
        </w:rPr>
        <w:t>إنّه إذا انقلب العصیر بعد غلیانه إلی حدّ یتغیّر به الإسم کأن صار دبساً أو نحوه فهل یحلّ بذلک أم لا ؟</w:t>
      </w:r>
    </w:p>
    <w:p>
      <w:pPr>
        <w:pStyle w:val="BookText"/>
        <w:rPr/>
      </w:pPr>
      <w:r>
        <w:rPr>
          <w:rFonts w:ascii="IRNazanin" w:hAnsi="IRNazanin" w:eastAsia="IRNazanin"/>
          <w:color w:val="111111"/>
          <w:sz w:val="28"/>
          <w:sz w:val="28"/>
          <w:szCs w:val="28"/>
          <w:rtl w:val="true"/>
          <w:lang w:bidi="fa-IR"/>
        </w:rPr>
        <w:t xml:space="preserve">صرّح بالأوّل المحقّق الثانی رحمه‌الله فی جامع المقاصد </w:t>
      </w:r>
      <w:r>
        <w:rPr>
          <w:rStyle w:val="FootnoteAnchor"/>
          <w:rtl w:val="true"/>
        </w:rPr>
        <w:footnoteReference w:id="1158"/>
      </w:r>
      <w:r>
        <w:rPr>
          <w:rFonts w:ascii="IRNazanin" w:hAnsi="IRNazanin" w:eastAsia="IRNazanin"/>
          <w:color w:val="111111"/>
          <w:sz w:val="28"/>
          <w:sz w:val="28"/>
          <w:szCs w:val="28"/>
          <w:rtl w:val="true"/>
          <w:lang w:bidi="fa-IR"/>
        </w:rPr>
        <w:t xml:space="preserve">، وحاشیته علی الشرائع، و حاشیته علی الألفیّة حیث قال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یبقی کذلک حتّی یذهب ثلثاه أو یصیر دبساً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5" w:name="__RefHeading___Toc488699_2281741623"/>
      <w:bookmarkStart w:id="616" w:name="_Toc243"/>
      <w:bookmarkEnd w:id="615"/>
      <w:r>
        <w:rPr>
          <w:rtl w:val="true"/>
        </w:rPr>
        <w:t>بیان الأقوال فیه</w:t>
      </w:r>
      <w:bookmarkEnd w:id="616"/>
    </w:p>
    <w:p>
      <w:pPr>
        <w:pStyle w:val="BookText"/>
        <w:rPr/>
      </w:pPr>
      <w:r>
        <w:rPr>
          <w:rFonts w:ascii="IRNazanin" w:hAnsi="IRNazanin" w:eastAsia="IRNazanin"/>
          <w:color w:val="111111"/>
          <w:sz w:val="28"/>
          <w:sz w:val="28"/>
          <w:szCs w:val="28"/>
          <w:rtl w:val="true"/>
          <w:lang w:bidi="fa-IR"/>
        </w:rPr>
        <w:t xml:space="preserve">و حکاه فی مجمع الفائدة عن القائلین بنجاسة العصیر بالغلیان،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القول بنجاسته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یطهر بذهاب ثلثیه أو صیرورته دبساً أو خلاًّ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قال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ذلک کلّه تأمّل، إذ ما نجد دلیلاً علی ذلک إلاّ ما تقدّم ممّا یدلّ علی الحلّ بذهاب ثلثیه، و لذا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کونه خلاًّ أو دبساً کذلک فإن کان مع ذهاب ثلثیه فهو داخل فیه و إلاّ ففیه تأمّل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أن یکون إجماعیاً، أو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خرج عن کونه عصیراً صار طاهراً فإنّه حرم بسبب النجاسة، فإذا زال زالت کما فی الخمر إذا صار خلاًّ، و لکن قد ینازع فی السببیّة، و علی تقدیرها مجرد زواله غیر کاف، بل لابدّ من المطهّر لأنّ الشارع حکم بنجاسته، فیحتاج طهارته إلی دلیل إذ الأصل البقاء، فتأمّل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bookmarkStart w:id="617" w:name="pg3696_43688"/>
    </w:p>
    <w:p>
      <w:pPr>
        <w:pStyle w:val="BookText"/>
        <w:rPr/>
      </w:pPr>
      <w:bookmarkEnd w:id="617"/>
      <w:r>
        <w:rPr>
          <w:rFonts w:ascii="IRNazanin" w:hAnsi="IRNazanin" w:eastAsia="IRNazanin"/>
          <w:color w:val="111111"/>
          <w:sz w:val="28"/>
          <w:sz w:val="28"/>
          <w:szCs w:val="28"/>
          <w:rtl w:val="true"/>
          <w:lang w:bidi="fa-IR"/>
        </w:rPr>
        <w:t xml:space="preserve">و قال فی المسالک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مع عدم ذهاب ثلثیه فی تحریمه بین أن یصیر دبساً و عدمه ، لإطلاق النصوص باشتراط ذهاب الثلثین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صحیحة إبن أبییعفور،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زاد الطلاء علی الثلث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هذا فرض بعید، لأنّه لا یصیر دبساً حتّی یذهب أربعة أخماسه غالباً بالوجدان فضلاً عن الثلثین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الإکتفاء بصیرورته دبساً علی تقدیر إمکانه، لانتقاله عن إسم العصیر کما یطهّر بصیرورته خلاًّ کذلک </w:t>
      </w:r>
      <w:r>
        <w:rPr>
          <w:rStyle w:val="FootnoteAnchor"/>
          <w:rtl w:val="true"/>
        </w:rPr>
        <w:footnoteReference w:id="1161"/>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Heading6"/>
        <w:numPr>
          <w:ilvl w:val="5"/>
          <w:numId w:val="1"/>
        </w:numPr>
        <w:rPr/>
      </w:pPr>
      <w:bookmarkStart w:id="618" w:name="__RefHeading___Toc488701_2281741623"/>
      <w:bookmarkStart w:id="619" w:name="_Toc244"/>
      <w:bookmarkEnd w:id="618"/>
      <w:r>
        <w:rPr>
          <w:rtl w:val="true"/>
        </w:rPr>
        <w:t>رأی المؤلّف</w:t>
      </w:r>
      <w:bookmarkEnd w:id="619"/>
    </w:p>
    <w:p>
      <w:pPr>
        <w:pStyle w:val="BookText"/>
        <w:rPr/>
      </w:pPr>
      <w:r>
        <w:rPr>
          <w:rFonts w:ascii="IRNazanin" w:hAnsi="IRNazanin" w:eastAsia="IRNazanin"/>
          <w:color w:val="111111"/>
          <w:sz w:val="28"/>
          <w:sz w:val="28"/>
          <w:szCs w:val="28"/>
          <w:rtl w:val="true"/>
          <w:lang w:bidi="fa-IR"/>
        </w:rPr>
        <w:t xml:space="preserve">فأقول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بعد الفرض کما قاله، و لم تتحقّق الدبسیّة إلاّ بعد ذهاب الأزید من الثلثین ، فلا ثمرة مهمّة فی هذا البحث و إلاّ ففی الإکتفاء بصیرورته دبساً فی الحلّیة والطهارة و عدمه نظر و تأمّل، لإطلاق النصوص والفتوی و تکاثرهما فی أنّ غایة الحرمة ذهاب الثلثین، بل هما کالصریح فی ذلک حیث أنّ الغالب بلوغ العصیر إلی هذا الحدّ، والّذی یسهّل الأمر هو ما ذکره الشهید رحمه‌الله من بعد هذا الفرض، لکن سمعت من بعض المعتبرین أنّ الغالب فی بعض الأصقاع تحقّق الدبس قبل ذهاب الثلثین بل بعد ذهاب النصف، بل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یصیر العنب دبساً بالعلاج من تراب مخصوص یطرح فیه، و إذا طبخ بالنار من دون إلقاء تراب فیه یتغیّر و یصیر حامضاً و هو الربّ المستعمل فی بعض البلاد </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العصیر إذا غلی بالنار یتوقّف حلّیته بذهاب الثلثین منه ، و لا یصیر دبساً بالغلیان، فیبقی الکلام فی أنّه إذا غلی هذا المطروح بالتراب کان حکمه حکم العصیر و لا یعلم الإستحالة بمجرّد صدق الإسم کالدقیق والطحین بالنسبة إلی الحنطة والشعیر </w:t>
      </w:r>
      <w:r>
        <w:rPr>
          <w:rFonts w:eastAsia="IRNazanin" w:cs="IRNazanin"/>
          <w:color w:val="111111"/>
          <w:sz w:val="28"/>
          <w:szCs w:val="28"/>
          <w:rtl w:val="true"/>
          <w:lang w:bidi="fa-IR"/>
        </w:rPr>
        <w:t xml:space="preserve">. </w:t>
      </w:r>
      <w:bookmarkStart w:id="620" w:name="pg3696_43690"/>
    </w:p>
    <w:p>
      <w:pPr>
        <w:pStyle w:val="Heading6"/>
        <w:numPr>
          <w:ilvl w:val="5"/>
          <w:numId w:val="1"/>
        </w:numPr>
        <w:rPr/>
      </w:pPr>
      <w:bookmarkStart w:id="621" w:name="__RefHeading___Toc488703_2281741623"/>
      <w:bookmarkStart w:id="622" w:name="_Toc245"/>
      <w:bookmarkEnd w:id="620"/>
      <w:bookmarkEnd w:id="621"/>
      <w:r>
        <w:rPr>
          <w:rtl w:val="true"/>
        </w:rPr>
        <w:t xml:space="preserve">المطلب الرابع </w:t>
      </w:r>
      <w:r>
        <w:rPr>
          <w:rtl w:val="true"/>
        </w:rPr>
        <w:t xml:space="preserve">: </w:t>
      </w:r>
      <w:r>
        <w:rPr>
          <w:rtl w:val="true"/>
        </w:rPr>
        <w:t>إنّه إذا غلی العصیر بالشمس و ذهب منه الثلثان بالشمس أو الهواء، فهل یحلّ بذلک أم لا ؟</w:t>
      </w:r>
      <w:bookmarkEnd w:id="622"/>
    </w:p>
    <w:p>
      <w:pPr>
        <w:pStyle w:val="Heading6"/>
        <w:numPr>
          <w:ilvl w:val="5"/>
          <w:numId w:val="1"/>
        </w:numPr>
        <w:rPr/>
      </w:pPr>
      <w:bookmarkStart w:id="623" w:name="__RefHeading___Toc488705_2281741623"/>
      <w:bookmarkStart w:id="624" w:name="_Toc246"/>
      <w:bookmarkEnd w:id="623"/>
      <w:r>
        <w:rPr>
          <w:rtl w:val="true"/>
        </w:rPr>
        <w:t>اشارة</w:t>
      </w:r>
      <w:bookmarkEnd w:id="624"/>
    </w:p>
    <w:p>
      <w:pPr>
        <w:pStyle w:val="BookText"/>
        <w:rPr/>
      </w:pPr>
      <w:r>
        <w:rPr>
          <w:rFonts w:ascii="IRNazanin" w:hAnsi="IRNazanin" w:eastAsia="IRNazanin"/>
          <w:color w:val="111111"/>
          <w:sz w:val="28"/>
          <w:sz w:val="28"/>
          <w:szCs w:val="28"/>
          <w:rtl w:val="true"/>
          <w:lang w:bidi="fa-IR"/>
        </w:rPr>
        <w:t>المطلب الرابع</w:t>
      </w:r>
    </w:p>
    <w:p>
      <w:pPr>
        <w:pStyle w:val="BookText"/>
        <w:rPr/>
      </w:pPr>
      <w:r>
        <w:rPr>
          <w:rFonts w:ascii="IRNazanin" w:hAnsi="IRNazanin" w:eastAsia="IRNazanin"/>
          <w:color w:val="111111"/>
          <w:sz w:val="28"/>
          <w:sz w:val="28"/>
          <w:szCs w:val="28"/>
          <w:rtl w:val="true"/>
          <w:lang w:bidi="fa-IR"/>
        </w:rPr>
        <w:t xml:space="preserve">إنّه إذا غلی العصیر بالشمس حرم لإطلاق أخبار الغلیان، فإذا ذهب منه الثلثان بالشمس أو الهواء فقد صرّح الشهید الثانی فی المسالک بحلّیته حینئذ </w:t>
      </w:r>
      <w:r>
        <w:rPr>
          <w:rFonts w:eastAsia="IRNazanin" w:cs="IRNazanin"/>
          <w:color w:val="111111"/>
          <w:sz w:val="28"/>
          <w:szCs w:val="28"/>
          <w:rtl w:val="true"/>
          <w:lang w:bidi="fa-IR"/>
        </w:rPr>
        <w:t>.</w:t>
      </w:r>
    </w:p>
    <w:p>
      <w:pPr>
        <w:pStyle w:val="Heading6"/>
        <w:numPr>
          <w:ilvl w:val="5"/>
          <w:numId w:val="1"/>
        </w:numPr>
        <w:rPr/>
      </w:pPr>
      <w:bookmarkStart w:id="625" w:name="__RefHeading___Toc488707_2281741623"/>
      <w:bookmarkStart w:id="626" w:name="_Toc247"/>
      <w:bookmarkEnd w:id="625"/>
      <w:r>
        <w:rPr>
          <w:rtl w:val="true"/>
        </w:rPr>
        <w:t>کلام الشهید الثانی والصیمری رحمهماالله فی المسألة</w:t>
      </w:r>
      <w:bookmarkEnd w:id="626"/>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فی ذهاب ثلثیه بین وقوعه بالغلیان والشمس والهواء، فلو وضع المعمول به قبل ذهاب ثلثیه کالملین </w:t>
      </w:r>
      <w:r>
        <w:rPr>
          <w:rStyle w:val="FootnoteAnchor"/>
          <w:rtl w:val="true"/>
        </w:rPr>
        <w:footnoteReference w:id="1162"/>
      </w:r>
      <w:r>
        <w:rPr>
          <w:rFonts w:ascii="IRNazanin" w:hAnsi="IRNazanin" w:eastAsia="IRNazanin"/>
          <w:color w:val="111111"/>
          <w:sz w:val="28"/>
          <w:sz w:val="28"/>
          <w:szCs w:val="28"/>
          <w:rtl w:val="true"/>
          <w:lang w:bidi="fa-IR"/>
        </w:rPr>
        <w:t xml:space="preserve">فی الشمس فیجفّف بها أو بالهواء و ذهب ثلثاه حلّ، و کذا یطهر لو قیل بنجاسته </w:t>
      </w:r>
      <w:r>
        <w:rPr>
          <w:rStyle w:val="FootnoteAnchor"/>
          <w:rtl w:val="true"/>
        </w:rPr>
        <w:footnoteReference w:id="1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الصیمری فی غایة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یشترط کون الذهاب بالغلیان بل لو ذهب الثلثان بالشمس أو بالهواء حلّ </w:t>
      </w:r>
      <w:r>
        <w:rPr>
          <w:rStyle w:val="FootnoteAnchor"/>
          <w:rtl w:val="true"/>
        </w:rPr>
        <w:footnoteReference w:id="1164"/>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Heading6"/>
        <w:numPr>
          <w:ilvl w:val="5"/>
          <w:numId w:val="1"/>
        </w:numPr>
        <w:rPr/>
      </w:pPr>
      <w:bookmarkStart w:id="627" w:name="__RefHeading___Toc488709_2281741623"/>
      <w:bookmarkStart w:id="628" w:name="_Toc248"/>
      <w:bookmarkEnd w:id="627"/>
      <w:r>
        <w:rPr>
          <w:rtl w:val="true"/>
        </w:rPr>
        <w:t>رأی المؤلّف فی المسألة</w:t>
      </w:r>
      <w:bookmarkEnd w:id="628"/>
    </w:p>
    <w:p>
      <w:pPr>
        <w:pStyle w:val="BookText"/>
        <w:rPr/>
      </w:pPr>
      <w:r>
        <w:rPr>
          <w:rFonts w:ascii="IRNazanin" w:hAnsi="IRNazanin" w:eastAsia="IRNazanin"/>
          <w:color w:val="111111"/>
          <w:sz w:val="28"/>
          <w:sz w:val="28"/>
          <w:szCs w:val="28"/>
          <w:rtl w:val="true"/>
          <w:lang w:bidi="fa-IR"/>
        </w:rPr>
        <w:t xml:space="preserve">و قد یدلّ علیه کلّما دلّ علی حلّیته بذهاب الثلثین مطلقاً و فیه نظر، والأولی الإقتصار علی ذهاب ثلثیه بالنار، بل هو المنساق من الأخبار </w:t>
      </w:r>
      <w:r>
        <w:rPr>
          <w:rFonts w:eastAsia="IRNazanin" w:cs="IRNazanin"/>
          <w:color w:val="111111"/>
          <w:sz w:val="28"/>
          <w:szCs w:val="28"/>
          <w:rtl w:val="true"/>
          <w:lang w:bidi="fa-IR"/>
        </w:rPr>
        <w:t>.</w:t>
      </w:r>
    </w:p>
    <w:p>
      <w:pPr>
        <w:pStyle w:val="Heading6"/>
        <w:numPr>
          <w:ilvl w:val="5"/>
          <w:numId w:val="1"/>
        </w:numPr>
        <w:rPr/>
      </w:pPr>
      <w:bookmarkStart w:id="629" w:name="__RefHeading___Toc488711_2281741623"/>
      <w:bookmarkStart w:id="630" w:name="_Toc249"/>
      <w:bookmarkEnd w:id="629"/>
      <w:r>
        <w:rPr>
          <w:rtl w:val="true"/>
        </w:rPr>
        <w:t xml:space="preserve">المطلب الخامس </w:t>
      </w:r>
      <w:r>
        <w:rPr>
          <w:rtl w:val="true"/>
        </w:rPr>
        <w:t xml:space="preserve">: </w:t>
      </w:r>
      <w:r>
        <w:rPr>
          <w:rtl w:val="true"/>
        </w:rPr>
        <w:t>لو غلی ماء العنب فی حبّه، فإن صار خمراً فهو حرام و نجس، وإلاّ ففیه إشکال</w:t>
      </w:r>
      <w:bookmarkEnd w:id="630"/>
    </w:p>
    <w:p>
      <w:pPr>
        <w:pStyle w:val="Heading6"/>
        <w:numPr>
          <w:ilvl w:val="5"/>
          <w:numId w:val="1"/>
        </w:numPr>
        <w:rPr/>
      </w:pPr>
      <w:bookmarkStart w:id="631" w:name="__RefHeading___Toc488713_2281741623"/>
      <w:bookmarkStart w:id="632" w:name="_Toc250"/>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المطلب الخامس</w:t>
      </w:r>
    </w:p>
    <w:p>
      <w:pPr>
        <w:pStyle w:val="BookText"/>
        <w:rPr/>
      </w:pPr>
      <w:r>
        <w:rPr>
          <w:rFonts w:ascii="IRNazanin" w:hAnsi="IRNazanin" w:eastAsia="IRNazanin"/>
          <w:color w:val="111111"/>
          <w:sz w:val="28"/>
          <w:sz w:val="28"/>
          <w:szCs w:val="28"/>
          <w:rtl w:val="true"/>
          <w:lang w:bidi="fa-IR"/>
        </w:rPr>
        <w:t xml:space="preserve">إنّه إذا غلی فی جوف الحبّة ، فإن صار خمراً فهو حرام و نجس کما صرّح به فی النهایة والتذکرة </w:t>
      </w:r>
      <w:r>
        <w:rPr>
          <w:rStyle w:val="FootnoteAnchor"/>
          <w:rtl w:val="true"/>
        </w:rPr>
        <w:footnoteReference w:id="1165"/>
      </w:r>
      <w:r>
        <w:rPr>
          <w:rFonts w:ascii="IRNazanin" w:hAnsi="IRNazanin" w:eastAsia="IRNazanin"/>
          <w:color w:val="111111"/>
          <w:sz w:val="28"/>
          <w:sz w:val="28"/>
          <w:szCs w:val="28"/>
          <w:rtl w:val="true"/>
          <w:lang w:bidi="fa-IR"/>
        </w:rPr>
        <w:t xml:space="preserve">، و إلاّ ففیه إشکال </w:t>
      </w:r>
      <w:r>
        <w:rPr>
          <w:rFonts w:eastAsia="IRNazanin" w:cs="IRNazanin"/>
          <w:color w:val="111111"/>
          <w:sz w:val="28"/>
          <w:szCs w:val="28"/>
          <w:rtl w:val="true"/>
          <w:lang w:bidi="fa-IR"/>
        </w:rPr>
        <w:t>.</w:t>
      </w:r>
    </w:p>
    <w:p>
      <w:pPr>
        <w:pStyle w:val="Heading6"/>
        <w:numPr>
          <w:ilvl w:val="5"/>
          <w:numId w:val="1"/>
        </w:numPr>
        <w:rPr/>
      </w:pPr>
      <w:bookmarkStart w:id="633" w:name="__RefHeading___Toc488715_2281741623"/>
      <w:bookmarkStart w:id="634" w:name="_Toc251"/>
      <w:bookmarkEnd w:id="633"/>
      <w:r>
        <w:rPr>
          <w:rtl w:val="true"/>
        </w:rPr>
        <w:t>کلمات الفقهاء فیه</w:t>
      </w:r>
      <w:bookmarkEnd w:id="63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صرّح به جمع کما قال فی مجمع الفائدة والبحار والکفایة، لکن ظاهر هؤلاء أنّه حلال </w:t>
      </w:r>
      <w:r>
        <w:rPr>
          <w:rFonts w:eastAsia="IRNazanin" w:cs="IRNazanin"/>
          <w:color w:val="111111"/>
          <w:sz w:val="28"/>
          <w:szCs w:val="28"/>
          <w:rtl w:val="true"/>
          <w:lang w:bidi="fa-IR"/>
        </w:rPr>
        <w:t xml:space="preserve">. </w:t>
      </w:r>
      <w:bookmarkStart w:id="635" w:name="pg3696_43692"/>
    </w:p>
    <w:p>
      <w:pPr>
        <w:pStyle w:val="BookText"/>
        <w:rPr/>
      </w:pPr>
      <w:bookmarkEnd w:id="635"/>
      <w:r>
        <w:rPr>
          <w:rFonts w:ascii="IRNazanin" w:hAnsi="IRNazanin" w:eastAsia="IRNazanin"/>
          <w:color w:val="111111"/>
          <w:sz w:val="28"/>
          <w:sz w:val="28"/>
          <w:szCs w:val="28"/>
          <w:rtl w:val="true"/>
          <w:lang w:bidi="fa-IR"/>
        </w:rPr>
        <w:t xml:space="preserve">قال فی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أکثر الأخبار أنّ العصیر إذا غلی مطلقاً حرم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ظاهرها إشتراط کونه غلی معصوراً، فلو غلی ماء العنب فی حبّه لم‌یصدق علیه أنّه عصیر غلی، ففی تحریمه تأمّل، و لکن صرّحوا به، والأصل و العمومات و حصر المحرّمات دلیل التحلیل حتّی یعلم الناقل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ألحق جماعة من الأصحاب بالعصیر ماء العنب إذا غلی فی حبّه، و هو غیر موجّه لعدم صدق العصیر علیه، فالأدلّة العامّة تقتضی حلّه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قارب عصرنا ألحق به الزبیب المطبوخ فی الطعام، فحکم بحرمته لأنّه یغلی ماؤه فی جوفه، و تابعه بعض من لم یشمّ رایحة العلم والفقه من المعاصرین و هو وهن علی وهن </w:t>
      </w:r>
      <w:r>
        <w:rPr>
          <w:rStyle w:val="FootnoteAnchor"/>
          <w:rtl w:val="true"/>
        </w:rPr>
        <w:footnoteReference w:id="1167"/>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ألحق بالعصیر ماء العنب إذا غلی فی حبّه، و فیه إشکال لعدم صدق العصیر علیه، فالأدلّة العامّة تقتضی حلّه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وضعت حبّة عنب أو حبّات فی مرق أو غیره، أو مزجت مع أمور آخر و لم یتحقّق صدق الإسم، فلا تعلق للحکم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36" w:name="__RefHeading___Toc488717_2281741623"/>
      <w:bookmarkStart w:id="637" w:name="_Toc252"/>
      <w:bookmarkEnd w:id="636"/>
      <w:r>
        <w:rPr>
          <w:rtl w:val="true"/>
        </w:rPr>
        <w:t xml:space="preserve">المطلب السادس </w:t>
      </w:r>
      <w:r>
        <w:rPr>
          <w:rtl w:val="true"/>
        </w:rPr>
        <w:t xml:space="preserve">: </w:t>
      </w:r>
      <w:r>
        <w:rPr>
          <w:rtl w:val="true"/>
        </w:rPr>
        <w:t>فی انّ آلات الطبخ فی العصر، وأیدی مزاولیه، و ثیابهم تطهر بذهاب الثلثین فی بعضها، والاستحالة فی بعض آخر</w:t>
      </w:r>
      <w:bookmarkEnd w:id="637"/>
    </w:p>
    <w:p>
      <w:pPr>
        <w:pStyle w:val="Heading6"/>
        <w:numPr>
          <w:ilvl w:val="5"/>
          <w:numId w:val="1"/>
        </w:numPr>
        <w:rPr/>
      </w:pPr>
      <w:bookmarkStart w:id="638" w:name="__RefHeading___Toc488719_2281741623"/>
      <w:bookmarkStart w:id="639" w:name="_Toc253"/>
      <w:bookmarkEnd w:id="638"/>
      <w:r>
        <w:rPr>
          <w:rtl w:val="true"/>
        </w:rPr>
        <w:t>اشارة</w:t>
      </w:r>
      <w:bookmarkEnd w:id="639"/>
    </w:p>
    <w:p>
      <w:pPr>
        <w:pStyle w:val="BookText"/>
        <w:rPr/>
      </w:pPr>
      <w:r>
        <w:rPr>
          <w:rFonts w:ascii="IRNazanin" w:hAnsi="IRNazanin" w:eastAsia="IRNazanin"/>
          <w:color w:val="111111"/>
          <w:sz w:val="28"/>
          <w:sz w:val="28"/>
          <w:szCs w:val="28"/>
          <w:rtl w:val="true"/>
          <w:lang w:bidi="fa-IR"/>
        </w:rPr>
        <w:t>المطلب السادس</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أنّ آلات الطبخ فی العُصر و أیدی مزاولیه و ثیابهم، بل و کذا الأجسام الواقعة فی العصیر قبل الغلیان أو بعده، قبل ذهاب الثلثین أو قبل إنقلابه خلاًّ، و کذا </w:t>
      </w:r>
      <w:bookmarkStart w:id="640" w:name="pg3696_43694"/>
    </w:p>
    <w:p>
      <w:pPr>
        <w:pStyle w:val="BookText"/>
        <w:rPr/>
      </w:pPr>
      <w:bookmarkEnd w:id="640"/>
      <w:r>
        <w:rPr>
          <w:rFonts w:ascii="IRNazanin" w:hAnsi="IRNazanin" w:eastAsia="IRNazanin"/>
          <w:color w:val="111111"/>
          <w:sz w:val="28"/>
          <w:sz w:val="28"/>
          <w:szCs w:val="28"/>
          <w:rtl w:val="true"/>
          <w:lang w:bidi="fa-IR"/>
        </w:rPr>
        <w:t xml:space="preserve">الأجسام الواقعة فی حبّ الخلّ قبل الإستحالة إلیه ثمّ استحال إلیه، کلّ ذلک تطهر بذهاب الثلثین فی بعض ما مرّ والاستحالة فی بعضها، و هو المصرّح به فی جملة من الکلمات </w:t>
      </w:r>
      <w:r>
        <w:rPr>
          <w:rFonts w:eastAsia="IRNazanin" w:cs="IRNazanin"/>
          <w:color w:val="111111"/>
          <w:sz w:val="28"/>
          <w:szCs w:val="28"/>
          <w:rtl w:val="true"/>
          <w:lang w:bidi="fa-IR"/>
        </w:rPr>
        <w:t>.</w:t>
      </w:r>
    </w:p>
    <w:p>
      <w:pPr>
        <w:pStyle w:val="Heading6"/>
        <w:numPr>
          <w:ilvl w:val="5"/>
          <w:numId w:val="1"/>
        </w:numPr>
        <w:rPr/>
      </w:pPr>
      <w:bookmarkStart w:id="641" w:name="__RefHeading___Toc488721_2281741623"/>
      <w:bookmarkStart w:id="642" w:name="_Toc254"/>
      <w:bookmarkEnd w:id="641"/>
      <w:r>
        <w:rPr>
          <w:rtl w:val="true"/>
        </w:rPr>
        <w:t>جملة من کلمات الفقهاء فی ذلک</w:t>
      </w:r>
      <w:bookmarkEnd w:id="642"/>
    </w:p>
    <w:p>
      <w:pPr>
        <w:pStyle w:val="BookText"/>
        <w:rPr/>
      </w:pPr>
      <w:r>
        <w:rPr>
          <w:rFonts w:ascii="IRNazanin" w:hAnsi="IRNazanin" w:eastAsia="IRNazanin"/>
          <w:color w:val="111111"/>
          <w:sz w:val="28"/>
          <w:sz w:val="28"/>
          <w:szCs w:val="28"/>
          <w:rtl w:val="true"/>
          <w:lang w:bidi="fa-IR"/>
        </w:rPr>
        <w:t xml:space="preserve">قال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تطهر الخمر إذا انقلبت خلاًّ، سواء کان إنقلابها بعلاج أو من قبل نفسها، وسواء کان ما یعالج به عینا باقیة أو مستهلکة وإن کان یکره العلاج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أن یکون ما یعالج به باقیاً أو مستهلکاً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فرق بین إستهلاک ما یعالج به أو لا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رمی فی العصیر قبل إشتداده أو بعده و فی الخمر جسم طاهر کان بحکمه فی الطهارة والنجاسة قبل الإنقلاب و بعده، سواء استهلکت عینه أو کانت باقیة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تحلّ الخمر إذا استحال خلاًّ بعلاج أو غیره، سواء کان ما عولج به عینا قائمة أو لا، علی الأقرب </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جملة من هذه العبارات و غیرها فیما تقدّم من الخمر المستحیلة خلاًّ و بعد أن ذکرنا فیما تقدّم من طهارة الأجسام الواقعة بالتبعیّة تثبت الحکم هنا بطریق أولی، مضافاً إلی جملة من کلماتهم هیهنا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متی حکم بطهره حکم بطهر آلات طبخه، و أیدی مزاویله، </w:t>
      </w:r>
    </w:p>
    <w:p>
      <w:pPr>
        <w:pStyle w:val="BookText"/>
        <w:rPr/>
      </w:pPr>
      <w:r>
        <w:rPr>
          <w:rFonts w:ascii="IRNazanin" w:hAnsi="IRNazanin" w:eastAsia="IRNazanin"/>
          <w:color w:val="111111"/>
          <w:sz w:val="28"/>
          <w:sz w:val="28"/>
          <w:szCs w:val="28"/>
          <w:rtl w:val="true"/>
          <w:lang w:bidi="fa-IR"/>
        </w:rPr>
        <w:t xml:space="preserve">و ثیابهم، کما یحکم بطهر آلات الخمر و ما فیها من الأجسام الموضوعة للعلاج وغیره بانقلابه خلاًّ، و طهر ید نازح البئر والدلو والرشا و حافات البئر و جوانبها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جمیع ذلک أنّه لولا الحکم بطهره لکانت طهارة هذه الأشیاء إمّا متعذّرة أو متعسّرة جدّا، بحیث یلزم منه مشقّة عظیمة، و حرج واضح، مدفوع بالآی والخبر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وضع فیه أجسام طاهرة تبعته فی الطهارة والنجاسة، قطع به المصنّف فی النهایة، و یؤیّده طهر الأجسام المطروحة فی الخمر المنقلب خلاًّ، و لیس قیاساً ممنوعاً بل جلیّا من باب مفهوم الموافقة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المقاصد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بطهره تطهر آلات طبخه، و أیدی مزاولیه، وثیابهم، و ما فیه من الأجسام الطاهرة بالأصل، کما یحکم بطهر آنیة الخمر و ما فیها من الأجسام الموضوعة للعلاج و غیره بانقلابه خلاًّ، من باب مفهوم الموافقة لاالقیاس الممتنع، و مثله طهارة الدلو، والرشا </w:t>
      </w:r>
      <w:r>
        <w:rPr>
          <w:rStyle w:val="FootnoteAnchor"/>
          <w:rtl w:val="true"/>
        </w:rPr>
        <w:footnoteReference w:id="1176"/>
      </w:r>
      <w:r>
        <w:rPr>
          <w:rFonts w:ascii="IRNazanin" w:hAnsi="IRNazanin" w:eastAsia="IRNazanin"/>
          <w:color w:val="111111"/>
          <w:sz w:val="28"/>
          <w:sz w:val="28"/>
          <w:szCs w:val="28"/>
          <w:rtl w:val="true"/>
          <w:lang w:bidi="fa-IR"/>
        </w:rPr>
        <w:t xml:space="preserve">، و حافات البئر، و ثیاب النازح بطهرها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والسرّ فی جمیع ذلک أنّه لو لا الحکم بطهر هذه الأشیاء لزم بقاء أصولها علی النجاسة، أو حرج و عسر کثیر منفیّ بالآی والأخبار </w:t>
      </w:r>
      <w:r>
        <w:rPr>
          <w:rStyle w:val="FootnoteAnchor"/>
          <w:rtl w:val="true"/>
        </w:rPr>
        <w:footnoteReference w:id="1177"/>
      </w:r>
      <w:r>
        <w:rPr>
          <w:rFonts w:ascii="IRNazanin" w:hAnsi="IRNazanin" w:eastAsia="IRNazanin"/>
          <w:color w:val="111111"/>
          <w:sz w:val="28"/>
          <w:sz w:val="28"/>
          <w:szCs w:val="28"/>
          <w:rtl w:val="true"/>
          <w:lang w:bidi="fa-IR"/>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3" w:name="pg3696_43702"/>
      <w:bookmarkStart w:id="644" w:name="pg3696_43702"/>
      <w:bookmarkEnd w:id="644"/>
    </w:p>
    <w:p>
      <w:pPr>
        <w:pStyle w:val="Heading4"/>
        <w:numPr>
          <w:ilvl w:val="3"/>
          <w:numId w:val="1"/>
        </w:numPr>
        <w:rPr/>
      </w:pPr>
      <w:bookmarkStart w:id="645" w:name="pg3696_43702"/>
      <w:bookmarkStart w:id="646" w:name="__RefHeading___Toc488723_2281741623"/>
      <w:bookmarkStart w:id="647" w:name="_Toc255"/>
      <w:bookmarkEnd w:id="645"/>
      <w:bookmarkEnd w:id="646"/>
      <w:r>
        <w:rPr>
          <w:rtl w:val="true"/>
        </w:rPr>
        <w:t>المقصد الثانی</w:t>
      </w:r>
      <w:r>
        <w:rPr>
          <w:rtl w:val="true"/>
        </w:rPr>
        <w:t xml:space="preserve">: </w:t>
      </w:r>
      <w:r>
        <w:rPr>
          <w:rtl w:val="true"/>
        </w:rPr>
        <w:t>فی العصیر الزبیبی</w:t>
      </w:r>
      <w:bookmarkEnd w:id="647"/>
    </w:p>
    <w:p>
      <w:pPr>
        <w:pStyle w:val="Heading5"/>
        <w:numPr>
          <w:ilvl w:val="4"/>
          <w:numId w:val="1"/>
        </w:numPr>
        <w:rPr/>
      </w:pPr>
      <w:bookmarkStart w:id="648" w:name="__RefHeading___Toc488725_2281741623"/>
      <w:bookmarkStart w:id="649" w:name="_Toc256"/>
      <w:bookmarkEnd w:id="648"/>
      <w:r>
        <w:rPr>
          <w:rtl w:val="true"/>
        </w:rPr>
        <w:t>اشارة</w:t>
      </w:r>
      <w:bookmarkEnd w:id="649"/>
    </w:p>
    <w:p>
      <w:pPr>
        <w:pStyle w:val="BookText"/>
        <w:rPr/>
      </w:pPr>
      <w:r>
        <w:rPr>
          <w:rFonts w:ascii="IRNazanin" w:hAnsi="IRNazanin" w:eastAsia="IRNazanin"/>
          <w:color w:val="111111"/>
          <w:sz w:val="28"/>
          <w:sz w:val="28"/>
          <w:szCs w:val="28"/>
          <w:rtl w:val="true"/>
          <w:lang w:bidi="fa-IR"/>
        </w:rPr>
        <w:t>المقصد الثانی</w:t>
      </w:r>
    </w:p>
    <w:p>
      <w:pPr>
        <w:pStyle w:val="BookText"/>
        <w:rPr/>
      </w:pPr>
      <w:r>
        <w:rPr>
          <w:rFonts w:ascii="IRNazanin" w:hAnsi="IRNazanin" w:eastAsia="IRNazanin"/>
          <w:color w:val="111111"/>
          <w:sz w:val="28"/>
          <w:sz w:val="28"/>
          <w:szCs w:val="28"/>
          <w:rtl w:val="true"/>
          <w:lang w:bidi="fa-IR"/>
        </w:rPr>
        <w:t>فی العصیر الزبیبی و ما یتعلّق به من نفس الزبیب</w:t>
      </w:r>
    </w:p>
    <w:p>
      <w:pPr>
        <w:pStyle w:val="BookText"/>
        <w:rPr/>
      </w:pPr>
      <w:r>
        <w:rPr>
          <w:rFonts w:ascii="IRNazanin" w:hAnsi="IRNazanin" w:eastAsia="IRNazanin"/>
          <w:color w:val="111111"/>
          <w:sz w:val="28"/>
          <w:sz w:val="28"/>
          <w:szCs w:val="28"/>
          <w:rtl w:val="true"/>
          <w:lang w:bidi="fa-IR"/>
        </w:rPr>
        <w:t xml:space="preserve">والکلام فیه فی مقامات </w:t>
      </w:r>
      <w:r>
        <w:rPr>
          <w:rFonts w:eastAsia="IRNazanin" w:cs="IRNazanin"/>
          <w:color w:val="111111"/>
          <w:sz w:val="28"/>
          <w:szCs w:val="28"/>
          <w:rtl w:val="true"/>
          <w:lang w:bidi="fa-IR"/>
        </w:rPr>
        <w:t>:</w:t>
      </w:r>
    </w:p>
    <w:p>
      <w:pPr>
        <w:pStyle w:val="Heading5"/>
        <w:numPr>
          <w:ilvl w:val="4"/>
          <w:numId w:val="1"/>
        </w:numPr>
        <w:rPr/>
      </w:pPr>
      <w:bookmarkStart w:id="650" w:name="__RefHeading___Toc488727_2281741623"/>
      <w:bookmarkStart w:id="651" w:name="_Toc257"/>
      <w:bookmarkEnd w:id="650"/>
      <w:r>
        <w:rPr>
          <w:rtl w:val="true"/>
        </w:rPr>
        <w:t>المقام الأوّل</w:t>
      </w:r>
      <w:r>
        <w:rPr>
          <w:rtl w:val="true"/>
        </w:rPr>
        <w:t xml:space="preserve">: </w:t>
      </w:r>
      <w:r>
        <w:rPr>
          <w:rtl w:val="true"/>
        </w:rPr>
        <w:t>فی حلّیته و حرمته</w:t>
      </w:r>
      <w:bookmarkEnd w:id="651"/>
    </w:p>
    <w:p>
      <w:pPr>
        <w:pStyle w:val="Heading6"/>
        <w:numPr>
          <w:ilvl w:val="5"/>
          <w:numId w:val="1"/>
        </w:numPr>
        <w:rPr/>
      </w:pPr>
      <w:bookmarkStart w:id="652" w:name="__RefHeading___Toc488729_2281741623"/>
      <w:bookmarkStart w:id="653" w:name="_Toc258"/>
      <w:bookmarkEnd w:id="652"/>
      <w:r>
        <w:rPr>
          <w:rtl w:val="true"/>
        </w:rPr>
        <w:t xml:space="preserve">و فیه قولان </w:t>
      </w:r>
      <w:r>
        <w:rPr>
          <w:rtl w:val="true"/>
        </w:rPr>
        <w:t>:</w:t>
      </w:r>
      <w:bookmarkEnd w:id="653"/>
    </w:p>
    <w:p>
      <w:pPr>
        <w:pStyle w:val="Heading6"/>
        <w:numPr>
          <w:ilvl w:val="5"/>
          <w:numId w:val="1"/>
        </w:numPr>
        <w:rPr/>
      </w:pPr>
      <w:bookmarkStart w:id="654" w:name="__RefHeading___Toc488731_2281741623"/>
      <w:bookmarkStart w:id="655" w:name="_Toc259"/>
      <w:bookmarkEnd w:id="654"/>
      <w:r>
        <w:rPr>
          <w:rtl w:val="true"/>
        </w:rPr>
        <w:t>اشارة</w:t>
      </w:r>
      <w:bookmarkEnd w:id="655"/>
    </w:p>
    <w:p>
      <w:pPr>
        <w:pStyle w:val="BookText"/>
        <w:rPr/>
      </w:pPr>
      <w:r>
        <w:rPr>
          <w:rFonts w:ascii="IRNazanin" w:hAnsi="IRNazanin" w:eastAsia="IRNazanin"/>
          <w:color w:val="111111"/>
          <w:sz w:val="28"/>
          <w:sz w:val="28"/>
          <w:szCs w:val="28"/>
          <w:rtl w:val="true"/>
          <w:lang w:bidi="fa-IR"/>
        </w:rPr>
        <w:t xml:space="preserve">إعلم، انّ فی حلّیته و حرمته قولین </w:t>
      </w:r>
      <w:r>
        <w:rPr>
          <w:rFonts w:eastAsia="IRNazanin" w:cs="IRNazanin"/>
          <w:color w:val="111111"/>
          <w:sz w:val="28"/>
          <w:szCs w:val="28"/>
          <w:rtl w:val="true"/>
          <w:lang w:bidi="fa-IR"/>
        </w:rPr>
        <w:t>:</w:t>
      </w:r>
    </w:p>
    <w:p>
      <w:pPr>
        <w:pStyle w:val="Heading6"/>
        <w:numPr>
          <w:ilvl w:val="5"/>
          <w:numId w:val="1"/>
        </w:numPr>
        <w:rPr/>
      </w:pPr>
      <w:bookmarkStart w:id="656" w:name="__RefHeading___Toc488733_2281741623"/>
      <w:bookmarkStart w:id="657" w:name="_Toc260"/>
      <w:bookmarkEnd w:id="656"/>
      <w:r>
        <w:rPr>
          <w:rtl w:val="true"/>
        </w:rPr>
        <w:t xml:space="preserve">القول الأوّل </w:t>
      </w:r>
      <w:r>
        <w:rPr>
          <w:rtl w:val="true"/>
        </w:rPr>
        <w:t xml:space="preserve">: </w:t>
      </w:r>
      <w:r>
        <w:rPr>
          <w:rtl w:val="true"/>
        </w:rPr>
        <w:t>انّه حلال طاهر</w:t>
      </w:r>
      <w:bookmarkEnd w:id="657"/>
    </w:p>
    <w:p>
      <w:pPr>
        <w:pStyle w:val="Heading6"/>
        <w:numPr>
          <w:ilvl w:val="5"/>
          <w:numId w:val="1"/>
        </w:numPr>
        <w:rPr/>
      </w:pPr>
      <w:bookmarkStart w:id="658" w:name="__RefHeading___Toc488735_2281741623"/>
      <w:bookmarkStart w:id="659" w:name="_Toc261"/>
      <w:bookmarkEnd w:id="658"/>
      <w:r>
        <w:rPr>
          <w:rtl w:val="true"/>
        </w:rPr>
        <w:t>اشارة</w:t>
      </w:r>
      <w:bookmarkEnd w:id="659"/>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إذا غلی لم یحرم بل هو حلال طاهر، و هو مذهب الأکثر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الشرائع،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البحث فی الزبیب إذا نقع فی الماء فغلی من نفسه أو بالنار، فالأشبه انّه لا یحرم ما لم یبلغ الشدة المسکرة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0" w:name="__RefHeading___Toc488737_2281741623"/>
      <w:bookmarkStart w:id="661" w:name="_Toc262"/>
      <w:bookmarkEnd w:id="660"/>
      <w:r>
        <w:rPr>
          <w:rtl w:val="true"/>
        </w:rPr>
        <w:t>کلمات العلماء فیه</w:t>
      </w:r>
      <w:bookmarkEnd w:id="661"/>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النافع،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العصیر إذا غلی ما لم یذهب ثلثاه، و کلّ ما حصلت فیه الشدة المسکرة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القواعد،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الزبیب إذا نقع بالماء فغلی من نفسه أو بالنار، والأقرب البقاء علی الحلّ ما لم یبلغ الشدة المسکرة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التمر إذا غلی و لا یبلغ حدّ الإسکار، فالأقرب بقاؤه علی التحلیل حتّی یبلغ الشدة المسکرة، و کذا الزبیب إذا نقع بالماء فغلی من نفسه أو بالنار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الإرشاد،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غلی التمر و الزبیب و لایسکر فلا تحریم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اللمعة، فی کتاب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العصیر العنبی إذا غلی حتّی یذهب ثلثاه أو ینقلب خلاًّ، و لایحرم من الزبیب و إن غلی، علی الأقوی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الدروس، فی کتاب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لایحرم المعتصر من الزبیب ما لم‌یحصل فیه نشیش، فیحلّ طبیخ الزبیب علی الأصحّ، لذهاب ثلثیه غالباً بالشمس، و خروجه عن مسمّی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حرّمه بعض مشایخنا المعاصرین، و هو مذهب بعض فضلائنا المتقدّمین، لمفهوم روایة علیّ بن جعفر علیه‌السلام ، عن أخیه علیه‌السلام ، حیث سأله عن الزبیب یؤخذ مائه فیطبخ حتّی یذهب ثلثاه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حاشیة الإرشاد، فی شرح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العصیر إذا غلی واشتدّ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به العصیر العنبیّ، دون عصیر الزبیب والتمر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حاشیة الشرائع، فی شرح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حکمها العصیر إذا غلی واشتدّ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المراد العصیر العنبی، و لایلحق به عصیر الزبیب، و لا عصیر التمر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جامع المقاصد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عصیر الزبیب، فهو علی أصل الطهارة، علی الأصحّ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محکیّ التنقیح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عصیر الزبیب إذا لم یسکر ، فالأقرب بقاؤه علی الحلّ و إن غلی، مع إحتمال أن یکون کعصیر العنب </w:t>
      </w:r>
      <w:r>
        <w:rPr>
          <w:rStyle w:val="FootnoteAnchor"/>
          <w:rtl w:val="true"/>
        </w:rPr>
        <w:footnoteReference w:id="1189"/>
      </w:r>
      <w:r>
        <w:rPr>
          <w:rFonts w:ascii="IRNazanin" w:hAnsi="IRNazanin" w:eastAsia="IRNazanin"/>
          <w:color w:val="111111"/>
          <w:sz w:val="28"/>
          <w:sz w:val="28"/>
          <w:szCs w:val="28"/>
          <w:rtl w:val="true"/>
          <w:lang w:bidi="fa-IR"/>
        </w:rPr>
        <w:t xml:space="preserve">، لأنّه عنب قد جفّ، والعمل علی الأولی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المسالک،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نقیع الزبیب، و هو إذا غلی ولم یذهب ثلثاه، فقیل بتحریمه کعصیر العنب ، لإشتراکهما فی أصل الحقیقة ، و لفحوی روایة علیّ بن جعفر علیه‌السلام ، عن أخیه موسی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والأصحّ حلّه، للأصل، واستصحاب الحلّ، و خروجه عن إسم العنب الّذی عصیره متعلّق التحریم، ولذهاب ثلثیه بالشمس، و دلالة الروایة علی التحریم ممنوعة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کتاب الأطعمة و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مختصّ بعصیر العنب، فلا یتعدّی إلی غیره کعصیر التمر، ما لم یسکر للأصل، و لا إلی عصیر الزبیب علی الأصحّ، لخروجه عن إسمه، و ذهاب ثلثیه و زیادة بالشمس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حرّمه بعض علمائنا إستناداً إلی مفهوم روایة علیّ بن جعفر علیه‌السلام ، عن أخیه علیه‌السلام ، حیث سأله عن الزبیب هل یصلح أن یطبخ به حتّی یخرج طعمه، ثمّ یؤخذ ذلک الماء فیطبخ حتّی یذهب ثلثاه و یبقی الثلث، ثمّ یوضع فیشرب منه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الروایة مع أنّ فی طریقها سهل بن زیاد، لا تدلّ علی تحریمه قبل ذهاب ثلثیه بوجه، و إنّما نفی علیه‌السلام البأس علی هذا العمل الموصوف و إبقاء الشراب عنده لیشرب منه، و تخصیص السؤال بالثلثین لایدلّ علی تحریمه بدونه، و لا بالمفهوم الّذی ادّعوه، و انّما تظهر فائدة التقیید به لیذهب مائیّته فیصلح للمکث عنده المدّة المذکورة کما یبقی الدبس، و لو سلّم دلالتها بالمفهوم فهو ضعیف، لایصلح لإثبات مثل هذا الحکم المخالف للأصل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 أبو بصیر فی الصحیح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علیه‌السلام یعجبه الزبیبیّة </w:t>
      </w:r>
      <w:r>
        <w:rPr>
          <w:rStyle w:val="FootnoteAnchor"/>
          <w:rtl w:val="true"/>
        </w:rPr>
        <w:footnoteReference w:id="1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ظاهر فی الحلّ، لأنّ طعام الزبیبیّة لایذهب منه ثلثا ماء الزبیب کما لایخفی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مخصوص بعصیر العنب کما ذکرناه، فلا یلحق به عصیر التمر، و غیره حتّی الزبیب علی الأصحّ، ما لم یحصل فیه خاصیّة الفقّاع، للأصل، و خروجه عن مسمّی العنب، و ذهاب ثلثیه بالشمس، فکما یعتبر فی نجاسته فکذا فی طهارته، فیحلّ طبیخه، خلافاً لجماعة من الأصحاب محتجّین بمفهوم روایة علیّ بن جعفر علیه‌السلام ، عن أخیه موسی علیه‌السلام ، حیث سأله عن الزبیب یؤخذ ماؤه فیطبخ حتّی یذهب ثلثاه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المفهوم الوصفی ضعیفة عندنا لو صحّ سند الحدیث، کیف و فی طریقه سهل بن زیاد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لایحرم العصیر من الزبیب و إن غلی علی الأقوی، لخروجه عن مسمّی العنب، و إصالة الحلّ، و إستصحابه، خرج منه عصیر العنب إذا غلی بالنصّ فیبقی غیره علی الأصل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 الأصحاب إلی تحریمه لمفهوم روایة علیّ بن جعفر علیه‌السلام ، عن أخیه موسی علیه‌السلام ، حیث سأله عن الزبیب یؤخذ ماؤه فیطبخ حتّی یذهب ثلثاه،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مفهومه التحریم قبل ذهاب الثلثین، و سند الروایة والمفهوم ضعیفان، فالقول بالتحریم أضعف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النجاسة فلا شبهة فی نفیها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المقاصد العلیّة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یلحق به، أی بالعصیر العنبیّ، عصیر التمر و غیره إجماعا </w:t>
      </w:r>
      <w:r>
        <w:rPr>
          <w:rStyle w:val="FootnoteAnchor"/>
          <w:rtl w:val="true"/>
        </w:rPr>
        <w:footnoteReference w:id="1196"/>
      </w:r>
      <w:r>
        <w:rPr>
          <w:rFonts w:ascii="IRNazanin" w:hAnsi="IRNazanin" w:eastAsia="IRNazanin"/>
          <w:color w:val="111111"/>
          <w:sz w:val="28"/>
          <w:sz w:val="28"/>
          <w:szCs w:val="28"/>
          <w:rtl w:val="true"/>
          <w:lang w:bidi="fa-IR"/>
        </w:rPr>
        <w:t xml:space="preserve">، و لا الزبیب علی أصحّ القولین، للأصل، و ضعف متمسّک القائل بالإلحاق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غایة المرام للصیمری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التمر أو الزبیب إذا جعل بالماء فغلی من نفسه أو بالنار، و لم یبلغ الشدّة المسکرة، احتمل فیه التحریم مساواة للعصیر إذا غلی، ویحتمل عدم التحریم لأصالة الإباحة، فیقتصر علی موضع النصّ، و هو المشهور بین الأصحاب، واختاره المصنّف، والعلاّمة، و إبنه، و هو المعتمد </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مجمع الفائدة، فی کتاب الأطعمة و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اعلم انّ المشهور انّ التحریم بالغلیان مخصوص بالعصیر العنبی، و لا خلاف فی حلّیة عصیر غیر التمر و الزبیب، مثل عصیر التفّاح، والرّمان، و إن غلی ما لم یکن مسکراً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فیهما مع الغلیان خلاف، و المشهور الحلّ، و یؤیّده الأصل، والعمومات، و حصر المحرّمات فی الآیة، والأخبار الکثیرة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بالتحریم، بل یظهر أیضاً القول بالنجاسة من الذکری، والظاهر الطهارة، و لاینبغی النزاع فی ذلک لما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قیاسهما علی الخمر والعصیر العنبیّ باطل، مع عدم ثبوت الحکم فی الأصل والحلّ لما مرّ، و لعدم دلیل صالح للتحریم إلاّ ما مرّ من عموم العصیر، والظاهر أنّهما لیسا بداخلین فیه، والمراد منه العصیر العنبیّ کما یفهم من کلامهم ومن ظاهر الأخبار، و لهذا ما قال أحد بالعموم إلاّ ما أخرجه الدلیل، و ما استدلّ القائل بعدم إباحتهما بتلک العمومات، و ما استدلّ له بها أیضا، فکأنّ العصیر عندهم مخصوصاً بالعنب بالوضع الثانی، فتأمّل </w:t>
      </w:r>
      <w:r>
        <w:rPr>
          <w:rStyle w:val="FootnoteAnchor"/>
          <w:rtl w:val="true"/>
        </w:rPr>
        <w:footnoteReference w:id="1199"/>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الکفایة،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والأشهر الأقرب أنّه لا یحرم عصیر الزبیب، إذ لایصدق علیه العنب، فتشمله الأدلّة العامّة المقتضیة للحِلّ </w:t>
      </w:r>
      <w:r>
        <w:rPr>
          <w:rStyle w:val="FootnoteAnchor"/>
          <w:rtl w:val="true"/>
        </w:rPr>
        <w:footnoteReference w:id="1200"/>
      </w:r>
      <w:r>
        <w:rPr>
          <w:rFonts w:ascii="IRNazanin" w:hAnsi="IRNazanin" w:eastAsia="IRNazanin"/>
          <w:color w:val="111111"/>
          <w:sz w:val="28"/>
          <w:sz w:val="28"/>
          <w:szCs w:val="28"/>
          <w:rtl w:val="true"/>
          <w:lang w:bidi="fa-IR"/>
        </w:rPr>
        <w:t xml:space="preserve">، و فی عصیر التمر قولان، والأشهر الأقرب عدم التحریم </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یلحق به عصیر الزبیب إذا غلی فی النجاسة ؟ لا أعلم بذلک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فی التحریم، فالأکثر علی عدمه، فیحلّ طبیخ الزبیب لذهاب ثلثیه بالشمس غالباً، و خروجه عن مسمّی العنب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بتحریمه، و هو المنقول عن بعض المتقدّمین، ونقله الشهید فی الدروس عن بعض معاصریه، والأوّل أقرب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تحریم عصیر الزبیب والتمر لایخلو من قوّة، لما مرّ من عمومات الحلّ، و عدم ورود ما یصلح لتخصیصها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روایة علیّ بن جعفر ـ مع ضعفها علی المشهور ـ بالمفهوم، و هی ضعیفة خصوصاً إذا کان فی کلام السائل علی أنّ مفهومه وجود البأس قبل ذهاب الثلثین، و هو أعمّ من الحرمة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روایة عمّار أیضا ضعیفة سندا و متنا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الدالّة علی تحریم العصیر بعد الغلیان أکثرها عامّة أو مطلقة، شاملة لکلّ عصیر خرج عنه ما حلّ بالإجماع کعصیر الرمّان و أشباهه، فیبقی عصیر الزبیب والتمر داخلین تحت عموم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شمول العصیر حقیقة لما ینفصل عنهما، فممنوع، إذ لا ینفصل منهما شیء إلاّ بعد نقعهما فی الماء، فلایسمّی عصیرا إلاّ مجازا، بل هو نقیع، و ما ینفصل عن التمر بلا نقع، فهو دبس لایطلق علیه العصیر، بل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یحصل الظنّ القویّ بعد تتبّع الأخبار و کلام الأصحاب بشیوع إستعمال العصیر بما یختصّ بالعنب </w:t>
      </w:r>
      <w:r>
        <w:rPr>
          <w:rStyle w:val="FootnoteAnchor"/>
          <w:rtl w:val="true"/>
        </w:rPr>
        <w:footnoteReference w:id="1203"/>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کشف اللثام، فی کتاب الحدود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إذا نقع بالماء فغلی من نفسه أو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خروجه عن مسمّی العصیر، و من إتّحاد الذات والصفات سوی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البقاء علی الحلّ ما لم یبلغ الشدّة المسکرة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للأصل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عصیر الزبیب إذا غلی لم یحلّ ما لم یتخلّل، و إذا طبخ علی النار لم یحلّ ما لم یذهب ثلثاه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ظاهر الکتاب یحلّ کلّ بکلّ </w:t>
      </w:r>
    </w:p>
    <w:p>
      <w:pPr>
        <w:pStyle w:val="BookText"/>
        <w:rPr/>
      </w:pPr>
      <w:r>
        <w:rPr>
          <w:rFonts w:ascii="IRNazanin" w:hAnsi="IRNazanin" w:eastAsia="IRNazanin"/>
          <w:color w:val="111111"/>
          <w:sz w:val="28"/>
          <w:sz w:val="28"/>
          <w:szCs w:val="28"/>
          <w:rtl w:val="true"/>
          <w:lang w:bidi="fa-IR"/>
        </w:rPr>
        <w:t xml:space="preserve">منهما، و سواء تذیب بالشمس أو لا، إذا اختصّ التحریم بعصیر العنب، و قلنا بخروجه عنه </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المشهور بین الأصحاب ـ رضوان اللّه علیهم ـ کونه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ماء الزبیب إذا غلی و لم یذهب ثلثاه </w:t>
      </w:r>
      <w:r>
        <w:rPr>
          <w:rFonts w:eastAsia="IRNazanin" w:cs="IRNazanin"/>
          <w:color w:val="111111"/>
          <w:sz w:val="28"/>
          <w:szCs w:val="28"/>
          <w:rtl w:val="true"/>
          <w:lang w:bidi="fa-IR"/>
        </w:rPr>
        <w:t xml:space="preserve">] </w:t>
      </w:r>
      <w:r>
        <w:rPr>
          <w:rStyle w:val="FootnoteAnchor"/>
          <w:rtl w:val="true"/>
        </w:rPr>
        <w:footnoteReference w:id="1206"/>
      </w:r>
      <w:r>
        <w:rPr>
          <w:rFonts w:ascii="IRNazanin" w:hAnsi="IRNazanin" w:eastAsia="IRNazanin"/>
          <w:color w:val="111111"/>
          <w:sz w:val="28"/>
          <w:sz w:val="28"/>
          <w:szCs w:val="28"/>
          <w:rtl w:val="true"/>
          <w:lang w:bidi="fa-IR"/>
        </w:rPr>
        <w:t xml:space="preserve">حلالاً، و قیل بتحریمه، کما تقدّمت الإشارة إلیه فی کلام شیخنا الشهید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مال من قدّمنا ذکره من متأخّری المتأخّرین، و جملة من المعاصرین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قال فی آخر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والحکم فی ماء الزبیب عندی لا یخلو من توقّف، والإحتیاط فی تنجیسه ممّا لاینبغی ترکه </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الریاض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مقتضی الأصل والعمومات الدالّة علی الإباحة من الکتاب والسنّة، مع إختصاص ما دلّ علی حرمة العصیر فتویً و روایة بعصیر العنب ـ کما مرّ و سیأتی إلیه الإشارة ـ حلّ عصیری التمر والزبیب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والحصرم مطلقاً </w:t>
      </w:r>
      <w:r>
        <w:rPr>
          <w:rFonts w:eastAsia="IRNazanin" w:cs="IRNazanin"/>
          <w:color w:val="111111"/>
          <w:sz w:val="28"/>
          <w:szCs w:val="28"/>
          <w:rtl w:val="true"/>
          <w:lang w:bidi="fa-IR"/>
        </w:rPr>
        <w:t xml:space="preserve">] </w:t>
      </w:r>
      <w:r>
        <w:rPr>
          <w:rStyle w:val="FootnoteAnchor"/>
          <w:rtl w:val="true"/>
        </w:rPr>
        <w:footnoteReference w:id="1209"/>
      </w:r>
      <w:r>
        <w:rPr>
          <w:rFonts w:ascii="IRNazanin" w:hAnsi="IRNazanin" w:eastAsia="IRNazanin"/>
          <w:color w:val="111111"/>
          <w:sz w:val="28"/>
          <w:sz w:val="28"/>
          <w:szCs w:val="28"/>
          <w:rtl w:val="true"/>
          <w:lang w:bidi="fa-IR"/>
        </w:rPr>
        <w:t xml:space="preserve">و إن غلیا، ما لم یبلغا الشدّة المسکرة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واختاره الفاضلان، والشهیدان، و فخر الإسلام، والفاضل المقداد، والمفلح الصیمری، والمقدّس الأردبیلی، و صاحب الکفایة، مدّعیین علیه، کالمفلح الصیمری، الشهرة، و لا ریب فیها </w:t>
      </w:r>
      <w:r>
        <w:rPr>
          <w:rStyle w:val="FootnoteAnchor"/>
          <w:rtl w:val="true"/>
        </w:rPr>
        <w:footnoteReference w:id="1210"/>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 xml:space="preserve">. </w:t>
      </w:r>
      <w:bookmarkStart w:id="662" w:name="pg3696_43720"/>
    </w:p>
    <w:p>
      <w:pPr>
        <w:pStyle w:val="BookText"/>
        <w:rPr/>
      </w:pPr>
      <w:bookmarkEnd w:id="662"/>
      <w:r>
        <w:rPr>
          <w:rFonts w:ascii="IRNazanin" w:hAnsi="IRNazanin" w:eastAsia="IRNazanin"/>
          <w:color w:val="111111"/>
          <w:sz w:val="28"/>
          <w:sz w:val="28"/>
          <w:szCs w:val="28"/>
          <w:rtl w:val="true"/>
          <w:lang w:bidi="fa-IR"/>
        </w:rPr>
        <w:t xml:space="preserve">لکن قال فی أواخر کلامه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والإنصاف أنّ الحکم الباتّ بالحلّ فی الزبیبی لایخلو عن نوع إشکال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3" w:name="__RefHeading___Toc488739_2281741623"/>
      <w:bookmarkStart w:id="664" w:name="_Toc263"/>
      <w:bookmarkEnd w:id="663"/>
      <w:r>
        <w:rPr>
          <w:rtl w:val="true"/>
        </w:rPr>
        <w:t>ذکر کلام طویل من السیّد بحرالعلوم رحمه‌الله</w:t>
      </w:r>
      <w:bookmarkEnd w:id="664"/>
    </w:p>
    <w:p>
      <w:pPr>
        <w:pStyle w:val="BookText"/>
        <w:rPr/>
      </w:pPr>
      <w:r>
        <w:rPr>
          <w:rFonts w:ascii="IRNazanin" w:hAnsi="IRNazanin" w:eastAsia="IRNazanin"/>
          <w:color w:val="111111"/>
          <w:sz w:val="28"/>
          <w:sz w:val="28"/>
          <w:szCs w:val="28"/>
          <w:rtl w:val="true"/>
          <w:lang w:bidi="fa-IR"/>
        </w:rPr>
        <w:t xml:space="preserve">و قال فی المناهل </w:t>
      </w:r>
      <w:r>
        <w:rPr>
          <w:rStyle w:val="FootnoteAnchor"/>
          <w:rtl w:val="true"/>
        </w:rPr>
        <w:footnoteReference w:id="12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إنّه صرّح جمع من الأصحاب منهم المحقّق الثانی، والشهید الثانی، والفاضل الخراسانیّ، بأنّ العصیر الزبیبی لیس بنجس و إن غلی واشتدّ و لم یذهب ثلثاه، و خالف فی ذلک جدّی قدس‌سره فصرّح بأنّه نجس إذا غلی واشتدّ و لم یذهب ثلثاه، و هو مقتضی إطلاق المعتبر، والمنتهی، والتحریر، والإرشاد، والقواعد، والمختلف، والأقوی عندی الأوّل للأصل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مختار شیخنا رحمه‌الله فی جواهر الکلام </w:t>
      </w:r>
      <w:r>
        <w:rPr>
          <w:rStyle w:val="FootnoteAnchor"/>
          <w:rtl w:val="true"/>
        </w:rPr>
        <w:footnoteReference w:id="1214"/>
      </w:r>
      <w:r>
        <w:rPr>
          <w:rFonts w:ascii="IRNazanin" w:hAnsi="IRNazanin" w:eastAsia="IRNazanin"/>
          <w:color w:val="111111"/>
          <w:sz w:val="28"/>
          <w:sz w:val="28"/>
          <w:szCs w:val="28"/>
          <w:rtl w:val="true"/>
          <w:lang w:bidi="fa-IR"/>
        </w:rPr>
        <w:t xml:space="preserve">، و لا ریب أنّ هذا القول هو المشهور بین الأصحاب، تحصیلاً لما عرفت من المصرّحین بحلّیته من زمان المحقّق رحمه‌الله إلی زماننا هذا، والمحقّق أوّل من صرّح بهذه المسألة، و کلمات السابقین لیس فیها تصریح بهذه المسألة ؛ و نقلاً </w:t>
      </w:r>
      <w:r>
        <w:rPr>
          <w:rStyle w:val="FootnoteAnchor"/>
          <w:rtl w:val="true"/>
        </w:rPr>
        <w:footnoteReference w:id="1215"/>
      </w:r>
      <w:r>
        <w:rPr>
          <w:rFonts w:ascii="IRNazanin" w:hAnsi="IRNazanin" w:eastAsia="IRNazanin"/>
          <w:color w:val="111111"/>
          <w:sz w:val="28"/>
          <w:sz w:val="28"/>
          <w:szCs w:val="28"/>
          <w:rtl w:val="true"/>
          <w:lang w:bidi="fa-IR"/>
        </w:rPr>
        <w:t xml:space="preserve">کما فی غایة المرام، و مجمع الفائدة، والذخیرة، والکفایة، والحدائق، و غیرها </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سیّدنا المحقّق </w:t>
      </w:r>
      <w:r>
        <w:rPr>
          <w:rStyle w:val="FootnoteAnchor"/>
          <w:rtl w:val="true"/>
        </w:rPr>
        <w:footnoteReference w:id="1217"/>
      </w:r>
      <w:r>
        <w:rPr>
          <w:rFonts w:ascii="IRNazanin" w:hAnsi="IRNazanin" w:eastAsia="IRNazanin"/>
          <w:color w:val="111111"/>
          <w:sz w:val="28"/>
          <w:sz w:val="28"/>
          <w:szCs w:val="28"/>
          <w:rtl w:val="true"/>
          <w:lang w:bidi="fa-IR"/>
        </w:rPr>
        <w:t xml:space="preserve">، الجلیل، النبیل، صاحب المقامات العالیة، والکرامات السامیة، قد أنکر الشهرة و نفی ثبوتها،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مذاهب أکثر المتقدّمین علی المفید </w:t>
      </w:r>
    </w:p>
    <w:p>
      <w:pPr>
        <w:pStyle w:val="BookText"/>
        <w:rPr/>
      </w:pPr>
      <w:r>
        <w:rPr>
          <w:rFonts w:ascii="IRNazanin" w:hAnsi="IRNazanin" w:eastAsia="IRNazanin"/>
          <w:color w:val="111111"/>
          <w:sz w:val="28"/>
          <w:sz w:val="28"/>
          <w:szCs w:val="28"/>
          <w:rtl w:val="true"/>
          <w:lang w:bidi="fa-IR"/>
        </w:rPr>
        <w:t xml:space="preserve">من الفقهاء کابن الجنید، و إبن أبی عقیل، و غیرهما، لم یعرف إلاّ بالنقل عنهم، لذهاب کتبهم واندراسها، و لم ینقل أحد من الأصحاب فی المسألة عنهم قولاً بالحلّ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مصنّفات المفید، والمرتضی، و سلاّر، لیس فیها تعرّض لحکم العصیر، فضلاً عن الزبیبی بخصوصه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 الشیخ رحمه‌الله فی المسألة مختلف، و هو مع إختلافه لیس نصّا فی شیء من الحلّ و التحریم کما عرفت، و کذا کلام إبن البرّاج، و إبن حمزة، و غیرهما من أتباع الشیخ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الفاضلان </w:t>
      </w:r>
      <w:r>
        <w:rPr>
          <w:rStyle w:val="FootnoteAnchor"/>
          <w:rtl w:val="true"/>
        </w:rPr>
        <w:footnoteReference w:id="1218"/>
      </w:r>
      <w:r>
        <w:rPr>
          <w:rFonts w:ascii="IRNazanin" w:hAnsi="IRNazanin" w:eastAsia="IRNazanin"/>
          <w:color w:val="111111"/>
          <w:sz w:val="28"/>
          <w:sz w:val="28"/>
          <w:szCs w:val="28"/>
          <w:rtl w:val="true"/>
          <w:lang w:bidi="fa-IR"/>
        </w:rPr>
        <w:t xml:space="preserve">، فالظاهر أنّ الّذی إستقرّ علیه رأیهما هو التحریم ، کما یقتضیه إطلاق المحقّق تحریم العصیر، فی کتاب المطاعم والحدود، من النافع الّذی هو مختصر الشرائع و متأخّر فی التصنیف عنه ؛ و کذا ما سبق عن العلاّمة رحمه‌الله فی المسائل المدنیّة المتأخّرة عن کتبه الفقهیّة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فتوی الشهید رحمه‌الله فی المسألة مختلفة، إذ ظاهره التحلیل مطلقاً، والمستفاد من الدروس التفصیل بحلّ الطبیخ دون النقیع، و هو خلاف ما ذهب إلیه القائلون بالحلّ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کلام إبن فهد، فی حدود المهذّب، یقتضی رجوعه عن إختیاره الحلّ فی أطعمة الکتاب، فإذن لم یخلص للقول بالحلّ إلاّ آحاد، لا یثبت بهم إشتهار القول المذکور قطعاً، و باقی الأصحاب بین قائل بالتحریم، و مختلف فی فتویه، وساکت عن المسألة، أو سکوت عنه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والأمر الثابت المقطوع به هنا حکم الأصحاب بتحریم العصیر، و روایتهم الأخبار الواردة فیه ؛ و فی خصوص المعتصر من الزبیب، و هو عند التحقیق رافع إلی القول بالتحریم ما لم یعلم خلافه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علم من ذلک بطلان دعوی الإشتهار فی جانب الحلّ، و أنّ الظاهر إشتهار التحریم، خصوصاً عند القدماء من أصحاب الحدیث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غایة ما یقال فی مقام التسلیم هو نفی الشهرة عن الجانبین، أو القول بثبوت الشهرتین إشتهار التحریم بین المتقدّمین، و شهرة الحلّ بین المتأخّرین، فأمّا إشتهار الحلّ، فلا </w:t>
      </w:r>
      <w:r>
        <w:rPr>
          <w:rStyle w:val="FootnoteAnchor"/>
          <w:rtl w:val="true"/>
        </w:rPr>
        <w:footnoteReference w:id="1219"/>
      </w:r>
      <w:r>
        <w:rPr>
          <w:rFonts w:ascii="IRNazanin" w:hAnsi="IRNazanin" w:eastAsia="IRNazanin"/>
          <w:color w:val="111111"/>
          <w:sz w:val="28"/>
          <w:sz w:val="28"/>
          <w:szCs w:val="28"/>
          <w:rtl w:val="true"/>
          <w:lang w:bidi="fa-IR"/>
        </w:rPr>
        <w:t xml:space="preserve">، إنتهی کلامه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منه رحمه‌الله أیضا کلام طویل فی نفی الشهرة عن هذا القول، و جعل رحمه‌الله جملة ممّن تقدّم نقل عباراتهم من القائلین بالتحریم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أطلق جماعة من الأصحاب تحریمه فی کتب الفتوی من دون تقیید بالعنبیّ، و ظاهرهم تحریم العصیر بأنواعه الثلاثة المشهورة، فإنّ إطلاقه علی الزبیبی والتمری فی عبارات الفقهاء ظاهر معروف، و قد مضی فی کلامهم ما یدلّ علیه، و یأتی إن شاء اللّه تعالی ما یزیده بیاناً و وضوحاً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ادّعی أنّ المراد به فی کلام الأصحاب خصوص العنبیّ حیث یطلق، فهو مطالب بدلیل التقیید، و تقییده فی بعض عباراتهم لدلیل لا یوجب التقیید به مطلقاً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ممّن أطلق القول بتحریم العصیر الشیخ، و إبن البرّاج، و إبن حمزة فی النهایة والمهذّب والوسیلة، إلاّ أنّهم ذکروا بعد ذلک ما نقلناه عنهم فی جملة أقوال المحلّلین ، و لیس فیما ذکروه تصریح بإرادة الحلّ مطلقاً ، و تقیید کلامهم الأوّل </w:t>
      </w:r>
    </w:p>
    <w:p>
      <w:pPr>
        <w:pStyle w:val="BookText"/>
        <w:rPr/>
      </w:pPr>
      <w:r>
        <w:rPr>
          <w:rFonts w:ascii="IRNazanin" w:hAnsi="IRNazanin" w:eastAsia="IRNazanin"/>
          <w:color w:val="111111"/>
          <w:sz w:val="28"/>
          <w:sz w:val="28"/>
          <w:szCs w:val="28"/>
          <w:rtl w:val="true"/>
          <w:lang w:bidi="fa-IR"/>
        </w:rPr>
        <w:t xml:space="preserve">بما یوافق إطلاق الثانی، لیس بأولی من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جری الفاضلان رحمهماالله ، فی کتاب المطاعم و المشارب ، علی منوال من تقدّمهما من الأصحاب، حیث أطلقا فیه تحریم العصیر، و لم یتعرّضا لحکم الزبیبی والتمری بالخصوص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المحقّق رحمه‌الله فی الشرائع </w:t>
      </w:r>
      <w:r>
        <w:rPr>
          <w:rStyle w:val="FootnoteAnchor"/>
          <w:rtl w:val="true"/>
        </w:rPr>
        <w:footnoteReference w:id="12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ویحرم العصیر إذا غلی بأن یصیر أسفله أعلاه، سواء غلی بنفسه أو بالنار، فإن غلی بالنار وذهب ثلثاه حلّ، ولایحلّ لوذهب أقلّ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القواعد </w:t>
      </w:r>
      <w:r>
        <w:rPr>
          <w:rStyle w:val="FootnoteAnchor"/>
          <w:rtl w:val="true"/>
        </w:rPr>
        <w:footnoteReference w:id="1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والعصیر إذا غلی حرام نجس، سواء غلی من قبل نفسه أو بالنار، و لا یحلّ حتّی یذهب ثلثاه أو یصیر خلاًّ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یحرم العصیر إذا غلی واشتدّ إلاّ أن ینقلب خلاًّ أو یذهب ثلثاه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کلامهما فی هذا المقام الّذی یناسب فیه التفصیل لو ثبت، یقتضی کون التحریم عندهما فیه غیر مختصّ بالعصیر العنبی، و إلاّ لکان الحکم فی الزبیبی والتمری ـ مع عموم البلوی به و مسیس الحاجة إلیه ـ مهملاً فی موضعه، متروک البیان فی محلّه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والإعتماد علی حکم الأصل فی هذا الأمر الّذی یتوفّر إلیه الدواعی، بعید عن طریقة الفقهاء، فإنّ من عادتهم التعرّض لمثل ذلک خصوصاً مع وجود الخلاف و تطرّق الشبهة باعتبار تعارض الأدلّة و ترجیحها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والإختصاص فی کتاب الحدود لا ینافی ذلک، فإنّ إختلافهما فی المسألة الواحدة و لو فی الکتاب الواحد، غیر عزیز، والتنبیه علی المواضع الّتی إتّفق لهما ذلک یفضی إلی التطویل الخارج عن الغرض، و ثبوتهما التخصیص فی الحدود بالنظر والتردّد ممّا یشهد بإرادتهما العموم من إطلاق العصیر فی کتاب المطاعم، مع أنّ المحقّق رحمه‌الله فی النافع قد أطلق تحریم العصیر فی الحدود أیضا کما فی الأطعمة، و کذا العلاّمة رحمه‌الله فی التبصرة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حکی فخرالمحقّقین رحمه‌الله فی حواشی الإرشاد علی ما نقل عنه، عن والده العلاّمة رحمه‌الله ، أنّه کان یجتنب عصیر الزبیب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کلامه فی أجوبة مسائل مهنّا بن سنان المدنیّ </w:t>
      </w:r>
      <w:r>
        <w:rPr>
          <w:rStyle w:val="FootnoteAnchor"/>
          <w:rtl w:val="true"/>
        </w:rPr>
        <w:footnoteReference w:id="1223"/>
      </w:r>
      <w:r>
        <w:rPr>
          <w:rFonts w:ascii="IRNazanin" w:hAnsi="IRNazanin" w:eastAsia="IRNazanin"/>
          <w:color w:val="111111"/>
          <w:sz w:val="28"/>
          <w:sz w:val="28"/>
          <w:szCs w:val="28"/>
          <w:rtl w:val="true"/>
          <w:lang w:bidi="fa-IR"/>
        </w:rPr>
        <w:t xml:space="preserve">، واضح الدلالة علی التحریم، حیث انّه سئل عن طبخ حبّ الرمّان بالمعتصر من الزبیب أو العنب فأجاب بما هذا لفظه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أمّا ما یسمّی عصیراً فالوجه فی غلیانه إعتبار ذهاب ثلثیه، و أمّا الزبیب فالأقرب إباحته مع إنضمامه إلی غیره، لأنّ الناس فی جمیع الأزمان والأصقاع یستعملونه من غیر إنکار أحد 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والظاهر أنّ الّذی استقرّ علیه رأی العلاّمة قدس‌سره فی المسألة هو التحریم، فإنّه ذکر فی ذیل مسائل مهنّا ابن سنان إجازته إیّاه لمصنّفاته، و عدّ منها کتابی القواعد، والتحریر، والإرشاد، والتلخیص، و غیرها من کتبه الفقهیّة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فخر المحقّقین رحمه‌الله فی الإیضاح </w:t>
      </w:r>
      <w:r>
        <w:rPr>
          <w:rStyle w:val="FootnoteAnchor"/>
          <w:rtl w:val="true"/>
        </w:rPr>
        <w:footnoteReference w:id="1224"/>
      </w:r>
      <w:r>
        <w:rPr>
          <w:rFonts w:ascii="IRNazanin" w:hAnsi="IRNazanin" w:eastAsia="IRNazanin"/>
          <w:color w:val="111111"/>
          <w:sz w:val="28"/>
          <w:sz w:val="28"/>
          <w:szCs w:val="28"/>
          <w:rtl w:val="true"/>
          <w:lang w:bidi="fa-IR"/>
        </w:rPr>
        <w:t xml:space="preserve">، فی بیان وجه النظر المتقدّم فی القواعد فی مسألة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ینشأ من کونه نبیذاً والنبیذ حرام، و أنّه إذا غلی صار </w:t>
      </w:r>
    </w:p>
    <w:p>
      <w:pPr>
        <w:pStyle w:val="BookText"/>
        <w:rPr/>
      </w:pPr>
      <w:r>
        <w:rPr>
          <w:rFonts w:ascii="IRNazanin" w:hAnsi="IRNazanin" w:eastAsia="IRNazanin"/>
          <w:color w:val="111111"/>
          <w:sz w:val="28"/>
          <w:sz w:val="28"/>
          <w:szCs w:val="28"/>
          <w:rtl w:val="true"/>
          <w:lang w:bidi="fa-IR"/>
        </w:rPr>
        <w:t xml:space="preserve">کالعصیر لإطلاق إسمه علیه فیحرم، و من أصالة الإباحة و لزوم الحرج من تحریمه فیحلّ،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الأقوی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فأجاب من وجهی التحریم بمنع الصغری فیها، مع کلّیة الکبری فی الأوّل، و قال فی بیان النظر فی حکم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ینشأ من أنّ مهیّته العنب ، فإذا غلی فهو العصیر، و من أصالة الإباحة، واستصحابها، و لزوم الحرج، وانتفاء السکر المقتضی للتحریم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یرجّح أحد الطرفین هیهنا صریحاً کما فی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ظاهره المیل إلی التحریم فإنّ الوجه الّذی علّله به، لایعارضه شیء من وجوه الحلّ إن تمّ، و لیس فی کلامه ما یؤذن بالقدح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تقدّم فیما حکیناه عن الشهید الأوّل رحمه‌الله فی الدروس، أنّه عزی القول بالتحریم فیه إلی بعض مشایخنا المعاصرین، و کان المراد به فخرالمحقّقین رحمه‌الله ، لأنّه أشهر مشایخه و أعرفهم، والنقل عنه متکرّر فی کتب الشهید، و فی بعض حواشی الدروس تصریح بذلک، و لعلّه سمع منه الحکم بالتحریم مذاکرة، أو ثبت عنده قوله به بطریق النقل، و إلاّ فکلامه فی الإیضاح لیس نصّا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إبن فهد فی کتاب الحدود من المهذّب </w:t>
      </w:r>
      <w:r>
        <w:rPr>
          <w:rStyle w:val="FootnoteAnchor"/>
          <w:rtl w:val="true"/>
        </w:rPr>
        <w:footnoteReference w:id="12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عصیر التمر و الرطب، فلا یحرم بالغلیان و إن أزبد ما لم یسکر، و کذا لو ألقی الزبیب فی طبیخ و غلی لم یحرم حتّی یعلم حصول الإسکار فیه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یلوح منه إختصاص الحلّ بطعام الزبیب ، و عصیر التمر والرطب ، دون العصیر الزبیبی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ذهب إلی التحریم صریحاً جماعة من متأخّری الأصحاب منهم الشیخ المحدّث محمّد بن الحسن الحرّ العاملیّ، والشیخ الفقیه سلیمان بن عبداللّه البحرانیّ، و کذا السیّد الفاضل عبداللّه بن نورالدّین الجزائری فی شرحه علی النخبة </w:t>
      </w:r>
      <w:r>
        <w:rPr>
          <w:rStyle w:val="FootnoteAnchor"/>
          <w:rtl w:val="true"/>
        </w:rPr>
        <w:footnoteReference w:id="1226"/>
      </w:r>
      <w:r>
        <w:rPr>
          <w:rFonts w:ascii="IRNazanin" w:hAnsi="IRNazanin" w:eastAsia="IRNazanin"/>
          <w:color w:val="111111"/>
          <w:sz w:val="28"/>
          <w:sz w:val="28"/>
          <w:szCs w:val="28"/>
          <w:rtl w:val="true"/>
          <w:lang w:bidi="fa-IR"/>
        </w:rPr>
        <w:t xml:space="preserve">، و قد قال فیه بعد إختیار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توافق کثیر من المشایخ الّذین عاصرناهم أو قاربناهم من العاملین بالأخبار علی التصریح بمساواة العصیر التمری والزبیبی العنبی فی 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القول میل الشیخ الفقیه الشهیر بالفاضل الهندیّ فی شرحه علی القواعد </w:t>
      </w:r>
      <w:r>
        <w:rPr>
          <w:rStyle w:val="FootnoteAnchor"/>
          <w:rtl w:val="true"/>
        </w:rPr>
        <w:footnoteReference w:id="1227"/>
      </w:r>
      <w:r>
        <w:rPr>
          <w:rFonts w:ascii="IRNazanin" w:hAnsi="IRNazanin" w:eastAsia="IRNazanin"/>
          <w:color w:val="111111"/>
          <w:sz w:val="28"/>
          <w:sz w:val="28"/>
          <w:szCs w:val="28"/>
          <w:rtl w:val="true"/>
          <w:lang w:bidi="fa-IR"/>
        </w:rPr>
        <w:t xml:space="preserve">، حیث قال فی کتاب الطهارة فی مسألة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من العصیر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الزبیبی لا الحصرمی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ظاهر الفاضل القاسانیّ فی الوافی ، و أطعمة المفاتیح </w:t>
      </w:r>
      <w:r>
        <w:rPr>
          <w:rStyle w:val="FootnoteAnchor"/>
          <w:rtl w:val="true"/>
        </w:rPr>
        <w:footnoteReference w:id="1228"/>
      </w:r>
      <w:r>
        <w:rPr>
          <w:rFonts w:ascii="IRNazanin" w:hAnsi="IRNazanin" w:eastAsia="IRNazanin"/>
          <w:color w:val="111111"/>
          <w:sz w:val="28"/>
          <w:sz w:val="28"/>
          <w:szCs w:val="28"/>
          <w:rtl w:val="true"/>
          <w:lang w:bidi="fa-IR"/>
        </w:rPr>
        <w:t xml:space="preserve">، و هو إختیار شیخنا المحقّق دام ظلّه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ما تیسّر لنا نقله من الأقوال فی هذه المسألة، ممّا أدّی إلیه تتبّع کلام کتب الأصحاب و روایاتهم الواردة فی هذا الباب، و لم أجد لأحد من علمائنا مع تکرّر ذکر الخلاف فی کلامهم نصّاً علی تعیین مختلفین فیها من المحلّلین والمحرّمین </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کتاب المختلف الموضوع لبیان الأقوال المختلفة خال عن هذه المسألة، و لیس هذه فیه ذکر أصلاً، والشهیدان و غیرهما قد اکتفوا فیها بالإشارة إلی الخلاف و لم یتعرّضوا لتفصیل الأقوال، و لا لتعیین القائلین بها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قد ادّعی بعض من تأخّر عن الشهید الثانی رحمه‌الله أنّ القول بالتحلیل هو المشهور بین الأصحاب، و لم أعرف وجهاً سوی ما یوهمه کلام الشهیدین من نسبة القول بالتحریم إلی البعض، و لیس هذا صریحاً فی کونه خلاف المشهور ؛ فإنّ الإسناد إلی البعض لاینحصر وجهه فی المخالفة للشهرة، إذ قد یکون الوجه فیه تضعیف القول، أو عدم تعیین القائل، أو ندرة المصرّح، أو غیر ذلک من الإعتبارات الّتی یحسن معها الإسناد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إشتهار الحلّ أمرا ثابتا محقّقاً لصرّح به الشهید الثانی رحمه‌الله ، فإنّه قد تابع فی تقویة الحلّ بما تیسّر له، والشهرة من الأسباب المقوّیة الّتی قد یختلف لأجلها الحکم، و لیس فی کلامه ما یدلّ علی ذلک نصّاً، بل ظاهر کلامه المنقول عن الروض ربما إقتضی خلاف ذلک، حیث نسب القول بالتحریم فیه إلی جماعة من الأصحاب، و هذا إنّما یقول غالباً إذا کان فی القائلین کثرة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الإسناد إلی البعض فی عبارة الدروس، فظاهر أن لیس الغرض منه التنبیه علی الإشتهار، لأنّه قد عزی فیه القول بتحریم الزبیبی و حلّیة التمری إلی البعض فی مقام واحد، فلو کان الإشعار بالشهرة لزم التدافع فی کلامه، لأنّ إشتهار الحرمة فی التمری یقتضی إشتهاره فی الزبیبی، فإنّ تحریم الزبیبی أشهر من تحریم التمری و أعرف منه فی فتاوی الأصحاب، حتّی أنّ من القائلین بالحلّ من نفی القول بتحریم التمری، وادّعی أنّه خلاف الإجماع العنبی، و منهم من قطع بالحلّ فی التمری واستقرب ذلک فی الزبیبی بعد التردّد والنظر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فعلم إنّ الإسناد إلی البعض فی کلامه لبعض الإعتبارات الّتی ذکرناها، دون الإیذان بالشهرة کما یتوهّم من ظاهر العبارة </w:t>
      </w:r>
      <w:r>
        <w:rPr>
          <w:rFonts w:eastAsia="IRNazanin" w:cs="IRNazanin"/>
          <w:color w:val="111111"/>
          <w:sz w:val="28"/>
          <w:szCs w:val="28"/>
          <w:rtl w:val="true"/>
          <w:lang w:bidi="fa-IR"/>
        </w:rPr>
        <w:t xml:space="preserve">. </w:t>
      </w:r>
      <w:bookmarkStart w:id="665" w:name="pg3696_43736"/>
    </w:p>
    <w:p>
      <w:pPr>
        <w:pStyle w:val="BookText"/>
        <w:rPr/>
      </w:pPr>
      <w:bookmarkEnd w:id="665"/>
      <w:r>
        <w:rPr>
          <w:rFonts w:ascii="IRNazanin" w:hAnsi="IRNazanin" w:eastAsia="IRNazanin"/>
          <w:color w:val="111111"/>
          <w:sz w:val="28"/>
          <w:sz w:val="28"/>
          <w:szCs w:val="28"/>
          <w:rtl w:val="true"/>
          <w:lang w:bidi="fa-IR"/>
        </w:rPr>
        <w:t xml:space="preserve">علی أنّ أقصی ما یقتضیه ذلک هو إشتهار الحلّ فی طبیخ الزبیب، والّذی ادّعاه المتأخّرون إشتهاره فی المختصر منه مطلقاً، و هذا لا یلزم ممّا ذکره قطعاً، بل ربما کان إختیاره التحریم فی مسألة النقیع إنتفاء الشهرة فیه، لکونها حجّة عنده کما یدلّ علیه کلامه فی الذکری </w:t>
      </w:r>
      <w:r>
        <w:rPr>
          <w:rFonts w:eastAsia="IRNazanin" w:cs="IRNazanin"/>
          <w:color w:val="111111"/>
          <w:sz w:val="28"/>
          <w:szCs w:val="28"/>
          <w:rtl w:val="true"/>
          <w:lang w:bidi="fa-IR"/>
        </w:rPr>
        <w:t>.</w:t>
      </w:r>
    </w:p>
    <w:p>
      <w:pPr>
        <w:pStyle w:val="Heading6"/>
        <w:numPr>
          <w:ilvl w:val="5"/>
          <w:numId w:val="1"/>
        </w:numPr>
        <w:rPr/>
      </w:pPr>
      <w:bookmarkStart w:id="666" w:name="__RefHeading___Toc488741_2281741623"/>
      <w:bookmarkStart w:id="667" w:name="_Toc264"/>
      <w:bookmarkEnd w:id="666"/>
      <w:r>
        <w:rPr>
          <w:rtl w:val="true"/>
        </w:rPr>
        <w:t>المناقشات فی کلامه رحمه‌الله</w:t>
      </w:r>
      <w:bookmarkEnd w:id="667"/>
    </w:p>
    <w:p>
      <w:pPr>
        <w:pStyle w:val="BookText"/>
        <w:rPr/>
      </w:pPr>
      <w:r>
        <w:rPr>
          <w:rFonts w:ascii="IRNazanin" w:hAnsi="IRNazanin" w:eastAsia="IRNazanin"/>
          <w:color w:val="111111"/>
          <w:sz w:val="28"/>
          <w:sz w:val="28"/>
          <w:szCs w:val="28"/>
          <w:rtl w:val="true"/>
          <w:lang w:bidi="fa-IR"/>
        </w:rPr>
        <w:t xml:space="preserve">فإن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الوجه فی إدّعاء الشهرة کون التحلیل هو قول معظم فقهائنا المعروفین فی الفقه ، کما ظهر ممّا سبق فی نفس الأقوال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أیضا غیر ثابت </w:t>
      </w:r>
      <w:r>
        <w:rPr>
          <w:rStyle w:val="FootnoteAnchor"/>
          <w:rtl w:val="true"/>
        </w:rPr>
        <w:footnoteReference w:id="1229"/>
      </w:r>
      <w:r>
        <w:rPr>
          <w:rFonts w:ascii="IRNazanin" w:hAnsi="IRNazanin" w:eastAsia="IRNazanin"/>
          <w:color w:val="111111"/>
          <w:sz w:val="28"/>
          <w:sz w:val="28"/>
          <w:szCs w:val="28"/>
          <w:rtl w:val="true"/>
          <w:lang w:bidi="fa-IR"/>
        </w:rPr>
        <w:t xml:space="preserve">؛ إلی آخر ما تقدّم نقله من المصابیح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المناقشات فی کلامه رحمه‌الله ، فقد جلّ شأنه عن التعرّض لها، لکن نتعرّض لعمدة ما حاوله من إنکار الشهرة ، فإنّ مرجع ما ذکره إلی أنّ العصیر فی الأخبار و کلمات الأصحاب مع عدم التقیید والإضافة، أعمّ من عصیر العنب والزبیب، فکلمات المطلقین یعمّهما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 ظاهر، بل منع باهر، فإنّه قد صرّح جمع بأنّ المراد من العصیر فی کلماتهم هو العنبی، بل فی کلماتهم ما یشهد بذلک، بل یمکن أن یقال هو فی اللغة والعرف، خصوصاً عرف الفقهاء، إسم لعصیر العنب، و قد تقدّم بعض ما یدلّ علیه سابقاً، و إن أغمضنا عن ذلک، فلا ریب أنّه بإطلاقه ینصرف إلی عصیر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کیف یمکن رفع الید عن صریح کلماتهم فی باب الحدود بإطلاق کلماتهم فی العصیر فی مواضع أخر، مع أنّ کتاب الحدود متأخّر عن سائر الکتب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رحمه‌الله من أنّ العلاّمة قدس‌سره قد استقرّ رأیه المتأخّر علی التحریم فی جواب مسائل مهنّا ابن سنان، محلّ نظر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لإحتمال کون العصیر فی کلامه عصیر </w:t>
      </w:r>
      <w:bookmarkStart w:id="668" w:name="pg3696_43738"/>
    </w:p>
    <w:p>
      <w:pPr>
        <w:pStyle w:val="BookText"/>
        <w:rPr/>
      </w:pPr>
      <w:bookmarkEnd w:id="668"/>
      <w:r>
        <w:rPr>
          <w:rFonts w:ascii="IRNazanin" w:hAnsi="IRNazanin" w:eastAsia="IRNazanin"/>
          <w:color w:val="111111"/>
          <w:sz w:val="28"/>
          <w:sz w:val="28"/>
          <w:szCs w:val="28"/>
          <w:rtl w:val="true"/>
          <w:lang w:bidi="fa-IR"/>
        </w:rPr>
        <w:t xml:space="preserve">العنب، والمراد من الزبیب إمّا نفس الزبیب أو عصیره، فکلامه إن لم یکن ظاهراً فی التحلیل فلا یکون ظاهراً فی التحریم، و ما فیه من الإنضمام مع الإنضمام إنّما هو لأجل تحقّق السیرة عنده مع الإنضمام، دون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الفخر رحمه‌الله ، فغایته التوقّف، مع أنّه یمکن أن یقال إنّ ظاهره التحلیل، لأنّ ما ذکره فی التمر من الترجیح یأتی فی الزبیب أیضا </w:t>
      </w:r>
      <w:r>
        <w:rPr>
          <w:rFonts w:eastAsia="IRNazanin" w:cs="IRNazanin"/>
          <w:color w:val="111111"/>
          <w:sz w:val="28"/>
          <w:szCs w:val="28"/>
          <w:rtl w:val="true"/>
          <w:lang w:bidi="fa-IR"/>
        </w:rPr>
        <w:t>.</w:t>
      </w:r>
    </w:p>
    <w:p>
      <w:pPr>
        <w:pStyle w:val="Heading6"/>
        <w:numPr>
          <w:ilvl w:val="5"/>
          <w:numId w:val="1"/>
        </w:numPr>
        <w:rPr/>
      </w:pPr>
      <w:bookmarkStart w:id="669" w:name="__RefHeading___Toc488743_2281741623"/>
      <w:bookmarkStart w:id="670" w:name="_Toc265"/>
      <w:bookmarkEnd w:id="669"/>
      <w:r>
        <w:rPr>
          <w:rtl w:val="true"/>
        </w:rPr>
        <w:t xml:space="preserve">المستند لهذا القول أمور </w:t>
      </w:r>
      <w:r>
        <w:rPr>
          <w:rtl w:val="true"/>
        </w:rPr>
        <w:t>:</w:t>
      </w:r>
      <w:bookmarkEnd w:id="670"/>
    </w:p>
    <w:p>
      <w:pPr>
        <w:pStyle w:val="Heading6"/>
        <w:numPr>
          <w:ilvl w:val="5"/>
          <w:numId w:val="1"/>
        </w:numPr>
        <w:rPr/>
      </w:pPr>
      <w:bookmarkStart w:id="671" w:name="__RefHeading___Toc488745_2281741623"/>
      <w:bookmarkStart w:id="672" w:name="_Toc266"/>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 xml:space="preserve">و علی کلّ حال، فالمستند فی هذا القول أمور </w:t>
      </w:r>
      <w:r>
        <w:rPr>
          <w:rFonts w:eastAsia="IRNazanin" w:cs="IRNazanin"/>
          <w:color w:val="111111"/>
          <w:sz w:val="28"/>
          <w:szCs w:val="28"/>
          <w:rtl w:val="true"/>
          <w:lang w:bidi="fa-IR"/>
        </w:rPr>
        <w:t>:</w:t>
      </w:r>
    </w:p>
    <w:p>
      <w:pPr>
        <w:pStyle w:val="Heading6"/>
        <w:numPr>
          <w:ilvl w:val="5"/>
          <w:numId w:val="1"/>
        </w:numPr>
        <w:rPr/>
      </w:pPr>
      <w:bookmarkStart w:id="673" w:name="__RefHeading___Toc488747_2281741623"/>
      <w:bookmarkStart w:id="674" w:name="_Toc267"/>
      <w:bookmarkEnd w:id="673"/>
      <w:r>
        <w:rPr>
          <w:rtl w:val="true"/>
        </w:rPr>
        <w:t xml:space="preserve">الأوّل </w:t>
      </w:r>
      <w:r>
        <w:rPr>
          <w:rtl w:val="true"/>
        </w:rPr>
        <w:t xml:space="preserve">: </w:t>
      </w:r>
      <w:r>
        <w:rPr>
          <w:rtl w:val="true"/>
        </w:rPr>
        <w:t>الأصول من الإستصحاب و غیره</w:t>
      </w:r>
      <w:bookmarkEnd w:id="674"/>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من الإستصحاب ، و أصل البرائة عن وجوب الإجتناب عنه، و قاعدة الإباحة فی کلّ ما لم یرد فیه دلیل الحرمة </w:t>
      </w:r>
      <w:r>
        <w:rPr>
          <w:rFonts w:eastAsia="IRNazanin" w:cs="IRNazanin"/>
          <w:color w:val="111111"/>
          <w:sz w:val="28"/>
          <w:szCs w:val="28"/>
          <w:rtl w:val="true"/>
          <w:lang w:bidi="fa-IR"/>
        </w:rPr>
        <w:t>.</w:t>
      </w:r>
    </w:p>
    <w:p>
      <w:pPr>
        <w:pStyle w:val="Heading6"/>
        <w:numPr>
          <w:ilvl w:val="5"/>
          <w:numId w:val="1"/>
        </w:numPr>
        <w:rPr/>
      </w:pPr>
      <w:bookmarkStart w:id="675" w:name="__RefHeading___Toc488749_2281741623"/>
      <w:bookmarkStart w:id="676" w:name="_Toc268"/>
      <w:bookmarkEnd w:id="675"/>
      <w:r>
        <w:rPr>
          <w:rtl w:val="true"/>
        </w:rPr>
        <w:t xml:space="preserve">الثانی </w:t>
      </w:r>
      <w:r>
        <w:rPr>
          <w:rtl w:val="true"/>
        </w:rPr>
        <w:t xml:space="preserve">: </w:t>
      </w:r>
      <w:r>
        <w:rPr>
          <w:rtl w:val="true"/>
        </w:rPr>
        <w:t>ما ذکره فی الدروس و غیره</w:t>
      </w:r>
      <w:bookmarkEnd w:id="676"/>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ذکره فی الدروس و غیره ، من ذهاب الثلثین بل أزید منهما من الزبیب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إنّما یتمّ لو قلنا بأنّ النشیش بعد ذهاب الثلثین لا عبرة به و کذا الغلیان، وهو الأظهر ؛ فما أورد علیه بعض من أنّ ذهاب الثلثین إنّما یعتبر بعد الغلیان، لاوجه له </w:t>
      </w:r>
      <w:r>
        <w:rPr>
          <w:rFonts w:eastAsia="IRNazanin" w:cs="IRNazanin"/>
          <w:color w:val="111111"/>
          <w:sz w:val="28"/>
          <w:szCs w:val="28"/>
          <w:rtl w:val="true"/>
          <w:lang w:bidi="fa-IR"/>
        </w:rPr>
        <w:t>.</w:t>
      </w:r>
    </w:p>
    <w:p>
      <w:pPr>
        <w:pStyle w:val="Heading6"/>
        <w:numPr>
          <w:ilvl w:val="5"/>
          <w:numId w:val="1"/>
        </w:numPr>
        <w:rPr/>
      </w:pPr>
      <w:bookmarkStart w:id="677" w:name="__RefHeading___Toc488751_2281741623"/>
      <w:bookmarkStart w:id="678" w:name="_Toc269"/>
      <w:bookmarkEnd w:id="677"/>
      <w:r>
        <w:rPr>
          <w:rtl w:val="true"/>
        </w:rPr>
        <w:t xml:space="preserve">الثالث </w:t>
      </w:r>
      <w:r>
        <w:rPr>
          <w:rtl w:val="true"/>
        </w:rPr>
        <w:t xml:space="preserve">: </w:t>
      </w:r>
      <w:r>
        <w:rPr>
          <w:rtl w:val="true"/>
        </w:rPr>
        <w:t>ما استدلّ به الشهید الثانی رحمه‌الله</w:t>
      </w:r>
      <w:bookmarkEnd w:id="678"/>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الشهید الثانی رحمه‌الله </w:t>
      </w:r>
      <w:r>
        <w:rPr>
          <w:rStyle w:val="FootnoteAnchor"/>
          <w:rtl w:val="true"/>
        </w:rPr>
        <w:footnoteReference w:id="1230"/>
      </w:r>
      <w:r>
        <w:rPr>
          <w:rFonts w:ascii="IRNazanin" w:hAnsi="IRNazanin" w:eastAsia="IRNazanin"/>
          <w:color w:val="111111"/>
          <w:sz w:val="28"/>
          <w:sz w:val="28"/>
          <w:szCs w:val="28"/>
          <w:rtl w:val="true"/>
          <w:lang w:bidi="fa-IR"/>
        </w:rPr>
        <w:t xml:space="preserve">من صحیحة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 عبداللّه علیه‌السلام یعجبه الزبیبیّة </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نظر لإجمال فیه ، مع إحتمال کون المراد منه الطعام الّذی فیه الزبیب ، کما یظهر ذلک من الشهید المذکور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bookmarkStart w:id="679" w:name="pg3696_43740"/>
    </w:p>
    <w:p>
      <w:pPr>
        <w:pStyle w:val="Heading6"/>
        <w:numPr>
          <w:ilvl w:val="5"/>
          <w:numId w:val="1"/>
        </w:numPr>
        <w:rPr/>
      </w:pPr>
      <w:bookmarkStart w:id="680" w:name="__RefHeading___Toc488753_2281741623"/>
      <w:bookmarkStart w:id="681" w:name="_Toc270"/>
      <w:bookmarkEnd w:id="679"/>
      <w:bookmarkEnd w:id="680"/>
      <w:r>
        <w:rPr>
          <w:rtl w:val="true"/>
        </w:rPr>
        <w:t xml:space="preserve">القول الثانی </w:t>
      </w:r>
      <w:r>
        <w:rPr>
          <w:rtl w:val="true"/>
        </w:rPr>
        <w:t xml:space="preserve">: </w:t>
      </w:r>
      <w:r>
        <w:rPr>
          <w:rtl w:val="true"/>
        </w:rPr>
        <w:t>انّه حرام</w:t>
      </w:r>
      <w:bookmarkEnd w:id="681"/>
    </w:p>
    <w:p>
      <w:pPr>
        <w:pStyle w:val="Heading6"/>
        <w:numPr>
          <w:ilvl w:val="5"/>
          <w:numId w:val="1"/>
        </w:numPr>
        <w:rPr/>
      </w:pPr>
      <w:bookmarkStart w:id="682" w:name="__RefHeading___Toc488755_2281741623"/>
      <w:bookmarkStart w:id="683" w:name="_Toc271"/>
      <w:bookmarkEnd w:id="682"/>
      <w:r>
        <w:rPr>
          <w:rtl w:val="true"/>
        </w:rPr>
        <w:t>اشارة</w:t>
      </w:r>
      <w:bookmarkEnd w:id="683"/>
    </w:p>
    <w:p>
      <w:pPr>
        <w:pStyle w:val="BookText"/>
        <w:rPr/>
      </w:pPr>
      <w:r>
        <w:rPr>
          <w:rFonts w:ascii="IRNazanin" w:hAnsi="IRNazanin" w:eastAsia="IRNazanin"/>
          <w:color w:val="111111"/>
          <w:sz w:val="28"/>
          <w:sz w:val="28"/>
          <w:szCs w:val="28"/>
          <w:rtl w:val="true"/>
          <w:lang w:bidi="fa-IR"/>
        </w:rPr>
        <w:t xml:space="preserve">والقول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و لم أجد به قائلاً معلوما صریحا ممّن تقدّم علی الأواخر، إلاّ ما حکاه فی الدروس عن بعض مشایخه المعاصرین، و بعض فضلائنا المتقدّمین، ولم یعلم من 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حکاه فی المصابیح، فی عبارته السابقة، عن الشیخ الحرّ العاملیّ، والشیخ سلیمان البحرانیّ، والسیّد عبداللّه الجزائری، و لم أحضر کلام الآخرین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الشیخ الحرّ رحمه‌الله ، فلم أجد منه إلاّ عنوان الباب، و هو باب حکم ماء الزبیب وغیره، فی الوسائل، و ذکر الأخبار الآتیة فیه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هو مختار معدود من المعاصرین و من قاربنا عصرهم، کالمولی البهبهانیّ، والسیّد السند بحرالعلوم، والمولی القمّی ـ رحمهم اللّه </w:t>
      </w:r>
      <w:r>
        <w:rPr>
          <w:rFonts w:eastAsia="IRNazanin" w:cs="IRNazanin"/>
          <w:color w:val="111111"/>
          <w:sz w:val="28"/>
          <w:szCs w:val="28"/>
          <w:rtl w:val="true"/>
          <w:lang w:bidi="fa-IR"/>
        </w:rPr>
        <w:t>.</w:t>
      </w:r>
    </w:p>
    <w:p>
      <w:pPr>
        <w:pStyle w:val="Heading6"/>
        <w:numPr>
          <w:ilvl w:val="5"/>
          <w:numId w:val="1"/>
        </w:numPr>
        <w:rPr/>
      </w:pPr>
      <w:bookmarkStart w:id="684" w:name="__RefHeading___Toc488757_2281741623"/>
      <w:bookmarkStart w:id="685" w:name="_Toc272"/>
      <w:bookmarkEnd w:id="684"/>
      <w:r>
        <w:rPr>
          <w:rtl w:val="true"/>
        </w:rPr>
        <w:t>کلام الأصحاب فی ذلک</w:t>
      </w:r>
      <w:bookmarkEnd w:id="685"/>
    </w:p>
    <w:p>
      <w:pPr>
        <w:pStyle w:val="BookText"/>
        <w:rPr/>
      </w:pPr>
      <w:r>
        <w:rPr>
          <w:rFonts w:ascii="IRNazanin" w:hAnsi="IRNazanin" w:eastAsia="IRNazanin"/>
          <w:color w:val="111111"/>
          <w:sz w:val="28"/>
          <w:sz w:val="28"/>
          <w:szCs w:val="28"/>
          <w:rtl w:val="true"/>
          <w:lang w:bidi="fa-IR"/>
        </w:rPr>
        <w:t xml:space="preserve">فقد قال الأوّل فی شرح المفاتیح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تختصّ الحرمة والنجاسة بعصیر العنب، أم تشتملان عصیر الزبیب والتمر ؟ الأقوی عندی الثانی، کما ستعرف دلیله فی کتاب المشارب إن شاء اللّه تعالی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والظاهر أنّه لم ینته تصنیفه إلی کتاب المشارب، إلاّ أنّ له رسالة فی العصیرین التمری والزبیبی، واختار فیها الحرمة </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کلام الثانی، فقد تقدّم منها جملة، و لم یتمّ له الإستدلال أیضا حسبما وجدناه، فإنّه أخذ بالإستدلال علی التحریم، و ذکر إستدلاله الأوّل و هو الإستصحاب التقدیریّ فی حال العنب قبل الجفاف فقط، و جفّ قلمه فیه فی النسخة الموجودة عندی من المصابیح </w:t>
      </w:r>
      <w:r>
        <w:rPr>
          <w:rFonts w:eastAsia="IRNazanin" w:cs="IRNazanin"/>
          <w:color w:val="111111"/>
          <w:sz w:val="28"/>
          <w:szCs w:val="28"/>
          <w:rtl w:val="true"/>
          <w:lang w:bidi="fa-IR"/>
        </w:rPr>
        <w:t xml:space="preserve">. </w:t>
      </w:r>
      <w:bookmarkStart w:id="686" w:name="pg3696_43742"/>
    </w:p>
    <w:p>
      <w:pPr>
        <w:pStyle w:val="BookText"/>
        <w:rPr/>
      </w:pPr>
      <w:bookmarkEnd w:id="686"/>
      <w:r>
        <w:rPr>
          <w:rFonts w:ascii="IRNazanin" w:hAnsi="IRNazanin" w:eastAsia="IRNazanin"/>
          <w:color w:val="111111"/>
          <w:sz w:val="28"/>
          <w:sz w:val="28"/>
          <w:szCs w:val="28"/>
          <w:rtl w:val="true"/>
          <w:lang w:bidi="fa-IR"/>
        </w:rPr>
        <w:t xml:space="preserve">و أمّا الأخیر، فقد ذکر فی جواب مسائله ذلک صریحاً </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87" w:name="__RefHeading___Toc488759_2281741623"/>
      <w:bookmarkStart w:id="688" w:name="_Toc273"/>
      <w:bookmarkEnd w:id="687"/>
      <w:r>
        <w:rPr>
          <w:rtl w:val="true"/>
        </w:rPr>
        <w:t xml:space="preserve">المستند لهذا القول أمور </w:t>
      </w:r>
      <w:r>
        <w:rPr>
          <w:rtl w:val="true"/>
        </w:rPr>
        <w:t>:</w:t>
      </w:r>
      <w:bookmarkEnd w:id="688"/>
    </w:p>
    <w:p>
      <w:pPr>
        <w:pStyle w:val="Heading6"/>
        <w:numPr>
          <w:ilvl w:val="5"/>
          <w:numId w:val="1"/>
        </w:numPr>
        <w:rPr/>
      </w:pPr>
      <w:bookmarkStart w:id="689" w:name="__RefHeading___Toc488761_2281741623"/>
      <w:bookmarkStart w:id="690" w:name="_Toc274"/>
      <w:bookmarkEnd w:id="689"/>
      <w:r>
        <w:rPr>
          <w:rtl w:val="true"/>
        </w:rPr>
        <w:t>اشارة</w:t>
      </w:r>
      <w:bookmarkEnd w:id="690"/>
    </w:p>
    <w:p>
      <w:pPr>
        <w:pStyle w:val="BookText"/>
        <w:rPr/>
      </w:pPr>
      <w:r>
        <w:rPr>
          <w:rFonts w:ascii="IRNazanin" w:hAnsi="IRNazanin" w:eastAsia="IRNazanin"/>
          <w:color w:val="111111"/>
          <w:sz w:val="28"/>
          <w:sz w:val="28"/>
          <w:szCs w:val="28"/>
          <w:rtl w:val="true"/>
          <w:lang w:bidi="fa-IR"/>
        </w:rPr>
        <w:t xml:space="preserve">والعمدة ذکر المستند فی هذا القول، و هو أمور </w:t>
      </w:r>
      <w:r>
        <w:rPr>
          <w:rFonts w:eastAsia="IRNazanin" w:cs="IRNazanin"/>
          <w:color w:val="111111"/>
          <w:sz w:val="28"/>
          <w:szCs w:val="28"/>
          <w:rtl w:val="true"/>
          <w:lang w:bidi="fa-IR"/>
        </w:rPr>
        <w:t>:</w:t>
      </w:r>
    </w:p>
    <w:p>
      <w:pPr>
        <w:pStyle w:val="Heading6"/>
        <w:numPr>
          <w:ilvl w:val="5"/>
          <w:numId w:val="1"/>
        </w:numPr>
        <w:rPr/>
      </w:pPr>
      <w:bookmarkStart w:id="691" w:name="__RefHeading___Toc488763_2281741623"/>
      <w:bookmarkStart w:id="692" w:name="_Toc275"/>
      <w:bookmarkEnd w:id="691"/>
      <w:r>
        <w:rPr>
          <w:rtl w:val="true"/>
        </w:rPr>
        <w:t xml:space="preserve">الأوّل </w:t>
      </w:r>
      <w:r>
        <w:rPr>
          <w:rtl w:val="true"/>
        </w:rPr>
        <w:t xml:space="preserve">: </w:t>
      </w:r>
      <w:r>
        <w:rPr>
          <w:rtl w:val="true"/>
        </w:rPr>
        <w:t>الإستصحاب</w:t>
      </w:r>
      <w:bookmarkEnd w:id="692"/>
    </w:p>
    <w:p>
      <w:pPr>
        <w:pStyle w:val="Heading6"/>
        <w:numPr>
          <w:ilvl w:val="5"/>
          <w:numId w:val="1"/>
        </w:numPr>
        <w:rPr/>
      </w:pPr>
      <w:bookmarkStart w:id="693" w:name="__RefHeading___Toc488765_2281741623"/>
      <w:bookmarkStart w:id="694" w:name="_Toc276"/>
      <w:bookmarkEnd w:id="693"/>
      <w:r>
        <w:rPr>
          <w:rtl w:val="true"/>
        </w:rPr>
        <w:t>اشارة</w:t>
      </w:r>
      <w:bookmarkEnd w:id="694"/>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الإستصحاب ؛ یعنی إستصحاب حکم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تمسّک به بحرالعلوم رحمه‌الله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تقریره أنّه قد ثبت للعنب قبل أن یصیر زبیباً حکمان معلومان، هما الحلّیة قبل الغلیان والتحریم بعده، و بعبارة أخری الحلّیة بالفعل والتحریم بالقوّة، فإذا جفّ العنب و صار زبیباً فقد تغیّرت صفته و بقیت حقیقته ، فیجب أن یبقی علی ما کان علیه قبل الزبیبیّة و الجفاف ، فیحرم بما یحرم به عصیر العنب و یحلّ بما یحلّ ، لأنّ الأصل فیما ثبت أن یدوم ما لم یختلف الحقیقة، أو یدلّ دلیل علی الزوال، و هو معنی الإستصحاب </w:t>
      </w:r>
      <w:r>
        <w:rPr>
          <w:rFonts w:eastAsia="IRNazanin" w:cs="IRNazanin"/>
          <w:color w:val="111111"/>
          <w:sz w:val="28"/>
          <w:szCs w:val="28"/>
          <w:rtl w:val="true"/>
          <w:lang w:bidi="fa-IR"/>
        </w:rPr>
        <w:t>.</w:t>
      </w:r>
    </w:p>
    <w:p>
      <w:pPr>
        <w:pStyle w:val="Heading6"/>
        <w:numPr>
          <w:ilvl w:val="5"/>
          <w:numId w:val="1"/>
        </w:numPr>
        <w:rPr/>
      </w:pPr>
      <w:bookmarkStart w:id="695" w:name="__RefHeading___Toc488767_2281741623"/>
      <w:bookmarkStart w:id="696" w:name="_Toc277"/>
      <w:bookmarkEnd w:id="695"/>
      <w:r>
        <w:rPr>
          <w:rtl w:val="true"/>
        </w:rPr>
        <w:t>الجواب عنه بوجوه</w:t>
      </w:r>
      <w:bookmarkEnd w:id="696"/>
    </w:p>
    <w:p>
      <w:pPr>
        <w:pStyle w:val="BookText"/>
        <w:rPr/>
      </w:pPr>
      <w:r>
        <w:rPr>
          <w:rFonts w:ascii="IRNazanin" w:hAnsi="IRNazanin" w:eastAsia="IRNazanin"/>
          <w:color w:val="111111"/>
          <w:sz w:val="28"/>
          <w:sz w:val="28"/>
          <w:szCs w:val="28"/>
          <w:rtl w:val="true"/>
          <w:lang w:bidi="fa-IR"/>
        </w:rPr>
        <w:t xml:space="preserve">و یمکن الجواب عنه بوجوه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حجیّة الإستصحاب فیما إذا کان الشکّ فی عروض العارض المعلوم الحکم، و أمّا إذا شکّ فی حکم العارض المجهول الحکم فلا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بعبارة أخری الشکّ فیما إذا قطع بالعارض و شکّ فی حکمه شکّ فی الحکم الشرعیّ، و کلّما شکّ فی الحکم الشرعیّ کان الأصل فیه البرائة، و تمام الکلام فیه فی محلّ آخر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الثانی الّذی ذکره فی العنب، و هو التحریم بعد الغلیان، إنّما هو أمر تقدیریّ غیر متحصّل فی الخارج، فکیف یستصحب هذا الحکم فی هذا الموضوع الّذی لم یکن فیه غلیان أصلاً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هنا أمور تقدیریّة فی العنب بأنّه لو عصر ثمّ غلی و لم یذهب ثلثاه </w:t>
      </w:r>
      <w:r>
        <w:rPr>
          <w:rFonts w:eastAsia="IRNazanin" w:cs="IRNazanin"/>
          <w:color w:val="111111"/>
          <w:sz w:val="28"/>
          <w:szCs w:val="28"/>
          <w:rtl w:val="true"/>
          <w:lang w:bidi="fa-IR"/>
        </w:rPr>
        <w:t xml:space="preserve">. </w:t>
      </w:r>
      <w:bookmarkStart w:id="697" w:name="pg3696_43744"/>
    </w:p>
    <w:p>
      <w:pPr>
        <w:pStyle w:val="BookText"/>
        <w:rPr/>
      </w:pPr>
      <w:bookmarkEnd w:id="697"/>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الإستصحاب معارض بإستصحاب حال عصیر الزبیب، فإنّه قبل الغلیان طاهر فینبغی إستصحاب الطهارة فیه علی هذا التقدیر، فإنّ هذا حکم محقّق فی موضوع محقّق، فکیف یعارضه حکم مقدّر فی موضوع مقدّر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الثانی الثابت من الشرع حرمة عصیر العنب بعد الغلیان، فالحرمة مضافة إلی عصیرالعنب، وکیف یأتی هذا الحکم فی المضاف إلی الزبیب ؟</w:t>
      </w:r>
      <w:r>
        <w:rPr>
          <w:rFonts w:eastAsia="IRNazanin" w:cs="IRNazanin"/>
          <w:color w:val="111111"/>
          <w:sz w:val="28"/>
          <w:szCs w:val="28"/>
          <w:rtl w:val="true"/>
          <w:lang w:bidi="fa-IR"/>
        </w:rPr>
        <w:t>!</w:t>
      </w:r>
    </w:p>
    <w:p>
      <w:pPr>
        <w:pStyle w:val="Heading6"/>
        <w:numPr>
          <w:ilvl w:val="5"/>
          <w:numId w:val="1"/>
        </w:numPr>
        <w:rPr/>
      </w:pPr>
      <w:bookmarkStart w:id="698" w:name="__RefHeading___Toc488769_2281741623"/>
      <w:bookmarkStart w:id="699" w:name="_Toc278"/>
      <w:bookmarkEnd w:id="698"/>
      <w:r>
        <w:rPr>
          <w:rtl w:val="true"/>
        </w:rPr>
        <w:t>الحاصل من الکلام فیه</w:t>
      </w:r>
      <w:bookmarkEnd w:id="699"/>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الحکم الثابت المعلوم حرمة عصیر العنب والّذی یراد إثباته حرمة عصیر الزبیب، و هذا حکم غیر الأوّل، لتبدّل الأحکام بتغیّر المحال و إن کان الحکم واحداً و هو الحرمة، أو الوجوب، أو غیرهما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الحکم هذه العین التی تسمّی فی الأوّل عنباً و فی الآخر زبیباً، و مرجع الإستصحاب فیه أنّ ماء هذه العین حرام بالغلیان حالکونها عنباً فتستصحب حرمة ماء هذه العین حالکونها زبیباً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الکلام فی هذا المقام انّه لاریب أنّه من الشرط فی الإستصحاب بقاء الموضوع فی الزمان الثانی، لأنّ المقصود إثبات الحکم الأوّل للموضوع الواحد فی الزمان الثانی، و مع إحتمال کون الموضوع الأوّل هو العنب لم یعلم کون الموضوع هو هذه العین مطلقاً حتّی یقال ببقاء الموضوع فی الحکم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 مع أنّ من المعلوم هنا تغیّر الموضوع ، إذ الموضوع فی الأوّل هو العنب ، و هذا لیس عنباً بل زبیب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حقیقة الزبیب هی حقیقة العنب فالعین باقیة بحقیقتها </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کلام لا حاجة معه إلی الإستصحاب، فما ذکره السیّد رحمه‌الله من أنّه تغیّرت صفته و بقیت حقیقته فی تقریر الإستدلال، منظور فیه، مع أنّ بقاء الحقیقة </w:t>
      </w:r>
      <w:bookmarkStart w:id="700" w:name="pg3696_43746"/>
    </w:p>
    <w:p>
      <w:pPr>
        <w:pStyle w:val="BookText"/>
        <w:rPr/>
      </w:pPr>
      <w:bookmarkEnd w:id="700"/>
      <w:r>
        <w:rPr>
          <w:rFonts w:ascii="IRNazanin" w:hAnsi="IRNazanin" w:eastAsia="IRNazanin"/>
          <w:color w:val="111111"/>
          <w:sz w:val="28"/>
          <w:sz w:val="28"/>
          <w:szCs w:val="28"/>
          <w:rtl w:val="true"/>
          <w:lang w:bidi="fa-IR"/>
        </w:rPr>
        <w:t xml:space="preserve">لیس بنافع فی موضوع الحکم، فإنّ المدار علی بقاء موضوع الحکم، و قد یتغیّر الحکم مع بقاء الحقیقة، و قد لایتغیّر مع إختلاف الحقیقة </w:t>
      </w:r>
      <w:r>
        <w:rPr>
          <w:rFonts w:eastAsia="IRNazanin" w:cs="IRNazanin"/>
          <w:color w:val="111111"/>
          <w:sz w:val="28"/>
          <w:szCs w:val="28"/>
          <w:rtl w:val="true"/>
          <w:lang w:bidi="fa-IR"/>
        </w:rPr>
        <w:t>.</w:t>
      </w:r>
    </w:p>
    <w:p>
      <w:pPr>
        <w:pStyle w:val="Heading6"/>
        <w:numPr>
          <w:ilvl w:val="5"/>
          <w:numId w:val="1"/>
        </w:numPr>
        <w:rPr/>
      </w:pPr>
      <w:bookmarkStart w:id="701" w:name="__RefHeading___Toc488771_2281741623"/>
      <w:bookmarkStart w:id="702" w:name="_Toc279"/>
      <w:bookmarkEnd w:id="701"/>
      <w:r>
        <w:rPr>
          <w:rtl w:val="true"/>
        </w:rPr>
        <w:t xml:space="preserve">الثانی </w:t>
      </w:r>
      <w:r>
        <w:rPr>
          <w:rtl w:val="true"/>
        </w:rPr>
        <w:t xml:space="preserve">: </w:t>
      </w:r>
      <w:r>
        <w:rPr>
          <w:rtl w:val="true"/>
        </w:rPr>
        <w:t>الأخبار المطلقة الواردة فی العصیر</w:t>
      </w:r>
      <w:bookmarkEnd w:id="702"/>
    </w:p>
    <w:p>
      <w:pPr>
        <w:pStyle w:val="Heading6"/>
        <w:numPr>
          <w:ilvl w:val="5"/>
          <w:numId w:val="1"/>
        </w:numPr>
        <w:rPr/>
      </w:pPr>
      <w:bookmarkStart w:id="703" w:name="__RefHeading___Toc488773_2281741623"/>
      <w:bookmarkStart w:id="704" w:name="_Toc280"/>
      <w:bookmarkEnd w:id="703"/>
      <w:r>
        <w:rPr>
          <w:rtl w:val="true"/>
        </w:rPr>
        <w:t>اشارة</w:t>
      </w:r>
      <w:bookmarkEnd w:id="704"/>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المطلقة الواردة فی العصیر خرج ما حلّ منه بالإجماع، و بقی الباقی مثل عصیر الزبیب </w:t>
      </w:r>
      <w:r>
        <w:rPr>
          <w:rFonts w:eastAsia="IRNazanin" w:cs="IRNazanin"/>
          <w:color w:val="111111"/>
          <w:sz w:val="28"/>
          <w:szCs w:val="28"/>
          <w:rtl w:val="true"/>
          <w:lang w:bidi="fa-IR"/>
        </w:rPr>
        <w:t>.</w:t>
      </w:r>
    </w:p>
    <w:p>
      <w:pPr>
        <w:pStyle w:val="Heading6"/>
        <w:numPr>
          <w:ilvl w:val="5"/>
          <w:numId w:val="1"/>
        </w:numPr>
        <w:rPr/>
      </w:pPr>
      <w:bookmarkStart w:id="705" w:name="__RefHeading___Toc488775_2281741623"/>
      <w:bookmarkStart w:id="706" w:name="_Toc281"/>
      <w:bookmarkEnd w:id="705"/>
      <w:r>
        <w:rPr>
          <w:rtl w:val="true"/>
        </w:rPr>
        <w:t>الجواب عنه بأمور</w:t>
      </w:r>
      <w:bookmarkEnd w:id="706"/>
    </w:p>
    <w:p>
      <w:pPr>
        <w:pStyle w:val="BookText"/>
        <w:rPr/>
      </w:pPr>
      <w:r>
        <w:rPr>
          <w:rFonts w:ascii="IRNazanin" w:hAnsi="IRNazanin" w:eastAsia="IRNazanin"/>
          <w:color w:val="111111"/>
          <w:sz w:val="28"/>
          <w:sz w:val="28"/>
          <w:szCs w:val="28"/>
          <w:rtl w:val="true"/>
          <w:lang w:bidi="fa-IR"/>
        </w:rPr>
        <w:t xml:space="preserve">والجواب عنه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العصیر ظاهرا حقیقة ثانویّة فی عصیر العنب، کما ذکره فی مجمع الفائدة </w:t>
      </w:r>
      <w:r>
        <w:rPr>
          <w:rStyle w:val="FootnoteAnchor"/>
          <w:rtl w:val="true"/>
        </w:rPr>
        <w:footnoteReference w:id="12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جملة من عبارات الفقهاء حتّی قال فی الفقیه ما تقدّم منه، بل یظهر منه و من غیره أنّ العصیر من أسامی الخمر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المتعارف فی ماء الزبیب النقیع کما لا یخفی، و لذا قال فی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ولها خمسة أسامی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وهو من الکرم، والنقیع و هو من الزبیب </w:t>
      </w:r>
      <w:r>
        <w:rPr>
          <w:rStyle w:val="FootnoteAnchor"/>
          <w:rtl w:val="true"/>
        </w:rPr>
        <w:footnoteReference w:id="1238"/>
      </w:r>
      <w:r>
        <w:rPr>
          <w:rFonts w:ascii="IRNazanin" w:hAnsi="IRNazanin" w:eastAsia="IRNazanin"/>
          <w:color w:val="111111"/>
          <w:sz w:val="28"/>
          <w:sz w:val="28"/>
          <w:szCs w:val="28"/>
          <w:rtl w:val="true"/>
          <w:lang w:bidi="fa-IR"/>
        </w:rPr>
        <w:t>، 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ورد ذلک فی بعض الأخبار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لا ریب فی إنصراف تلک الأخبار إلی عصیر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لو کان المراد من العصیر فی تلک الأخبار الأعمّ، لزم تخصیص الأکثر و خروج أکثر الأفراد منه، فتأمّل </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تقدّم من الأردبیلیّ رحمه‌الله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من العصیر فیها عصیر العنب کما یفهم من کلامهم و من ظاهر الأخبار، و لهذا ما قال أحد بالعموم إلاّ ما أخرجه الدلیل ، و ما استدلّ القائل بعدم إباحة عصیر الزبیب به ، و ما استدلّ له به أیضا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 xml:space="preserve">. </w:t>
      </w:r>
      <w:bookmarkStart w:id="707" w:name="pg3696_43748"/>
    </w:p>
    <w:p>
      <w:pPr>
        <w:pStyle w:val="Heading6"/>
        <w:numPr>
          <w:ilvl w:val="5"/>
          <w:numId w:val="1"/>
        </w:numPr>
        <w:rPr/>
      </w:pPr>
      <w:bookmarkStart w:id="708" w:name="__RefHeading___Toc488777_2281741623"/>
      <w:bookmarkStart w:id="709" w:name="_Toc282"/>
      <w:bookmarkEnd w:id="707"/>
      <w:bookmarkEnd w:id="708"/>
      <w:r>
        <w:rPr>
          <w:rtl w:val="true"/>
        </w:rPr>
        <w:t xml:space="preserve">الثالث </w:t>
      </w:r>
      <w:r>
        <w:rPr>
          <w:rtl w:val="true"/>
        </w:rPr>
        <w:t xml:space="preserve">: </w:t>
      </w:r>
      <w:r>
        <w:rPr>
          <w:rtl w:val="true"/>
        </w:rPr>
        <w:t>جملة من الأخبار الواردة فی صفة الشراب الحلال</w:t>
      </w:r>
      <w:bookmarkEnd w:id="709"/>
    </w:p>
    <w:p>
      <w:pPr>
        <w:pStyle w:val="Heading6"/>
        <w:numPr>
          <w:ilvl w:val="5"/>
          <w:numId w:val="1"/>
        </w:numPr>
        <w:rPr/>
      </w:pPr>
      <w:bookmarkStart w:id="710" w:name="__RefHeading___Toc488779_2281741623"/>
      <w:bookmarkStart w:id="711" w:name="_Toc283"/>
      <w:bookmarkEnd w:id="710"/>
      <w:r>
        <w:rPr>
          <w:rtl w:val="true"/>
        </w:rPr>
        <w:t>اشارة</w:t>
      </w:r>
      <w:bookmarkEnd w:id="711"/>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الأخبار الواردة فی صفة الشراب الحلال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عن عمّار بن موسی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لی أبوعبداللّه علیه‌السلام المطبوخ کیف یطبخ حتّی یصیر حلالاً ؟ فقال 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ربعاً من زبیب و تنقیه، و صبّ علیه إثنا عشر رطلاً من ماء، ثمّ انقعه لیلة، فإذا کان أیّام الصیف و خشیت أن ینش جعلته فی تنور مسخون </w:t>
      </w:r>
      <w:r>
        <w:rPr>
          <w:rStyle w:val="FootnoteAnchor"/>
          <w:rtl w:val="true"/>
        </w:rPr>
        <w:footnoteReference w:id="1241"/>
      </w:r>
      <w:r>
        <w:rPr>
          <w:rFonts w:ascii="IRNazanin" w:hAnsi="IRNazanin" w:eastAsia="IRNazanin"/>
          <w:color w:val="111111"/>
          <w:sz w:val="28"/>
          <w:sz w:val="28"/>
          <w:szCs w:val="28"/>
          <w:rtl w:val="true"/>
          <w:lang w:bidi="fa-IR"/>
        </w:rPr>
        <w:t xml:space="preserve">قلیلاً حتّی لا ینش، ثمّ تنزع الماء کلّه حتّی إذا أصبحت صببت علیه من الماء بقدر ما یغمره، ثمّ تغلیه حتّی تذهب حلاوته، ثمّ تنزع ماءه الآخر فتصبّه علی الماء الأوّل، ثمّ تکیله کلّه فتنظر کم الماء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تکیل ثلثه فتطرحه فی الإناء الّذی ترید أن تطبخه فیه، و تصبّ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 xml:space="preserve">بقدر ما تغمره ماء، و تقدّره بعود، و تجعل قدره قصبة أو عوداً، فتحدّها علی قدر منتهی الماء، ثمّ تغلی الثلث الآخر حتّی یذهب الماء الباقی، ثمّ تغلیه بالنار ولاتزال تغلیه حتّی یذهب الثلثان و یبقی الثلث، ثمّ تأخذ لکلّ ربع رطلاً من العسل، فتغلیه حتّی یذهب رغوة العسل و تذهب غشاوة العسل فی المطبوخ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تضربه بعود ضرباً شدیداً حتّی یختلط، و إن شئت أن تطیبه بشیء من زعفران أو بشیء من زنجبیل فافعل، ثمّ اشربه و إن أحببت أن یطول مکثه عندک فروّقه </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بالخاء المعجمة ثمّ النون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w:t>
      </w:r>
      <w:r>
        <w:rPr>
          <w:rFonts w:eastAsia="IRNazanin" w:cs="IRNazanin"/>
          <w:color w:val="111111"/>
          <w:sz w:val="28"/>
          <w:szCs w:val="28"/>
          <w:rtl w:val="true"/>
          <w:lang w:bidi="fa-IR"/>
        </w:rPr>
        <w:t xml:space="preserve">: </w:t>
      </w:r>
      <w:bookmarkStart w:id="712" w:name="pg3696_43750"/>
    </w:p>
    <w:p>
      <w:pPr>
        <w:pStyle w:val="BookText"/>
        <w:rPr/>
      </w:pPr>
      <w:bookmarkEnd w:id="71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مسجور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ثمّ الراء المهملة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سجرت التنور أسجره، سجراً، إذا أحمیته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الرغوة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الغشاوة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الترویق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التصفیة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راق الشراب، یروق، روقاً، أی صفا، و روّقته أنا ترویقاً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13" w:name="__RefHeading___Toc488781_2281741623"/>
      <w:bookmarkStart w:id="714" w:name="_Toc284"/>
      <w:bookmarkEnd w:id="713"/>
      <w:r>
        <w:rPr>
          <w:rtl w:val="true"/>
        </w:rPr>
        <w:t>الجواب عنه</w:t>
      </w:r>
      <w:bookmarkEnd w:id="714"/>
    </w:p>
    <w:p>
      <w:pPr>
        <w:pStyle w:val="BookText"/>
        <w:rPr/>
      </w:pPr>
      <w:r>
        <w:rPr>
          <w:rFonts w:ascii="IRNazanin" w:hAnsi="IRNazanin" w:eastAsia="IRNazanin"/>
          <w:color w:val="111111"/>
          <w:sz w:val="28"/>
          <w:sz w:val="28"/>
          <w:szCs w:val="28"/>
          <w:rtl w:val="true"/>
          <w:lang w:bidi="fa-IR"/>
        </w:rPr>
        <w:t xml:space="preserve">وجه الدلالة فیه علی المطلب فی مواضع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السؤال، فإنّ المستفاد منه أنّ إعتقاد السائل حرمته بعد الغلیان وأوّل الطبخ، و قد قرّره الإمام علیه‌السلام و تقریره حجّة، و أیضا ترتّب الجواب علی السؤال المذکور یقتضی الحرمة بدون هذه الکیفیّة، و غیر ذهاب الثلثین لیس ممّا له دخل فی الحلّیة إجماعاً، فانحصر الأمر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کان أیّام الصیف و خشیت أن 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جعلته فی تنور مسجور قلیلاً حتّی لا 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العلّة، أی لابدّ أن یکون حرارته قلیلة لکی لا ینش،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التأمّل فیهما أنّ عدم النش لعلّه لأجل عدم طروّ الفساد علیه، مضافاً إلی إحتمال کون کلمة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متعلقة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الجعل فی التنور کذلک لعلّه مانع عن النش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تزال تغلیه حتّی یذهب الثلثان و یبقی الثلث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أمّا سنداً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فبأنّه رواه فی الکافی، عن محمّد بن یحیی، عن علیّ بن الحسن، أو عن رجل، عن علیّ بن الحسن بن فضّال ؛ فالخبر فی حدّ </w:t>
      </w:r>
    </w:p>
    <w:p>
      <w:pPr>
        <w:pStyle w:val="BookText"/>
        <w:rPr/>
      </w:pPr>
      <w:r>
        <w:rPr>
          <w:rFonts w:ascii="IRNazanin" w:hAnsi="IRNazanin" w:eastAsia="IRNazanin"/>
          <w:color w:val="111111"/>
          <w:sz w:val="28"/>
          <w:sz w:val="28"/>
          <w:szCs w:val="28"/>
          <w:rtl w:val="true"/>
          <w:lang w:bidi="fa-IR"/>
        </w:rPr>
        <w:t xml:space="preserve">الإرسال مع أنّ أکثر من فی السند فطحیّ، فإنّ علیّ بن الحسن روی عن عمرو بن سعید، عن مصدّق بن صدقة، عن عمّار بن موسی الساباطیّ، و قد قال فی الحدائق 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السؤال عن الشراب المطبوخ حتّی یصیر حلالاً ، و یمکن أن یکون الإختصاص بالزبیب دون العنب لأجل کونه حلالاً، مضافاً إلی ما سیأتی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الباب المذکور أیضا، عن عمّار بن موسی الساباطیّ 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عمّار بن موسی،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الزبیب کیف طبخه حتّی یشرب حلالاً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ربعاً من زبیب فتنقیه، ثمّ تطرح علیه إثنا عشر رطلاً من ماء، ثمّ تنقعه لیلة، فإذا کان من الغد نزعت سلافته، ثمّ تصبّ علیه من الماء بقدر ما یغمره، ثمّ تغلیه بالنار غلیة، ثمّ تنزع مائه فتصبّه علی الماء الأوّل، ثمّ تطرحه فی إناء واحد جمیعاً، ثمّ توقد تحته النار حتّی یذهب ثلثاه ویبقی الثلث و تحته النار، ثمّ تأخذ رطلاً من عسل فتغلیه بالنار غلیة و تنزع رغوته، ثمّ تطرحه علی المطبوخ، ثمّ تضربه حتّی یختلط به، واطرح فیه إن شئت زعفراناً، و إن شئت تطیبه بزنجبیل قلیل، هذا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أردت أن تقسمه أثلاثاً لتطبخه فیکله بشیء واحد حتّی تعلم کم هو، ثمّ اطرح علیه الأوّل فی الإناء الذی تغلیه فیه، ثمّ تجعل فیه مقداراً و حدّه حیث یبلغ الماء، ثمّ اطرح الثلث الآخر، ثمّ حدّه حیث یبلغ الماء، ثمّ یطرح الثلث الأخیر، ثمّ حدّه حیث یبلغ الآخر، ثمّ توقد تحته بنار لینة حتّی یذهب ثلثاه ویبقی ثلثه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وجه الإستدلال به یظهر ممّا مرّ من السؤال عن کیفیّة طبخ الزبیب علی وجه یکون حلالاً، و لیس فی الجواب ما یمکن کونه سبباً للحلّیة إلاّ ذهاب الثلثین ، کما أنّه لیس السبب فی الحرمة فی نظر السائل إلاّ کونه بمنزلة العنب، فعصیره کعصیره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المستفاد من السؤال والجواب أنّ ذهاب الثلثین فی طبخه شرط لصیرورة المطبوخ منه حلالاً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یمکن الجواب عنه و عن سابقه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أجاب به عنهما فی الحدائق بإمکان الطعن فیهما من حیث الراوی و هو عمّار، لتفرّده بروایات الغرائب، و نقل الأحکام المخالفة لأصول الشرعیّة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عنهما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لیس هنا شیء قد حرّم بمجرّد الغلیان حتّی یحتاج فی حلّیته إلی ذهاب الثلثین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 لأنّ الشیء الموجب للحرمة هو الغلیان الحاصل بالطبخ المشعر به قوله فی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المطبوخ کیف یطبخ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طبخه حتّی یشرب حلالاً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أجاب عنهما أیضاً بانّ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یطبخ حتّی یصیر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کیف طبخه حتّی یشرب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الراوی، فلا حجّیة فیه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فیه ما عرفت من تقریر الإستدلال هذا، مع أنّ الإستدلال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خشیت أن 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لا ینش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الروایة، لا وجه له، لانّ الغلیان فیما بعده کاف فی الحرمة فلا فرق بین أن ینش سابقاً أم لا، مضافاً إلی کلّ ما فی الخبرین فیما لا مدخلیّة له فی الحلّیة والحرمة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ذلک یجاب عنهما بوجه آخر، فإنّ من المحتمل قویّا أن یکون الأمر بالغلیان حتّی یذهب الثلثان فیهما، کسائر الأوامر فیهما أوامر إرشادیّة، مع أنّ السؤال بظاهره عن کیفیّة الطبخ حتّی یصیر حلالاً، فإنّ سیاق هذین الخبرین شاهد علی أنّ المراد لیس بیان الحلال المقابل للحرام، و لعلّ هذا لحفظه عن الفساد کما یؤمی إلیه قوله فی آخر الخبر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 أحببت أن یطول مکثه فروّقه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یؤمی إلیه أیضا خبر خلیلان بن هشام المرویّ فی الکافی أیضا، فی باب الأشربة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إلی أبی الحسن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عندنا شراب یسمّی المیبة، نعمد </w:t>
      </w:r>
      <w:r>
        <w:rPr>
          <w:rStyle w:val="FootnoteAnchor"/>
          <w:rtl w:val="true"/>
        </w:rPr>
        <w:footnoteReference w:id="1249"/>
      </w:r>
      <w:r>
        <w:rPr>
          <w:rFonts w:ascii="IRNazanin" w:hAnsi="IRNazanin" w:eastAsia="IRNazanin"/>
          <w:color w:val="111111"/>
          <w:sz w:val="28"/>
          <w:sz w:val="28"/>
          <w:szCs w:val="28"/>
          <w:rtl w:val="true"/>
          <w:lang w:bidi="fa-IR"/>
        </w:rPr>
        <w:t xml:space="preserve">إلی السفرجل فنقشره و نلقیه فی الماء، ثمّ نعمد إلی العصیر فنطبخه علی الثلث، ثمّ ندقّ ذلک السفرجل و نأخذ ماءه، ثمّ نعمد إلی ماء هذا المثلث و هذا السفرجل فنلقی فیه المسک والأفاوی والزعفران والعسل فنطبخه حتّی یذهب ثلثاه و یبقی ثلثه أیحلّ شربه ؟ فکتب لا بأس به ما لم یتغیّر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الأفاوی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شیء معروف عند الأطبّاء، مثل القرنفل والدارصینی، و أمثالهما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 قد یدلّ علیه، أی علی أنّ المراد الإرشاد إلی حفظه عن التغیّر، جملة من الأخبار الآتیة إن شاء اللّه، فانتظر </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ممّا یوهن الإعتماد علی هذین الخبرین عدم ذکر أحد إیّاهما فی أدلّة القول بالتحریم إلاّ جملة من الأواخر، مع أنّ هذین الخبرین بمرأهم و مسمعهم، ثمّ </w:t>
      </w:r>
    </w:p>
    <w:p>
      <w:pPr>
        <w:pStyle w:val="BookText"/>
        <w:rPr/>
      </w:pPr>
      <w:r>
        <w:rPr>
          <w:rFonts w:ascii="IRNazanin" w:hAnsi="IRNazanin" w:eastAsia="IRNazanin"/>
          <w:color w:val="111111"/>
          <w:sz w:val="28"/>
          <w:sz w:val="28"/>
          <w:szCs w:val="28"/>
          <w:rtl w:val="true"/>
          <w:lang w:bidi="fa-IR"/>
        </w:rPr>
        <w:t xml:space="preserve">لاحظ الکافی کیف عقد باباً للعصیر، و باباً للطلاء، و باباً لصفة الشراب الحلال، فإنّه لو کان حکم ذلک حکم العصیر لکان ینبغی ذکر هذه الأخبار فی الأوّلین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تسمیته إیّاه بالشراب الحلال لجعله فی مقابله الشراب الحرام المتّخذ من العنب، فلادلالة فی عقده هذاالباب علی تقسیم هذا الشراب علی قسمین، الحرام والحلال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قبیل هذین الخبرین ما رواه فی الکافی، فی الباب المذکور، عن إسماعیل بن الفضل الهاشمیّ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علیه‌السلام قراقر یصیبنی فی معدتی و قلّة استمرائی الطعام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تتّخذ نبیذاً نشربه نحن و هو یمرئ الطعام، و یذهب بالقراقر والریاح من البطن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لی 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تأخذ صاعاً من زبیب فتنقیه من حبّه و ما فیه ، ثمّ تغسله بالماء غسلاً جیّداً ، ثمّ تنقعه فی مثله من الماء أو ما یغمره، ثمّ تترکه فی الشتاء ثلاثة أیّام بلیالیها، و فی الصیف یوماً و لیلة، فإذا أتی علیه ذلک القدر صفّیته، و أخذت صفوته، و جعلته فی إناء، و أخذت مقداره بعود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طبخته طبخاً رقیقاً حتّی یذهب ثلثاه و یبقی ثلثه، ثمّ تجعل علیه نصف رطل عسل و تأخذ مقدار العسل، ثمّ تطبخه حتّی تذهب تلک الزیادة، ثمّ تأخذ زنجبیلاً و خولنجاناً و دارصینی و زعفراناً و قرنفلاً و مصطکی، و تدقّه، و تجعله فی خرقة رقیقة، و تطرحه فیه، و تغلیه معه غلیة، ثمّ تنزله، فإذا برد صفّیته و أخذت منه علی غدائک و عشائک </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 فذهب عنّی ما کنت أجده ، و هو شراب طیّب ، لا یتغیّر إذا بقی إن شاء اللّه تعالی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الصفوة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الفاء فإذا نزع منها الهاء فالفاء بالفتح فقط، و هی الخالص من کلّ شیء ینسب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الأوّل و ضمّه، و بفتح الکاف، والألف فی آخره مقصورة و ممدودة، إلاّ أنّه یمدّ فی فتح الأوّل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علک رومیّ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قد یوهن دلالة الخبرین فیما استدلّوا به، حیث أنّ ذهاب الثلثین وغیره ممّا فیه للنفع الحاصل منه، المذکور فی الخبر، کما یؤمی إلیه ألفاظ الخبر من صدره إلی ذیله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یذکر دلیلاً أو مؤیّدا لهما فی القول بالتحریم، من حصر الترک فی الصیف یوما و لیلة، و لذلک لأجل عدم عروض النشّ علیه، و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یذهب ثلثاه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قال فی رسالة الآقا البهبهانیّ رحمه‌الله أنّ فیه إشعاراً إلی إستثناء هذا النبیذ من النبیذ الحرام، و أنّ المخرج هو حکایة ذهاب الثلثین، المعهود من الأخبار أنّه المحلّل للغالی </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والإنصاف أنّه لا دلالة فیه أصلاً علی ذلک، بل و لا تأیید فیه إلاّ ضعیفاً </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 هذه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إذهاب الثلثین من نقیع الزبیب لأجل عدم عروض التغیّر له، کما یؤمی إلیه قوله فی ذیل الخبر الأخیر، و هو خبر إسماعیل بن الفضل الهاشمیّ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شراب طیّب لا یتغیّر إذا بقی إن 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لأجل مصلحة طبّیة نافعة للبدن إن شاء اللّه، کما یؤمی إلیه خبر إسحاق بن عمّار، المرویّ فی الباب المذکور، فی الکافی،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شکوت إلی أبی عبداللّه علیه‌السلام </w:t>
      </w:r>
      <w:bookmarkStart w:id="715" w:name="pg3696_43763"/>
    </w:p>
    <w:p>
      <w:pPr>
        <w:pStyle w:val="BookText"/>
        <w:rPr/>
      </w:pPr>
      <w:bookmarkEnd w:id="715"/>
      <w:r>
        <w:rPr>
          <w:rFonts w:ascii="IRNazanin" w:hAnsi="IRNazanin" w:eastAsia="IRNazanin"/>
          <w:color w:val="111111"/>
          <w:sz w:val="28"/>
          <w:sz w:val="28"/>
          <w:szCs w:val="28"/>
          <w:rtl w:val="true"/>
          <w:lang w:bidi="fa-IR"/>
        </w:rPr>
        <w:t xml:space="preserve">بعض الوجع و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الطبیب وصف لی شراباً أخذ الزبیب و أصبّ علیه الماء للواحد إثنین، ثمّ أصبّ علیه العسل، ثمّ أطبخه حتّی یذهب ثلثاه و یبقی الثلث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حلوا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إشربه و لم أخبره کم العسل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تری انّ الطبیب قد وصف له و أمره بطبخه حتّی یذهب الثلثان ویبقی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فی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ألیس حلوا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إشعار علی أنّ المدار علی وصف الحلو، و أنّه إذا کان حلواً و لم یتغیّر طعمه جاز شربه، و قد تقدّم بعض الکلام فیه، و لعلّ من ذلک قال المقدّس الأردبیلیّ رحمه‌الله بعد ذکر هذا الخبر بأنّه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 فهم الحلّ مطلقاً من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ألیس حلواً ؟ فافهم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یرد علی هذا ما أورده البهبهانیّ رحمه‌الله ، فی حاشیته علی مجمع الفائدة </w:t>
      </w:r>
      <w:r>
        <w:rPr>
          <w:rStyle w:val="FootnoteAnchor"/>
          <w:rtl w:val="true"/>
        </w:rPr>
        <w:footnoteReference w:id="1256"/>
      </w:r>
      <w:r>
        <w:rPr>
          <w:rFonts w:ascii="IRNazanin" w:hAnsi="IRNazanin" w:eastAsia="IRNazanin"/>
          <w:color w:val="111111"/>
          <w:sz w:val="28"/>
          <w:sz w:val="28"/>
          <w:szCs w:val="28"/>
          <w:rtl w:val="true"/>
          <w:lang w:bidi="fa-IR"/>
        </w:rPr>
        <w:t xml:space="preserve">، من أنّ کلامه هذا أنّه علّة منصوصة، و فیه انّ العنبیّ أیضا حلو و لیس بحلال قطعاً، و فیه أنّه خرج ما خرج بالدلیل مع أنّ هذا علّة فی خصوص الزبیب لا فی العنب </w:t>
      </w:r>
      <w:r>
        <w:rPr>
          <w:rFonts w:eastAsia="IRNazanin" w:cs="IRNazanin"/>
          <w:color w:val="111111"/>
          <w:sz w:val="28"/>
          <w:szCs w:val="28"/>
          <w:rtl w:val="true"/>
          <w:lang w:bidi="fa-IR"/>
        </w:rPr>
        <w:t>.</w:t>
      </w:r>
    </w:p>
    <w:p>
      <w:pPr>
        <w:pStyle w:val="Heading6"/>
        <w:numPr>
          <w:ilvl w:val="5"/>
          <w:numId w:val="1"/>
        </w:numPr>
        <w:rPr/>
      </w:pPr>
      <w:bookmarkStart w:id="716" w:name="__RefHeading___Toc488783_2281741623"/>
      <w:bookmarkStart w:id="717" w:name="_Toc285"/>
      <w:bookmarkEnd w:id="716"/>
      <w:r>
        <w:rPr>
          <w:rtl w:val="true"/>
        </w:rPr>
        <w:t xml:space="preserve">الرابع </w:t>
      </w:r>
      <w:r>
        <w:rPr>
          <w:rtl w:val="true"/>
        </w:rPr>
        <w:t xml:space="preserve">: </w:t>
      </w:r>
      <w:r>
        <w:rPr>
          <w:rtl w:val="true"/>
        </w:rPr>
        <w:t>ما فی کتاب زید النَرْسی</w:t>
      </w:r>
      <w:bookmarkEnd w:id="717"/>
    </w:p>
    <w:p>
      <w:pPr>
        <w:pStyle w:val="Heading6"/>
        <w:numPr>
          <w:ilvl w:val="5"/>
          <w:numId w:val="1"/>
        </w:numPr>
        <w:rPr/>
      </w:pPr>
      <w:bookmarkStart w:id="718" w:name="__RefHeading___Toc488785_2281741623"/>
      <w:bookmarkStart w:id="719" w:name="_Toc286"/>
      <w:bookmarkEnd w:id="718"/>
      <w:r>
        <w:rPr>
          <w:rtl w:val="true"/>
        </w:rPr>
        <w:t>اشارة</w:t>
      </w:r>
      <w:bookmarkEnd w:id="719"/>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فی کتاب زید النَرْسی، علی ما نقل عنه فی البحار </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علیه‌السلام عن الزبیب یدقّ ویلقی فیالقدر، ثمّ یصبّ علیه الماء، و یوقد تحته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حتّی یذهب الثلثان و یبقی الثلث، فإنّ النار قد أصابته،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فالزبیب کما هو یلقی فی القدر و یصبّ علیه </w:t>
      </w:r>
      <w:r>
        <w:rPr>
          <w:rStyle w:val="FootnoteAnchor"/>
          <w:rtl w:val="true"/>
        </w:rPr>
        <w:footnoteReference w:id="1257"/>
      </w:r>
      <w:r>
        <w:rPr>
          <w:rFonts w:ascii="IRNazanin" w:hAnsi="IRNazanin" w:eastAsia="IRNazanin"/>
          <w:color w:val="111111"/>
          <w:sz w:val="28"/>
          <w:sz w:val="28"/>
          <w:szCs w:val="28"/>
          <w:rtl w:val="true"/>
          <w:lang w:bidi="fa-IR"/>
        </w:rPr>
        <w:t>، ثمّ یطبخ ویصفی عنه الماء،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سواء إذا أدّت الحلاوة إلی الماء وصار حلواً </w:t>
      </w:r>
      <w:r>
        <w:rPr>
          <w:rStyle w:val="FootnoteAnchor"/>
          <w:rtl w:val="true"/>
        </w:rPr>
        <w:footnoteReference w:id="1258"/>
      </w:r>
      <w:bookmarkStart w:id="720" w:name="pg3696_43765"/>
    </w:p>
    <w:p>
      <w:pPr>
        <w:pStyle w:val="BookText"/>
        <w:rPr/>
      </w:pPr>
      <w:bookmarkEnd w:id="720"/>
      <w:r>
        <w:rPr>
          <w:rFonts w:ascii="IRNazanin" w:hAnsi="IRNazanin" w:eastAsia="IRNazanin"/>
          <w:color w:val="111111"/>
          <w:sz w:val="28"/>
          <w:sz w:val="28"/>
          <w:szCs w:val="28"/>
          <w:rtl w:val="true"/>
          <w:lang w:bidi="fa-IR"/>
        </w:rPr>
        <w:t xml:space="preserve">بمنزلة العصیر، ثمّ نشّ من غیر أن تصیبه النار فقد حرم، و کذلک إذا أصابته النار فأغلاه </w:t>
      </w:r>
      <w:r>
        <w:rPr>
          <w:rStyle w:val="FootnoteAnchor"/>
          <w:rtl w:val="true"/>
        </w:rPr>
        <w:footnoteReference w:id="1259"/>
      </w:r>
      <w:r>
        <w:rPr>
          <w:rFonts w:ascii="IRNazanin" w:hAnsi="IRNazanin" w:eastAsia="IRNazanin"/>
          <w:color w:val="111111"/>
          <w:sz w:val="28"/>
          <w:sz w:val="28"/>
          <w:szCs w:val="28"/>
          <w:rtl w:val="true"/>
          <w:lang w:bidi="fa-IR"/>
        </w:rPr>
        <w:t xml:space="preserve">فقد فسد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الأصل کان موجودا عندی لکن لم یحضرنی وقت کتابة هذا المقام، و ما أدری من أخذه منّی، و لم یردّه إلیّ حتّی فقدته وقت الحاجة، فإنّه قد نقل عن کتابه بوجه آخر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الزبیب یدقّ و یلقی فی القدر و یصبّ علیه الماء،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حتّی یذهب ثلثاه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کما هو یلقی فی القدر،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کذلک سواء إذا أدّت الحلاوة إلی الماء فقد فسد کلّما غلی بنفسه أو بالنار فقد حرم إلاّ أن یذهب ثلثاه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حکی مثل ذلک عن کتاب زید الزرّاد أیضا </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1" w:name="__RefHeading___Toc488787_2281741623"/>
      <w:bookmarkStart w:id="722" w:name="_Toc287"/>
      <w:bookmarkEnd w:id="721"/>
      <w:r>
        <w:rPr>
          <w:rtl w:val="true"/>
        </w:rPr>
        <w:t>الجواب عنه سنداً و دلالة</w:t>
      </w:r>
      <w:bookmarkEnd w:id="722"/>
    </w:p>
    <w:p>
      <w:pPr>
        <w:pStyle w:val="BookText"/>
        <w:rPr/>
      </w:pPr>
      <w:r>
        <w:rPr>
          <w:rFonts w:ascii="IRNazanin" w:hAnsi="IRNazanin" w:eastAsia="IRNazanin"/>
          <w:color w:val="111111"/>
          <w:sz w:val="28"/>
          <w:sz w:val="28"/>
          <w:szCs w:val="28"/>
          <w:rtl w:val="true"/>
          <w:lang w:bidi="fa-IR"/>
        </w:rPr>
        <w:t xml:space="preserve">و علی کلّ حال فیمکن الجواب عن هذا الخبر سنداً بما قاله الشیخ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النرسی و زید الزرّاد لهما أصلان لم یروهما إبن بابویه، و قال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یروهما إبن الولید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موضوعان، و کذلک کتاب خالد بن عبداللّه بن سدیر، و کان یقول وضع هذه الأصول محمّد بن موسی الهمدانیّ، و کتاب زید النرسی رواه إبن أبی عمیر عنه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النرسی بالنون، و زید الزرّاد، قال الشیخ الطوسی رحمه‌الله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لهما أصلان لم یروهما محمّد بن علیّ بن الحسین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لم‌یروهما محمّد بن الحسن بن الولید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موضوعان، و کذلک کتاب خالد بن عبداللّه بن سدیر و کان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هذه الأصول محمّد بن موسی الهمدانیّ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الطوسی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زید النرسی رواه إبن أبی عمیر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إبن الغضائریّ فی زید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و زید النرسی، رویا عن أبی عبداللّه علیه‌السلام قال أبوجعفر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کتابهما موضوع وضعه محمّد بن موسی السمان،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وغلط أبوجعفر فی هذا القول فإنّی رأیت کتبهما مسموعة عن محمّد 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والّذی قاله الشیخ عن إبن بابویه و إبن الغضائریّ لایدلّ علی طعن فی الرجلین فإن کان توقّف ففی روایة الکتابین، و لما لم أجد لأحد من أصحابنا تعدیلاً لهما و لا طعناً فیهما توقفت عن قبول روایتهما </w:t>
      </w:r>
      <w:r>
        <w:rPr>
          <w:rStyle w:val="FootnoteAnchor"/>
          <w:rtl w:val="true"/>
        </w:rPr>
        <w:footnoteReference w:id="126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إختصاص الشیخ رحمه‌الله روایة إبن أبی عمیر بکتابه بزید النرسی دلالة علی عدم تبیّن روایة إبن أبی عمیر کتاب زید الزرّاد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کیف کان، فالإعتماد علی هذا الخبر مشکل، والإستدلال بهذا الخبر و سابقیه لم أجد إلاّ من بعض الأواخر، و لعلّ ذلک لضعف فی السند، بل و الدلالة فی بعضها أیضا </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إنّ فی هذا الخبر دلالة علی أنّه إذا غلی الزبیب فی الماء ولم‌یؤدّی الحلاوة إلی الماء لا بأس به ، یعنی إذا غلی الماء فی القدر و کان فیه الزبیب لا یصیر حراماً، فلاحظ الخبر فانّ فیه مواضع من الدلالة </w:t>
      </w:r>
      <w:r>
        <w:rPr>
          <w:rFonts w:eastAsia="IRNazanin" w:cs="IRNazanin"/>
          <w:color w:val="111111"/>
          <w:sz w:val="28"/>
          <w:szCs w:val="28"/>
          <w:rtl w:val="true"/>
          <w:lang w:bidi="fa-IR"/>
        </w:rPr>
        <w:t xml:space="preserve">. </w:t>
      </w:r>
      <w:bookmarkStart w:id="723" w:name="pg3696_43770"/>
    </w:p>
    <w:p>
      <w:pPr>
        <w:pStyle w:val="Heading6"/>
        <w:numPr>
          <w:ilvl w:val="5"/>
          <w:numId w:val="1"/>
        </w:numPr>
        <w:rPr/>
      </w:pPr>
      <w:bookmarkStart w:id="724" w:name="__RefHeading___Toc488789_2281741623"/>
      <w:bookmarkStart w:id="725" w:name="_Toc288"/>
      <w:bookmarkEnd w:id="723"/>
      <w:bookmarkEnd w:id="724"/>
      <w:r>
        <w:rPr>
          <w:rtl w:val="true"/>
        </w:rPr>
        <w:t xml:space="preserve">الخامس </w:t>
      </w:r>
      <w:r>
        <w:rPr>
          <w:rtl w:val="true"/>
        </w:rPr>
        <w:t xml:space="preserve">: </w:t>
      </w:r>
      <w:r>
        <w:rPr>
          <w:rtl w:val="true"/>
        </w:rPr>
        <w:t>ما رواه فی الکافی فی باب الطلاء</w:t>
      </w:r>
      <w:bookmarkEnd w:id="725"/>
    </w:p>
    <w:p>
      <w:pPr>
        <w:pStyle w:val="Heading6"/>
        <w:numPr>
          <w:ilvl w:val="5"/>
          <w:numId w:val="1"/>
        </w:numPr>
        <w:rPr/>
      </w:pPr>
      <w:bookmarkStart w:id="726" w:name="__RefHeading___Toc488791_2281741623"/>
      <w:bookmarkStart w:id="727" w:name="_Toc289"/>
      <w:bookmarkEnd w:id="726"/>
      <w:r>
        <w:rPr>
          <w:rtl w:val="true"/>
        </w:rPr>
        <w:t>اشارة</w:t>
      </w:r>
      <w:bookmarkEnd w:id="727"/>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اشتهر الإستدلال به علی هذا القول، و هو ما رواه فی الکافی فی باب الطلاء، باسناده عن علیّ بن جعفر، عن أخیه موسی أبی الحسن علیهماالسلام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الزبیب هل یصلح أن یطبخ حتّی یخرج طعمه، ثمّ یؤخذ ذلک الماء فیطبخ حتّی یذهب ثلثاه و یبقی الثلث، ثمّ یرفع و یشرب منه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رواه فی التهذیب أیضا، عن محمّد بن یعقوب ؛ إلاّ أنّ مکان ثمّ یرفع، ثمّ یوضع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8" w:name="__RefHeading___Toc488793_2281741623"/>
      <w:bookmarkStart w:id="729" w:name="_Toc290"/>
      <w:bookmarkEnd w:id="728"/>
      <w:r>
        <w:rPr>
          <w:rtl w:val="true"/>
        </w:rPr>
        <w:t>الجواب عنه</w:t>
      </w:r>
      <w:bookmarkEnd w:id="729"/>
    </w:p>
    <w:p>
      <w:pPr>
        <w:pStyle w:val="BookText"/>
        <w:rPr/>
      </w:pPr>
      <w:r>
        <w:rPr>
          <w:rFonts w:ascii="Amiri" w:hAnsi="Amiri" w:eastAsia="Amiri" w:cs="Amiri"/>
          <w:color w:val="111111"/>
          <w:sz w:val="28"/>
          <w:sz w:val="28"/>
          <w:szCs w:val="28"/>
          <w:rtl w:val="true"/>
          <w:lang w:bidi="ar-SA"/>
        </w:rPr>
        <w:t xml:space="preserve">و قد أجاب عنه جملة </w:t>
      </w:r>
      <w:r>
        <w:rPr>
          <w:rStyle w:val="FootnoteAnchor"/>
          <w:rtl w:val="true"/>
        </w:rPr>
        <w:footnoteReference w:id="1266"/>
      </w:r>
      <w:r>
        <w:rPr>
          <w:rFonts w:ascii="IRNazanin" w:hAnsi="IRNazanin" w:eastAsia="IRNazanin"/>
          <w:color w:val="111111"/>
          <w:sz w:val="28"/>
          <w:sz w:val="28"/>
          <w:szCs w:val="28"/>
          <w:rtl w:val="true"/>
          <w:lang w:bidi="fa-IR"/>
        </w:rPr>
        <w:t xml:space="preserve">بضعف هذا الخبر سنداً لاشتماله علی سهل بن زیاد، ودلالة بأنّ غایة ما فیه عدم البأس به مع ذهاب الثلثین و لو بقی إلی سنة، و لا دلالة فیه علی وجود البأس قبل ذهاب الثلثین، إلاّ ما قاله الشهید الثانی و جماعة </w:t>
      </w:r>
      <w:r>
        <w:rPr>
          <w:rStyle w:val="FootnoteAnchor"/>
          <w:rtl w:val="true"/>
        </w:rPr>
        <w:footnoteReference w:id="1267"/>
      </w:r>
      <w:r>
        <w:rPr>
          <w:rFonts w:ascii="IRNazanin" w:hAnsi="IRNazanin" w:eastAsia="IRNazanin"/>
          <w:color w:val="111111"/>
          <w:sz w:val="28"/>
          <w:sz w:val="28"/>
          <w:szCs w:val="28"/>
          <w:rtl w:val="true"/>
          <w:lang w:bidi="fa-IR"/>
        </w:rPr>
        <w:t xml:space="preserve">من جهة المفهوم الوصفی، و هو ضعیف بنفسه، مع أنّ دلالة المفهوم حجّة ما لم یظهر للتقیید فائدة، و قد یظهر أنّ فائدة التقیید بذهاب الثلثین لیذهب مائیّته، فیصلح لمکثه عنده مدّة سنة کما یبقی الدبس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دلالته بالمفهوم نظر، لأنّه لا مفهوم إلاّ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والضمیر راجع إلی ما فی السؤال، فیکون فی حدّ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بأس بأن یطبخ حتّی </w:t>
      </w:r>
      <w:bookmarkStart w:id="730" w:name="pg3696_43772"/>
    </w:p>
    <w:p>
      <w:pPr>
        <w:pStyle w:val="BookText"/>
        <w:rPr/>
      </w:pPr>
      <w:bookmarkEnd w:id="730"/>
      <w:r>
        <w:rPr>
          <w:rFonts w:ascii="IRNazanin" w:hAnsi="IRNazanin" w:eastAsia="IRNazanin"/>
          <w:color w:val="111111"/>
          <w:sz w:val="28"/>
          <w:sz w:val="28"/>
          <w:szCs w:val="28"/>
          <w:rtl w:val="true"/>
          <w:lang w:bidi="fa-IR"/>
        </w:rPr>
        <w:t xml:space="preserve">یذهب ثلثاه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هذا التقیید علی ظاهره لأجل أن یکون علی طبق سؤال السائل فلا مفهوم فیه أصلاً </w:t>
      </w:r>
      <w:r>
        <w:rPr>
          <w:rFonts w:eastAsia="IRNazanin" w:cs="IRNazanin"/>
          <w:color w:val="111111"/>
          <w:sz w:val="28"/>
          <w:szCs w:val="28"/>
          <w:rtl w:val="true"/>
          <w:lang w:bidi="fa-IR"/>
        </w:rPr>
        <w:t>.</w:t>
      </w:r>
    </w:p>
    <w:p>
      <w:pPr>
        <w:pStyle w:val="Heading6"/>
        <w:numPr>
          <w:ilvl w:val="5"/>
          <w:numId w:val="1"/>
        </w:numPr>
        <w:rPr/>
      </w:pPr>
      <w:bookmarkStart w:id="731" w:name="__RefHeading___Toc488795_2281741623"/>
      <w:bookmarkStart w:id="732" w:name="_Toc291"/>
      <w:bookmarkEnd w:id="731"/>
      <w:r>
        <w:rPr>
          <w:rtl w:val="true"/>
        </w:rPr>
        <w:t xml:space="preserve">السادس </w:t>
      </w:r>
      <w:r>
        <w:rPr>
          <w:rtl w:val="true"/>
        </w:rPr>
        <w:t xml:space="preserve">: </w:t>
      </w:r>
      <w:r>
        <w:rPr>
          <w:rtl w:val="true"/>
        </w:rPr>
        <w:t>الأخبار الواردة فی العصیر</w:t>
      </w:r>
      <w:bookmarkEnd w:id="732"/>
    </w:p>
    <w:p>
      <w:pPr>
        <w:pStyle w:val="Heading6"/>
        <w:numPr>
          <w:ilvl w:val="5"/>
          <w:numId w:val="1"/>
        </w:numPr>
        <w:rPr/>
      </w:pPr>
      <w:bookmarkStart w:id="733" w:name="__RefHeading___Toc488797_2281741623"/>
      <w:bookmarkStart w:id="734" w:name="_Toc292"/>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العصیر، و أنّه حرام إذا غلی، فإنّها بإطلاقها یشمل عصیر الزبیب، و لو شکّ فی الإطلاقات فلا ینبغی الشکّ فی العامّ من تلک الأخبار، کقوله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عصیر </w:t>
      </w:r>
      <w:r>
        <w:rPr>
          <w:rFonts w:eastAsia="IRNazanin" w:cs="IRNazanin"/>
          <w:color w:val="111111"/>
          <w:sz w:val="28"/>
          <w:szCs w:val="28"/>
          <w:rtl w:val="true"/>
          <w:lang w:bidi="fa-IR"/>
        </w:rPr>
        <w:t xml:space="preserve">... </w:t>
      </w:r>
      <w:r>
        <w:rPr>
          <w:rStyle w:val="FootnoteAnchor"/>
          <w:rtl w:val="true"/>
        </w:rPr>
        <w:footnoteReference w:id="1268"/>
      </w:r>
      <w:r>
        <w:rPr>
          <w:rFonts w:ascii="Amiri" w:hAnsi="Amiri" w:eastAsia="Amiri" w:cs="Amiri"/>
          <w:color w:val="111111"/>
          <w:sz w:val="28"/>
          <w:sz w:val="28"/>
          <w:szCs w:val="28"/>
          <w:rtl w:val="true"/>
          <w:lang w:bidi="ar-SA"/>
        </w:rPr>
        <w:t xml:space="preserve">، أو أیّ عصیر </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تمسّک بهذه الأخبار الشیخ أبوالحسن رحمه‌الله کما حکی عنه فی الحدائق ، و کذا تمسّک بها المولی البهبهانیّ رحمه‌الله فی الرسالة </w:t>
      </w:r>
      <w:r>
        <w:rPr>
          <w:rStyle w:val="FootnoteAnchor"/>
          <w:rtl w:val="true"/>
        </w:rPr>
        <w:footnoteReference w:id="1270"/>
      </w:r>
      <w:r>
        <w:rPr>
          <w:rFonts w:ascii="IRNazanin" w:hAnsi="IRNazanin" w:eastAsia="IRNazanin"/>
          <w:color w:val="111111"/>
          <w:sz w:val="28"/>
          <w:sz w:val="28"/>
          <w:szCs w:val="28"/>
          <w:rtl w:val="true"/>
          <w:lang w:bidi="fa-IR"/>
        </w:rPr>
        <w:t xml:space="preserve">، و قد أطال الکلام فیها فی النقض والإبرام، و أنا أقتصر علی ما حکاه فی الحدائق عن الشیخ المذکور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شیخنا العلاّمة أبوالحسن علی التحریم بصحیحة عبداللّه بن سنان،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عصیر أصابته النار فهو حرام حتّی یذهب ثلثاه و یبقی ثلثه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روی أیضا فی الحسن عنه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عصیر أصابته النار فهو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صریحتان فی العموم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5" w:name="__RefHeading___Toc488799_2281741623"/>
      <w:bookmarkStart w:id="736" w:name="_Toc293"/>
      <w:bookmarkEnd w:id="735"/>
      <w:r>
        <w:rPr>
          <w:rtl w:val="true"/>
        </w:rPr>
        <w:t>الجواب عنه</w:t>
      </w:r>
      <w:bookmarkEnd w:id="73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یمکن الجواب عنه بعد الفحص عن عدم الظفر بروایة مشتملة علی کلمة أیّ، کما ذکره فی الحدائق أیضا، بأنّ العصیر حقیقة أو ظاهرة فی عصیر العنب ، و بیان ذلک انّ العصیر إنّما یستعمل فی الأجسام الّتی فیها مائیة و یستخرج منها مائها </w:t>
      </w:r>
    </w:p>
    <w:p>
      <w:pPr>
        <w:pStyle w:val="BookText"/>
        <w:rPr/>
      </w:pPr>
      <w:r>
        <w:rPr>
          <w:rFonts w:ascii="IRNazanin" w:hAnsi="IRNazanin" w:eastAsia="IRNazanin"/>
          <w:color w:val="111111"/>
          <w:sz w:val="28"/>
          <w:sz w:val="28"/>
          <w:szCs w:val="28"/>
          <w:rtl w:val="true"/>
          <w:lang w:bidi="fa-IR"/>
        </w:rPr>
        <w:t xml:space="preserve">کالرمّان، والبطّیخ، والنارنج، والتفّاح، والسفرجل، و نحوها، و منها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لیس فیها ماء، و فیها حلاوة، أو حموضة، أو نحوها من الخاصیّة، ویراد إستخراج حموضتها، أو حلاوتها، أو سائر طعومها و خاصیّتها کالسماق، والزرشک، و جملة من الأدویة، و نحو ذلک، فإنّما ینقع فی الماء حتّی یخرج حموضتها، أو حلاوتها، أو نحوها إلی الماء، أو یغلی فی الماء بالنار حتّی یستخرج طعمها و خاصیّتها، أو یؤخذ طعمها و خاصیّتها بالتعریق و نحوه، و من ذلک الیابس من الأوّل کحبّ الرمّان، والزبیب، والتمر، و نحو ذلک، و کلّ ما کان من هذا القبیل، فإنّما یسمّی نقیعاً أو نبیذاً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و إن کان ممّا یقتضیه العرف، إلاّ أنه یدلّ علیه أیضا کلمات اللغویین ؛ قال فی المصباح المنیر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عصرت العنب و نحوه عصرا من باب ضرب، إستخرجت ماؤه واعتصرته کذلک، و إسم ذلک الماء العصیر فعیل بمعنی مفعول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أنقعت الدواء و غیره إنقاعا، ترکته فی الماء حتّی إنتقع و هو نقیع فعیل بمعنی مفعول، والنقوع بالفتح ما یُنقع، مثل السَّحور والطَّهور لما یتسحَّر به و یتطهَّر به، فَقَبْل أن ینقع فهو نَقُوع و بعده هو نَقوع و نقیع، و یطلق النقیع علی الشراب المتَّخذ من ذلک، فیقال نقیع التمر والزبیب و غیره إذا تُرِک فی الماء حتّی ینتقع من غیر طبخ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النهایة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فی حدیث الکرم یتّخذونه زبیباً تنقعونه </w:t>
      </w:r>
    </w:p>
    <w:p>
      <w:pPr>
        <w:pStyle w:val="BookText"/>
        <w:rPr/>
      </w:pPr>
      <w:r>
        <w:rPr>
          <w:rFonts w:ascii="IRNazanin" w:hAnsi="IRNazanin" w:eastAsia="IRNazanin"/>
          <w:color w:val="111111"/>
          <w:sz w:val="28"/>
          <w:sz w:val="28"/>
          <w:szCs w:val="28"/>
          <w:rtl w:val="true"/>
          <w:lang w:bidi="fa-IR"/>
        </w:rPr>
        <w:t xml:space="preserve">أی تخلطونه بالماء لیصیر شراباً، و کلّما ألقی فی ماء فقد أنقع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انقعت الدواء وغیره فی الماء فهو منقع، والنقوع بالفتح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ینقع فی الماء من اللیل لیشرب نهاراً، أو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 یتّخذ من زبیب أو غیره ینقع فی الماء من غیر طبخ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الصحاح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عصرت العنب واعتصرته فانعصر و تعصّر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ما فیه ممّا یدلّ علی اختصاص إستعمال العصر مطلقاً فی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النقوع ما ینقع فی الماء من اللیل لدواء أو نبیذ و ذلک الإناء مِنقَع بالکسر و انقعت الدواء و غیره فی الماء فهو منقع </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القاموس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العنب و نحوه یعصره، فهو معصور وعصیر، واعتصره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استخرج ما فیه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کصبور صبغ فیه من أفواه الطیب و من المیاه العذب البارد أو الشروب کالنقیع فیهما، و ما ینقع فی الماء من الدواء والنبیذ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النقیع، شراب من زبیب أو کلّ ما ینقع تمراً أو زبیباً أو غیرهما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مجمع البحرین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والعصر من العنب یقال عصرت العنب عصراً من باب ضرب استخرجت مائه و إسم الماء العصیر </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النقوع بالفتح ما ینقع فی الماء من اللیل لدواء أو نبیذ و ذلک منقع بالکسر، والنقیع شراب یتّخذ من زبیب ینقع فی الماء من غیر طبخ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النبیذ ما یعمل من الأشربة من التمر و الزبیب و العسل والحنطة والشعیر و غیر ذلک، یقال نبذت التمر و العنب إذا ترکت علیه الماء لیصیر نبیذاً فصرف من مفعول إلی فعیل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الحدیث أصل النبیذ حلال، و أصل الخمر حرام ، کأنّه أراد بالأصل الأوّل العنب و هو حلال ، و بالأصل الثانی النبیذ و هو حرام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یدلّ علیه جملة من الأخبار أیضا کالصحیح المرویّ فی الکافی فی باب ما یتّخذ منه الخمر، عن عبدالرّحمن بن الحجّاج،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والنقیع من الزبیب، والبتع من العسل، والمزر من الشعیر، والنبیذ من التمر الخبر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الصحیح المرویّ فیه ، عن علیّ بن جعفر بن إسحاق الهاشمیّ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من خمسة، العصیر من الکرم، والنقیع من الزبیب، والبتع من العسل، والمزر من الشعیر، والنبیذ من التمر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الأخبار، و قد تقدّم فی جملة من عبارات الأصحاب ما یدلّ علی ذلک </w:t>
      </w:r>
      <w:r>
        <w:rPr>
          <w:rFonts w:eastAsia="IRNazanin" w:cs="IRNazanin"/>
          <w:color w:val="111111"/>
          <w:sz w:val="28"/>
          <w:szCs w:val="28"/>
          <w:rtl w:val="true"/>
          <w:lang w:bidi="fa-IR"/>
        </w:rPr>
        <w:t xml:space="preserve">. </w:t>
      </w:r>
      <w:bookmarkStart w:id="737" w:name="pg3696_43780"/>
    </w:p>
    <w:p>
      <w:pPr>
        <w:pStyle w:val="BookText"/>
        <w:rPr/>
      </w:pPr>
      <w:bookmarkEnd w:id="737"/>
      <w:r>
        <w:rPr>
          <w:rFonts w:ascii="IRNazanin" w:hAnsi="IRNazanin" w:eastAsia="IRNazanin"/>
          <w:color w:val="111111"/>
          <w:sz w:val="28"/>
          <w:sz w:val="28"/>
          <w:szCs w:val="28"/>
          <w:rtl w:val="true"/>
          <w:lang w:bidi="fa-IR"/>
        </w:rPr>
        <w:t xml:space="preserve">فإذا عرفت ذلک علمت أنّ العصیر عرفاً و لغة و شرعاً و متشرّعاً عصیر العنب وأنّ ماء الزبیب لیس عصیراً، بل هو نقیع أو نبیذ، فأخبار العصیر لا تشمل ماء الزبیب و لا ماء التمر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ولی العصیر کلمة العموم من کلّ و أیّ ونحوهما، فإنّما یعمّ أفراد العصیر و أنواعه، لا أفراد النقیع، مع أنّ الظاهر أنّ المراد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 عصیر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کلّ ما یعصر حتّی ماء الرمّان و السفرجل إلی غیر ذلک ممّا یمکن عصره ، و إلاّ لزم أن یکون المراد أنّ کلّ عصیر إذا غلی حرم، و هذه الکلّیة فاسدة بالبدیهة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یؤیّد ذلک جملة من الأخبار الواردة فی أبواب البیع، فإنّ العصیر إنّما أطلق فیها علی عصیر العنب، و فهم السائل والمسئول منه عصیر العنب من غیر إستفصال وسؤال، فلاحظ الأخبار الواردة فی الکافی فی باب بیع العصیر والخمر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38" w:name="__RefHeading___Toc488801_2281741623"/>
      <w:bookmarkStart w:id="739" w:name="_Toc294"/>
      <w:bookmarkEnd w:id="738"/>
      <w:r>
        <w:rPr>
          <w:rtl w:val="true"/>
        </w:rPr>
        <w:t xml:space="preserve">السابع </w:t>
      </w:r>
      <w:r>
        <w:rPr>
          <w:rtl w:val="true"/>
        </w:rPr>
        <w:t xml:space="preserve">: </w:t>
      </w:r>
      <w:r>
        <w:rPr>
          <w:rtl w:val="true"/>
        </w:rPr>
        <w:t>الأخبار الواردة فی أصل تحریم الخمر</w:t>
      </w:r>
      <w:bookmarkEnd w:id="739"/>
    </w:p>
    <w:p>
      <w:pPr>
        <w:pStyle w:val="Heading6"/>
        <w:numPr>
          <w:ilvl w:val="5"/>
          <w:numId w:val="1"/>
        </w:numPr>
        <w:rPr/>
      </w:pPr>
      <w:bookmarkStart w:id="740" w:name="__RefHeading___Toc488803_2281741623"/>
      <w:bookmarkStart w:id="741" w:name="_Toc295"/>
      <w:bookmarkEnd w:id="740"/>
      <w:r>
        <w:rPr>
          <w:rtl w:val="true"/>
        </w:rPr>
        <w:t>اشارة</w:t>
      </w:r>
      <w:bookmarkEnd w:id="741"/>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أصل تحریم الخمر، کالخبر المرویّ فی الکافی، فی باب أصل تحریم الخمر، عن ابن محبوب، عن خالد بن جریر، عن أبی الربیع الشامی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أصل الخمر کیف کان بدؤ حلالها وحرامها، و متی اتّخذ الخمر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آدم علیه‌السلام لما هبط من الجنّة اشتهی من ثمارها فانزل اللّه عزّوجلّ علیه قضیبین من عنب، فغرسهما، فلمّا أن أورقا و أثمرا وبلغا جاء إبلیس ـ لعنه اللّه ـ فحاط علیهما حائطاً، فقال آدم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حالک یا ملعون ؟ فقال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کذبت </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فرضیا بینهما بروح القدس، فلمّا انتهینا إلیه قص علیه آدم علیه‌السلام قصّته، و أخذ روح القدس ضغثاً من نار، و رمی به علیهما و العنب فی أغصانهما، حتّی ظنّ </w:t>
      </w:r>
    </w:p>
    <w:p>
      <w:pPr>
        <w:pStyle w:val="BookText"/>
        <w:rPr/>
      </w:pPr>
      <w:r>
        <w:rPr>
          <w:rFonts w:ascii="IRNazanin" w:hAnsi="IRNazanin" w:eastAsia="IRNazanin"/>
          <w:color w:val="111111"/>
          <w:sz w:val="28"/>
          <w:sz w:val="28"/>
          <w:szCs w:val="28"/>
          <w:rtl w:val="true"/>
          <w:lang w:bidi="fa-IR"/>
        </w:rPr>
        <w:t xml:space="preserve">آدم علیه‌السلام انّه لم یبق منهما شیء، و ظنّ إبلیس ـ لعنه اللّه ـ مثل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فدخلت النار حیث دخلت، و قد ذهب منهما ثلثاهما و بقی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ذهب منهما فحظّ إبلیس ـ لعنه اللّه ـ و ما بقی فلک یا آدم </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 المرویّ فیه عن الحسن بن محبوب ، عن خالد بن نافع ، عن أبی عبداللّه علیه‌السلام مثله </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ذهب منهما ثلثاهما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إمّا أن یکون المراد منه ثلثا القضیبین کما هو الظاهر، و إمّا أن یکون المراد ثلثا ثمرهما، و هو العنب، و لعلّه الأظهر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التقدیر قد یکون فیه دلالة علی حرمة ماء حبة العنب إذا غلت بالنار، قبل ذهاب الثلثین منها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بل الصحیح أو کالصحیح المرویّ فیه، عن زرارة،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هبط نوح علیه‌السلام من السفینة غرس غرساً فکان فیما غرس علیه‌السلام الحبلة، ثمّ رجع إلی أهله فجاء إبلیس ـ لعنه اللّه ـ فقلعها، ثمّ انّ نوحاً علیه‌السلام عاد إلی غرسه فوجده علی حاله، و وجد الحبلة قد قلعت، و وجد إبلیس ـ لعنه اللّه ـ عندها، فاتاه جبرئیل علیه‌السلام ، فاخبره انّ إبلیس ـ لعنه اللّه ـ قلعها </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نوح علیه‌السلام لإبلیس ـ لعنه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دعاک إلی 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فواللّه ما غرست غرساً أحبّ إلی منها، و واللّه لا ادعها حتّی أغرسها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إبلیس ـ لعنه اللّه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أنا واللّه لاادعها حتّی أقلعها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اجعل لی منها نصیباً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له منها الثلث فأبی أن یرضی، فجعل له النصف فأبی أن یرضی، فأبی نوح علیه‌السلام أن یزیده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p>
    <w:p>
      <w:pPr>
        <w:pStyle w:val="BookText"/>
        <w:rPr/>
      </w:pPr>
      <w:r>
        <w:rPr>
          <w:rFonts w:ascii="IRNazanin" w:hAnsi="IRNazanin" w:eastAsia="IRNazanin"/>
          <w:color w:val="111111"/>
          <w:sz w:val="28"/>
          <w:sz w:val="28"/>
          <w:szCs w:val="28"/>
          <w:rtl w:val="true"/>
          <w:lang w:bidi="fa-IR"/>
        </w:rPr>
        <w:t xml:space="preserve">جبرئیل علیه‌السلام لنوح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أحسن فإنّ منک الإحسان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 نوح علیه‌السلام انّه قد جعل له علیها سلطانا، فجعل نوح علیه‌السلام له الثلثین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أخذت عصیرا فاطبخه حتّی یذهب الثلثان و کُلْ واشرب حینئذ، فذاک نصیب الشیطان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الحبلة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الحاء المهملة و فتح الباء الموحدة،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الحبلة بالتحریک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القضیب من الکرم، و ربّما جاء بالتسکین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الخبر المرویّ فیه، عن سعید بن یسار،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إبلیس ـ لعنه اللّه ـ نازع نوحاً علیه‌السلام فی الکرم فأتاه جبرئیل علیه‌السلام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له حقاً فاعطه فاعطاه الثلث، فلم یرض إبلیس ـ لعنه اللّه ـ ثمّ أعطاه النصف فلم یرض، فطرح علیه جبرئیل ناراً فاحرقت الثلثین و بقی الثلث،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أحرقت النار فهو نصیبه و ما بقی فهو لک یا نوح حلال </w:t>
      </w:r>
      <w:r>
        <w:rPr>
          <w:rStyle w:val="FootnoteAnchor"/>
          <w:rtl w:val="true"/>
        </w:rPr>
        <w:footnoteReference w:id="1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تقدّم خبر علیّ بن أبی حمزة، عن إبراهیم، عن أبی عبداللّه علیه‌السلام ، و هو طویل، و نأخذ منه هنا قدر الحاجة و هو قوله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فاوحی اللّه تبارک و تعالی إلی آدم علیه‌السلام انّ العنب قد مصه عدوّی و عدوّک إبلیس ـ لعنه اللّه ـ و قد حرمت علیک من عصیرة الخمر ما خالطه نفس إبلیس، فحرمت الخمر لانّ عدوّ اللّه إبلیس مکر بحوّاء حتّی مصّ العنب </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أن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 إبلیس الملعون ذهب بعد وفاة آدم علیه‌السلام فبال فی أصل الکرمة و النخلة ، فجری الماء فی عروقهما من بول عدوّ اللّه ، فمن ثمّ </w:t>
      </w:r>
    </w:p>
    <w:p>
      <w:pPr>
        <w:pStyle w:val="BookText"/>
        <w:rPr/>
      </w:pPr>
      <w:r>
        <w:rPr>
          <w:rFonts w:ascii="IRNazanin" w:hAnsi="IRNazanin" w:eastAsia="IRNazanin"/>
          <w:color w:val="111111"/>
          <w:sz w:val="28"/>
          <w:sz w:val="28"/>
          <w:szCs w:val="28"/>
          <w:rtl w:val="true"/>
          <w:lang w:bidi="fa-IR"/>
        </w:rPr>
        <w:t xml:space="preserve">یختمر العنب </w:t>
      </w:r>
      <w:r>
        <w:rPr>
          <w:rStyle w:val="FootnoteAnchor"/>
          <w:rtl w:val="true"/>
        </w:rPr>
        <w:footnoteReference w:id="1290"/>
      </w:r>
      <w:r>
        <w:rPr>
          <w:rFonts w:ascii="IRNazanin" w:hAnsi="IRNazanin" w:eastAsia="IRNazanin"/>
          <w:color w:val="111111"/>
          <w:sz w:val="28"/>
          <w:sz w:val="28"/>
          <w:szCs w:val="28"/>
          <w:rtl w:val="true"/>
          <w:lang w:bidi="fa-IR"/>
        </w:rPr>
        <w:t xml:space="preserve">والتمر، فحرّم اللّه عزّوجلّ علی ذرّیة آدم علیه‌السلام کلّ مسکر، لأنّ الماء جری ببول عدوّ اللّه فی النخل والعنب، و صار کلّ مختمر خمراً لأنّ الماء اختمر فی النخلة والکرمة من رائحة بول عدوّ اللّه إبلیس لعنه اللّه </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دلالة الأخبار ما عدا الأخیر منها أنّه قد یستفاد منه أنّ إبلیس ـ لعنه اللّه ـ شریک فی الکرم بالثلثین، فکلّ ما له من الثمرة، عنباً کان أو زبیباً، کان له النصیب المذکور إلاّ إذا ذهبا بالنار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الخبر الأخیر، فلا دلالة فیه إلاّ ما فی ذیل الخبر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فجری الماء فی عروقهما من بول عدوّ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إلاّ فقوله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حرمت علیک من عصیرة الخمر ما خالطه نفس إبلیس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یدلّ علی الخلاف، فإنّ الظاهر منه أنّ المحرّم من عصیر العنب الخمر، و أمّا الجزء الأخیر من الخبر فلا دلالة فیه أیضا لقوله فیه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فحرّم اللّه عزّوجلّ علی ذرّیة آدم علیه‌السلام کلّ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فحینئذ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لیس فیه دلالة، بل و کذا غیره من سائر الأخبار کما قال فی الحدائق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دلّت هذه الأخبار بأوضح دلالة لا یعتریها الإنکار انّ الشراب الّذی یحرم بغلیانه و لا یحلّ إلاّ بذهاب ثلثیه ، إنّما هو ماء العنب، لأنّ النزاع من آدم و نوح علیهماالسلام و من إبلیس ـ لعنه اللّه ـ إنّما وقع فی شجرة العنب خاصّة دون سائر الأشجار </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حینئذ فما ورد فی الأخبار من أنّ العصیر یحرم بالغلیان و لایحلّ إلاّ بذهاب الثلثین إنّما هو عصیر العنب خاصّة، لا کلّ عصیر کما توهّمه غیر واحد من قاصری </w:t>
      </w:r>
      <w:bookmarkStart w:id="742" w:name="pg3696_43789"/>
    </w:p>
    <w:p>
      <w:pPr>
        <w:pStyle w:val="BookText"/>
        <w:rPr/>
      </w:pPr>
      <w:bookmarkEnd w:id="742"/>
      <w:r>
        <w:rPr>
          <w:rFonts w:ascii="IRNazanin" w:hAnsi="IRNazanin" w:eastAsia="IRNazanin"/>
          <w:color w:val="111111"/>
          <w:sz w:val="28"/>
          <w:sz w:val="28"/>
          <w:szCs w:val="28"/>
          <w:rtl w:val="true"/>
          <w:lang w:bidi="fa-IR"/>
        </w:rPr>
        <w:t xml:space="preserve">النظر، و إن ارتکب تخصیصه بأفراد أخر </w:t>
      </w:r>
      <w:r>
        <w:rPr>
          <w:rStyle w:val="FootnoteAnchor"/>
          <w:rtl w:val="true"/>
        </w:rPr>
        <w:footnoteReference w:id="129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Heading6"/>
        <w:numPr>
          <w:ilvl w:val="5"/>
          <w:numId w:val="1"/>
        </w:numPr>
        <w:rPr/>
      </w:pPr>
      <w:bookmarkStart w:id="743" w:name="__RefHeading___Toc488805_2281741623"/>
      <w:bookmarkStart w:id="744" w:name="_Toc296"/>
      <w:bookmarkEnd w:id="743"/>
      <w:r>
        <w:rPr>
          <w:rtl w:val="true"/>
        </w:rPr>
        <w:t>الأولی فی الجواب عنها کلاّ</w:t>
      </w:r>
      <w:bookmarkEnd w:id="744"/>
    </w:p>
    <w:p>
      <w:pPr>
        <w:pStyle w:val="BookText"/>
        <w:rPr/>
      </w:pPr>
      <w:r>
        <w:rPr>
          <w:rFonts w:ascii="IRNazanin" w:hAnsi="IRNazanin" w:eastAsia="IRNazanin"/>
          <w:color w:val="111111"/>
          <w:sz w:val="28"/>
          <w:sz w:val="28"/>
          <w:szCs w:val="28"/>
          <w:rtl w:val="true"/>
          <w:lang w:bidi="fa-IR"/>
        </w:rPr>
        <w:t xml:space="preserve">والأولی أن یجاب عنها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لا دلالة فیها علی المطلوب إلاّ بعد أن‌صار خمراً، کما یفصح عنه الخبر الأخیر، و هو الّذی خالطه نفس إبلیس ـ لعنه اللّه ـ و إلاّ لزم أن یکون العنب قبل الغلیان أیضا حراماً للمشارکة المذکورة، ولو لا تمسّک المولی البهبهانیّ رحمه‌الله بالخبر الأخیر للقول بحرمة عصیر الزبیب، لما تعرّضت لذکر هذه الأخبار دلیلاً علی هذا القول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الغریب أنّه قال بعد ذکر الخبر المذکور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من الخمر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حرمت علیک من عصیرة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هو الغالی من العصیر، و لمّا یذهب ثلثاه، کما یظهر من ملاحظة الأخبار الواردة فی هذا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الکلینیّ قدس‌سره من العنوان هو هذا،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لا خفاء فی أنّ مراده من الخمر فی المقام هو العصیر الغالی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یشهد بذلک ما یظهر من هذا الخبر حیث قال فی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إبلیس ـ لعنه اللّه ـ بعد وفاة آدم علیه‌السلام بال فی أصل النخل والکرم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إلی آخره، فإنّه فی غایة الوضوح فی أنّ قبل البول ما کان مسکرا، والسکر حدث فیما بعد وفاة آدم علیه‌السلام بسبب بوله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فتعیّن أنّ التحریم فی حیاة آدم علیه‌السلام من جهة مصّ إبلیس هو حکایة الغلیان قبل الذهاب </w:t>
      </w:r>
      <w:r>
        <w:rPr>
          <w:rStyle w:val="FootnoteAnchor"/>
          <w:rtl w:val="true"/>
        </w:rPr>
        <w:footnoteReference w:id="1293"/>
      </w:r>
      <w:r>
        <w:rPr>
          <w:rFonts w:ascii="IRNazanin" w:hAnsi="IRNazanin" w:eastAsia="IRNazanin"/>
          <w:color w:val="111111"/>
          <w:sz w:val="28"/>
          <w:sz w:val="28"/>
          <w:szCs w:val="28"/>
          <w:rtl w:val="true"/>
          <w:lang w:bidi="fa-IR"/>
        </w:rPr>
        <w:t xml:space="preserve">، إلی آخر کلامه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فالأولی غمض العین عن هذه الأخبار فی مقام الإستدلال، فإنّ غایة أن یقال </w:t>
      </w:r>
      <w:bookmarkStart w:id="745" w:name="pg3696_43790"/>
    </w:p>
    <w:p>
      <w:pPr>
        <w:pStyle w:val="BookText"/>
        <w:rPr/>
      </w:pPr>
      <w:bookmarkEnd w:id="745"/>
      <w:r>
        <w:rPr>
          <w:rFonts w:ascii="IRNazanin" w:hAnsi="IRNazanin" w:eastAsia="IRNazanin"/>
          <w:color w:val="111111"/>
          <w:sz w:val="28"/>
          <w:sz w:val="28"/>
          <w:szCs w:val="28"/>
          <w:rtl w:val="true"/>
          <w:lang w:bidi="fa-IR"/>
        </w:rPr>
        <w:t xml:space="preserve">فی وجه دلالتها أنّ المستفاد منها أنّ للشیطان نصیب الثلثین فی الکرم و ثمرته والزبیب من ثمرته، و لا یخفی علیک أنّ مقتضاها حرمة العصیر مطلقاً قبل الغلیان أیضا، بل حرمة العنب، بل والحصرم أیضا، بل فی قوله فی خبر زرارة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أخذت عصیراً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صراحة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کلّ ذلک خلاف الإجماع والضرورة، فیکون المراد من الأخبار حرمة الخمر الحاصل منها، کما یؤمی إلیه الخبر الأخیر، و إیراد الکلینیّ هذه الأخبار فی باب أصل تحریم الخمر، و لذا لم یتمسّک بهذه الأخبار أحد من الأصحاب إلاّ المولی المذکور بالخبر الأخیر، و هو علی حدّ غیره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یقال فی دلیل القول بتحریم عصیر الزبیب، و قد عرفت ما فی الجمیع من الأدلّة السبعة، فإنّ کلّها ضعیفة الدلالة و أخبارها ضعیفة السند أیضا، فکیف یمکن الإستناد بها فی هذا الحکم المخالف للأصل، بل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للمعظم من الأصحاب والفحول، مع أنّ أکثر الأصحاب عدا من شذّ و لم یعلم من هو، إنّما ذهبوا إلی القول بالتحلیل کما عرفت، و هذه الأخبار إنّما کانت تحت أیدیهم و بمرأهم و مسمعهم، و لم یتمسّک بها أحد لا تصریحاً و لا تلویحاً، سوی ما استدلّوا به علی القول بالتحریم من مفهوم خبر علیّ بن جعفر، و قد عرفت ما فیه </w:t>
      </w:r>
      <w:r>
        <w:rPr>
          <w:rFonts w:eastAsia="IRNazanin" w:cs="IRNazanin"/>
          <w:color w:val="111111"/>
          <w:sz w:val="28"/>
          <w:szCs w:val="28"/>
          <w:rtl w:val="true"/>
          <w:lang w:bidi="fa-IR"/>
        </w:rPr>
        <w:t>.</w:t>
      </w:r>
    </w:p>
    <w:p>
      <w:pPr>
        <w:pStyle w:val="Heading6"/>
        <w:numPr>
          <w:ilvl w:val="5"/>
          <w:numId w:val="1"/>
        </w:numPr>
        <w:rPr/>
      </w:pPr>
      <w:bookmarkStart w:id="746" w:name="__RefHeading___Toc488807_2281741623"/>
      <w:bookmarkStart w:id="747" w:name="_Toc297"/>
      <w:bookmarkEnd w:id="746"/>
      <w:r>
        <w:rPr>
          <w:rtl w:val="true"/>
        </w:rPr>
        <w:t>حاصل کلمات السیّد بحرالعلوم رحمه‌الله فی المسألة</w:t>
      </w:r>
      <w:bookmarkEnd w:id="747"/>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تضعّف هذا القول بالتحریم قولاً و دلیلاً مع أنّ السیّد السند بحرالعلوم أعلی اللّه مقامه، نسب هذا القول إلی جماعة کثیرة، و حاصل کلماته الطویلة تقسیم الأصحاب إلی أقسام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الصدر الأوّل، و هم رواة الأحکام و فقهاء أصحاب الأئمّة، و هم جماعة کثیرة یظهر منهم التحریم کعلیّ بن جعفر، و موسی بن القاسم، </w:t>
      </w:r>
    </w:p>
    <w:p>
      <w:pPr>
        <w:pStyle w:val="BookText"/>
        <w:rPr/>
      </w:pPr>
      <w:r>
        <w:rPr>
          <w:rFonts w:ascii="IRNazanin" w:hAnsi="IRNazanin" w:eastAsia="IRNazanin"/>
          <w:color w:val="111111"/>
          <w:sz w:val="28"/>
          <w:sz w:val="28"/>
          <w:szCs w:val="28"/>
          <w:rtl w:val="true"/>
          <w:lang w:bidi="fa-IR"/>
        </w:rPr>
        <w:t xml:space="preserve">و أحمد بن محمّد بن أبی نصر، و یونس بن عبدالرّحمن، و محمّد بن أحمد بن یحیی بن عمران، و محمّد بن الحسین العطاء، و أبی علیّ أحمد بن أدریس الأشعری، و علیّ بن إبراهیم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فإنّهم أوردوا الأحادیث الظاهرة فی تحریم العصیر الزبیبی فی کتبهم المصنّفة، للإعتماد والعمل، و ما ذلک إلاّ لکونها معتبرة عندهم، مقبولة لدیهم، و أنّ مضامینها هی عین مذاهبهم و فتاویهم، إذ لیس فتوی المحدّثین إلاّ نفس المعنی الظاهر من الحدیث الّذی یروونه ما لم یطعنوا فیه أو یذکروا له معارضاً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لولا ذلک لانسدّ الطریق إلی معرفة مذاهب القدماء من أصحابنا، إذ قلّما یتّفق منهم الإفتاء والحکم الصریح بالتحلیل والتحریم علی ما هو طریقة الفقهاء فی کتب الفتوی، و إستنباط أقوال القدماء بهذا الوجه لیس ببدع، بل هو طریق جدد قد سلکه متقدّموا الفقهاء المصنّفین فی الفقه ، فی تحصیل تلک المذاهب ، والبناء علیها فی الإجماع و الخلاف کما یعلم بمراجعة کتب المفید و المرتضی و الشیخ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ینبّه علی إشتهار التحریم بین السلف، و فی الصدر الأوّل، سؤال علیّ بن جعفر أخاه موسی علیه‌السلام ، عن ماء الزبیب یطبخ حتّی یذهب ثلثاه هل یصلح أن‌یرفع ویشرب طول السنة، حیث أنّ المستفاد منه کون المشتبه حکم المطبوخ علی‌الثلث باعتبار بقائه و طول مکثه، لا لاشتراط الحلّیة فیه بطبخه علی الثلث </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تضمّنه موثّقة عمّار الساباطیّ من السؤال عن ماء الزبیب أنّه کیف یطبخ حتّی یحلّ له، لدلالته علی علم السائل بأنّ الحلّ فی المسئول عنه مشروط ولیس بمطلق، و إن اشتبه علیه تعیّن الشرط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القسم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الأصول و حملة الأخبار، کأصحاب الکتب الأربعة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الکلینیّ ثقة الإسلام رحمه‌الله ، قد أورد فی الکافی فی باب أصل تحریم الخمر المتضمّنة لتحریم ثمرة الکرم بالغلیان، و أنّها فی حکم الخمر ما لم یذهب منها الثلثان، و فی باب صفة الشراب الحلال، الروایات الدالّة علی تحریم ماء الزبیب بعینه، و فی باب الطلاء روایة علیّ بن جعفر الواردة فی شراب الزبیب ؛ و تطبیق ما أورده من الأخبار علی نحو عنوان الباب، و کذا طریقته المعروفة الّتی نبّه علیها فی مفتتح الکتاب یقتضی کونه عاملاً بما دلّت علیه تلک الظواهر الّتی لم یذکر لها معارضاً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رئیس المحدّثین الصدوق رحمه‌الله ، فقد حکی فی کتاب المقنع و الفقیه ، عن أبیه الشیخ الجلیل علیّ بن بابویه رحمه‌الله ، أنّه قال فی رسالته إلیه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إنّ أصل الخمر من الکرم، إذا أصابته النار أو غلی من غیر أن تصیبه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فیصیر أسفله أعلاه </w:t>
      </w:r>
      <w:r>
        <w:rPr>
          <w:rFonts w:eastAsia="IRNazanin" w:cs="IRNazanin"/>
          <w:color w:val="111111"/>
          <w:sz w:val="28"/>
          <w:szCs w:val="28"/>
          <w:rtl w:val="true"/>
          <w:lang w:bidi="fa-IR"/>
        </w:rPr>
        <w:t xml:space="preserve">] </w:t>
      </w:r>
      <w:r>
        <w:rPr>
          <w:rStyle w:val="FootnoteAnchor"/>
          <w:rtl w:val="true"/>
        </w:rPr>
        <w:footnoteReference w:id="1294"/>
      </w:r>
      <w:r>
        <w:rPr>
          <w:rFonts w:ascii="IRNazanin" w:hAnsi="IRNazanin" w:eastAsia="IRNazanin"/>
          <w:color w:val="111111"/>
          <w:sz w:val="28"/>
          <w:sz w:val="28"/>
          <w:szCs w:val="28"/>
          <w:rtl w:val="true"/>
          <w:lang w:bidi="fa-IR"/>
        </w:rPr>
        <w:t xml:space="preserve">فهو خمر، و لا یحلّ شربه إلاّ إلی أن یذهب ثلثاه </w:t>
      </w:r>
      <w:r>
        <w:rPr>
          <w:rStyle w:val="FootnoteAnchor"/>
          <w:rtl w:val="true"/>
        </w:rPr>
        <w:footnoteReference w:id="1295"/>
      </w:r>
      <w:r>
        <w:rPr>
          <w:rFonts w:ascii="IRNazanin" w:hAnsi="IRNazanin" w:eastAsia="IRNazanin"/>
          <w:color w:val="111111"/>
          <w:sz w:val="28"/>
          <w:sz w:val="28"/>
          <w:szCs w:val="28"/>
          <w:rtl w:val="true"/>
          <w:lang w:bidi="fa-IR"/>
        </w:rPr>
        <w:t xml:space="preserve">و یبقی ثلثه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هذه العبارة بعینها هی عبارة الفقه المنسوب إلی الرضا علیه‌السلام ، و ظاهرها تحریم ثمرة الکرم مطلقاً، و لو بعد جفافها و صیرورتها زبیباً، و هذا باطلاقه یدلّ علی أنّ تحریم العصیر الزبیبی مذهب علیّ بن بابویه ـ طاب ثراه </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طریقة الصدوق رحمه‌الله العمل برسالة أبیه إلیه، فإنّه یسلکها فی کتابه الّذی ألّفه لیکون حجّة بینه و بین ربّه ، مسلک الأخبار الّتی علیها الحکم و الفتوی ؛ </w:t>
      </w:r>
    </w:p>
    <w:p>
      <w:pPr>
        <w:pStyle w:val="BookText"/>
        <w:rPr/>
      </w:pPr>
      <w:r>
        <w:rPr>
          <w:rFonts w:ascii="IRNazanin" w:hAnsi="IRNazanin" w:eastAsia="IRNazanin"/>
          <w:color w:val="111111"/>
          <w:sz w:val="28"/>
          <w:sz w:val="28"/>
          <w:szCs w:val="28"/>
          <w:rtl w:val="true"/>
          <w:lang w:bidi="fa-IR"/>
        </w:rPr>
        <w:t xml:space="preserve">و قد ذکر فی المقنع أنّ ما یروی فیه هو ما کان بیّنا ثابتا عن المشایخ الفقهاء الثقات </w:t>
      </w:r>
      <w:r>
        <w:rPr>
          <w:rStyle w:val="FootnoteAnchor"/>
          <w:rtl w:val="true"/>
        </w:rPr>
        <w:footnoteReference w:id="1297"/>
      </w:r>
      <w:r>
        <w:rPr>
          <w:rFonts w:ascii="IRNazanin" w:hAnsi="IRNazanin" w:eastAsia="IRNazanin"/>
          <w:color w:val="111111"/>
          <w:sz w:val="28"/>
          <w:sz w:val="28"/>
          <w:szCs w:val="28"/>
          <w:rtl w:val="true"/>
          <w:lang w:bidi="fa-IR"/>
        </w:rPr>
        <w:t xml:space="preserve">، و مقتضی ذلک کون ما تضمّنه العبارة مذهبا له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أورد فی کتاب العلل والشرائع الأحادیث المتضمّنة لتعلیل ذهاب الثلثین من ثمرة الکرم بما وقع بین نوح علیه‌السلام وإبلیس لعنه اللّه من النزاع، حتّی إستقرّ الأمر فیه علی الثلثین، و ظاهرها إعتبار ذهابهما فی حاصل الکرم مطلقاً، رطبا ویابسا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الباب الأوّل من 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النبیذ الّذی أحلّ شربه والوضوء به هو الّذی ینبذ بالغداة و یشرب بالعشیّ أو ینبذ بالعشیّ و یشرب بالغداة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یستفاد منه أنّ ما تجاوز الحدّ المذکور هو النبیذ المحرّم، و هو خلاف ما علیه المحلّلون من تحلیل النقیعین مطلقاً ما لم یتحقّق فیهما الإسکار </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الشیخ الطوسی رحمه‌الله ، فقد أورد فی التهذیب روایة علیّ بن جعفر، الظاهرة فی تحریم ماء الزبیب، فی جملة روایات العصیر، و صحیحته المتضمّنة لعدم تصدیق من لم یکن مسلماً عارفاً فی الشراب الّذی یؤتی به ما لم یعلم أنّه مطبوخ علی الثلث، و کذا موثّقة عمّار الدالّة علی ذلک و إطلاق الشراب فیهما یشمل الزبیبی و یدلّ علی تحریمه دلالة ظاهرة، و قد أورد فیه أیضا روایة عثیمة المتضمّنة لإهراق النضوح </w:t>
      </w:r>
      <w:r>
        <w:rPr>
          <w:rStyle w:val="FootnoteAnchor"/>
          <w:rtl w:val="true"/>
        </w:rPr>
        <w:footnoteReference w:id="1299"/>
      </w:r>
      <w:r>
        <w:rPr>
          <w:rFonts w:ascii="IRNazanin" w:hAnsi="IRNazanin" w:eastAsia="IRNazanin"/>
          <w:color w:val="111111"/>
          <w:sz w:val="28"/>
          <w:sz w:val="28"/>
          <w:szCs w:val="28"/>
          <w:rtl w:val="true"/>
          <w:lang w:bidi="fa-IR"/>
        </w:rPr>
        <w:t xml:space="preserve">فی البالوعة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ما رواه سعدان بن مسلم، عن علیّ الواسطیّ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الجویریة علی أبی عبداللّه علیه‌السلام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أطیب لزوجی فنجعل فی المشطة الّتی أمتشط بها الخمر و أجعله فی رأسی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3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الخبر الأوّل، لأنّه محمول علی المعنی الّذی رواه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النضوح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یطبخ التمر حتّی یذهب ثلثاه و یبقی ثلثه ثمّ یتمشطن </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یدلّ علی أنّ عصیر التمری عند الشیخ رحمه‌الله حرام نجس، لایطهّر ولا یحلّ إلاّ بذهاب ثلثیه، و تحریم التمری یقتضی تحریم الزبیبی، لأنّ تحریم الزبیبی أشهر فتویً و أوضح دلیلاً، و ثبوت الأضعف یستلزم ثبوت الأقوی، و أیضا فالظاهر أنّ کلّ من قال بتحریم التمری قال بتحریم الزبیبی، و من قال بحلّیة الزبیبی قال بحلّیة التمری، فالقول بتحریم التمری دون الزبیبی خلاف الإجماع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من عداهم، أی من عدا هؤلاء أصحاب الکتب الأربعة، فمنهم القاضی نعمان المصریّ، فإنّه قال فی کتاب دعائم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 استخرج من عصیر العنب والتمر والزبیب و طبخ قبل أن ینش حتّی یصیر له قوام العسل، فهو حلال شربه صرفاً و مشوباً ما لم یغل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الکلام ظاهر الدلالة فی التسویة بین أنواع العصیر، فی تحریمها بالطبخ ما لم یحصل لها قوام و ثخانة، و هو کنایة عن ذهاب الثلثین أو ناظر إلی الإکتفاء بالدبسیّة فی حلّ العصیر کما ذهب إلیه بعض الأصحاب، و علی التقدیرین فقضیّة العبارة تحریم العصیر الزبیبی بالغلیان کما قاله المحرّمون </w:t>
      </w:r>
      <w:r>
        <w:rPr>
          <w:rFonts w:eastAsia="IRNazanin" w:cs="IRNazanin"/>
          <w:color w:val="111111"/>
          <w:sz w:val="28"/>
          <w:szCs w:val="28"/>
          <w:rtl w:val="true"/>
          <w:lang w:bidi="fa-IR"/>
        </w:rPr>
        <w:t xml:space="preserve">. </w:t>
      </w:r>
      <w:bookmarkStart w:id="748" w:name="pg3696_43795"/>
    </w:p>
    <w:p>
      <w:pPr>
        <w:pStyle w:val="Heading6"/>
        <w:numPr>
          <w:ilvl w:val="5"/>
          <w:numId w:val="1"/>
        </w:numPr>
        <w:rPr/>
      </w:pPr>
      <w:bookmarkStart w:id="749" w:name="__RefHeading___Toc488809_2281741623"/>
      <w:bookmarkStart w:id="750" w:name="_Toc298"/>
      <w:bookmarkEnd w:id="748"/>
      <w:bookmarkEnd w:id="749"/>
      <w:r>
        <w:rPr>
          <w:rtl w:val="true"/>
        </w:rPr>
        <w:t>المناقشات فی کلامه رحمه‌الله</w:t>
      </w:r>
      <w:bookmarkEnd w:id="750"/>
    </w:p>
    <w:p>
      <w:pPr>
        <w:pStyle w:val="BookText"/>
        <w:rPr/>
      </w:pPr>
      <w:r>
        <w:rPr>
          <w:rFonts w:ascii="IRNazanin" w:hAnsi="IRNazanin" w:eastAsia="IRNazanin"/>
          <w:color w:val="111111"/>
          <w:sz w:val="28"/>
          <w:sz w:val="28"/>
          <w:szCs w:val="28"/>
          <w:rtl w:val="true"/>
          <w:lang w:bidi="fa-IR"/>
        </w:rPr>
        <w:t xml:space="preserve">و أمّا أنّ غایة التحریم ذهاب الثلثین أو الدبسیّة، فذلک کلام آخر والغلیان فی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لم یغل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کنایة عن الإسکار، فإنّ الدبس متی حلّ لم یحرم إلاّ به إجماعا، و فیما تقدّم المنقول من کلامه و ما تأخّر عنه دلالة علی ذلک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والقاضی نعمان هذا هو النعمان بن منصور قاضی مصر </w:t>
      </w:r>
      <w:r>
        <w:rPr>
          <w:rStyle w:val="FootnoteAnchor"/>
          <w:rtl w:val="true"/>
        </w:rPr>
        <w:footnoteReference w:id="1303"/>
      </w:r>
      <w:r>
        <w:rPr>
          <w:rFonts w:ascii="IRNazanin" w:hAnsi="IRNazanin" w:eastAsia="IRNazanin"/>
          <w:color w:val="111111"/>
          <w:sz w:val="28"/>
          <w:sz w:val="28"/>
          <w:szCs w:val="28"/>
          <w:rtl w:val="true"/>
          <w:lang w:bidi="fa-IR"/>
        </w:rPr>
        <w:t xml:space="preserve">، و قد کان فی بدو أمره مالکیّا، ثمّ انتقل إلی مذهب الإمامیّة و صنّف علی طریقة الشیعة کتباً، منها کتاب دعائم الإسلام، و له فیه و فی غیره ردّ علی الفقهاء العامّة کأبی حنیفة و مالک والشافعی و غیرهم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صاحب تاریخ مصر و غیره أنّه کان من العلم والفقه والدّین والنبل علی ما لا مزید علیه ، و کتاب الدعائم کتاب حسن جیّد یصدّق ماقد قیل فیه ، إلاّ أنّه لم یرو فیه عمّن بعد الصادق علیه‌السلام من الأئمّة علیهم‌السلام ، خوفا من الخلفاء الإسماعیلیّة حیث کان قاضیاً منصوباً من قبلهم بمصر، لکنّه قد أبدی من وراء ستر التقیّة حقیقة مذهبه ممّا لا یخفی علی اللبیب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الأواسط، فقد روی الأصحاب تحریم العصیر وأطلق جماعة منهم تحریمه فی کتب الفتوی من دون تقیید بالعنبیّ، و ظاهرهم تحریم العصیر بأنواعه الثلاثة المشهورة ، فإنّ إطلاقه علی الزبیبی و التمری فی عبارات الفقهاء ظاهر معروف ، و قد مضی من کلامهم ما یدلّ علیه ، و یأتی إن شاء اللّه تعالی ما یزیده بیاناً و وضوحاً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 ادّعی أنّ المراد به فی کلام الأصحاب خصوص العنبی حیث یطلق، فهو مطالب بالدلیل دلیل التقید، و تقییده فی بعض عباراتهم لدلیل لا یوجب التقید به مطلقاً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ممّن أطلق القول بتحریم العصیر الشیخ، و ابن البرّاج، و إبن حمزة فی النهایة والمهذّب والوسیلة، إلاّ أنّهم ذکروا بعد ذلک ما نقلناه عنهم فی جملة أقوال المحلّلین و لیس فیما ذکروه تصریح بإرادة الحلّ مطلقاً، و تقیید کلامهم الأوّل بما یوافق إطلاق الثانی لیس أولی من العکس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جری الفاضلان رحمهماالله ، فی کتاب المطاعم و المشارب ، علی منوال من تقدّمهما من الأصحاب حیث أطلقا فیه تحریم العصیر و لم یتعرّضا الحکم فی الزبیبی والتمری بالخصوص، إلی آخر ما تقدّم منه إلی زمان الأواخر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الأواخر، و قد حکی کما تقدّم سابقاً عن معاصریه و من قارب عصرهم کالشیخ الحرّ العاملیّ، والشیخ سلیمان البحرانیّ، والسیّد عبداللّه الجزائریّ، و قد تقدّمت عبارته فی النقل عنهم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نقله الأوّل، و هو ما نقله عن أصحاب الصدر الأوّل، فلم یتّضح لی إلاّ روایة علیّ بن جعفر، عن أخیه موسی علیه‌السلام ، الّتی رواها فی الکافی بهذا السند عدّة من أصحابنا، عن سهل بن زیاد، عن موسی بن القاسم، عن علیّ بن جعفر، عن أخیه موسی أبی الحسن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الزبیب هل یصلح أن یطبخ حتّی یخرج طعمه، ثمّ یؤخذ ذلک فیطبخ حتّی یذهب ثلثاه و یبقی الثلث، ثمّ یرفع ویشرب من السنة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فإنّ الراوی عن علیّ بن جعفر، موسی بن القاسم، فهما رجلان ممّن ذکرهم، وأمّا الباقی فلم أجدهم راوین روایة تدلّ علی حرمة الزبیب بعد الغلیان، و لعلّه أرادهم من العدّة، و هذه العدّة لیست إلاّ عدّة سهل بن زیاد، و عدّته کما فی آخر الخلاصة نقلاً عن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علان، و محمّد بن أبی عبداللّه، ومحمّد بن الحسن، و محمّد بن عقیل الکلینیّ، و جملة من عدّده رحمه‌الله من عدّة أحمد بن محمّد بن عیسی، و هم محمّد بن یحیی العطّار، و أحمد بن إدریس، و علیّ بن إبراهیم القمّی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أحمد بن محمّد بن أبی نصر، و یونس بن عبدالرّحمن اللذین ذکرهما رحمه‌الله ، فلم أجد منهما روایة تدلّ علی هذا المعنی لا بواسطة و لا بلا واسطة، فإن أراد رحمه‌الله روایتهما بعض الأخبار الواردة فی العصیر مطلقاً، أو الأخبار الواردة فی الطلاء مطلقاً، أو الأخبار الواردة فی الشراب الحلال، أو الأخبار الواردة فی أصل تحریم الخمر، کما أشار إلیها فی کلامه اللاحق بما نحن فیه من کلامه، فانّ الرواة لها کثیرون، فلم اختصّ الکلام بهما و بخبرهما ممّن تقدّم مع انّک قد عرفت عدم دلالة فی خبر علیّ بن جعفر فضلاً عن الأخبار الآخر ممّا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ذکرناه یظهر لک ما فی نسبته إلی الأشخاص المذکورین فی کلامه من الرواة للأخبار من أنّهم أوردوا الأحادیث الظاهرة فی تحریم العصیر الزبیبی فی کتبهم المصنّفة للإعتماد والعمل، فإنّا لم نجد منهم حدیثا ظاهراً فی التحریم فضلاً عن الأحادیث، سوی ما مرّ من الأخبار الغیر الظاهرة کما عرفت </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فکلّ ما ذکره بعد ذلک من أنّ ذکرهم الأخبار و عدم التعرض للطعن فیها دلیل علی انّها عین مذاهبهم و فتاویهم إلی آخر ما تقدّم، مدفوع بانّ کلّ ذلک مسلّم إذا </w:t>
      </w:r>
    </w:p>
    <w:p>
      <w:pPr>
        <w:pStyle w:val="BookText"/>
        <w:rPr/>
      </w:pPr>
      <w:r>
        <w:rPr>
          <w:rFonts w:ascii="IRNazanin" w:hAnsi="IRNazanin" w:eastAsia="IRNazanin"/>
          <w:color w:val="111111"/>
          <w:sz w:val="28"/>
          <w:sz w:val="28"/>
          <w:szCs w:val="28"/>
          <w:rtl w:val="true"/>
          <w:lang w:bidi="fa-IR"/>
        </w:rPr>
        <w:t xml:space="preserve">کانوا راوین لتلک الأخبار، و أین تلک الأخبار و نحن فی الفحص عنها فی تعب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رحمه‌الله من انّه ینبّه علی إشتهار التحریم بین السلف و فیالصدر الأوّل سؤال علیّ بن جعفر أخاه موسی علیه‌السلام ، عن ماء الزبیب یطبخ حتّی یذهب ثلثاه هل یصلح أن یرفع و یشرب طول السنة، حیث انّ المستفاد منه کون المشتبه حکم المطبوخ علی الثلث بإعتبار بقائه و طول مکثه، لا لإشتراط الحلّیة فیه بطبخه علی الثلث، و کذا ما تضمّنه موثقة عمّار من السؤال عن ماء الزبیب انّه کیف یطبخ حتّی یحلّ، لدلالته علی علم السائل بانّ الحلّ فی المسؤل عنه مشروط ولیس بمطلق، و إن اشتبه علیه تعیّن الشرط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ففیه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دلالة فی سؤاله علی إشتهار التحریم أصلاً بوجه من الوجوه کما لا یخفی، غایة الأمر دلالته علی إشتهار العمل و هو الأعمّ، لإحتمال انّ هذا العمل لعدم طرق الفساد و التغییر له، بل هو الأظهر، مع انّه لا دلالة فیه علی الإشتهار أصلاً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قدس‌سره قد سلم انّ المستفاد منه کون المشتبه عند السائل حکم‌المطبوخ بإعتبار بقائه و طول مکثه، و هو أمر آخر غیر حرمته بالغلیان الّذی هو محلّ الکلام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إلاّ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التغییر العارض لطول المکث لیس إلاّ الغلیان و النشیش، فحینئذ نقول هذا کلام آخر غیر ما هو بصدده من دعوی إشتهار الحکم المذکور بین السلف، و هو کلام لا یخلو عن متانة </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ما ذکره فی موثقة عمّار، فانّ غایة الأمر انّ المرکوز فی ذهن علیّ بن </w:t>
      </w:r>
    </w:p>
    <w:p>
      <w:pPr>
        <w:pStyle w:val="BookText"/>
        <w:rPr/>
      </w:pPr>
      <w:r>
        <w:rPr>
          <w:rFonts w:ascii="IRNazanin" w:hAnsi="IRNazanin" w:eastAsia="IRNazanin"/>
          <w:color w:val="111111"/>
          <w:sz w:val="28"/>
          <w:sz w:val="28"/>
          <w:szCs w:val="28"/>
          <w:rtl w:val="true"/>
          <w:lang w:bidi="fa-IR"/>
        </w:rPr>
        <w:t xml:space="preserve">جعفر و عمّار بن موسی انّ الحلّ فی المسئول عنه لیس بمطلق، لکن أین ذلک من دلالته علی الإشتهار، فلعلّ ذلک من کون العنب و الزبیب من ماهیّة واحدة و انّ ذهاب الثلثین مشهور فی العنب معتبر فیه، أو انّ ذلک لحفظه عن الفساد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والعمدة التکلّم فی أصل دلالة خبر علیّ بن جعفر و خبری عمّار و قد تقدّم منه جملة، و هذا هو عمدة ما أوقعه قدس‌سره فی تطویل هذا الکلام و إرادة دعوی الإشتهار، حیث انّه فهم قدس‌سره من هذه الأخبار الحرمة، فجعل کلّ‌من تکلّم بما فیها من السائل، و کلّ من روی هذه الأخبار طبقة بعد طبقة، و کلّ من أوردها فی کتابه وأصله من جملة الأخبار کالکلینی قدس‌سره من القائلین بالتحریم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أنکرنا أصل دلالة هذه الأخبار، أمّا خبر علیّ بن جعفر الّذی هو الأصل عند الأصحاب فی دلیل هذا القول، فمضافاً إلی ما عرفت من عدم دلالة لها منطوقاً و مفهوماً حتّی مفهوم الوصف، انّ غایة ما فیه کون المشتبه عنده انّ هذا العمل و هو الطبخ کذلک و الإبقاء طول السنة للشرب منه هل یجوز أم لا، و لا دلالة فیه علی انّ الطبخ بدون ذهاب الثلثین منه الّذی هو عمدة محلّ الکلام هنا غیر جائز عنده وکان مسلّماً 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فلاحظ السؤال فانّ السؤال انّما هو عن الطبخ کذلک، ألا تری قوله هل یصلح أن یطبخ حتّی یخرج طعمه إلی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کان أمر الطبخ مع شرطیّة ذهاب الثلثین منه کان مسلّماً عنده، لکان ینبغی أن یکون سؤاله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الزبیب لو طبخ حتّی یخرج طعمه ثمّ أخذ مائه و طبخ حتّی یذهب ثلثاه، هل یصلح أن یبقی طول السنة و یشرب منه </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فأوّلاً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لم یعلم من سؤال علیّ بن جعفر أمراً مسلّماً عنده </w:t>
      </w:r>
    </w:p>
    <w:p>
      <w:pPr>
        <w:pStyle w:val="BookText"/>
        <w:rPr/>
      </w:pPr>
      <w:r>
        <w:rPr>
          <w:rFonts w:ascii="IRNazanin" w:hAnsi="IRNazanin" w:eastAsia="IRNazanin"/>
          <w:color w:val="111111"/>
          <w:sz w:val="28"/>
          <w:sz w:val="28"/>
          <w:szCs w:val="28"/>
          <w:rtl w:val="true"/>
          <w:lang w:bidi="fa-IR"/>
        </w:rPr>
        <w:t xml:space="preserve">و حکماً مفروغاً منه من إشتراط حلّیة المطبوخ من ماء الزبیب بذهاب الثلثین، ولعلّ أصل هذا العمل المعهود من اذهاب الثلثین منه لأجل شیوع ذلک حفظاً له عن الفساد أو لقربه من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غایة الأمر کونه مرکوزاً فی ذهنه، و لمّا کان السؤال عن أمر آخر وهو الإبقاء طول السنة علی ما فهمه قدس‌سره ، لا یجب ردعه حینئذ عمّا لا یتعلّق بالسؤال، فتأمّل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خبرا عمّار، فقد عرفت ما فیهما، مع انّ الظاهر انّ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یصیر حلالاً أو یشرب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کلام السائل، و إحتمال کون المراد من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فی أحدهما المطبوخ کیف یطبخ حتّی یصیر حلالاً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خصوص المطبوخ من الزبیب، بل المطبوخ من العنب، و یکون قوله علیه‌السلام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خذ ربعاً من 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لأجل عدم وجود العنب فی فصل الخطاب </w:t>
      </w:r>
      <w:r>
        <w:rPr>
          <w:rStyle w:val="FootnoteAnchor"/>
          <w:rtl w:val="true"/>
        </w:rPr>
        <w:footnoteReference w:id="1307"/>
      </w:r>
      <w:r>
        <w:rPr>
          <w:rFonts w:ascii="IRNazanin" w:hAnsi="IRNazanin" w:eastAsia="IRNazanin"/>
          <w:color w:val="111111"/>
          <w:sz w:val="28"/>
          <w:sz w:val="28"/>
          <w:szCs w:val="28"/>
          <w:rtl w:val="true"/>
          <w:lang w:bidi="fa-IR"/>
        </w:rPr>
        <w:t xml:space="preserve">و زمان إلقاء الجواب، أو لکون ذلک احفظ من عروض الفساد، فلا یکون السؤال عن خصوص الزبیب،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علیه‌السلام فی الآخر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سئل عن الزبیب کیف طبخه حتّی یشرب حلالاً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معنی انّه کیف یطبخ الزبیب و یشرب المطبوخ منه حتّی لا یشرب الشراب الحرام، بل یشرب شراباً حلالاً، فتأمّل و انتظر، و سیأتی إن شاء اللّه تعالی بقیّة الکلام فیهما أیضاً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کلامه رحمه‌الله فی القسم الثانی، فامّا ما ذکره رحمه‌الله من انّ الکلینی قدس‌سره من القائلین بقول التحریم، من جهة إیراده الأخبار المتضمّنة لتحریم ثمرة الکرم بالغلیان، و انّها فی حکم الخمر ما لم یذهب منها الثلثان، فقد عرفت عدم دلالة </w:t>
      </w:r>
    </w:p>
    <w:p>
      <w:pPr>
        <w:pStyle w:val="BookText"/>
        <w:rPr/>
      </w:pPr>
      <w:r>
        <w:rPr>
          <w:rFonts w:ascii="IRNazanin" w:hAnsi="IRNazanin" w:eastAsia="IRNazanin"/>
          <w:color w:val="111111"/>
          <w:sz w:val="28"/>
          <w:sz w:val="28"/>
          <w:szCs w:val="28"/>
          <w:rtl w:val="true"/>
          <w:lang w:bidi="fa-IR"/>
        </w:rPr>
        <w:t xml:space="preserve">تلک الأخبار علی تحریم ما عدا الخمر ، بل فیها مواضع من الدلالة علی ذلک ، ولا دلالة فیها علی تحریم الثمرة بالغلیان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أقصی ما فیه علی تقدیر التسلیم، فی خصوص العنب لا الزبیب، للتصریح فی بعضها بالعنب والتصریح فی بعضها بالخمر، بل الحقّ انّ هذه الأخبار لبیان أصل السرّ فی تحریم الخمر و انّه لمشارکة الشیطان، و إلاّ لزم من ظاهرها لو کان المراد غیر ذلک تحریم الحصرم والعنب مطلقاً حتّی قبل الغلیان، فلاحظ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الّتی أوردها فی باب صفة الشراب الحلال، فهی أیضاً ضعیفة الدلالة کما عرفت، فکیف یعلم منها مذهبه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 صفة الشراب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فیحتمل أن یکون مراده مقابلة الشراب الحرام الّذی تقدّم منه من الخمر و العصیر، مع انّ الأخبار المذکورة موردها الزبیب المطبوخ بعد ذهاب الثلثین و هو حلال قطعاً، و أین دلالة عنوان هذا الباب علی إعتبار ذهاب الثلثین شرطاً کما لا یخفی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ما ذکره من باب الطلاء و إیراده خبر علیّ بن جعفر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ذکره رحمه‌الله فی رئیس المحدّثین الصدوق قدس‌سره ، فانّه و إن ذکر ما ذکر عنه عن والده، لکن إطلاق کلامه علی تقدیر التسلیم انّما ینصرف إلی عصیر العنب لاالزبیب، مع انّ الظاهر انّ مراده خصوص عصیر العنب، و الّذی یشهد بذلک قوله بنفسه بعد ذلک بفاصلة قلیلة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لها خمسة أسامی العصیر و هو من الکرم، و النقیع و هو من الزبیب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کلامه </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فکیف یمکن مع ذلک نسبة الحکم بالتحریم فی العصیر الزبیبی إلی هذین الصدوقین الوالد و الولد ـ قدّس اللّه أرواحهما ـ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کیف یمکن نسبته إلی الصدوق قدس‌سره حیث أورد أخبار المنازعة بین آدم علیه‌السلام أو بین نوح علیه‌السلام و بین إبلیس ـ لعنه اللّه ـ فی علل الشرائع </w:t>
      </w:r>
      <w:r>
        <w:rPr>
          <w:rStyle w:val="FootnoteAnchor"/>
          <w:rtl w:val="true"/>
        </w:rPr>
        <w:footnoteReference w:id="130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نسبته إلی الباب الأوّل من کتاب من لایحضره الفقیه، من قوله المذکور، فانّما المقوّم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بالتوضؤ بالنبیذ، لانّ النبیّ صلی‌الله‌علیه‌و‌آله قد توضّأ به و کان ذلک ماء قد نبذت فیه تمیرات و کان صافیاً فوقها فتوضأ به، فاذا غیر التمر لون الماء لم یجز الوضوء به </w:t>
      </w:r>
      <w:r>
        <w:rPr>
          <w:rStyle w:val="FootnoteAnchor"/>
          <w:rtl w:val="true"/>
        </w:rPr>
        <w:footnoteReference w:id="1309"/>
      </w:r>
      <w:r>
        <w:rPr>
          <w:rFonts w:ascii="IRNazanin" w:hAnsi="IRNazanin" w:eastAsia="IRNazanin"/>
          <w:color w:val="111111"/>
          <w:sz w:val="28"/>
          <w:sz w:val="28"/>
          <w:szCs w:val="28"/>
          <w:rtl w:val="true"/>
          <w:lang w:bidi="fa-IR"/>
        </w:rPr>
        <w:t xml:space="preserve">،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فقوله متّصلاً بذلک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النبیذ الّذی یتوضأ به و أحلّ شربه هو الّذی ینبذ بالغداة ویشرب بالعشیّ أو بالعکس </w:t>
      </w:r>
      <w:r>
        <w:rPr>
          <w:rFonts w:eastAsia="IRNazanin" w:cs="IRNazanin"/>
          <w:color w:val="111111"/>
          <w:sz w:val="28"/>
          <w:szCs w:val="28"/>
          <w:rtl w:val="true"/>
          <w:lang w:bidi="fa-IR"/>
        </w:rPr>
        <w:t xml:space="preserve">» </w:t>
      </w:r>
      <w:r>
        <w:rPr>
          <w:rStyle w:val="FootnoteAnchor"/>
          <w:rtl w:val="true"/>
        </w:rPr>
        <w:footnoteReference w:id="1310"/>
      </w:r>
      <w:r>
        <w:rPr>
          <w:rFonts w:ascii="IRNazanin" w:hAnsi="IRNazanin" w:eastAsia="IRNazanin"/>
          <w:color w:val="111111"/>
          <w:sz w:val="28"/>
          <w:sz w:val="28"/>
          <w:szCs w:val="28"/>
          <w:rtl w:val="true"/>
          <w:lang w:bidi="fa-IR"/>
        </w:rPr>
        <w:t xml:space="preserve">، ظاهر فی نبیذ التمر، لکن فیه انّه قد تقدّم منه قدس‌سره الأولویّة فی عصیر الزبیب بالنسبة إلی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بالنسبة إلی الشیخ الطوسی رحمه‌الله حیث أورد روایة علیّ بن جعفر فی التهذیب فی جملة روایات العصیر، فلا دلالة فی إیراده بعد تقدیر تسلیم دلالته علی انّه مذهبه، إذ لم یعلم انّ کلّ ما أورده فی تهذیبه هو مذهبه، مع انّک قد عرفت عدم دلالتها علی المقصود، و صحیحته الأخری الّتی أشار إلیها ظاهرة فی العنب </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نسب إلیه، أی إلی الشیخ رحمه‌الله ، من إیراده فیه روایة عیثمة ثمّ إیراده فیه خبر علیّ الواسطیّ ثمّ الجواب عنه، بانّه محمول علی المعنی رواه عمّار الساباطی، ففیه انّ خبر عمّار الساباطی فی بیان النضوح، لا دلالة فیه علی حرمة المطبوخ من التمر قبل ذهاب الثلثین، فانّ کون النضوح التمر المطبوخ حتّی یذهب ثلثاه و یبقی </w:t>
      </w:r>
      <w:bookmarkStart w:id="751" w:name="pg3696_43803"/>
    </w:p>
    <w:p>
      <w:pPr>
        <w:pStyle w:val="BookText"/>
        <w:rPr/>
      </w:pPr>
      <w:bookmarkEnd w:id="751"/>
      <w:r>
        <w:rPr>
          <w:rFonts w:ascii="IRNazanin" w:hAnsi="IRNazanin" w:eastAsia="IRNazanin"/>
          <w:color w:val="111111"/>
          <w:sz w:val="28"/>
          <w:sz w:val="28"/>
          <w:szCs w:val="28"/>
          <w:rtl w:val="true"/>
          <w:lang w:bidi="fa-IR"/>
        </w:rPr>
        <w:t>ثلثه ثمّ التمشط به أی دلالة فیه علی حرمته و نجاسته قبل ذهاب الثلثین حتّی یستدلّ بذلک بالأولویّة علی مذهبه فی الزبیب، فان کان فی أمثال ذلک دلالة علی هذا فلم لم یستدل بها علی نفس المطلوب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ذلک کلّه لکن مذهب الشیخ رحمه‌الله لم یعلم من کتابی خبره </w:t>
      </w:r>
      <w:r>
        <w:rPr>
          <w:rFonts w:eastAsia="IRNazanin" w:cs="IRNazanin"/>
          <w:color w:val="111111"/>
          <w:sz w:val="28"/>
          <w:szCs w:val="28"/>
          <w:rtl w:val="true"/>
          <w:lang w:bidi="fa-IR"/>
        </w:rPr>
        <w:t>.</w:t>
      </w:r>
    </w:p>
    <w:p>
      <w:pPr>
        <w:pStyle w:val="Heading6"/>
        <w:numPr>
          <w:ilvl w:val="5"/>
          <w:numId w:val="1"/>
        </w:numPr>
        <w:rPr/>
      </w:pPr>
      <w:bookmarkStart w:id="752" w:name="__RefHeading___Toc488811_2281741623"/>
      <w:bookmarkStart w:id="753" w:name="_Toc299"/>
      <w:bookmarkEnd w:id="752"/>
      <w:r>
        <w:rPr>
          <w:rtl w:val="true"/>
        </w:rPr>
        <w:t>رأی المؤلّف و أدلّته</w:t>
      </w:r>
      <w:bookmarkEnd w:id="753"/>
    </w:p>
    <w:p>
      <w:pPr>
        <w:pStyle w:val="BookText"/>
        <w:rPr/>
      </w:pPr>
      <w:r>
        <w:rPr>
          <w:rFonts w:ascii="IRNazanin" w:hAnsi="IRNazanin" w:eastAsia="IRNazanin"/>
          <w:color w:val="111111"/>
          <w:sz w:val="28"/>
          <w:sz w:val="28"/>
          <w:szCs w:val="28"/>
          <w:rtl w:val="true"/>
          <w:lang w:bidi="fa-IR"/>
        </w:rPr>
        <w:t xml:space="preserve">و أمّا عبارة الدعائم، فلا تخلو عن إختلال کما لا یخفی علیک بعد التأمّل فیها، و حمل الغلیان علی الإسکار بعید جدّا، و علی تقدیر تسلیمه فتکون دلالتها أضعف، بل لا دلالة فیها أصلاً، 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هذا الکلام ظاهر الدلالة فی التسویة بین أنواع العصیر فی تحریمها بالطبخ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کلامه رحمه‌الله فی القسم الأخیر، فقد ذکرنا ما فیه، فإنّ کلماتهم ظاهرة أو صریحة فیالعصیر العنبی، ولاسیّما بعد تصریحهم فی کتاب الحدود بما تقدّم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نهایة الکلام فی النقض والإبرام فی هذا المقام، لکن لی فی هذا الکلام تأمّل تامّ فی الحکم بالحلّیة بعد النشیش والغلیان، والإحتیاط التامّ التجنّب عنه قبل ذهاب الثلثین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والأولی، فضلاً عمّا ظهر لک ممّا تقدّم، أن نبیّن بعض ما أوقعنی فی الإشکال والتوفیق من ذی الجلال للهدایة إلی مسائل الحرام والحلال، و لیس المقصود کلّ ما تقدّم من الأدلّة الّتی ذکروها للإستدلال علی هذا القول، بل نذکر المنتخب منها مع بیان واف، و نزید علیه کلّما خطر بالبال أو وقع علیه النظر من الأخبار، فنقول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نرتّبه علی أدلّة ثلاثة حاویة لجملة متفرّقة </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الزبیب لیس إلاّ العنب الّذی مرّ علیه زمان، و لیس الذاهب منه حتّی صدق علیه الزبیب ثلثا أو ثلثین، بل إنّما انجمد فیه مائه و صلب، کما فی نوع </w:t>
      </w:r>
    </w:p>
    <w:p>
      <w:pPr>
        <w:pStyle w:val="BookText"/>
        <w:rPr/>
      </w:pPr>
      <w:r>
        <w:rPr>
          <w:rFonts w:ascii="IRNazanin" w:hAnsi="IRNazanin" w:eastAsia="IRNazanin"/>
          <w:color w:val="111111"/>
          <w:sz w:val="28"/>
          <w:sz w:val="28"/>
          <w:szCs w:val="28"/>
          <w:rtl w:val="true"/>
          <w:lang w:bidi="fa-IR"/>
        </w:rPr>
        <w:t xml:space="preserve">من أنواعه الّذی تصیر زبیباً علی الکرم یسمّی عنب الزبیب، فهو أیضا حدّ من حدود العنب کالرطب والتمر والتین والزیتون، فالزبیب من حدود العنب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الشائع المتعارف أنّه ینقع الزبیب ثمّ یؤخذ ماؤه فیطبخ للإستعمال طول السنة، کما أنّه الشایع فی التمر أیضا، فیندرج تحت أخبار الطلاء و أخبار البختج المصرّحة باشتراط ذهاب الثلثین منه، و لا أقلّ من عدم الإستفصال فیها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ذلک أخبار إخبار من یأتی بالشراب مطلقاً والتفصیل فیها بین من یشرب علی الثلث و من یشرب علی أزید منه، مثل خبر معاویة بن عمّار السابق و خبر إبن أبی یعفور ،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شرب الرجل النبیذ المخمور ، فلا تجوز شهادته فی شیء من الأشربة و لو کان یصف ما تصفون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الأخبار المطلقة فی أمثال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التمر، و حال التمر کحال الزبیب، لأنّ التمر ظاهر فی الجاف منه، والأمر فیه أسهل من أمر الزبیب، کما تقدّم من السیّد رحمه‌الله ، کالخبر المرویّ فی التهذیب، عن عمّار بن موسی، عن أبی عبداللّه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النضوح المعتق کیف یصنع به حتّی یحلّ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ماء التمر فَاغْلِه حتّی یذهب ثلثا ماء التمر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الرجل یأتی بالشراب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مطبوخ علی الثلث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 مسلما، ورعا، مأمونا، فلا بأس أن یشرب </w:t>
      </w:r>
      <w:r>
        <w:rPr>
          <w:rStyle w:val="FootnoteAnchor"/>
          <w:rtl w:val="true"/>
        </w:rPr>
        <w:footnoteReference w:id="1312"/>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قوله الأخیر بعد قوله الأوّل، دلالة علی أنّ الشراب أعمّ من شراب العنب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والخبر المرویّ فیه،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أباعبداللّه علیه‌السلام عن النضوح،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یطبخ التمر حتّی یذهب ثلثاه و یبقی ثلثه، ثمّ یتمشطن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 ذلک ممّا سیأتی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موثّقتا عمّار بن موسی الساباطیّ السابقتین، فإنّ دلالتها بعد ضمّ الجواب بالسؤال ممّا لاینبغی إنکارها ، و المناقشة فی إحدیهما دون الأخری بما تقدّم مدفوعة بعد ضمّ کلّ واحدة منهما إلی الأخری، و بعض المناقشات السابقة ممّا یمکن الجواب عنها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ظاهرا المرویّ فی الکافی، فی باب النبیذ، عن حنّان بن سدیر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و هو یقول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النبیذ فإنّ أبا مریم یشربه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له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 هذا النبیذ الّذی أذنت لأبی مریم فی شربه أیّ شیء هو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أبی علیه‌السلام فإنّه کان یأمر الخادم فیجیء بقدح و یجعل فیه زبیباً و یغسله غسلاً نقیّا، ثمّ یجعله فی إناء، ثمّ یصبّ علیه ثلاثة مثله أو أربعة ماء، ثمّ یجعله باللیل، و یشربه بالنهار، و یجعله بالغداة، و یشربه بالعشیّ، و کان یأمر الخادم بغسل الإناء فی کلّ ثلاثة أیّام کیلاً یغتلم، فإن کنتم تریدون النبیذ فهذا النبیذ </w:t>
      </w:r>
      <w:r>
        <w:rPr>
          <w:rStyle w:val="FootnoteAnchor"/>
          <w:rtl w:val="true"/>
        </w:rPr>
        <w:footnoteReference w:id="1314"/>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الإغتلام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الهیجان ؛ و وجه الدلالة فی الخبر واضح، فإنّ الهیجان هو النشیش والغلیان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المرویّ فی الکافی،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حرّم کلّ مسکر قلیله و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صفوان الجمّال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مبتلی بالنبیذ معجباً به 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أصف لک النبیذ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أنا أصفه لک،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ما أسکر کثیره فقلیله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نبیذ السقایة بفناء الکعبة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هکذا کانت السقایة، إنّما السقایة زمزم، أفتدری من أوّل من غیّرها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العبّاس من عبدالمطّلب کانت له حبلة، أفتدری ما الحبله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الکرم کان ینقع الزبیب غدوة، و یشربونه بالعشیّ ، و ینقعه بالعشیّ ، و یشربونه من الغد، یرید أن یکسر غلظ الماء عن الناس، و إنّ هؤلاء قد تعدوا، فلا تشربنّه و لا تقربنّه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یسقی ؛ 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السقی بالکسر ما یسقی، والسقایة بالکسر والضمّ موضعه، کالمسقاة بالفتح والکسر، والإناء یسقی به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السقایة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إناء یشرب فیه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نحوه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السقایة فی رحل أخیه </w:t>
      </w:r>
      <w:r>
        <w:rPr>
          <w:rFonts w:eastAsia="IRNazanin" w:cs="IRNazanin"/>
          <w:color w:val="111111"/>
          <w:sz w:val="28"/>
          <w:szCs w:val="28"/>
          <w:rtl w:val="true"/>
          <w:lang w:bidi="fa-IR"/>
        </w:rPr>
        <w:t xml:space="preserve">» </w:t>
      </w:r>
      <w:r>
        <w:rPr>
          <w:rStyle w:val="FootnoteAnchor"/>
          <w:rtl w:val="true"/>
        </w:rPr>
        <w:footnoteReference w:id="1318"/>
      </w:r>
      <w:r>
        <w:rPr>
          <w:rFonts w:ascii="IRNazanin" w:hAnsi="IRNazanin" w:eastAsia="IRNazanin"/>
          <w:color w:val="111111"/>
          <w:sz w:val="28"/>
          <w:sz w:val="28"/>
          <w:szCs w:val="28"/>
          <w:rtl w:val="true"/>
          <w:lang w:bidi="fa-IR"/>
        </w:rPr>
        <w:t xml:space="preserve">، السقایة بالکسر مشربة یسقی بها، و هو السواع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کذا فی الصحاح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 xml:space="preserve">. </w:t>
      </w:r>
      <w:bookmarkStart w:id="754" w:name="pg3696_43807"/>
    </w:p>
    <w:p>
      <w:pPr>
        <w:pStyle w:val="BookText"/>
        <w:rPr/>
      </w:pPr>
      <w:bookmarkEnd w:id="754"/>
      <w:r>
        <w:rPr>
          <w:rFonts w:ascii="IRNazanin" w:hAnsi="IRNazanin" w:eastAsia="IRNazanin"/>
          <w:color w:val="111111"/>
          <w:sz w:val="28"/>
          <w:sz w:val="28"/>
          <w:szCs w:val="28"/>
          <w:rtl w:val="true"/>
          <w:lang w:bidi="fa-IR"/>
        </w:rPr>
        <w:t xml:space="preserve">و المناسب هنا معنی القاموس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السقایة زمزم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غلظ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بالکسر،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غلظ الشیء بالضم یغلظ غلظاً، خلاف رقّ، والإسم الغلظ بالکسر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السابق المرویّ فی أصل زید النَرْسی </w:t>
      </w:r>
      <w:r>
        <w:rPr>
          <w:rStyle w:val="FootnoteAnchor"/>
          <w:rtl w:val="true"/>
        </w:rPr>
        <w:footnoteReference w:id="1322"/>
      </w:r>
      <w:r>
        <w:rPr>
          <w:rFonts w:ascii="IRNazanin" w:hAnsi="IRNazanin" w:eastAsia="IRNazanin"/>
          <w:color w:val="111111"/>
          <w:sz w:val="28"/>
          <w:sz w:val="28"/>
          <w:szCs w:val="28"/>
          <w:rtl w:val="true"/>
          <w:lang w:bidi="fa-IR"/>
        </w:rPr>
        <w:t xml:space="preserve">، و هذا الأصل قد ظفرت به حال تحریر المقام، و إن لم یکن عندی حال نقله عن البحار، و هو و إن تقدّم نقله عن غیره مع الإختلاف، لکن نحکیه هنا من عین الأصل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أبوعبداللّه علیه‌السلام عن الزبیب یدقّ و یلقی فی القدر ثمّ یصبّ علیه الماء و یوقد تحته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تأکله حتّی یذهب الثلثان و یبقی الثلث فإنّ النار قد أصابته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فالزبیب کما هو یلقی فی القدر و یصبّ علیه الماء ثمّ یطبخ و یصفی عنه الماء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هو سواء إذا أدّت الحلاوة إلی الماء فصار حلوا بمنزلة العصیر ثمّ نشّ من غیر أن تصیبه النار فقد حرم، و کذلک إذا أصابته النار فغلی فقد فسد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55" w:name="__RefHeading___Toc488813_2281741623"/>
      <w:bookmarkStart w:id="756" w:name="_Toc300"/>
      <w:bookmarkEnd w:id="755"/>
      <w:r>
        <w:rPr>
          <w:rtl w:val="true"/>
        </w:rPr>
        <w:t xml:space="preserve">مقامان فی إعتبار أصل زید النَرسی </w:t>
      </w:r>
      <w:r>
        <w:rPr>
          <w:rtl w:val="true"/>
        </w:rPr>
        <w:t>:</w:t>
      </w:r>
      <w:bookmarkEnd w:id="756"/>
    </w:p>
    <w:p>
      <w:pPr>
        <w:pStyle w:val="Heading6"/>
        <w:numPr>
          <w:ilvl w:val="5"/>
          <w:numId w:val="1"/>
        </w:numPr>
        <w:rPr/>
      </w:pPr>
      <w:bookmarkStart w:id="757" w:name="__RefHeading___Toc488815_2281741623"/>
      <w:bookmarkStart w:id="758" w:name="_Toc301"/>
      <w:bookmarkEnd w:id="757"/>
      <w:r>
        <w:rPr>
          <w:rtl w:val="true"/>
        </w:rPr>
        <w:t>اشارة</w:t>
      </w:r>
      <w:bookmarkEnd w:id="758"/>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دلالة هذا الخبر فصریحة، و أمّا إعتبار هذا الأصل و عدمه فمحتاج إلی نقل ما فیه من الخلاف، و کذا إعتبار زید و عدمه، فهنا مقامان </w:t>
      </w:r>
      <w:r>
        <w:rPr>
          <w:rFonts w:eastAsia="IRNazanin" w:cs="IRNazanin"/>
          <w:color w:val="111111"/>
          <w:sz w:val="28"/>
          <w:szCs w:val="28"/>
          <w:rtl w:val="true"/>
          <w:lang w:bidi="fa-IR"/>
        </w:rPr>
        <w:t xml:space="preserve">: </w:t>
      </w:r>
      <w:bookmarkStart w:id="759" w:name="pg3696_43808"/>
    </w:p>
    <w:p>
      <w:pPr>
        <w:pStyle w:val="Heading6"/>
        <w:numPr>
          <w:ilvl w:val="5"/>
          <w:numId w:val="1"/>
        </w:numPr>
        <w:rPr/>
      </w:pPr>
      <w:bookmarkStart w:id="760" w:name="__RefHeading___Toc488817_2281741623"/>
      <w:bookmarkStart w:id="761" w:name="_Toc302"/>
      <w:bookmarkEnd w:id="759"/>
      <w:bookmarkEnd w:id="760"/>
      <w:r>
        <w:rPr>
          <w:rtl w:val="true"/>
        </w:rPr>
        <w:t xml:space="preserve">المقام الأوّل </w:t>
      </w:r>
      <w:r>
        <w:rPr>
          <w:rtl w:val="true"/>
        </w:rPr>
        <w:t xml:space="preserve">: </w:t>
      </w:r>
      <w:r>
        <w:rPr>
          <w:rtl w:val="true"/>
        </w:rPr>
        <w:t>فی إعتبار الأصل المعروف منه و عدم إعتباره</w:t>
      </w:r>
      <w:bookmarkEnd w:id="761"/>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IRNazanin" w:hAnsi="IRNazanin" w:eastAsia="IRNazanin"/>
          <w:color w:val="111111"/>
          <w:sz w:val="28"/>
          <w:sz w:val="28"/>
          <w:szCs w:val="28"/>
          <w:rtl w:val="true"/>
          <w:lang w:bidi="fa-IR"/>
        </w:rPr>
        <w:t>فی إعتبار الأصل المعروف منه و عدم إعتباره</w:t>
      </w:r>
    </w:p>
    <w:p>
      <w:pPr>
        <w:pStyle w:val="BookText"/>
        <w:rPr/>
      </w:pPr>
      <w:r>
        <w:rPr>
          <w:rFonts w:ascii="IRNazanin" w:hAnsi="IRNazanin" w:eastAsia="IRNazanin"/>
          <w:color w:val="111111"/>
          <w:sz w:val="28"/>
          <w:sz w:val="28"/>
          <w:szCs w:val="28"/>
          <w:rtl w:val="true"/>
          <w:lang w:bidi="fa-IR"/>
        </w:rPr>
        <w:t xml:space="preserve">ففی الفهرست، کما تقدّم منه أنّه لم یرو أصله محمّد بن علیّ بن الحسین بن بابویه، و قال هو فی فهرسته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یروه محمّد بن الحسن بن الولید و کان یقول هو موضوع وضعه محمّد بن موسی الهمدانیّ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هذا الکلام أنّ الأصل فی نسبة الوضع إلیه إبن الولید، و إبن بابویه تبعه فی ذلک کما هو دأبه و طریقته بالنسبة إلی شیخه، حتّی قال فی کتاب الصوم من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 صلاة یوم غدیر خم والثواب المذکور فیه لمن صامه، فإنّ شیخنا محمّد بن الحسن رضی‌الله‌عنه کان لا یصحّحه و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طریق محمّد بن موسی الهمدانیّ، و کان کذّاباً غیر ثقة ؛ و کلّما لم یصحّحه ذلک الشیخ قدس‌سره و لم یحکم بصحّته من الأخبار، فهو عندنا متروک، غیر صحیح </w:t>
      </w:r>
      <w:r>
        <w:rPr>
          <w:rStyle w:val="FootnoteAnchor"/>
          <w:rtl w:val="true"/>
        </w:rPr>
        <w:footnoteReference w:id="1325"/>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فتبیّن من ذلک أنّ محمّد بن الولید هو القائل بهذا القول و منحصر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ردّه إبن الغضائریّ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أبوجعفر ابن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کتابهما موضوع وضعه محمّد بن موسی السمان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غلط أبوجعفر فی هذا القول فإنّی رأیت کتبهما عتیقا مسموعة من محمّد بن أبی عمیر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الفهرست بعد ما تقدّم نقله عن إبن بابویه و إبن الولید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زید النرسی رواه إبن أبی عمیر عنه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النرسی روی عن أبی عبداللّه و أبی الحسن علیهماالسلام ، له کتاب یرویه جماعة أخبرنا أحمد بن علیّ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أحمد الصفوانی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إبراهیم بن هاشم، عن أبیه ، عن إبن أبی عمیر ، عن زید النرسی بکتابه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فهؤلاء أشخاص ثلاثة أصول أصحاب الرجال قد شهدوا باعتبار أصله و عدم وضعه، و مقدّم قولهم علی قول إبن الولید المنفرد فی نسبة الوضع، فإنّ النجاشی کما تری رواه مسنداً بالسند المتّصل إلی کتابه کما تقدّم، فإنّه رواه عن شیخه أحمد بن علیّ بن العبّاس بن نوح و قال فی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ثقة فی حدیثه، متقناً لما یرویه، فقیهاً، بصیراً بالحدیث والروایة </w:t>
      </w:r>
      <w:r>
        <w:rPr>
          <w:rStyle w:val="FootnoteAnchor"/>
          <w:rtl w:val="true"/>
        </w:rPr>
        <w:footnoteReference w:id="1329"/>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صرّح بوثاقته فی رجال الشیخ رحمه‌الله فی باب من لم یرو عن الأئمّة علیهم‌السلام ، والفهرست، والخلاصة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أحمد بن علیّ المذکور روی هذا الأصل عن محمّد بن أحمد الصفوانی، وهذا محمّد بن أحمد بن عبداللّه بن قضاعة بن صفوان بن مهران الجمّال، المعروف بالصفوانی، یروی عن علیّ بن إبراهیم، کما ذکر ذلک کلّه من أوّل الترجمة فی باب من لم یرو عن الأئمّة علیهم‌السلام </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حفظة، کثیر العلم، جید اللسان، و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أمّیاً و له کتب أملاها من ظهر قلبه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ثقة، فقیه، فاضل، و کانت له منزلة من السلطان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علیّ بن إبراهیم بن هاشم فأمره ظاهر، و أمّا أبوه إبراهیم، فهو أیضا ثقة کما رجّحناه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وجدنا له طریقاً آخر فی الأصل الموجود عندی، و هو کتاب عتیق معتبر، قال فی أوّل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النرسی 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 محمّد </w:t>
      </w:r>
      <w:r>
        <w:rPr>
          <w:rFonts w:eastAsia="IRNazanin" w:cs="IRNazanin"/>
          <w:color w:val="111111"/>
          <w:sz w:val="28"/>
          <w:szCs w:val="28"/>
          <w:rtl w:val="true"/>
          <w:lang w:bidi="fa-IR"/>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هارون بن موسی بن أحمد التلعکبریّ أیّده اللّه </w:t>
      </w:r>
      <w:r>
        <w:rPr>
          <w:rStyle w:val="FootnoteAnchor"/>
          <w:rtl w:val="true"/>
        </w:rPr>
        <w:footnoteReference w:id="1336"/>
      </w:r>
      <w:r>
        <w:rPr>
          <w:rFonts w:ascii="IRNazanin" w:hAnsi="IRNazanin" w:eastAsia="IRNazanin"/>
          <w:color w:val="111111"/>
          <w:sz w:val="28"/>
          <w:sz w:val="28"/>
          <w:szCs w:val="28"/>
          <w:rtl w:val="true"/>
          <w:lang w:bidi="fa-IR"/>
        </w:rPr>
        <w:t xml:space="preserve">، حدّثنا الشیخ أبو محمّد هارون بن موسی بن أحمد التلعکبریّ أیّده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أبوالعباس أحمد بن محمّد بن سعید الهمدانیّ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جعفر بن عبداللّه العلویّ أبوعبداللّه المحمّدی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زید النرسی، عن أبی عبداللّه علیه‌السلام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أمّا هارون بن موسی، ففی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ثقة، معتمد لا یطعن علیه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رجال الشیخ رحمه‌الله ، فی باب من لم یرو عن الأئمّة علیهم‌السلام ،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عظیم المنزلة، واسع الروایة، عدیم النظیر، ثقة </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أحمد بن محمّد بن سعید الهمدانیّ، فهو إبن عقدة المعروف ؛ قال فی باب </w:t>
      </w:r>
    </w:p>
    <w:p>
      <w:pPr>
        <w:pStyle w:val="BookText"/>
        <w:rPr/>
      </w:pPr>
      <w:r>
        <w:rPr>
          <w:rFonts w:ascii="IRNazanin" w:hAnsi="IRNazanin" w:eastAsia="IRNazanin"/>
          <w:color w:val="111111"/>
          <w:sz w:val="28"/>
          <w:sz w:val="28"/>
          <w:szCs w:val="28"/>
          <w:rtl w:val="true"/>
          <w:lang w:bidi="fa-IR"/>
        </w:rPr>
        <w:t xml:space="preserve">من لم یرو عن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جلیل القدر، عظیم المنزلة، له تصانیف کثیرة و کان حفظه، سمعت جماعة یحکون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احفظ مأة و عشرین ألف حدیث بأسانیدها، و اذاکر بثلاثمائة ألف حدیث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الفهرست أمره فی الثقة و الجلالة و عظم الحفظ أشهر من أن یذکر، لکن فی الکتابین أنّه کان زیدیّاً جارودیاً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جعفر بن عبداللّه العلویّ ففی رجال النجاشی و الخلاصة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وجهاً فی أصحابنا، و فقیهاً، و أوثق الناس فی حدیثه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آخر هذا الأصل الموجود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زید النرسی کتبه منصور بن الحسن بن الحسین الآبی فی ذی الحجّة أربع و سبعین و ثلاثمأة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ینبغی الریب أنّ إبن أبی عمیر قد روی روایات هذا الکتاب، فإنّ الظاهر انّ أکثر روایات هذا الأصل منه، و قد أجمع أصحابنا علی تصحیح ما یصحّ عنه، وقد صحّ من إبن أبی عمیر روایته عنه کما مرّ، و سیأتی من روایة إبن أبی عمیر عنه فی روایات الکلینیّ و غیره، فیندرج روایاته تحت ما أجمعوا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شیخنا الطوسی رحمه‌الله بعد أن حکی عن إبن بابویه و شیخیه فی الفهرست،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زید النرسی رواه إبن أبی عمیر عنه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یدلّ علی عدم قبوله ما قالاه بأنّ کتابه موضوع </w:t>
      </w:r>
      <w:r>
        <w:rPr>
          <w:rFonts w:eastAsia="IRNazanin" w:cs="IRNazanin"/>
          <w:color w:val="111111"/>
          <w:sz w:val="28"/>
          <w:szCs w:val="28"/>
          <w:rtl w:val="true"/>
          <w:lang w:bidi="fa-IR"/>
        </w:rPr>
        <w:t xml:space="preserve">. </w:t>
      </w:r>
      <w:bookmarkStart w:id="762" w:name="pg3696_43812"/>
    </w:p>
    <w:p>
      <w:pPr>
        <w:pStyle w:val="BookText"/>
        <w:rPr/>
      </w:pPr>
      <w:bookmarkEnd w:id="762"/>
      <w:r>
        <w:rPr>
          <w:rFonts w:ascii="IRNazanin" w:hAnsi="IRNazanin" w:eastAsia="IRNazanin"/>
          <w:color w:val="111111"/>
          <w:sz w:val="28"/>
          <w:sz w:val="28"/>
          <w:szCs w:val="28"/>
          <w:rtl w:val="true"/>
          <w:lang w:bidi="fa-IR"/>
        </w:rPr>
        <w:t xml:space="preserve">و أیضا النجاشی إنّما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یرویه جماعة </w:t>
      </w:r>
      <w:r>
        <w:rPr>
          <w:rStyle w:val="FootnoteAnchor"/>
          <w:rtl w:val="true"/>
        </w:rPr>
        <w:footnoteReference w:id="1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طریقه إلیه وقوله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یرویه جماعة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دلالة علی عدم إنحصار روایاته بابن أبی عمیر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أجد من ارتضی بنسبة الوضع إلی کتابه سوی إبن بابویه التابع لشیخه، بل وجدنا أصحاب الرجال غیر راضین عنها منکرین علیها، بل غلط هذه النسبة إبن الغضائریّ بصریح کلامه، والشیخ والنجاشی بتلویح کلامهما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محمّد بن موسی الهمدانیّ الّذی نسب إلیه وضع هذا الأصل، ففی رجال بحرالعلوم رحمه‌الله لم یتّضح ضعفه بعد حتّی یکون وضّاعاً للحدیث، و هو من رجال نوادر الحکمة، والروایة عنه فی کتب الأحادیث متکّرره، وقد أطال الکلام فی هذا المقام، فلیراجع إلی کتابه </w:t>
      </w:r>
      <w:r>
        <w:rPr>
          <w:rStyle w:val="FootnoteAnchor"/>
          <w:rtl w:val="true"/>
        </w:rPr>
        <w:footnoteReference w:id="13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إن الصدوق رحمه‌الله روی فی الفقیه، فی باب ضمان الوصیّ لما یغیّره عمّا أوصی به المیّت، عن زید النرسی، کما ستعرف إن شاء اللّه تعالی، و فیه إیراد علیه، و لا سیّما بعد أن ذکر فی صدر الفقیه ما ذکر </w:t>
      </w:r>
      <w:r>
        <w:rPr>
          <w:rFonts w:eastAsia="IRNazanin" w:cs="IRNazanin"/>
          <w:color w:val="111111"/>
          <w:sz w:val="28"/>
          <w:szCs w:val="28"/>
          <w:rtl w:val="true"/>
          <w:lang w:bidi="fa-IR"/>
        </w:rPr>
        <w:t>.</w:t>
      </w:r>
    </w:p>
    <w:p>
      <w:pPr>
        <w:pStyle w:val="Heading6"/>
        <w:numPr>
          <w:ilvl w:val="5"/>
          <w:numId w:val="1"/>
        </w:numPr>
        <w:rPr/>
      </w:pPr>
      <w:bookmarkStart w:id="763" w:name="__RefHeading___Toc488819_2281741623"/>
      <w:bookmarkStart w:id="764" w:name="_Toc303"/>
      <w:bookmarkEnd w:id="763"/>
      <w:r>
        <w:rPr>
          <w:rtl w:val="true"/>
        </w:rPr>
        <w:t xml:space="preserve">المقام الثانی </w:t>
      </w:r>
      <w:r>
        <w:rPr>
          <w:rtl w:val="true"/>
        </w:rPr>
        <w:t xml:space="preserve">: </w:t>
      </w:r>
      <w:r>
        <w:rPr>
          <w:rtl w:val="true"/>
        </w:rPr>
        <w:t>فی إعتبار زید النرسی</w:t>
      </w:r>
      <w:bookmarkEnd w:id="764"/>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فی إعتبار زید النرسی</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عرفت روایة إبن أبی عمیر عنه کما صرّح به الشیخ، و النجاشی، و غیرهما، و کانت روایاته عن إبن أبی عمیر غیر منحصرة بما فیه أصله، فقد روی عنه ثقة الإسلام رحمه‌الله فی الکافی فی مواضع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الکافی فی باب التقبیل، عن علیّ، عن أبیه، عن إبن أبیعمیر، عن زید النرسی، عن علیّ بن زید صاحب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أبیعبداللّه علیه‌السلام فتناولت یده فقبّلتها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انّها لاتصلح إلاّ لنبیّ أو وصیّ نبیّ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الخبر مذکور فی الأصل المعروف منه، إلاّ أنّ فیه هکذا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انّه لا یصلح إلاّ لنبیّ أو من أرید به النبیّ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فی باب صوم یوم عاشورا و عرفة، عن الحسین بن علیّ الهاشمیّ، عن محمّد بن عیسی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أبی عمیر، عن زید النرسی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عبید بن زرارة یسأل أباعبداللّه علیه‌السلام عن صوم یوم عاشورا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صامه کان حظّه من صیام ذلک الیوم حظّ إبن مرجانة و آل زیاد </w:t>
      </w:r>
      <w:r>
        <w:rPr>
          <w:rStyle w:val="FootnoteAnchor"/>
          <w:rtl w:val="true"/>
        </w:rPr>
        <w:footnoteReference w:id="1348"/>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فیه، فی باب أنّ الوصیّ إذا کانت الوصیّة فی حقّ و غیرها فهو ضامن، عن علیّ بن إبراهیم، عن أبیه و حمید بن زیاد، عن عبداللّه بن أحمد جمیعاً، عن إبن أبی عمیر ، عن زید النرسی ، عن علیّ بن زید صاحب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إلیّ رجل بترکته </w:t>
      </w:r>
      <w:r>
        <w:rPr>
          <w:rStyle w:val="FootnoteAnchor"/>
          <w:rtl w:val="true"/>
        </w:rPr>
        <w:footnoteReference w:id="1349"/>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الخبر مذکور فی الأصل الموجود، و لعلّ المتتبّع فیها یجد فیها غیرها </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التهذیب، فی باب وصیّة الإنسان بعبده و عتقه له قبل موته، عن علیّ بن الحسن بن فضّال، عن معاویة بن حکیم و یعقوب الکاتب، عن إبن أبی عمیر، عن زید النرسی، عن علیّ بن مزید صاحب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رجل إلیّ بترکته </w:t>
      </w:r>
      <w:r>
        <w:rPr>
          <w:rStyle w:val="FootnoteAnchor"/>
          <w:rtl w:val="true"/>
        </w:rPr>
        <w:footnoteReference w:id="1350"/>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فی الفقیه فی باب ضمان الوصیّ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محمّد بن أبی عمیر، عن زید النرسی، عن علیّ بن مزید صاحب السابریّ،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رجل إلیّ بترکته </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ظاهره العمل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المشیخة طریقه إلی إبن أبی عمیر،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فیه عن إبن أبی عمیر فقد رویته عن أبی رضی‌الله‌عنه و محمّد بن الحسن رحمه‌الله ، عن سعد بن عبداللّه والحمیری جمیعاً، عن أیّوب بن نوح، و إبراهیم بن هاشم، و یعقوب بن یزید، و محمّد بن عبدالجبّار، جمیعاً عن إبن أبی عمیر </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یشهد ذلک کلّه علی أنّ الرجل معتمد علیه فی الروایات، و یکفیه روایة إبن أبی عمیر عنه الّذی قال فی الفهرست فی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کان من أوثق الناس عند الخاصّة والعامّة و أنسکهم نسکا، و أورعهم، و أعبدهم، و قد ذکره الجاحظ فی کتابه فی فخر قحطان علی عدنان بهذه الصفة الّتی وصفناه، و ذکر أنّه کان أوحد أهل زمانه فی الأشیاء کلّها </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رجال النجاشی فی ترجمته ما قال، فلاحظ </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رجال‌الکشّی، فی تسمیة الفقهاء من أصحاب أبیإبراهیم وأبیالحسن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 أصحابنا علی تصحیح ما یصحّ عن هؤلاء و تصدیقهم، و أقرّوا لهم بالفقه و العلم و هم ستّة نفر، و ذکر من الستّة محمّد بن أبی عمیر، وقد صحّ عن إبن أبی عمیر روایاته </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أیضا عن الشیخ فی العدّة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یروی و لا یرسل إلاّ عن ثقة </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أیضا لم یذکر أحد فیه قدحاً و إنّما القدح من إبن الولید فی أصله، و لو کان فیه قدح لذکروه، و لا سیّما مثل إبن الغضائریّ فإنّه کما فی رجال بحرالعلوم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ضعف فیه کثیرا من أجلاّء الأصحاب المعروفین بالتوثیق، نحو إبراهیم بن سلیمان بن حیان، و إبراهیم بن عمر الیمانیّ، و إدریس بن زیاد، و إسماعیل بن مهران، وحذیفة بن منصور، و أبی بصیر لیث المرادیّ، و غیرهم من أعاظم الرواة وأصحاب الحدیث، و اعتمد فی الطعن علیه غالباً علی أمور لایوجب قدحاً فیهم، بل فی روایاتهم کإعتماد المراسیل، والروایة عن المجاهیل، والخلط بین الصحیح والسقیم، و عدم المبالاة فی أخذ الروایات، و کون روایاتهم ممّا تعرف تارة وتنکر أخری، و ما یقرب من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کلامه فی مثل هؤلاء المشاهیر الأجلّة، و أمّا إذا وجد فی أحد ضعفاً بیّنا أو طعنا ظاهرا، و خصوصا إذا تعلّق بصدق الحدیث، فإنّه یقیم علیه النوائح، و یبلغ منه کلّ مبلغ، و یمزقه کلّ ممزّق، فسکوت مثل هذا الشیخ عن حال زید النرسی، و مدافعته عن أصله بما سمعت من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أعدل، شاهد علی أنّه لم یجد فیه مغمزاً، و لا للقول فی أصله سبیلاً </w:t>
      </w:r>
      <w:r>
        <w:rPr>
          <w:rStyle w:val="FootnoteAnchor"/>
          <w:rtl w:val="true"/>
        </w:rPr>
        <w:footnoteReference w:id="1356"/>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وأیضا 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ممّا یشهد باعتباره، بل ووثاقته، وللسیّد المذکور رحمه‌الله أیضا بیان واف فی المقام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النرسی من أصحاب الأصول، و تسمیة کتابه أصلاً ممّا یشهد بحسن حاله و إعتبار کتابه، فإنّ الأصل فی إصطلاح المحدّثین من أصحابنا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المعتمد الّذی لم ینتزع من کتاب آخر، و لیس بمعنی مطلق الکتاب، فإنّه قد یجعل مقابلاً له فیقال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له أصل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وقد ذکر إبن شهرآشوب فی معالم العلماء نقلاً عن‌المفید طاب ثراه، انّ الإمامیّة صنّفت من عهد أمیر المؤمنین علیه‌السلام إلی عهد أبی محمّد الحسن العسکریّ علیه‌السلام أربع مائة کتاب تسمّی الأصول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معنی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معلوم أنّ مصنّفات الإمامیّة فیما ذکره من المدّة تزید علی ذلک بکثیر کما یشهد به تتبّع کتب الرجال، فالأصل إذن أخصّ من الکتاب، و لا یکفی فیه مجرّد عدم إنتزاعه من کتاب آخر، و إن لم یکن معتمداً، فإنّه یؤخذ فی کلام الأصحاب مدحا لصاحبه و وجها للإعتماد علی ما تضمنّه </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ضعّفوا الروایة لعدم وجدان متنها فی الأصول، کما اتّفق للمفید والشیخ و غیرهما، فالإعتماد مأخوذ فی الأصل ، بمعنی کون ذلک هو الأصل فیه إلی أن یظهر خلافه ، و الوصف به فی قولهم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 أصل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معتمد للإیضاح والبیان ، أو لبیان الزیادة علی مطلق الإعتماد المشترک فیما بین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ینافی ما ذکرناه </w:t>
      </w:r>
      <w:r>
        <w:rPr>
          <w:rFonts w:eastAsia="IRNazanin" w:cs="IRNazanin"/>
          <w:color w:val="111111"/>
          <w:sz w:val="28"/>
          <w:szCs w:val="28"/>
          <w:rtl w:val="true"/>
          <w:lang w:bidi="fa-IR"/>
        </w:rPr>
        <w:t xml:space="preserve">] </w:t>
      </w:r>
      <w:r>
        <w:rPr>
          <w:rStyle w:val="FootnoteAnchor"/>
          <w:rtl w:val="true"/>
        </w:rPr>
        <w:footnoteReference w:id="1358"/>
      </w:r>
      <w:r>
        <w:rPr>
          <w:rFonts w:ascii="IRNazanin" w:hAnsi="IRNazanin" w:eastAsia="IRNazanin"/>
          <w:color w:val="111111"/>
          <w:sz w:val="28"/>
          <w:sz w:val="28"/>
          <w:szCs w:val="28"/>
          <w:rtl w:val="true"/>
          <w:lang w:bidi="fa-IR"/>
        </w:rPr>
        <w:t xml:space="preserve">علی أنّ تصنیف الحدیث أصلاً کان المصنّف أم کتابا لاینفکّ غالباً عن کثرة الروایة و الدلالة علی شدّة الإنقطاع إلی الأئمّة علیهم‌السلام ، و قد قالوا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إعرفوا منازل الرجال بقدر روایاتهم عنّا </w:t>
      </w:r>
      <w:r>
        <w:rPr>
          <w:rStyle w:val="FootnoteAnchor"/>
          <w:rtl w:val="true"/>
        </w:rPr>
        <w:footnoteReference w:id="13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ورد عنهم علیهم‌السلام فی شأن الروایة للحدیث ما ورد </w:t>
      </w:r>
      <w:r>
        <w:rPr>
          <w:rStyle w:val="FootnoteAnchor"/>
          <w:rtl w:val="true"/>
        </w:rPr>
        <w:footnoteReference w:id="1360"/>
      </w:r>
      <w:r>
        <w:rPr>
          <w:rFonts w:ascii="IRNazanin" w:hAnsi="IRNazanin" w:eastAsia="IRNazanin"/>
          <w:color w:val="111111"/>
          <w:sz w:val="28"/>
          <w:sz w:val="28"/>
          <w:szCs w:val="28"/>
          <w:rtl w:val="true"/>
          <w:lang w:bidi="fa-IR"/>
        </w:rPr>
        <w:t xml:space="preserve">، إنتهی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ظهر لک ممّا مرّ من کلامه رحمه‌الله ، و ما لم یمرّ ممّا لم ننقله، أنّه مائل أو ذاهب إلی کون الأصل المذکور و مصنّفه موثوقاً بهما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یظهر ذلک من الآقا البهبهانیّ رحمه‌الله فی تعلیقاته، و فی رسالته فی العصیر ذلک </w:t>
      </w:r>
      <w:r>
        <w:rPr>
          <w:rStyle w:val="FootnoteAnchor"/>
          <w:rtl w:val="true"/>
        </w:rPr>
        <w:footnoteReference w:id="1362"/>
      </w:r>
      <w:r>
        <w:rPr>
          <w:rFonts w:ascii="IRNazanin" w:hAnsi="IRNazanin" w:eastAsia="IRNazanin"/>
          <w:color w:val="111111"/>
          <w:sz w:val="28"/>
          <w:sz w:val="28"/>
          <w:szCs w:val="28"/>
          <w:rtl w:val="true"/>
          <w:lang w:bidi="fa-IR"/>
        </w:rPr>
        <w:t xml:space="preserve">، حتّی قال فی الأوّل فی زید الزرّاد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یخفی أنّ الظاهر من رجال النجاشی أیضا ممّا ذکره هنا و ما ذکره فی خالد و فی زید النرسیّ صحّة کتبهم و أنّ النسبة غلط سیّما ما ذکره فی زید النرسیّ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 جماعة ؛ و کذا الظاهر من الشیخ فی التراجم الثلاث سیّما ممّا ذکره هنا،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ناهیک لصحّتها أنّ غضائریّ نسب إبن بابویه إلی الغلط ، و مضی فی الفوائد ما یشید أقوالهم و عدم طعنهم فیهم، و کذا عدم طعن إبن الولید و تلمیذه و عدم تأمّل واحد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أنفسهم </w:t>
      </w:r>
      <w:r>
        <w:rPr>
          <w:rFonts w:eastAsia="IRNazanin" w:cs="IRNazanin"/>
          <w:color w:val="111111"/>
          <w:sz w:val="28"/>
          <w:szCs w:val="28"/>
          <w:rtl w:val="true"/>
          <w:lang w:bidi="fa-IR"/>
        </w:rPr>
        <w:t xml:space="preserve">] </w:t>
      </w:r>
      <w:r>
        <w:rPr>
          <w:rStyle w:val="FootnoteAnchor"/>
          <w:rtl w:val="true"/>
        </w:rPr>
        <w:footnoteReference w:id="1363"/>
      </w:r>
      <w:r>
        <w:rPr>
          <w:rFonts w:ascii="IRNazanin" w:hAnsi="IRNazanin" w:eastAsia="IRNazanin"/>
          <w:color w:val="111111"/>
          <w:sz w:val="28"/>
          <w:sz w:val="28"/>
          <w:szCs w:val="28"/>
          <w:rtl w:val="true"/>
          <w:lang w:bidi="fa-IR"/>
        </w:rPr>
        <w:t xml:space="preserve">فی المقام شاهد قویّ علی قوّة قولهم والإعتماد علیهم و وثاقتهم ، مضافاً إلی أنّ الراوی إبن أبی عمیر ، إلی غیر ذلک ممّا مرّ فی الفوائد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قوله ـ أی الشیخ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إبن أبی عمیر </w:t>
      </w:r>
      <w:r>
        <w:rPr>
          <w:rStyle w:val="FootnoteAnchor"/>
          <w:rtl w:val="true"/>
        </w:rPr>
        <w:footnoteReference w:id="1364"/>
      </w:r>
      <w:r>
        <w:rPr>
          <w:rFonts w:ascii="IRNazanin" w:hAnsi="IRNazanin" w:eastAsia="IRNazanin"/>
          <w:color w:val="111111"/>
          <w:sz w:val="28"/>
          <w:sz w:val="28"/>
          <w:szCs w:val="28"/>
          <w:rtl w:val="true"/>
          <w:lang w:bidi="fa-IR"/>
        </w:rPr>
        <w:t xml:space="preserve">، فیه بعد التخطئة لعلّه یشیر إلی وثاقة النرسیّ لما ذکره فی العدّة </w:t>
      </w:r>
      <w:r>
        <w:rPr>
          <w:rStyle w:val="FootnoteAnchor"/>
          <w:rtl w:val="true"/>
        </w:rPr>
        <w:footnoteReference w:id="1365"/>
      </w:r>
      <w:r>
        <w:rPr>
          <w:rFonts w:ascii="IRNazanin" w:hAnsi="IRNazanin" w:eastAsia="IRNazanin"/>
          <w:color w:val="111111"/>
          <w:sz w:val="28"/>
          <w:sz w:val="28"/>
          <w:szCs w:val="28"/>
          <w:rtl w:val="true"/>
          <w:lang w:bidi="fa-IR"/>
        </w:rPr>
        <w:t xml:space="preserve">من أنّه لا یروی إلاّ عن ثقة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w:t>
      </w:r>
      <w:bookmarkStart w:id="765" w:name="pg3696_43818"/>
    </w:p>
    <w:p>
      <w:pPr>
        <w:pStyle w:val="Heading6"/>
        <w:numPr>
          <w:ilvl w:val="5"/>
          <w:numId w:val="1"/>
        </w:numPr>
        <w:rPr/>
      </w:pPr>
      <w:bookmarkStart w:id="766" w:name="__RefHeading___Toc488821_2281741623"/>
      <w:bookmarkStart w:id="767" w:name="_Toc304"/>
      <w:bookmarkEnd w:id="765"/>
      <w:bookmarkEnd w:id="766"/>
      <w:r>
        <w:rPr>
          <w:rtl w:val="true"/>
        </w:rPr>
        <w:t>تذنیبان</w:t>
      </w:r>
      <w:bookmarkEnd w:id="767"/>
    </w:p>
    <w:p>
      <w:pPr>
        <w:pStyle w:val="BookText"/>
        <w:rPr/>
      </w:pPr>
      <w:r>
        <w:rPr>
          <w:rFonts w:ascii="IRNazanin" w:hAnsi="IRNazanin" w:eastAsia="IRNazanin"/>
          <w:color w:val="111111"/>
          <w:sz w:val="28"/>
          <w:sz w:val="28"/>
          <w:szCs w:val="28"/>
          <w:rtl w:val="true"/>
          <w:lang w:bidi="fa-IR"/>
        </w:rPr>
        <w:t>تذنیبان</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العلاّمة رحمه‌الله فی الخلاصة بعد أن نقل عبارة الشیخ فی الفهرست وعبارة إبن الغضائریّ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قاله الشیخ عن إبن بابویه و إبن الغضائریّ، لایدلّ علی طعن فی الرجلین فإن کان توقّف ففی روایة الکتابین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إبن الغضائریّ، یسهو من القلم، والصحیح إبن الولید ویمکن توجیهه بأنّ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إبن الغضائریّ، عطف علی الشیخ، فإنّ إبن الغضائریّ أیضا نسب ذلک إلی إبن بابویه ثمّ غلط و إن کان المناسب أن یقول هکذا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قاله الشیخ و إبن الغضائریّ عن إبن بابویه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لم أجد لأصحابنا تعدیلاً لهما و لا طعناً فیهما توقّفت عن قبول روایتهما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حال الکتابین و حال روایتهما واحدة، فَلِمَ فرّق الکلام فی الکتابین و فی روایتهما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مولانا الأسترآبادیّ رحمه‌الله فی ترجمة النرسی بعد أن حکی عن رجال النجاشی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أصل لم یروه محمّد بن علیّ بن بابویه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لم‌یروه محمّد بن الحسن بن‌الولید 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وضعه محمّد بن موسی السمان الهمدانیّ </w:t>
      </w:r>
      <w:r>
        <w:rPr>
          <w:rStyle w:val="FootnoteAnchor"/>
          <w:rtl w:val="true"/>
        </w:rPr>
        <w:footnoteReference w:id="1369"/>
      </w:r>
      <w:r>
        <w:rPr>
          <w:rFonts w:ascii="IRNazanin" w:hAnsi="IRNazanin" w:eastAsia="IRNazanin"/>
          <w:color w:val="111111"/>
          <w:sz w:val="28"/>
          <w:sz w:val="28"/>
          <w:szCs w:val="28"/>
          <w:rtl w:val="true"/>
          <w:lang w:bidi="fa-IR"/>
        </w:rPr>
        <w:t>، إنتهی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ینسب ذلک إلی الفهرست و لم ینسبه، والأمر فی کلّ ذلک سهل </w:t>
      </w:r>
      <w:r>
        <w:rPr>
          <w:rFonts w:eastAsia="IRNazanin" w:cs="IRNazanin"/>
          <w:color w:val="111111"/>
          <w:sz w:val="28"/>
          <w:szCs w:val="28"/>
          <w:rtl w:val="true"/>
          <w:lang w:bidi="fa-IR"/>
        </w:rPr>
        <w:t xml:space="preserve">. </w:t>
      </w:r>
      <w:bookmarkStart w:id="768" w:name="pg3696_43819"/>
    </w:p>
    <w:p>
      <w:pPr>
        <w:pStyle w:val="Heading6"/>
        <w:numPr>
          <w:ilvl w:val="5"/>
          <w:numId w:val="1"/>
        </w:numPr>
        <w:rPr/>
      </w:pPr>
      <w:bookmarkStart w:id="769" w:name="__RefHeading___Toc488823_2281741623"/>
      <w:bookmarkStart w:id="770" w:name="_Toc305"/>
      <w:bookmarkEnd w:id="768"/>
      <w:bookmarkEnd w:id="769"/>
      <w:r>
        <w:rPr>
          <w:rtl w:val="true"/>
        </w:rPr>
        <w:t>رأی المؤلّف</w:t>
      </w:r>
      <w:bookmarkEnd w:id="770"/>
    </w:p>
    <w:p>
      <w:pPr>
        <w:pStyle w:val="BookText"/>
        <w:rPr/>
      </w:pPr>
      <w:r>
        <w:rPr>
          <w:rFonts w:ascii="IRNazanin" w:hAnsi="IRNazanin" w:eastAsia="IRNazanin"/>
          <w:color w:val="111111"/>
          <w:sz w:val="28"/>
          <w:sz w:val="28"/>
          <w:szCs w:val="28"/>
          <w:rtl w:val="true"/>
          <w:lang w:bidi="fa-IR"/>
        </w:rPr>
        <w:t xml:space="preserve">فتبیّن من ذلک کلّه نوع إعتماد علی زید النرسی و کتابه، لکن لیس بمثابة یمکن تمام الإعتماد علیه، نعم فی المقام لما انضمّ الخبر المذکور إلی موثّقتی عمّار و نحوهما و ما تقدّم من الأدلّة والمؤیّدات یمکن أن یقال بحرمة العصیر الزبیبی بعد النشیش والغلیان، واللّه العالم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Heading5"/>
        <w:numPr>
          <w:ilvl w:val="4"/>
          <w:numId w:val="1"/>
        </w:numPr>
        <w:rPr/>
      </w:pPr>
      <w:bookmarkStart w:id="771" w:name="__RefHeading___Toc488825_2281741623"/>
      <w:bookmarkStart w:id="772" w:name="_Toc306"/>
      <w:bookmarkEnd w:id="771"/>
      <w:r>
        <w:rPr>
          <w:rtl w:val="true"/>
        </w:rPr>
        <w:t>المقام الثانی</w:t>
      </w:r>
      <w:r>
        <w:rPr>
          <w:rtl w:val="true"/>
        </w:rPr>
        <w:t xml:space="preserve">: </w:t>
      </w:r>
      <w:r>
        <w:rPr>
          <w:rtl w:val="true"/>
        </w:rPr>
        <w:t>فی طهارة عصیر الزبیب بعد الغلیان</w:t>
      </w:r>
      <w:bookmarkEnd w:id="772"/>
    </w:p>
    <w:p>
      <w:pPr>
        <w:pStyle w:val="Heading6"/>
        <w:numPr>
          <w:ilvl w:val="5"/>
          <w:numId w:val="1"/>
        </w:numPr>
        <w:rPr/>
      </w:pPr>
      <w:bookmarkStart w:id="773" w:name="__RefHeading___Toc488827_2281741623"/>
      <w:bookmarkStart w:id="774" w:name="_Toc307"/>
      <w:bookmarkEnd w:id="773"/>
      <w:r>
        <w:rPr>
          <w:rtl w:val="true"/>
        </w:rPr>
        <w:t>اشارة</w:t>
      </w:r>
      <w:bookmarkEnd w:id="774"/>
    </w:p>
    <w:p>
      <w:pPr>
        <w:pStyle w:val="BookText"/>
        <w:rPr/>
      </w:pPr>
      <w:r>
        <w:rPr>
          <w:rFonts w:ascii="IRNazanin" w:hAnsi="IRNazanin" w:eastAsia="IRNazanin"/>
          <w:color w:val="111111"/>
          <w:sz w:val="28"/>
          <w:sz w:val="28"/>
          <w:szCs w:val="28"/>
          <w:rtl w:val="true"/>
          <w:lang w:bidi="fa-IR"/>
        </w:rPr>
        <w:t>قبل ذهاب الثلثین منه و نجاسته</w:t>
      </w:r>
    </w:p>
    <w:p>
      <w:pPr>
        <w:pStyle w:val="BookText"/>
        <w:rPr/>
      </w:pPr>
      <w:r>
        <w:rPr>
          <w:rFonts w:ascii="IRNazanin" w:hAnsi="IRNazanin" w:eastAsia="IRNazanin"/>
          <w:color w:val="111111"/>
          <w:sz w:val="28"/>
          <w:sz w:val="28"/>
          <w:szCs w:val="28"/>
          <w:rtl w:val="true"/>
          <w:lang w:bidi="fa-IR"/>
        </w:rPr>
        <w:t xml:space="preserve">أمّا إذا قلنا بحلّیته حینئذ، فلا کلام فی طهارته، و أمّا إذا قلنا بحرمته فقد یظهر من جملة عدم الریب والخلاف فی طهارته أیضا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الروضة، فی کتاب الأطعمة و الأشربة ، بعد أن قال و لا یحرم العصیر من الزبیب و إن غلی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بعض الأصحاب إلی تحریمه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النجاسة، فلا شبهة فی نفیها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مجمع الفائدة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والمشهور الحلّ، والظاهر الطهارة، و لا ینبغی النزاع فی ذلک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 xml:space="preserve">. </w:t>
      </w:r>
      <w:bookmarkStart w:id="775" w:name="pg3696_43820"/>
    </w:p>
    <w:p>
      <w:pPr>
        <w:pStyle w:val="BookText"/>
        <w:rPr/>
      </w:pPr>
      <w:bookmarkEnd w:id="775"/>
      <w:r>
        <w:rPr>
          <w:rFonts w:ascii="IRNazanin" w:hAnsi="IRNazanin" w:eastAsia="IRNazanin"/>
          <w:color w:val="111111"/>
          <w:sz w:val="28"/>
          <w:sz w:val="28"/>
          <w:szCs w:val="28"/>
          <w:rtl w:val="true"/>
          <w:lang w:bidi="fa-IR"/>
        </w:rPr>
        <w:t xml:space="preserve">و قال فی الذخیرة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 یلحق به عصیر الزبیب إذا غلی فی النجاسة ؟ لا أعلم بذلک قائلاً </w:t>
      </w:r>
      <w:r>
        <w:rPr>
          <w:rStyle w:val="FootnoteAnchor"/>
          <w:rtl w:val="true"/>
        </w:rPr>
        <w:footnoteReference w:id="1372"/>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عصیر الزبیب، فالظاهر أنّه لا خلاف فی طهارته و عدم نجاسته بالغلیان، فإنّی لم أقف علی قائل بالنجاسة هنا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76" w:name="__RefHeading___Toc488829_2281741623"/>
      <w:bookmarkStart w:id="777" w:name="_Toc308"/>
      <w:bookmarkEnd w:id="776"/>
      <w:r>
        <w:rPr>
          <w:rtl w:val="true"/>
        </w:rPr>
        <w:t>تحقیق المؤلّف فی المقام</w:t>
      </w:r>
      <w:bookmarkEnd w:id="777"/>
    </w:p>
    <w:p>
      <w:pPr>
        <w:pStyle w:val="BookText"/>
        <w:rPr/>
      </w:pPr>
      <w:r>
        <w:rPr>
          <w:rFonts w:ascii="IRNazanin" w:hAnsi="IRNazanin" w:eastAsia="IRNazanin"/>
          <w:color w:val="111111"/>
          <w:sz w:val="28"/>
          <w:sz w:val="28"/>
          <w:szCs w:val="28"/>
          <w:rtl w:val="true"/>
          <w:lang w:bidi="fa-IR"/>
        </w:rPr>
        <w:t xml:space="preserve">و قال فی البحار بعد نقل ما فی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الفرق بین القول بالتحریم والنجاسة فی هذا المقام، أی فی عصیر الزبیب، لعدم النصّ علی نجاسة العصیر مطلقاً، و عدم القول بها إلاّ من جماعة معدودین، و هم لایقولون هاهنا لا بالتحریم و لا بالنجاسة، فیکون عدم النجاسة هاهنا إتّفاقیا </w:t>
      </w:r>
      <w:r>
        <w:rPr>
          <w:rStyle w:val="FootnoteAnchor"/>
          <w:rtl w:val="true"/>
        </w:rPr>
        <w:footnoteReference w:id="1374"/>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فی عبارات الشهید الثانی رحمه‌الله فی الروض والمسالک فی مواضع منه ما یوهم الخلاف فیه، لکنّ المتأمّل فی کلماته یفهم أنّ مراده الخلاف فی الحلّیة والحرمة، لا فی الطهارة والنجاسة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حکی فی مجمع الفائدة عن الذکری أنّه یظهر منه القول بالنجاسة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والّذی یظهر من الشهید رحمه‌الله فی الذکری إنّما هو حکایة قول فی العصیر، و ظاهره العنبی لا الزبیبی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778" w:name="pg3696_43821"/>
    </w:p>
    <w:p>
      <w:pPr>
        <w:pStyle w:val="BookText"/>
        <w:rPr/>
      </w:pPr>
      <w:bookmarkEnd w:id="778"/>
      <w:r>
        <w:rPr>
          <w:rFonts w:ascii="IRNazanin" w:hAnsi="IRNazanin" w:eastAsia="IRNazanin"/>
          <w:color w:val="111111"/>
          <w:sz w:val="28"/>
          <w:sz w:val="28"/>
          <w:szCs w:val="28"/>
          <w:rtl w:val="true"/>
          <w:lang w:bidi="fa-IR"/>
        </w:rPr>
        <w:t xml:space="preserve">و حکاه فی المناهل عن جدّه </w:t>
      </w:r>
      <w:r>
        <w:rPr>
          <w:rStyle w:val="FootnoteAnchor"/>
          <w:rtl w:val="true"/>
        </w:rPr>
        <w:footnoteReference w:id="1378"/>
      </w:r>
      <w:r>
        <w:rPr>
          <w:rFonts w:ascii="IRNazanin" w:hAnsi="IRNazanin" w:eastAsia="IRNazanin"/>
          <w:color w:val="111111"/>
          <w:sz w:val="28"/>
          <w:sz w:val="28"/>
          <w:szCs w:val="28"/>
          <w:rtl w:val="true"/>
          <w:lang w:bidi="fa-IR"/>
        </w:rPr>
        <w:t xml:space="preserve">، کما لعلّه هو الظاهر من کلمات المولی البهبهانیّ رحمه‌الله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أجد علی التحقیق قولاً صریحا بالنجاسة، لکن فی المنظومة للسیّد بحرالعلوم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والحکم بالتنجیس فی العصیر بالعنبیّ خصّ فی المشهور</w:t>
      </w:r>
    </w:p>
    <w:p>
      <w:pPr>
        <w:pStyle w:val="BookText"/>
        <w:rPr/>
      </w:pPr>
      <w:r>
        <w:rPr>
          <w:rFonts w:ascii="IRNazanin" w:hAnsi="IRNazanin" w:eastAsia="IRNazanin"/>
          <w:color w:val="111111"/>
          <w:sz w:val="28"/>
          <w:sz w:val="28"/>
          <w:szCs w:val="28"/>
          <w:rtl w:val="true"/>
          <w:lang w:bidi="fa-IR"/>
        </w:rPr>
        <w:t xml:space="preserve">و فی عصیر التمر والزبیب قول به و لیس بالمرغوب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والتحقیق أن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کانت الحرمة لأجل أنّ حقیقة العنب و حقیقة الزبیب واحدة، فالقول بالنجاسة علی القول بها فی عصیر العنب لا یخلو عن قوّة، و إن کانت الحرمة لأجل الأخبار المشار إلیها فی عصیر الزبیب، کان القول بالطهارة أقوی، لعدم دلالتها علی النجاسة أصلاً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Heading5"/>
        <w:numPr>
          <w:ilvl w:val="4"/>
          <w:numId w:val="1"/>
        </w:numPr>
        <w:rPr/>
      </w:pPr>
      <w:bookmarkStart w:id="779" w:name="__RefHeading___Toc488831_2281741623"/>
      <w:bookmarkStart w:id="780" w:name="_Toc309"/>
      <w:bookmarkEnd w:id="779"/>
      <w:r>
        <w:rPr>
          <w:rtl w:val="true"/>
        </w:rPr>
        <w:t>المقام الثالث</w:t>
      </w:r>
      <w:r>
        <w:rPr>
          <w:rtl w:val="true"/>
        </w:rPr>
        <w:t xml:space="preserve">: </w:t>
      </w:r>
      <w:r>
        <w:rPr>
          <w:rtl w:val="true"/>
        </w:rPr>
        <w:t>فی أنّ المطبوخ من الزبیب مع غیره</w:t>
      </w:r>
      <w:bookmarkEnd w:id="780"/>
    </w:p>
    <w:p>
      <w:pPr>
        <w:pStyle w:val="Heading6"/>
        <w:numPr>
          <w:ilvl w:val="5"/>
          <w:numId w:val="1"/>
        </w:numPr>
        <w:rPr/>
      </w:pPr>
      <w:bookmarkStart w:id="781" w:name="__RefHeading___Toc488833_2281741623"/>
      <w:bookmarkStart w:id="782" w:name="_Toc310"/>
      <w:bookmarkEnd w:id="781"/>
      <w:r>
        <w:rPr>
          <w:rtl w:val="true"/>
        </w:rPr>
        <w:t>اشارة</w:t>
      </w:r>
      <w:bookmarkEnd w:id="782"/>
    </w:p>
    <w:p>
      <w:pPr>
        <w:pStyle w:val="BookText"/>
        <w:rPr/>
      </w:pPr>
      <w:r>
        <w:rPr>
          <w:rFonts w:ascii="IRNazanin" w:hAnsi="IRNazanin" w:eastAsia="IRNazanin"/>
          <w:color w:val="111111"/>
          <w:sz w:val="28"/>
          <w:sz w:val="28"/>
          <w:szCs w:val="28"/>
          <w:rtl w:val="true"/>
          <w:lang w:bidi="fa-IR"/>
        </w:rPr>
        <w:t>هل یکون حکمه حکم عصیره أم لا ؟</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 من تعرّض له إلاّ ما وجدناه من‌العلاّمة رحمه‌الله فی جواب مسائل مهنّا بن سنان، علی ما حکی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الزبیب فالأقرب إباحته مع إنضمامه إلی غیره ، </w:t>
      </w:r>
    </w:p>
    <w:p>
      <w:pPr>
        <w:pStyle w:val="BookText"/>
        <w:rPr/>
      </w:pPr>
      <w:r>
        <w:rPr>
          <w:rFonts w:ascii="IRNazanin" w:hAnsi="IRNazanin" w:eastAsia="IRNazanin"/>
          <w:color w:val="111111"/>
          <w:sz w:val="28"/>
          <w:sz w:val="28"/>
          <w:szCs w:val="28"/>
          <w:rtl w:val="true"/>
          <w:lang w:bidi="fa-IR"/>
        </w:rPr>
        <w:t xml:space="preserve">لأنّ الناس فی جمیع الأزمان والأصقاع یستعملونه من غیر إنکار أحد منهم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مقتضی هذا الدلیل الراجع إلی السیرة القطع بالفتوی به، و قد یستفاد ذلک من الدروس حیث قال فی عبارته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فیحلّ طبیخ الزبیب علی الأصحّ </w:t>
      </w:r>
      <w:r>
        <w:rPr>
          <w:rStyle w:val="FootnoteAnchor"/>
          <w:rtl w:val="true"/>
        </w:rPr>
        <w:footnoteReference w:id="1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الظاهر منه عصیر الزبیب بعد ملاحظة تمام عبارته، إلاّ أنّه یدلّ علی ما نحن فیه بالفحوی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من قارب عصرنا ألحق به الزبیب المطبوخ فی الطعام، فحکم بحرمته لأنّه یغلی ماؤه فی جوفه، و تابعه بعض من لم یشمّ رائحة العلم والفقه من المعاصرین، و هو وهن علی وهن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یستدلّ له بخبر النرسی، و قد عرفت حاله مع أنّه لا یدلّ علی مدّعاهم، إذ ظاهره أنّه إنّما یحرم إذا أدّی الحلاوة إلی الماء حتّی صار بمنزلة العصیر، ومعلوم أنّ ما یوضع من الزبیب تحت الارز فی القدور لیس بهذه المثابة، و لا یحلو الماء بسببه کحلاوة العصیر، و کذا ما یلقی فی الشورباجات قلّما یصیر بهذه المنزلة، نعم ما یدق ویدخل فیها قد یکون قریباً من ذلک و کأنّه الزبیبیّة، و قد مرّت الروایة بحلّها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بالجملة الحکم بالحرمة فی جمیع ذلک مشکل ، و إن کان الإحتیاط فی بعضها أولی </w:t>
      </w:r>
      <w:r>
        <w:rPr>
          <w:rStyle w:val="FootnoteAnchor"/>
          <w:rtl w:val="true"/>
        </w:rPr>
        <w:footnoteReference w:id="1383"/>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مراده بما ذکر فی خبر النرسی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قد عرفت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تقدّم منه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أمّا روایة النرسی فهی و إن دلّت علی تحریم ماء الزبیب بعد الغلیان </w:t>
      </w:r>
    </w:p>
    <w:p>
      <w:pPr>
        <w:pStyle w:val="BookText"/>
        <w:rPr/>
      </w:pPr>
      <w:r>
        <w:rPr>
          <w:rFonts w:ascii="IRNazanin" w:hAnsi="IRNazanin" w:eastAsia="IRNazanin"/>
          <w:color w:val="111111"/>
          <w:sz w:val="28"/>
          <w:sz w:val="28"/>
          <w:szCs w:val="28"/>
          <w:rtl w:val="true"/>
          <w:lang w:bidi="fa-IR"/>
        </w:rPr>
        <w:t xml:space="preserve">أو النشیش، لکن إثبات مثل هذا الحکم بمثل هذه الروایة مشکل </w:t>
      </w:r>
      <w:r>
        <w:rPr>
          <w:rFonts w:eastAsia="IRNazanin" w:cs="IRNazanin"/>
          <w:color w:val="111111"/>
          <w:sz w:val="28"/>
          <w:szCs w:val="28"/>
          <w:rtl w:val="true"/>
          <w:lang w:bidi="fa-IR"/>
        </w:rPr>
        <w:t xml:space="preserve">»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قلنا بعدم تأثیر الغلیان فی جوف حبّة العنب کما تقدّم البحث فیه فالأمر ظاهر، و أمّا إذا قلنا بتأثیره فیها فقد یقال هنا بالعدم، لأنّ حبّ الزبیب أبعد عن الغلیان فلا یعلم غلیان فیه أصلاً، و طبخه فی الماء المغلی لا یوجب غلیان فیه، بل إنّما ینطبخ بذلک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خبر زید النرسی لا دلالة فیه علی حرمته لو لم یدل علی حلّیته إذا لم یؤدّی الحلاوة إلی الماء ؛ ثمّ إنّه لو طبخ حتّی ذهب عن ماء القدر ما ذهب من ثلثیه، فیمکن أن یقال بذهاب ثلثی ما استخرج من مائه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المحشوّ والمطبوخ منه مع غیره و لا سیّما المطبوخ منه فی الأجواف البعیدة من إختلاطه بالماء و خروج طعمه إلی الماء حلال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یدلّ علیه مضافاً إلی ما مرّ، الخبران المرویّان فی باب الحلوا من أبواب الأطعمة من الکافی، عن عبدالأعلی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أکلت مع أبی عبداللّه علیه‌السلام یوماً فأتی بدجاجة محشوّة خبیصاً ففککناها و أکلناها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والخبیصة کما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طعام معمول من التمر والزبیب و السمن، فعیل بمعنی مفعول ، و منه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ربما أطعمنا أبوعبداللّه علیه‌السلام الفرانی والأخبصه </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الصحیح المرویّ فی الکافی، فی باب الطبیخ من تلک الأبواب، عن أبی بصیر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أبوعبداللّه علیه‌السلام یعجبه الزبیبیّة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أخبار القدر المغلی إذا وقع فیه قطرة دم و نحوه، نوع دلالة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مضافاً إلی ما تقدّم فی حبّ العنب، فإنّ ما دلّ علی الحرمة لا یشمل مثل ذلک، و أنّ الغلیان غیر معلوم فیه أو معلوم العدم علی الوجه المصرّح فی معناه من صیرورة الأسفل أعلی فی الأخبار و کلمات الأصحاب، و من ذلک یظهر قوّة الجواز فی الزبیب المغلی بالدهن، بل فی خبر الخبیص دلالة علیه، فإنّ الخبیص فی الأصل هذا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المخبصة ملعقه یقلب الخبیص بها فی الطبخة </w:t>
      </w:r>
      <w:r>
        <w:rPr>
          <w:rStyle w:val="FootnoteAnchor"/>
          <w:rtl w:val="true"/>
        </w:rPr>
        <w:footnoteReference w:id="1388"/>
      </w:r>
      <w:r>
        <w:rPr>
          <w:rFonts w:ascii="IRNazanin" w:hAnsi="IRNazanin" w:eastAsia="IRNazanin"/>
          <w:color w:val="111111"/>
          <w:sz w:val="28"/>
          <w:sz w:val="28"/>
          <w:szCs w:val="28"/>
          <w:rtl w:val="true"/>
          <w:lang w:bidi="fa-IR"/>
        </w:rPr>
        <w:t xml:space="preserve">؛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شرح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مخبصة بکسر أوّل بر وزن مکنسة، چمچه است که بر گردانیده می شود به او خبیص در دیگ حلوا پزی که آن را هرکاره می‌گویند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وأوضح منه فی الحلّیة الّذی یجعل جوف المطبوخ من الارز بحیث ینطبخ ببخاره من دون غلیان فیه کما هو المتعارف، و قد قامت السیرة علی إستعماله وأکله فی جمیع الامصار، بل هو ممّا لا إشکال فیه أصلاً، و لا أحد خالف فیه أبداً، بل و لا للإحتیاط فیه سبیلاً </w:t>
      </w:r>
      <w:r>
        <w:rPr>
          <w:rFonts w:eastAsia="IRNazanin" w:cs="IRNazanin"/>
          <w:color w:val="111111"/>
          <w:sz w:val="28"/>
          <w:szCs w:val="28"/>
          <w:rtl w:val="true"/>
          <w:lang w:bidi="fa-IR"/>
        </w:rPr>
        <w:t xml:space="preserve">. </w:t>
      </w:r>
      <w:bookmarkStart w:id="783" w:name="pg3696_43825"/>
    </w:p>
    <w:p>
      <w:pPr>
        <w:pStyle w:val="Heading6"/>
        <w:numPr>
          <w:ilvl w:val="5"/>
          <w:numId w:val="1"/>
        </w:numPr>
        <w:rPr/>
      </w:pPr>
      <w:bookmarkStart w:id="784" w:name="__RefHeading___Toc488835_2281741623"/>
      <w:bookmarkStart w:id="785" w:name="_Toc311"/>
      <w:bookmarkEnd w:id="783"/>
      <w:bookmarkEnd w:id="784"/>
      <w:r>
        <w:rPr>
          <w:rtl w:val="true"/>
        </w:rPr>
        <w:t>رأی المؤلّف فی المقام</w:t>
      </w:r>
      <w:bookmarkEnd w:id="785"/>
    </w:p>
    <w:p>
      <w:pPr>
        <w:pStyle w:val="BookText"/>
        <w:rPr/>
      </w:pPr>
      <w:r>
        <w:rPr>
          <w:rFonts w:ascii="IRNazanin" w:hAnsi="IRNazanin" w:eastAsia="IRNazanin"/>
          <w:color w:val="111111"/>
          <w:sz w:val="28"/>
          <w:sz w:val="28"/>
          <w:szCs w:val="28"/>
          <w:rtl w:val="true"/>
          <w:lang w:bidi="fa-IR"/>
        </w:rPr>
        <w:t xml:space="preserve">و أمّا المخلوط مع غیره فی الشورباجات، فإذا خرجت منه الحلاوة إلی الماء بحیث أضاف الماء الخارج بها و غلی ذلک الماء المضاف ففیه إشکال ، و إلاّ فلا مانع منه، فانّ غلیان الماء لم یعلم کونه موجباً لغلیان الماء فی جوف الحبات أصلاً، بل یمکن منع الغلیان فیه خصوصاً مع کون الغلیان بمعنی القلب و صیرورة الأسفل أعلی ، و لا سیّما إذا لم نقل بالحرمة فی حبات العنب ، و لکن الإحتیاط فی مثله من العنب، بل و الزبیب إذا غلی فی الماء التجنب عنه، و الأولی مراعاته و إن کان الأقوی و الأظهر انّه لیس بحرام، واللّه العالم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6" w:name="pg3696_43828"/>
      <w:bookmarkStart w:id="787" w:name="pg3696_43828"/>
      <w:bookmarkEnd w:id="787"/>
    </w:p>
    <w:p>
      <w:pPr>
        <w:pStyle w:val="Heading4"/>
        <w:numPr>
          <w:ilvl w:val="3"/>
          <w:numId w:val="1"/>
        </w:numPr>
        <w:rPr/>
      </w:pPr>
      <w:bookmarkStart w:id="788" w:name="pg3696_43828"/>
      <w:bookmarkStart w:id="789" w:name="__RefHeading___Toc488837_2281741623"/>
      <w:bookmarkStart w:id="790" w:name="_Toc312"/>
      <w:bookmarkEnd w:id="788"/>
      <w:bookmarkEnd w:id="789"/>
      <w:r>
        <w:rPr>
          <w:rtl w:val="true"/>
        </w:rPr>
        <w:t>المقصد الثالث</w:t>
      </w:r>
      <w:r>
        <w:rPr>
          <w:rtl w:val="true"/>
        </w:rPr>
        <w:t xml:space="preserve">: </w:t>
      </w:r>
      <w:r>
        <w:rPr>
          <w:rtl w:val="true"/>
        </w:rPr>
        <w:t>فی العصیر التمری</w:t>
      </w:r>
      <w:bookmarkEnd w:id="790"/>
    </w:p>
    <w:p>
      <w:pPr>
        <w:pStyle w:val="Heading5"/>
        <w:numPr>
          <w:ilvl w:val="4"/>
          <w:numId w:val="1"/>
        </w:numPr>
        <w:rPr/>
      </w:pPr>
      <w:bookmarkStart w:id="791" w:name="__RefHeading___Toc488839_2281741623"/>
      <w:bookmarkStart w:id="792" w:name="_Toc313"/>
      <w:bookmarkEnd w:id="791"/>
      <w:r>
        <w:rPr>
          <w:rtl w:val="true"/>
        </w:rPr>
        <w:t>اشارة</w:t>
      </w:r>
      <w:bookmarkEnd w:id="792"/>
    </w:p>
    <w:p>
      <w:pPr>
        <w:pStyle w:val="BookText"/>
        <w:rPr/>
      </w:pPr>
      <w:r>
        <w:rPr>
          <w:rFonts w:ascii="IRNazanin" w:hAnsi="IRNazanin" w:eastAsia="IRNazanin"/>
          <w:color w:val="111111"/>
          <w:sz w:val="28"/>
          <w:sz w:val="28"/>
          <w:szCs w:val="28"/>
          <w:rtl w:val="true"/>
          <w:lang w:bidi="fa-IR"/>
        </w:rPr>
        <w:t xml:space="preserve">و تحقیق الحال فیه أیضاً فی مقامات </w:t>
      </w:r>
      <w:r>
        <w:rPr>
          <w:rFonts w:eastAsia="IRNazanin" w:cs="IRNazanin"/>
          <w:color w:val="111111"/>
          <w:sz w:val="28"/>
          <w:szCs w:val="28"/>
          <w:rtl w:val="true"/>
          <w:lang w:bidi="fa-IR"/>
        </w:rPr>
        <w:t>:</w:t>
      </w:r>
    </w:p>
    <w:p>
      <w:pPr>
        <w:pStyle w:val="Heading5"/>
        <w:numPr>
          <w:ilvl w:val="4"/>
          <w:numId w:val="1"/>
        </w:numPr>
        <w:rPr/>
      </w:pPr>
      <w:bookmarkStart w:id="793" w:name="__RefHeading___Toc488841_2281741623"/>
      <w:bookmarkStart w:id="794" w:name="_Toc314"/>
      <w:bookmarkEnd w:id="793"/>
      <w:r>
        <w:rPr>
          <w:rtl w:val="true"/>
        </w:rPr>
        <w:t>المقام الأوّل</w:t>
      </w:r>
      <w:r>
        <w:rPr>
          <w:rtl w:val="true"/>
        </w:rPr>
        <w:t xml:space="preserve">: </w:t>
      </w:r>
      <w:r>
        <w:rPr>
          <w:rtl w:val="true"/>
        </w:rPr>
        <w:t>فی حلّیته و حرمته بالغلیان و النشیش</w:t>
      </w:r>
      <w:bookmarkEnd w:id="794"/>
    </w:p>
    <w:p>
      <w:pPr>
        <w:pStyle w:val="Heading6"/>
        <w:numPr>
          <w:ilvl w:val="5"/>
          <w:numId w:val="1"/>
        </w:numPr>
        <w:rPr/>
      </w:pPr>
      <w:bookmarkStart w:id="795" w:name="__RefHeading___Toc488843_2281741623"/>
      <w:bookmarkStart w:id="796" w:name="_Toc315"/>
      <w:bookmarkEnd w:id="795"/>
      <w:r>
        <w:rPr>
          <w:rtl w:val="true"/>
        </w:rPr>
        <w:t>اشارة</w:t>
      </w:r>
      <w:bookmarkEnd w:id="796"/>
    </w:p>
    <w:p>
      <w:pPr>
        <w:pStyle w:val="BookText"/>
        <w:rPr/>
      </w:pPr>
      <w:r>
        <w:rPr>
          <w:rFonts w:ascii="IRNazanin" w:hAnsi="IRNazanin" w:eastAsia="IRNazanin"/>
          <w:color w:val="111111"/>
          <w:sz w:val="28"/>
          <w:sz w:val="28"/>
          <w:szCs w:val="28"/>
          <w:rtl w:val="true"/>
          <w:lang w:bidi="fa-IR"/>
        </w:rPr>
        <w:t xml:space="preserve">و هنا قولان أو أقوال </w:t>
      </w:r>
      <w:r>
        <w:rPr>
          <w:rFonts w:eastAsia="IRNazanin" w:cs="IRNazanin"/>
          <w:color w:val="111111"/>
          <w:sz w:val="28"/>
          <w:szCs w:val="28"/>
          <w:rtl w:val="true"/>
          <w:lang w:bidi="fa-IR"/>
        </w:rPr>
        <w:t>:</w:t>
      </w:r>
    </w:p>
    <w:p>
      <w:pPr>
        <w:pStyle w:val="Heading6"/>
        <w:numPr>
          <w:ilvl w:val="5"/>
          <w:numId w:val="1"/>
        </w:numPr>
        <w:rPr/>
      </w:pPr>
      <w:bookmarkStart w:id="797" w:name="__RefHeading___Toc488845_2281741623"/>
      <w:bookmarkStart w:id="798" w:name="_Toc316"/>
      <w:bookmarkEnd w:id="797"/>
      <w:r>
        <w:rPr>
          <w:rtl w:val="true"/>
        </w:rPr>
        <w:t xml:space="preserve">القول الأوّل </w:t>
      </w:r>
      <w:r>
        <w:rPr>
          <w:rtl w:val="true"/>
        </w:rPr>
        <w:t xml:space="preserve">: </w:t>
      </w:r>
      <w:r>
        <w:rPr>
          <w:rtl w:val="true"/>
        </w:rPr>
        <w:t>انّه حلال طاهر</w:t>
      </w:r>
      <w:bookmarkEnd w:id="798"/>
    </w:p>
    <w:p>
      <w:pPr>
        <w:pStyle w:val="Heading6"/>
        <w:numPr>
          <w:ilvl w:val="5"/>
          <w:numId w:val="1"/>
        </w:numPr>
        <w:rPr/>
      </w:pPr>
      <w:bookmarkStart w:id="799" w:name="__RefHeading___Toc488847_2281741623"/>
      <w:bookmarkStart w:id="800" w:name="_Toc317"/>
      <w:bookmarkEnd w:id="799"/>
      <w:r>
        <w:rPr>
          <w:rtl w:val="true"/>
        </w:rPr>
        <w:t>اشارة</w:t>
      </w:r>
      <w:bookmarkEnd w:id="800"/>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حلال طاهر، و هو المشهور المعروف، بل فی بعض الکلمات دعوی الإجماع علیه، و الأولی نقل جملة من عباراتهم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الشیخ رحمه‌الله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بأس بشرب النبیذ غیر المسکر، و هو أن ینقع التمر أو الزبیب ثمّ یشربه، و هو حلو قبل أن یتغیّر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أن یعمل الإنسان لغیره الأشربة من التمر و الزبیب والعسل و غیر ذلک، و یأخذ علیها الأجرة، و یسلمها إلیه قبل تغییرها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 xml:space="preserve">. </w:t>
      </w:r>
      <w:bookmarkStart w:id="801" w:name="pg3696_43829"/>
    </w:p>
    <w:p>
      <w:pPr>
        <w:pStyle w:val="Heading6"/>
        <w:numPr>
          <w:ilvl w:val="5"/>
          <w:numId w:val="1"/>
        </w:numPr>
        <w:rPr/>
      </w:pPr>
      <w:bookmarkStart w:id="802" w:name="__RefHeading___Toc488849_2281741623"/>
      <w:bookmarkStart w:id="803" w:name="_Toc318"/>
      <w:bookmarkEnd w:id="801"/>
      <w:bookmarkEnd w:id="802"/>
      <w:r>
        <w:rPr>
          <w:rtl w:val="true"/>
        </w:rPr>
        <w:t>کلام الأصحاب فیه</w:t>
      </w:r>
      <w:bookmarkEnd w:id="803"/>
    </w:p>
    <w:p>
      <w:pPr>
        <w:pStyle w:val="BookText"/>
        <w:rPr/>
      </w:pPr>
      <w:r>
        <w:rPr>
          <w:rFonts w:ascii="IRNazanin" w:hAnsi="IRNazanin" w:eastAsia="IRNazanin"/>
          <w:color w:val="111111"/>
          <w:sz w:val="28"/>
          <w:sz w:val="28"/>
          <w:szCs w:val="28"/>
          <w:rtl w:val="true"/>
          <w:lang w:bidi="fa-IR"/>
        </w:rPr>
        <w:t xml:space="preserve">و هذان الکلامان یقتضیان الحلّیة فی التمر و الزبیب و إن غلیا أو نشا ولم‌یذهب منهما ثلثاهما کسایر الأشربة غیر العصیرین، و کلاماه یقتضی تساوی العصیرین و سایر الأشربة، و سیأتی عبارة الشیخ فی التهذیب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إبن البراج فی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یجوز شرب النبیذ الّذی لا یسکر مثل أن یلقی التمر أو الزبیب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 أو المالح </w:t>
      </w:r>
      <w:r>
        <w:rPr>
          <w:rFonts w:eastAsia="IRNazanin" w:cs="IRNazanin"/>
          <w:color w:val="111111"/>
          <w:sz w:val="28"/>
          <w:szCs w:val="28"/>
          <w:rtl w:val="true"/>
          <w:lang w:bidi="fa-IR"/>
        </w:rPr>
        <w:t xml:space="preserve">] </w:t>
      </w:r>
      <w:r>
        <w:rPr>
          <w:rStyle w:val="FootnoteAnchor"/>
          <w:rtl w:val="true"/>
        </w:rPr>
        <w:footnoteReference w:id="1393"/>
      </w:r>
      <w:r>
        <w:rPr>
          <w:rFonts w:ascii="IRNazanin" w:hAnsi="IRNazanin" w:eastAsia="IRNazanin"/>
          <w:color w:val="111111"/>
          <w:sz w:val="28"/>
          <w:sz w:val="28"/>
          <w:szCs w:val="28"/>
          <w:rtl w:val="true"/>
          <w:lang w:bidi="fa-IR"/>
        </w:rPr>
        <w:t xml:space="preserve">و ینقع فیه إلی أن یحلو، فإن تغیّر لم یجز شربه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حمزة فی الوسیلة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نبیذا، و هو أن یطرح شیء من التمر أو الزبیب فی الماء، إن تغیّر کان فی حکم الخمر، و إن لم یتغیّر جاز شربه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فانّ من المحتمل قویّاً انّ المراد من التغیّر الإسکار، کما یدلّ علیه عبارة الشیخ رحمه‌الله فی النهایة، و إبن البراج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الشرائع،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التمر إذا غلی و لم یبلغ حدّ الإسکار، ففی تحریمه تردّد، و الأشبه بقاؤه علی التحلیل حتّی یبلغ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التمر إذا غلی و لم یبلغ حدّ الإسکار، فالأقرب بقاؤه علی التحلیل حتّی یبلغ الشدّة المسکرة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القواعد ما یقرب من ذلک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التنقیح علی ما حکی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عصیر التمر غیر المسکر، الأقوی حلّه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إبن فهد فی المهذّب البارع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الحکم ـ أی التحریم بالغلیان ـ یختصّ بعصیر العنب دون التمر علی الأصحّ ، و کذا الزبیب ، إلاّ أن یسکر أو یضاف إلیه من الحوانج ما یصیره فقّاعاً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المسالک، فی کتاب الأطعمة و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مختصّ بعصیر العنب، فلا یتعدّی إلی غیره کعصیر التمر ما لم یسکر للأصل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کتاب الحدود، فی شرح العبارة السابقة من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التردّد فی عصیر التمر أو هو نفسه إذا غلی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دعوی إطلاق إسم النبیذ علیه حینئذ ومشابهته لعصیر العنب، و من أصالة الإباحة و منع إطلاق إسم النبیذ المحرم علیه حینئذ حقیقة، و منع مساواته لعصیر العنب فی الحکم، لخروج ذلک بنصّ خاصّ، فیبقی غیره علی أصل الإباحة، و هذا هو الأصحّ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الحکم مخصوص بعصیر العنب کما ذکرناه، فلا یلحق به عصیر التمر و غیره حتّی الزبیب علی الأصحّ ما لم یحصل فیه خاصیّة الفقّاع، للأصل، و خروجه عن مسمّی العنب، و ذهاب ثلثیه بالشمس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الأصحّ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الزبیب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 لا یخفی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قال فی المقاصد العلیة ما سیأتی منه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الکفایة، فی کتاب الأطعمة والأشربة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عصیر التمر قولان، والأشهر الأقرب عدم التحریم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کشف اللثام،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عصیر التمر إذا غلی و لم یبلغ حدّ الإسکار ففی تحریمه قبل ذهاب ثلثیه نظر من الأصل، و هو خیرة التحریر، و من دخوله فی النبیذ، و هو ممنوع کحرمة کلّ 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الأقرب فیهما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عصیر التمر و الزبیب </w:t>
      </w:r>
      <w:r>
        <w:rPr>
          <w:rFonts w:eastAsia="IRNazanin" w:cs="IRNazanin"/>
          <w:color w:val="111111"/>
          <w:sz w:val="28"/>
          <w:szCs w:val="28"/>
          <w:rtl w:val="true"/>
          <w:lang w:bidi="fa-IR"/>
        </w:rPr>
        <w:t xml:space="preserve">] </w:t>
      </w:r>
      <w:r>
        <w:rPr>
          <w:rStyle w:val="FootnoteAnchor"/>
          <w:rtl w:val="true"/>
        </w:rPr>
        <w:footnoteReference w:id="1405"/>
      </w:r>
      <w:r>
        <w:rPr>
          <w:rFonts w:ascii="IRNazanin" w:hAnsi="IRNazanin" w:eastAsia="IRNazanin"/>
          <w:color w:val="111111"/>
          <w:sz w:val="28"/>
          <w:sz w:val="28"/>
          <w:szCs w:val="28"/>
          <w:rtl w:val="true"/>
          <w:lang w:bidi="fa-IR"/>
        </w:rPr>
        <w:t xml:space="preserve">البقاء علی الحلّ ما لم یبلغ الشدّة المسکرة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القول بعدم تحریم عصیر الزبیب و التمر لا یخلو من قوّة </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ذکر الإستدلال علیه بحیث یعلم منه إختیاره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المفاتیح، فی کتاب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حکم المسکر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العنبی إذا غلی و لم یذهب ثلثاه أو ینقلب خلاًّ قولاً واحداً، و لم نجد مستنده ، و فی التمری قولان ، و کذا الزبیبی ، و الأصحّ عدم التحریم فیهما فضلاً عن الحدّ </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و یظهر ذلک منه فی کتاب الأشربة أیضاً </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 xml:space="preserve">. </w:t>
      </w:r>
      <w:bookmarkStart w:id="804" w:name="pg3696_43832"/>
    </w:p>
    <w:p>
      <w:pPr>
        <w:pStyle w:val="BookText"/>
        <w:rPr/>
      </w:pPr>
      <w:bookmarkEnd w:id="804"/>
      <w:r>
        <w:rPr>
          <w:rFonts w:ascii="IRNazanin" w:hAnsi="IRNazanin" w:eastAsia="IRNazanin"/>
          <w:color w:val="111111"/>
          <w:sz w:val="28"/>
          <w:sz w:val="28"/>
          <w:szCs w:val="28"/>
          <w:rtl w:val="true"/>
          <w:lang w:bidi="fa-IR"/>
        </w:rPr>
        <w:t xml:space="preserve">و هو مختار جملة من الأواخر کصاحب الحدائق ، و صاحب الریاض ، و صاحب الجواهر، و صاحب کشف الغطاء و غیرها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القول هو المشهور بین الأصحاب، بل فی الحدائق </w:t>
      </w:r>
      <w:r>
        <w:rPr>
          <w:rStyle w:val="FootnoteAnchor"/>
          <w:rtl w:val="true"/>
        </w:rPr>
        <w:footnoteReference w:id="1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کاد أن یکون إجماعاً، بل هو إجماع، فإنّا لم نقف علی قائل بالتحریم ممّن تقدّمنا من الأصحاب، و إنّما حدث القول بذلک فی هذه الأعصار المتأخرة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فی المقاصد العلیة دعوی الإجماع علیه صریحاً </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الفاضلین رحمهماالله من الأشبه و الأقرب، لا دلالة فیه علی الخلاف کما یظهر ذلک من دیدنهما و طریقتهما </w:t>
      </w:r>
      <w:r>
        <w:rPr>
          <w:rFonts w:eastAsia="IRNazanin" w:cs="IRNazanin"/>
          <w:color w:val="111111"/>
          <w:sz w:val="28"/>
          <w:szCs w:val="28"/>
          <w:rtl w:val="true"/>
          <w:lang w:bidi="fa-IR"/>
        </w:rPr>
        <w:t>.</w:t>
      </w:r>
    </w:p>
    <w:p>
      <w:pPr>
        <w:pStyle w:val="Heading6"/>
        <w:numPr>
          <w:ilvl w:val="5"/>
          <w:numId w:val="1"/>
        </w:numPr>
        <w:rPr/>
      </w:pPr>
      <w:bookmarkStart w:id="805" w:name="__RefHeading___Toc488851_2281741623"/>
      <w:bookmarkStart w:id="806" w:name="_Toc319"/>
      <w:bookmarkEnd w:id="805"/>
      <w:r>
        <w:rPr>
          <w:rtl w:val="true"/>
        </w:rPr>
        <w:t xml:space="preserve">القول الثانی </w:t>
      </w:r>
      <w:r>
        <w:rPr>
          <w:rtl w:val="true"/>
        </w:rPr>
        <w:t xml:space="preserve">: </w:t>
      </w:r>
      <w:r>
        <w:rPr>
          <w:rtl w:val="true"/>
        </w:rPr>
        <w:t>إنّه حرام</w:t>
      </w:r>
      <w:bookmarkEnd w:id="806"/>
    </w:p>
    <w:p>
      <w:pPr>
        <w:pStyle w:val="Heading6"/>
        <w:numPr>
          <w:ilvl w:val="5"/>
          <w:numId w:val="1"/>
        </w:numPr>
        <w:rPr/>
      </w:pPr>
      <w:bookmarkStart w:id="807" w:name="__RefHeading___Toc488853_2281741623"/>
      <w:bookmarkStart w:id="808" w:name="_Toc320"/>
      <w:bookmarkEnd w:id="807"/>
      <w:r>
        <w:rPr>
          <w:rtl w:val="true"/>
        </w:rPr>
        <w:t>اشارة</w:t>
      </w:r>
      <w:bookmarkEnd w:id="808"/>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حرام ، و هو الّذی اختاره بعض الأواخر کما هو المحکی فی الحدائق </w:t>
      </w:r>
      <w:r>
        <w:rPr>
          <w:rStyle w:val="FootnoteAnchor"/>
          <w:rtl w:val="true"/>
        </w:rPr>
        <w:footnoteReference w:id="1413"/>
      </w:r>
      <w:r>
        <w:rPr>
          <w:rFonts w:ascii="IRNazanin" w:hAnsi="IRNazanin" w:eastAsia="IRNazanin"/>
          <w:color w:val="111111"/>
          <w:sz w:val="28"/>
          <w:sz w:val="28"/>
          <w:szCs w:val="28"/>
          <w:rtl w:val="true"/>
          <w:lang w:bidi="fa-IR"/>
        </w:rPr>
        <w:t xml:space="preserve">، عن شیخه أبی الحسن الشیخ سلیمان البحرانیّ، و المحدّث الشیخ الحرّ العاملی علی ما یظهر من الوسائل </w:t>
      </w:r>
      <w:r>
        <w:rPr>
          <w:rFonts w:eastAsia="IRNazanin" w:cs="IRNazanin"/>
          <w:color w:val="111111"/>
          <w:sz w:val="28"/>
          <w:szCs w:val="28"/>
          <w:rtl w:val="true"/>
          <w:lang w:bidi="fa-IR"/>
        </w:rPr>
        <w:t>.</w:t>
      </w:r>
    </w:p>
    <w:p>
      <w:pPr>
        <w:pStyle w:val="Heading6"/>
        <w:numPr>
          <w:ilvl w:val="5"/>
          <w:numId w:val="1"/>
        </w:numPr>
        <w:rPr/>
      </w:pPr>
      <w:bookmarkStart w:id="809" w:name="__RefHeading___Toc488855_2281741623"/>
      <w:bookmarkStart w:id="810" w:name="_Toc321"/>
      <w:bookmarkEnd w:id="809"/>
      <w:r>
        <w:rPr>
          <w:rtl w:val="true"/>
        </w:rPr>
        <w:t>نقل کلمات الفقهاء فی ذلک</w:t>
      </w:r>
      <w:bookmarkEnd w:id="810"/>
    </w:p>
    <w:p>
      <w:pPr>
        <w:pStyle w:val="BookText"/>
        <w:rPr/>
      </w:pPr>
      <w:r>
        <w:rPr>
          <w:rFonts w:ascii="IRNazanin" w:hAnsi="IRNazanin" w:eastAsia="IRNazanin"/>
          <w:color w:val="111111"/>
          <w:sz w:val="28"/>
          <w:sz w:val="28"/>
          <w:szCs w:val="28"/>
          <w:rtl w:val="true"/>
          <w:lang w:bidi="fa-IR"/>
        </w:rPr>
        <w:t xml:space="preserve">و لعلّه هو مختار الآقا البهبهانیّ رحمه‌الله علی ما یظهر منه فی الرسالة </w:t>
      </w:r>
      <w:r>
        <w:rPr>
          <w:rStyle w:val="FootnoteAnchor"/>
          <w:rtl w:val="true"/>
        </w:rPr>
        <w:footnoteReference w:id="1414"/>
      </w:r>
      <w:r>
        <w:rPr>
          <w:rFonts w:ascii="IRNazanin" w:hAnsi="IRNazanin" w:eastAsia="IRNazanin"/>
          <w:color w:val="111111"/>
          <w:sz w:val="28"/>
          <w:sz w:val="28"/>
          <w:szCs w:val="28"/>
          <w:rtl w:val="true"/>
          <w:lang w:bidi="fa-IR"/>
        </w:rPr>
        <w:t xml:space="preserve">، و قد یظهر من الشیخ قدس‌سره فی التهذیب الحرمة، بل النجاسة أیضاً، کما سیأتی إن شاء اللّه تعالی </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ربما یظهر ذلک من الشهید رحمه‌الله فی الدروس المتوقّف فیه حیث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عصیر التمر فقد أحلّه بعض الأصحاب ما لم یسکر ، و فی روایة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سأل </w:t>
      </w:r>
      <w:bookmarkStart w:id="811" w:name="pg3696_43833"/>
    </w:p>
    <w:p>
      <w:pPr>
        <w:pStyle w:val="BookText"/>
        <w:rPr/>
      </w:pPr>
      <w:bookmarkEnd w:id="811"/>
      <w:r>
        <w:rPr>
          <w:rFonts w:ascii="IRNazanin" w:hAnsi="IRNazanin" w:eastAsia="IRNazanin"/>
          <w:color w:val="111111"/>
          <w:sz w:val="28"/>
          <w:sz w:val="28"/>
          <w:szCs w:val="28"/>
          <w:rtl w:val="true"/>
          <w:lang w:bidi="fa-IR"/>
        </w:rPr>
        <w:t xml:space="preserve">الصادق علیه‌السلام عن النضوح کیف یصنع به حتّی یحلّ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ماء التمر فَاغلِه حتّی یذهب ثلثاه </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2" w:name="__RefHeading___Toc488857_2281741623"/>
      <w:bookmarkStart w:id="813" w:name="_Toc322"/>
      <w:bookmarkEnd w:id="812"/>
      <w:r>
        <w:rPr>
          <w:rtl w:val="true"/>
        </w:rPr>
        <w:t xml:space="preserve">المستند للقول الأوّل أمور </w:t>
      </w:r>
      <w:r>
        <w:rPr>
          <w:rtl w:val="true"/>
        </w:rPr>
        <w:t>:</w:t>
      </w:r>
      <w:bookmarkEnd w:id="813"/>
    </w:p>
    <w:p>
      <w:pPr>
        <w:pStyle w:val="Heading6"/>
        <w:numPr>
          <w:ilvl w:val="5"/>
          <w:numId w:val="1"/>
        </w:numPr>
        <w:rPr/>
      </w:pPr>
      <w:bookmarkStart w:id="814" w:name="__RefHeading___Toc488859_2281741623"/>
      <w:bookmarkStart w:id="815" w:name="_Toc323"/>
      <w:bookmarkEnd w:id="814"/>
      <w:r>
        <w:rPr>
          <w:rtl w:val="true"/>
        </w:rPr>
        <w:t>اشارة</w:t>
      </w:r>
      <w:bookmarkEnd w:id="815"/>
    </w:p>
    <w:p>
      <w:pPr>
        <w:pStyle w:val="BookText"/>
        <w:rPr/>
      </w:pPr>
      <w:r>
        <w:rPr>
          <w:rFonts w:ascii="IRNazanin" w:hAnsi="IRNazanin" w:eastAsia="IRNazanin"/>
          <w:color w:val="111111"/>
          <w:sz w:val="28"/>
          <w:sz w:val="28"/>
          <w:szCs w:val="28"/>
          <w:rtl w:val="true"/>
          <w:lang w:bidi="fa-IR"/>
        </w:rPr>
        <w:t xml:space="preserve">والمستند أمّا فی القول الأوّل فأمور </w:t>
      </w:r>
      <w:r>
        <w:rPr>
          <w:rFonts w:eastAsia="IRNazanin" w:cs="IRNazanin"/>
          <w:color w:val="111111"/>
          <w:sz w:val="28"/>
          <w:szCs w:val="28"/>
          <w:rtl w:val="true"/>
          <w:lang w:bidi="fa-IR"/>
        </w:rPr>
        <w:t>:</w:t>
      </w:r>
    </w:p>
    <w:p>
      <w:pPr>
        <w:pStyle w:val="Heading6"/>
        <w:numPr>
          <w:ilvl w:val="5"/>
          <w:numId w:val="1"/>
        </w:numPr>
        <w:rPr/>
      </w:pPr>
      <w:bookmarkStart w:id="816" w:name="__RefHeading___Toc488861_2281741623"/>
      <w:bookmarkStart w:id="817" w:name="_Toc324"/>
      <w:bookmarkEnd w:id="816"/>
      <w:r>
        <w:rPr>
          <w:rtl w:val="true"/>
        </w:rPr>
        <w:t xml:space="preserve">أوّلها </w:t>
      </w:r>
      <w:r>
        <w:rPr>
          <w:rtl w:val="true"/>
        </w:rPr>
        <w:t xml:space="preserve">: </w:t>
      </w:r>
      <w:r>
        <w:rPr>
          <w:rtl w:val="true"/>
        </w:rPr>
        <w:t>الإجماع</w:t>
      </w:r>
      <w:bookmarkEnd w:id="817"/>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الإجماع الصریح المذکور فی المقاصد العلیة و الحدائق، المحکی عن حاشیة القواعد، المؤیّد بنفی الخلاف، المحکی عن بعض الفضلاء فی الحدائق والریاض ، و قد استظهراهما بنفسهما ، و إنّه لم یظهر عندهما قائل بالحرمة، بل قد استظهرا ذلک من الدروس </w:t>
      </w:r>
      <w:r>
        <w:rPr>
          <w:rStyle w:val="FootnoteAnchor"/>
          <w:rtl w:val="true"/>
        </w:rPr>
        <w:footnoteReference w:id="1416"/>
      </w:r>
      <w:r>
        <w:rPr>
          <w:rFonts w:ascii="IRNazanin" w:hAnsi="IRNazanin" w:eastAsia="IRNazanin"/>
          <w:color w:val="111111"/>
          <w:sz w:val="28"/>
          <w:sz w:val="28"/>
          <w:szCs w:val="28"/>
          <w:rtl w:val="true"/>
          <w:lang w:bidi="fa-IR"/>
        </w:rPr>
        <w:t xml:space="preserve">حیث حکی القول بالحلّیة و لم ینقل المخالف له، بل نسب المخالفة إلی روایة عمّار ، 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أظهر منه کلام شیخنا فی المسالک ، فی کتاب الأطعمة و کتاب الحدود، حیث انّه حکی الخلاف عن بعض الأصحاب فی الزبیبی خاصّة و لم یشر إلیه فی التمری بالکلیة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کان ذلک ظاهراً من اللمعتین أیضاً، حیث لم یشیرا إلی الحکم فیه مطلقاً مع تصریحهما بأنّه لا یحرم العصیر من الزبیب و إن غلی علی الأقوی، فلو وجد القول بالتحریم فیه أیضاً لألحقاه بالزبیبی جدّا </w:t>
      </w:r>
      <w:r>
        <w:rPr>
          <w:rStyle w:val="FootnoteAnchor"/>
          <w:rtl w:val="true"/>
        </w:rPr>
        <w:footnoteReference w:id="1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بالجملة یظهر من مواضع من الحدائق و الریاض نفی الخلاف فیه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إنّ إستظهارهما و غیرهما نفی الخلاف بهذه الکلمات منظور فیه جدّا، و الإجماع الذی ذکره فی المقاصد العلیة </w:t>
      </w:r>
      <w:r>
        <w:rPr>
          <w:rFonts w:eastAsia="IRNazanin" w:cs="IRNazanin"/>
          <w:color w:val="111111"/>
          <w:sz w:val="28"/>
          <w:szCs w:val="28"/>
          <w:rtl w:val="true"/>
          <w:lang w:bidi="fa-IR"/>
        </w:rPr>
        <w:t xml:space="preserve">...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 xml:space="preserve">. </w:t>
      </w:r>
      <w:bookmarkStart w:id="818" w:name="pg3696_43834"/>
    </w:p>
    <w:p>
      <w:pPr>
        <w:pStyle w:val="Heading6"/>
        <w:numPr>
          <w:ilvl w:val="5"/>
          <w:numId w:val="1"/>
        </w:numPr>
        <w:rPr/>
      </w:pPr>
      <w:bookmarkStart w:id="819" w:name="__RefHeading___Toc488863_2281741623"/>
      <w:bookmarkStart w:id="820" w:name="_Toc325"/>
      <w:bookmarkEnd w:id="818"/>
      <w:bookmarkEnd w:id="819"/>
      <w:r>
        <w:rPr>
          <w:rtl w:val="true"/>
        </w:rPr>
        <w:t xml:space="preserve">ثانیها </w:t>
      </w:r>
      <w:r>
        <w:rPr>
          <w:rtl w:val="true"/>
        </w:rPr>
        <w:t xml:space="preserve">: </w:t>
      </w:r>
      <w:r>
        <w:rPr>
          <w:rtl w:val="true"/>
        </w:rPr>
        <w:t>السیرة و إستمرار العمل من المسلمین</w:t>
      </w:r>
      <w:bookmarkEnd w:id="820"/>
    </w:p>
    <w:p>
      <w:pPr>
        <w:pStyle w:val="BookText"/>
        <w:rPr/>
      </w:pPr>
      <w:r>
        <w:rPr>
          <w:rFonts w:ascii="IRNazanin" w:hAnsi="IRNazanin" w:eastAsia="IRNazanin"/>
          <w:color w:val="111111"/>
          <w:sz w:val="28"/>
          <w:sz w:val="28"/>
          <w:szCs w:val="28"/>
          <w:rtl w:val="true"/>
          <w:lang w:bidi="fa-IR"/>
        </w:rPr>
        <w:t xml:space="preserve">و 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السیرة و إستمرار العمل من المسلمین، و قد ادّعاها فی جواهر الکلام </w:t>
      </w:r>
      <w:r>
        <w:rPr>
          <w:rStyle w:val="FootnoteAnchor"/>
          <w:rtl w:val="true"/>
        </w:rPr>
        <w:footnoteReference w:id="1419"/>
      </w:r>
      <w:r>
        <w:rPr>
          <w:rFonts w:ascii="IRNazanin" w:hAnsi="IRNazanin" w:eastAsia="IRNazanin"/>
          <w:color w:val="111111"/>
          <w:sz w:val="28"/>
          <w:sz w:val="28"/>
          <w:szCs w:val="28"/>
          <w:rtl w:val="true"/>
          <w:lang w:bidi="fa-IR"/>
        </w:rPr>
        <w:t xml:space="preserve">، بل و غیره أیضاً </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الجواب عن السیرة انّها ممنوعة جدّاً، فمتی تحقّق منهم إستعماله بعد الغلیان و کثر منهم ذلک حتّی یدعی فیه السیرة </w:t>
      </w:r>
      <w:r>
        <w:rPr>
          <w:rFonts w:eastAsia="IRNazanin" w:cs="IRNazanin"/>
          <w:color w:val="111111"/>
          <w:sz w:val="28"/>
          <w:szCs w:val="28"/>
          <w:rtl w:val="true"/>
          <w:lang w:bidi="fa-IR"/>
        </w:rPr>
        <w:t>.</w:t>
      </w:r>
    </w:p>
    <w:p>
      <w:pPr>
        <w:pStyle w:val="Heading6"/>
        <w:numPr>
          <w:ilvl w:val="5"/>
          <w:numId w:val="1"/>
        </w:numPr>
        <w:rPr/>
      </w:pPr>
      <w:bookmarkStart w:id="821" w:name="__RefHeading___Toc488865_2281741623"/>
      <w:bookmarkStart w:id="822" w:name="_Toc326"/>
      <w:bookmarkEnd w:id="821"/>
      <w:r>
        <w:rPr>
          <w:rtl w:val="true"/>
        </w:rPr>
        <w:t xml:space="preserve">ثالثها </w:t>
      </w:r>
      <w:r>
        <w:rPr>
          <w:rtl w:val="true"/>
        </w:rPr>
        <w:t xml:space="preserve">: </w:t>
      </w:r>
      <w:r>
        <w:rPr>
          <w:rtl w:val="true"/>
        </w:rPr>
        <w:t>الأصول و العمومات الکثیرة الواردة فی إباحة الأشیاء و إطلاقها</w:t>
      </w:r>
      <w:bookmarkEnd w:id="822"/>
    </w:p>
    <w:p>
      <w:pPr>
        <w:pStyle w:val="BookText"/>
        <w:rPr/>
      </w:pPr>
      <w:r>
        <w:rPr>
          <w:rFonts w:ascii="IRNazanin" w:hAnsi="IRNazanin" w:eastAsia="IRNazanin"/>
          <w:color w:val="111111"/>
          <w:sz w:val="28"/>
          <w:sz w:val="28"/>
          <w:szCs w:val="28"/>
          <w:rtl w:val="true"/>
          <w:lang w:bidi="fa-IR"/>
        </w:rPr>
        <w:t xml:space="preserve">و 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و العمومات الکثیرة الواردة فی إباحة الأشیاء و إطلاقها، إلاّ ما ورد فیه أمر أو نهی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الجواب عنها انّها مخصّصة بما سیأتی إن شاء اللّه تعالی </w:t>
      </w:r>
      <w:r>
        <w:rPr>
          <w:rFonts w:eastAsia="IRNazanin" w:cs="IRNazanin"/>
          <w:color w:val="111111"/>
          <w:sz w:val="28"/>
          <w:szCs w:val="28"/>
          <w:rtl w:val="true"/>
          <w:lang w:bidi="fa-IR"/>
        </w:rPr>
        <w:t>.</w:t>
      </w:r>
    </w:p>
    <w:p>
      <w:pPr>
        <w:pStyle w:val="Heading6"/>
        <w:numPr>
          <w:ilvl w:val="5"/>
          <w:numId w:val="1"/>
        </w:numPr>
        <w:rPr/>
      </w:pPr>
      <w:bookmarkStart w:id="823" w:name="__RefHeading___Toc488867_2281741623"/>
      <w:bookmarkStart w:id="824" w:name="_Toc327"/>
      <w:bookmarkEnd w:id="823"/>
      <w:r>
        <w:rPr>
          <w:rtl w:val="true"/>
        </w:rPr>
        <w:t xml:space="preserve">رابعها </w:t>
      </w:r>
      <w:r>
        <w:rPr>
          <w:rtl w:val="true"/>
        </w:rPr>
        <w:t xml:space="preserve">: </w:t>
      </w:r>
      <w:r>
        <w:rPr>
          <w:rtl w:val="true"/>
        </w:rPr>
        <w:t>جملة من الأخبار الواردة فی النبیذ وتعلیق حرمته علی الإسکار</w:t>
      </w:r>
      <w:bookmarkEnd w:id="824"/>
    </w:p>
    <w:p>
      <w:pPr>
        <w:pStyle w:val="BookText"/>
        <w:rPr/>
      </w:pPr>
      <w:r>
        <w:rPr>
          <w:rFonts w:ascii="IRNazanin" w:hAnsi="IRNazanin" w:eastAsia="IRNazanin"/>
          <w:color w:val="111111"/>
          <w:sz w:val="28"/>
          <w:sz w:val="28"/>
          <w:szCs w:val="28"/>
          <w:rtl w:val="true"/>
          <w:lang w:bidi="fa-IR"/>
        </w:rPr>
        <w:t xml:space="preserve">و 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من الأخبار الواردة فی النبیذ و تعلیق حرمته علی الإسکار کالخبر المرویّ فی الکافی، فی باب النبیذ، عن عبداللّه بن حماد، عن محمّد بن جعفر، عن أبیه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علی رسول اللّه صلی‌الله‌علیه‌و‌آله من الیمن قوم </w:t>
      </w:r>
      <w:r>
        <w:rPr>
          <w:rStyle w:val="FootnoteAnchor"/>
          <w:rtl w:val="true"/>
        </w:rPr>
        <w:footnoteReference w:id="1421"/>
      </w:r>
      <w:r>
        <w:rPr>
          <w:rFonts w:ascii="IRNazanin" w:hAnsi="IRNazanin" w:eastAsia="IRNazanin"/>
          <w:color w:val="111111"/>
          <w:sz w:val="28"/>
          <w:sz w:val="28"/>
          <w:szCs w:val="28"/>
          <w:rtl w:val="true"/>
          <w:lang w:bidi="fa-IR"/>
        </w:rPr>
        <w:t xml:space="preserve">، فسألوه عن معالم دینهم فأجابهم، فخرج القوم بأجمعهم فلمّا ساروا مرحلة قال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نسینا أن نسأل رسول اللّه صلی‌الله‌علیه‌و‌آله عمّا هو أهمّ إلینا، ثمّ نزل القوم ثمّ بعثوا وفدا لهم، فأتی الوفد </w:t>
      </w:r>
      <w:r>
        <w:rPr>
          <w:rStyle w:val="FootnoteAnchor"/>
          <w:rtl w:val="true"/>
        </w:rPr>
        <w:footnoteReference w:id="1422"/>
      </w:r>
      <w:r>
        <w:rPr>
          <w:rFonts w:ascii="IRNazanin" w:hAnsi="IRNazanin" w:eastAsia="IRNazanin"/>
          <w:color w:val="111111"/>
          <w:sz w:val="28"/>
          <w:sz w:val="28"/>
          <w:szCs w:val="28"/>
          <w:rtl w:val="true"/>
          <w:lang w:bidi="fa-IR"/>
        </w:rPr>
        <w:t xml:space="preserve">رسول اللّه صلی‌الله‌علیه‌و‌آله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القوم قد بعثوا بنا إلیک یسألونک عن النبیذ، 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النبیذ صفوه لی ؟</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یؤخذ من التمر فینبذ فی إناء، ثمّ یصب علیه الماء حتّی یمتلی و یوقد تحته حتّی ینطبخ فإذا انطبخ أخذوه فالقوه فی إناء آخر، ثمّ صبوا علیه ماء، ثمّ یمرس، ثمّ صفوه بثوب، ثمّ یلقی فی اناء، ثمّ یصب علیه من عکر ما کان قبله، ثمّ </w:t>
      </w:r>
    </w:p>
    <w:p>
      <w:pPr>
        <w:pStyle w:val="BookText"/>
        <w:rPr/>
      </w:pPr>
      <w:r>
        <w:rPr>
          <w:rFonts w:ascii="IRNazanin" w:hAnsi="IRNazanin" w:eastAsia="IRNazanin"/>
          <w:color w:val="111111"/>
          <w:sz w:val="28"/>
          <w:sz w:val="28"/>
          <w:szCs w:val="28"/>
          <w:rtl w:val="true"/>
          <w:lang w:bidi="fa-IR"/>
        </w:rPr>
        <w:t xml:space="preserve">یهدر و یغلی، ثمّ یسکن علی عکرة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هذا قد أکثرت أفیسکر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فکلّ مسکر حرام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الوفد حتّی انتهوا إلی أصحابهم فأخبروهم بما قال رسول اللّه صلی‌الله‌علیه‌و‌آله فقال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بنا إلی رسول اللّه صلی‌الله‌علیه‌و‌آله حتّی نسأله عنها شفاهاً ولایکون بیننا و بینه سفیر فرجع القوم جمیعاً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إنّ أرضنا أرض دویّة و نحن قوم نعمل الزرع و لا نقوی علی العمل إلاّ بالنبیذ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صفوه لی فوصفوه له کما وصف أصحابهم، فقال لهم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أفیسکر ؟ فقالوا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حقّ علی اللّه أن یسقی شارب کلّ مسکر من طینة خبال، أفتدرون ما طینة خبال ؟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صدید أهل النار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العین المهملة و الکاف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الزیت و غیره </w:t>
      </w:r>
      <w:r>
        <w:rPr>
          <w:rStyle w:val="FootnoteAnchor"/>
          <w:rtl w:val="true"/>
        </w:rPr>
        <w:footnoteReference w:id="1424"/>
      </w:r>
      <w:r>
        <w:rPr>
          <w:rFonts w:ascii="IRNazanin" w:hAnsi="IRNazanin" w:eastAsia="IRNazanin"/>
          <w:color w:val="111111"/>
          <w:sz w:val="28"/>
          <w:sz w:val="28"/>
          <w:szCs w:val="28"/>
          <w:rtl w:val="true"/>
          <w:lang w:bidi="fa-IR"/>
        </w:rPr>
        <w:t xml:space="preserve">، و المراد هنا دردی النبیذ السابق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یهدد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هدد البعیر هدیراً أی ردد صوته فی حنجرته </w:t>
      </w:r>
      <w:r>
        <w:rPr>
          <w:rStyle w:val="FootnoteAnchor"/>
          <w:rtl w:val="true"/>
        </w:rPr>
        <w:footnoteReference w:id="1425"/>
      </w:r>
      <w:r>
        <w:rPr>
          <w:rFonts w:ascii="IRNazanin" w:hAnsi="IRNazanin" w:eastAsia="IRNazanin"/>
          <w:color w:val="111111"/>
          <w:sz w:val="28"/>
          <w:sz w:val="28"/>
          <w:szCs w:val="28"/>
          <w:rtl w:val="true"/>
          <w:lang w:bidi="fa-IR"/>
        </w:rPr>
        <w:t xml:space="preserve">، ولعلّ المراد منه صوت الغلیان </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دویة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أی أرض بها داء </w:t>
      </w:r>
      <w:r>
        <w:rPr>
          <w:rStyle w:val="FootnoteAnchor"/>
          <w:rtl w:val="true"/>
        </w:rPr>
        <w:footnoteReference w:id="1426"/>
      </w:r>
      <w:r>
        <w:rPr>
          <w:rFonts w:ascii="IRNazanin" w:hAnsi="IRNazanin" w:eastAsia="IRNazanin"/>
          <w:color w:val="111111"/>
          <w:sz w:val="28"/>
          <w:sz w:val="28"/>
          <w:szCs w:val="28"/>
          <w:rtl w:val="true"/>
          <w:lang w:bidi="fa-IR"/>
        </w:rPr>
        <w:t xml:space="preserve">، و لعلّ الأصحّ تخفیف الیاء ، قال فی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دوٍ بکسر الواو، أی فاسد الجوف من داء، و امرأة دویة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إن کان یحتمل التشدید فتکون الیاء الثانیة یاء النسبة ؛ قال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الداء الدوی، الدوی منسوب إلی دو من دوی بالکسر، یدوی دوی فهو دوی </w:t>
      </w:r>
      <w:r>
        <w:rPr>
          <w:rStyle w:val="FootnoteAnchor"/>
          <w:rtl w:val="true"/>
        </w:rPr>
        <w:footnoteReference w:id="14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الجواب عنه تارة بضعف السند، فانّ فی السند إبراهیم بن إسحاق و هو مشترک بین الثقة و الضعیف </w:t>
      </w:r>
      <w:r>
        <w:rPr>
          <w:rStyle w:val="FootnoteAnchor"/>
          <w:rtl w:val="true"/>
        </w:rPr>
        <w:footnoteReference w:id="1429"/>
      </w:r>
      <w:r>
        <w:rPr>
          <w:rFonts w:ascii="IRNazanin" w:hAnsi="IRNazanin" w:eastAsia="IRNazanin"/>
          <w:color w:val="111111"/>
          <w:sz w:val="28"/>
          <w:sz w:val="28"/>
          <w:szCs w:val="28"/>
          <w:rtl w:val="true"/>
          <w:lang w:bidi="fa-IR"/>
        </w:rPr>
        <w:t xml:space="preserve">، و عبداللّه بن حماد قد ذکر فی رجال النجاشی انّ حدیثه نعرفه تارة و ننکره أخری </w:t>
      </w:r>
      <w:r>
        <w:rPr>
          <w:rStyle w:val="FootnoteAnchor"/>
          <w:rtl w:val="true"/>
        </w:rPr>
        <w:footnoteReference w:id="14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تارة بأنّ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ینطبخ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دلالة علی ذهاب الثلثین منه بالنار بل أزید لقوله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فالقوه فی اناء آخر ثمّ صبوا علیه 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الضمیر فی القوة راجع إلی التمر و صب الماء علیه دلیل علی ذهاب الماء الأوّل منه </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الصحیح المرویّ فی الکافی،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صلی‌الله‌علیه‌و‌آله حرم کلّ مسکر قلیله و کثیره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معاویة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بنی عمّی و هو من صلحاء موالیک أمرنی أن أسألک عن النبیذ فأصفه لک،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أصفه لک 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فما أسکر کثیره فقلیله حرام،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 الحرام یحلّه کثیر الماء ؟ فردّ علیه بکفه مرتین لا، لا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فیه ما ستعرف من أنّ النبیذ بإطلاقه ینصرف إلی المسکر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أو الصحیح المرویّ فیه عن الفضیل بن یسار عن أبی جعفر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النبیذ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اللّه عزّوجلّ الخمر بعینها و حرّم رسول اللّه صلی‌الله‌علیه‌و‌آله من الأشربة کلّ مسکر </w:t>
      </w:r>
      <w:r>
        <w:rPr>
          <w:rStyle w:val="FootnoteAnchor"/>
          <w:rtl w:val="true"/>
        </w:rPr>
        <w:footnoteReference w:id="14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ما تقدّم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المرویّ فیه،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أستأذنت لبعض أصحابنا علی أبی عبداللّه علیه‌السلام فسأله عن النبیذ،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أصلحک اللّه، إنّما سألتک عن النبیذ الذی یجعل فیه العکر فیغلی حتّی یسکر ،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w:t>
      </w:r>
      <w:r>
        <w:rPr>
          <w:rStyle w:val="FootnoteAnchor"/>
          <w:rtl w:val="true"/>
        </w:rPr>
        <w:footnoteReference w:id="1433"/>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المرویّ فیه عن یزید بن خلیفة، و هو رجل من بنی الحارث بن کعب،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سمعته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أتیت المدینة و زیاد بن عبید الحارثی علیها فاستأذنت علی أبی عبداللّه علیه‌السلام ، فدخلت علیه و سلّمت علیه، وتمکنت من مجلسی،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رجل من بنی الحارث بن کعب و قد هدانی اللّه عزّوجلّ إلی محبّتکم و مودّتکم أهل البیت </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اهتدیت إلی مودّتنا أهل البیت ؟ فواللّه إنّ محبّتنا فی بنی الحارث بن کعب لقلیل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انّ لی غلاماً خراسانیاً و هو یعمل القصارة و له همشهریجین أربعة، و هم یتداعون کلّ جمعة فیقع الدعوة علی رجل منهم فیصیب غلامی کلّ خمس جمع جمعة، فیجعل لهم النبیذ و اللحم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إذا فرغوا من الطعام و اللحم جاء بإجّانة فملأها نبیذاً ثمّ جاء بمطهرة فإذا ناول انساناً منهم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تشرب حتّی تصلّی علی محمّد و آل محمّد فاهتدیت إلی مودّتکم بهذا الغلام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 خیرا و اقرأه منی السلام و 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لک جعفر بن محمّد علیهماالسلام انظر شرابک هذا الذی تشربه فان کان یسکر کثیره فلا تقربن قلیله، فانّ رسول اللّه صلی‌الله‌علیه‌و‌آله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أسکر کثیره فقلیله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إلی الکوفة و أقرأت الغلام السلام من جعفر بن محمّد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فبکی ثمّ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 بی جعفر بن محمّد حتّی یقرئنی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 قد قال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إلی شرابک هذاالذی تشربه، فإن کان یسکر کثیره فلا تقربن قلیله، فإنّ رسول اللّه صلی‌الله‌علیه‌و‌آله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مسکر حرام، فما أسکره کثیره فقلیله حرام، و قد أوصانی بک فاذهب، فأنت حرّ لوجه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إنّه لشراب ما یدخل فی جوفی ما بقیت فی الدنیا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القصارة، بکسر القاف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الصناعة فی تبییض الثوب،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قصرت الثوب قصراً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بیضته، والفاعل القصار </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الهمشهریج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فارسیة أی همشهری، و الجیم یلحق به فی لسان العرب </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استوص به خیراً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یحتمل أن یکون فی الأصل مع الیاء، أی أنا استوصی به إیّاک خیرا، فیکون بصیغة التکلّم،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أصنع معه الخیر، کما قد یدلّ علیه قوله بعد ذلک، و یحتمل أن یکون بصیغة الأمر،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 الخیر وارشده إلیه ؛ و بناء علی النسخة استوصنی 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له یعمل معی الخیر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اقرأه منّی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أنّه بصیغة الإفعال، لقوله بعد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فاقرأت السلام علیه، لکن فی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وقرء علیه السلام أبلغه، کأقرأه، أو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إقرأه، إلاّ إذا کان السلام مکتوباً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ونحوه فی المصباح المنیر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قرأت علی زید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أمرت منه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قال الأصمعیّ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تعدیته بنفسه خطأ، فلا 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إقرأه السّلام لأنّه بمعنی أتل علیه، و حکی إبن القطّاع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یتعدّی بنفسه رباعیّاً فیقال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یُقرِئْک السّلام </w:t>
      </w:r>
      <w:r>
        <w:rPr>
          <w:rStyle w:val="FootnoteAnchor"/>
          <w:rtl w:val="true"/>
        </w:rPr>
        <w:footnoteReference w:id="1437"/>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حکاها أیضاً فی الصحاح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فلان یقرؤک السلام،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یحملک علی قرأته السلام و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إقرء فلاناً السلام و أقرء علیه السلام کانّه حین یبلغه سلامه یحمله علی أنّه یقرأ السلام و یردّه، کما إذا قرأ القرآن أو الحدیث علی الشیخ 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أقرأنی فلان أی حملنی علی أن أقرأه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أقرأه علیک أتلوه علیک، واقرأه منی السلام أی بلغناه سلامی، و یقرؤک السلام أی یبلغک السلام و یتلوه علیک </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الخبر المرویّ فی الکافی فی باب النبیذ عن حنان </w:t>
      </w:r>
      <w:r>
        <w:rPr>
          <w:rStyle w:val="FootnoteAnchor"/>
          <w:rtl w:val="true"/>
        </w:rPr>
        <w:footnoteReference w:id="1440"/>
      </w:r>
      <w:r>
        <w:rPr>
          <w:rFonts w:ascii="IRNazanin" w:hAnsi="IRNazanin" w:eastAsia="IRNazanin"/>
          <w:color w:val="111111"/>
          <w:sz w:val="28"/>
          <w:sz w:val="28"/>
          <w:szCs w:val="28"/>
          <w:rtl w:val="true"/>
          <w:lang w:bidi="fa-IR"/>
        </w:rPr>
        <w:t xml:space="preserve">بن سدیر </w:t>
      </w:r>
      <w:r>
        <w:rPr>
          <w:rStyle w:val="FootnoteAnchor"/>
          <w:rtl w:val="true"/>
        </w:rPr>
        <w:footnoteReference w:id="144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رجلاً و هو یقول لأبی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النبیذ فانّ أبا مریم یشربه </w:t>
      </w:r>
    </w:p>
    <w:p>
      <w:pPr>
        <w:pStyle w:val="BookText"/>
        <w:rPr/>
      </w:pPr>
      <w:r>
        <w:rPr>
          <w:rFonts w:ascii="IRNazanin" w:hAnsi="IRNazanin" w:eastAsia="IRNazanin"/>
          <w:color w:val="111111"/>
          <w:sz w:val="28"/>
          <w:sz w:val="28"/>
          <w:szCs w:val="28"/>
          <w:rtl w:val="true"/>
          <w:lang w:bidi="fa-IR"/>
        </w:rPr>
        <w:t xml:space="preserve">و یزعم انّک أمرته بشربه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أبو مریم، سألنی عن النبیذ فأخبرته انّه حلال و لم یسألنی عن المسکر،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المسکر ما اتقیت فیه أحداً سلطاناً و لا غیره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ما أسکر کثیره فقلیله حرام </w:t>
      </w:r>
      <w:r>
        <w:rPr>
          <w:rStyle w:val="FootnoteAnchor"/>
          <w:rtl w:val="true"/>
        </w:rPr>
        <w:footnoteReference w:id="1442"/>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هذا الخبر رایحة التقیّة مع انّ ذیله یدلّ علی الخلاف، و أیضاً الظاهر انّ المراد من النبیذ فیه النبیذ من الزبیب، و قد تقدّم نقله جمیعاً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الخبر المرویّ فیه عن الکلبی النسابة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النبیذ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ننبذه فنطرح فیه العکر و ما سوی ذلک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شُه، تلک الخمرة المنتنة </w:t>
      </w:r>
      <w:r>
        <w:rPr>
          <w:rFonts w:eastAsia="IRNazanin" w:cs="IRNazanin"/>
          <w:color w:val="111111"/>
          <w:sz w:val="28"/>
          <w:szCs w:val="28"/>
          <w:rtl w:val="true"/>
          <w:lang w:bidi="fa-IR"/>
        </w:rPr>
        <w:t>...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الخبر أیضاً کسابقه له ذیل یدلّ علی الخلاف، فإنّ بعد ما تقدّم بلا فاصلة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نبیذ تعنی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أهل المدینة شکوا إلی النبیّ صلی‌الله‌علیه‌و‌آله تغیّر الماء و فساد طبایعهم فامرهم أن ینبذوا فکان الرجل منهم یأمر خادمه أن ینبذ له فیعمد إلی کف من تمر فیلقیه فی الشن فمنه شربه و منه طهوره،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وکم کان عدد التمرات الّتی کانت تلقی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یحمل الکف،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أو إثنتین ؟ فقال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ربما کانت واحدة و ربما کانت إثنتین،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کان یسع الشن ماء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الأربعین إلی الثمانین </w:t>
      </w:r>
      <w:r>
        <w:rPr>
          <w:rStyle w:val="FootnoteAnchor"/>
          <w:rtl w:val="true"/>
        </w:rPr>
        <w:footnoteReference w:id="1443"/>
      </w:r>
      <w:r>
        <w:rPr>
          <w:rFonts w:ascii="IRNazanin" w:hAnsi="IRNazanin" w:eastAsia="IRNazanin"/>
          <w:color w:val="111111"/>
          <w:sz w:val="28"/>
          <w:sz w:val="28"/>
          <w:szCs w:val="28"/>
          <w:rtl w:val="true"/>
          <w:lang w:bidi="fa-IR"/>
        </w:rPr>
        <w:t xml:space="preserve">إلی ما فوق ذلک،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بالأرطال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أرطال بمکیال العراق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825" w:name="pg3696_43841"/>
    </w:p>
    <w:p>
      <w:pPr>
        <w:pStyle w:val="BookText"/>
        <w:rPr/>
      </w:pPr>
      <w:bookmarkEnd w:id="825"/>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 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إستقباح و استقذار ، و أصلها من شاه یشوه بمعنی قبح ، و شاهت الوجوه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قبحت، و لا تشوه خلقی بالنار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لا تقبح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القربة الخلقة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الصحیح المرویّ فی الکافی، فی باب الظروف، عن محمّد بن مسلم،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نبیذ قد سکن غلیانه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w:t>
      </w:r>
      <w:r>
        <w:rPr>
          <w:rStyle w:val="FootnoteAnchor"/>
          <w:rtl w:val="true"/>
        </w:rPr>
        <w:footnoteReference w:id="1447"/>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 انّه لادلالة فیه لو لم‌یکن دالاًّ علی‌الحرمة لإستفادة ذلک من السؤال فتدبّر</w:t>
      </w:r>
      <w:r>
        <w:rPr>
          <w:rFonts w:eastAsia="IRNazanin" w:cs="IRNazanin"/>
          <w:color w:val="111111"/>
          <w:sz w:val="28"/>
          <w:szCs w:val="28"/>
          <w:rtl w:val="true"/>
          <w:lang w:bidi="fa-IR"/>
        </w:rPr>
        <w:t>.</w:t>
      </w:r>
    </w:p>
    <w:p>
      <w:pPr>
        <w:pStyle w:val="Heading5"/>
        <w:numPr>
          <w:ilvl w:val="4"/>
          <w:numId w:val="1"/>
        </w:numPr>
        <w:rPr/>
      </w:pPr>
      <w:bookmarkStart w:id="826" w:name="__RefHeading___Toc488869_2281741623"/>
      <w:bookmarkStart w:id="827" w:name="_Toc328"/>
      <w:bookmarkEnd w:id="826"/>
      <w:r>
        <w:rPr>
          <w:rtl w:val="true"/>
        </w:rPr>
        <w:t xml:space="preserve">المستند للقول الثانی فأنواع من الأخبار </w:t>
      </w:r>
      <w:r>
        <w:rPr>
          <w:rtl w:val="true"/>
        </w:rPr>
        <w:t>:</w:t>
      </w:r>
      <w:bookmarkEnd w:id="827"/>
    </w:p>
    <w:p>
      <w:pPr>
        <w:pStyle w:val="Heading6"/>
        <w:numPr>
          <w:ilvl w:val="5"/>
          <w:numId w:val="1"/>
        </w:numPr>
        <w:rPr/>
      </w:pPr>
      <w:bookmarkStart w:id="828" w:name="__RefHeading___Toc488871_2281741623"/>
      <w:bookmarkStart w:id="829" w:name="_Toc329"/>
      <w:bookmarkEnd w:id="828"/>
      <w:r>
        <w:rPr>
          <w:rtl w:val="true"/>
        </w:rPr>
        <w:t>اشارة</w:t>
      </w:r>
      <w:bookmarkEnd w:id="829"/>
    </w:p>
    <w:p>
      <w:pPr>
        <w:pStyle w:val="BookText"/>
        <w:rPr/>
      </w:pPr>
      <w:r>
        <w:rPr>
          <w:rFonts w:ascii="IRNazanin" w:hAnsi="IRNazanin" w:eastAsia="IRNazanin"/>
          <w:color w:val="111111"/>
          <w:sz w:val="28"/>
          <w:sz w:val="28"/>
          <w:szCs w:val="28"/>
          <w:rtl w:val="true"/>
          <w:lang w:bidi="fa-IR"/>
        </w:rPr>
        <w:t>و أمّا المستند للقول الثانی، فانواع من الأخبار،</w:t>
      </w:r>
    </w:p>
    <w:p>
      <w:pPr>
        <w:pStyle w:val="Heading6"/>
        <w:numPr>
          <w:ilvl w:val="5"/>
          <w:numId w:val="1"/>
        </w:numPr>
        <w:rPr/>
      </w:pPr>
      <w:bookmarkStart w:id="830" w:name="__RefHeading___Toc488873_2281741623"/>
      <w:bookmarkStart w:id="831" w:name="_Toc330"/>
      <w:bookmarkEnd w:id="830"/>
      <w:r>
        <w:rPr>
          <w:rtl w:val="true"/>
        </w:rPr>
        <w:t xml:space="preserve">منها </w:t>
      </w:r>
      <w:r>
        <w:rPr>
          <w:rtl w:val="true"/>
        </w:rPr>
        <w:t xml:space="preserve">: </w:t>
      </w:r>
      <w:r>
        <w:rPr>
          <w:rtl w:val="true"/>
        </w:rPr>
        <w:t>الأخبار الواردة فی مساواة الکرم والنخل فی مص إبلیس إیّاهما</w:t>
      </w:r>
      <w:bookmarkEnd w:id="831"/>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مساواة الکرم و النخل فی مص إبلیس لعنه اللّه إیّاهما، و بوله علیه اللعنة فی أصلهما، و نحو ذلک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الأخبار الواردة فی البختج والطلاء المشترط فیها حلیّته بذهاب‌الثلثین منه، فان البختج أعمّ من مطبوخ العنب والتمر </w:t>
      </w:r>
      <w:r>
        <w:rPr>
          <w:rFonts w:eastAsia="IRNazanin" w:cs="IRNazanin"/>
          <w:color w:val="111111"/>
          <w:sz w:val="28"/>
          <w:szCs w:val="28"/>
          <w:rtl w:val="true"/>
          <w:lang w:bidi="fa-IR"/>
        </w:rPr>
        <w:t>.</w:t>
      </w:r>
    </w:p>
    <w:p>
      <w:pPr>
        <w:pStyle w:val="Heading6"/>
        <w:numPr>
          <w:ilvl w:val="5"/>
          <w:numId w:val="1"/>
        </w:numPr>
        <w:rPr/>
      </w:pPr>
      <w:bookmarkStart w:id="832" w:name="__RefHeading___Toc488875_2281741623"/>
      <w:bookmarkStart w:id="833" w:name="_Toc331"/>
      <w:bookmarkEnd w:id="832"/>
      <w:r>
        <w:rPr>
          <w:rtl w:val="true"/>
        </w:rPr>
        <w:t xml:space="preserve">منها </w:t>
      </w:r>
      <w:r>
        <w:rPr>
          <w:rtl w:val="true"/>
        </w:rPr>
        <w:t xml:space="preserve">: </w:t>
      </w:r>
      <w:r>
        <w:rPr>
          <w:rtl w:val="true"/>
        </w:rPr>
        <w:t>الأخبار الواردة فی البختج و الطلاء</w:t>
      </w:r>
      <w:bookmarkEnd w:id="833"/>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علی الأصحّ المرویّ فی الکافی فی باب النبیذ عن منصور و هو منصور بن حازم کما تشهد به الأسانید الاخر،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أبو أیّوب بن راشد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البلاد یسأل أبا عبداللّه علیه‌السلام عن النبیذ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به،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یوضع فیه العکر 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بئس الشراب و لکن أنبذوه غدوة و أشربوه بالعشی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یفسد بطوننا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أفسد لبطنک أن تشرب ما لا یحلّ لک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 xml:space="preserve">. </w:t>
      </w:r>
      <w:bookmarkStart w:id="834" w:name="pg3696_43842"/>
    </w:p>
    <w:p>
      <w:pPr>
        <w:pStyle w:val="BookText"/>
        <w:rPr/>
      </w:pPr>
      <w:bookmarkEnd w:id="834"/>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النبیذ بإطلاقه هو من التمر کما یدلّ علیه بعض الأخبار الواردة فی انّ الخمر من خمسة و جعل منها النبیذ من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مجمع البحرین فی مادّة نبذ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أصل النبیذ حلال، و أصل الخمر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کأنّه أراد بالأصل الأوّل العنب و هو حلال، و بالأصل الثانی النبیذ و هو حرام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المراد بالأصل الأوّل کلّ ما ینبذ من التمر و الزبیب و هو حلال بالشرع و إنّما یحرم بعروض الإسکار علیه، و أمّا الخمر فأصله حرام بالشرع فإنّ الخمر حرام مطلقاً و إن لم یسکر </w:t>
      </w:r>
      <w:r>
        <w:rPr>
          <w:rFonts w:eastAsia="IRNazanin" w:cs="IRNazanin"/>
          <w:color w:val="111111"/>
          <w:sz w:val="28"/>
          <w:szCs w:val="28"/>
          <w:rtl w:val="true"/>
          <w:lang w:bidi="fa-IR"/>
        </w:rPr>
        <w:t>.</w:t>
      </w:r>
    </w:p>
    <w:p>
      <w:pPr>
        <w:pStyle w:val="Heading6"/>
        <w:numPr>
          <w:ilvl w:val="5"/>
          <w:numId w:val="1"/>
        </w:numPr>
        <w:rPr/>
      </w:pPr>
      <w:bookmarkStart w:id="835" w:name="__RefHeading___Toc488877_2281741623"/>
      <w:bookmarkStart w:id="836" w:name="_Toc332"/>
      <w:bookmarkEnd w:id="835"/>
      <w:r>
        <w:rPr>
          <w:rtl w:val="true"/>
        </w:rPr>
        <w:t xml:space="preserve">منها </w:t>
      </w:r>
      <w:r>
        <w:rPr>
          <w:rtl w:val="true"/>
        </w:rPr>
        <w:t xml:space="preserve">: </w:t>
      </w:r>
      <w:r>
        <w:rPr>
          <w:rtl w:val="true"/>
        </w:rPr>
        <w:t>الصحیح علی الأصحّ المرویّ فی الکافی</w:t>
      </w:r>
      <w:bookmarkEnd w:id="836"/>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المرویّ فیه فی باب أنّ رسول اللّه صلی‌الله‌علیه‌و‌آله حرّم کلّ مسکر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سماعة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التمر و الزبیب یطبخان للنبیذ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مسکر حرام، 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ما أسکر کثیره فقلیله حرام ، و قال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یصلح فی النبیذ الخمیرة و هی العکرة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المجمع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الحدیث إنّا نطرح فیه العکر، هو بفتحتین، دردی الزیت و دردی النبیذ و نحوه مما خثر و رسب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الخبر المرویّ فی الکافی فی باب من اضطر إلی الخمر لدواء أو لعطش أو للتقیة، عن علیّ بن أسباط،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عند أبی عبداللّه علیه‌السلام فقال له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بی جعلت فداک، اریاح البواسیر و لیس یوافقنی إلاّ شرب النبیذ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لک و لما حرّم اللّه عزّوجلّ و رسوله صلی‌الله‌علیه‌و‌آله یقول له ذلک ثلاثا علیک بهذا </w:t>
      </w:r>
      <w:bookmarkStart w:id="837" w:name="pg3696_43843"/>
    </w:p>
    <w:p>
      <w:pPr>
        <w:pStyle w:val="BookText"/>
        <w:rPr/>
      </w:pPr>
      <w:bookmarkEnd w:id="837"/>
      <w:r>
        <w:rPr>
          <w:rFonts w:ascii="IRNazanin" w:hAnsi="IRNazanin" w:eastAsia="IRNazanin"/>
          <w:color w:val="111111"/>
          <w:sz w:val="28"/>
          <w:sz w:val="28"/>
          <w:szCs w:val="28"/>
          <w:rtl w:val="true"/>
          <w:lang w:bidi="fa-IR"/>
        </w:rPr>
        <w:t xml:space="preserve">المریس الذی تمرسه بالعشیّ و تشربه بالغداة، و تمرسه بالغداة و تشربه بالعشیّ ؟ 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ینفخ البطن،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فأدّلک علی ما هو أنفع لک من هذا علیک بالدعاء فإنّه شفاء من کلّ داء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فقلنا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فقلیله و کثیره حرام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قلیله و کثیره حرام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 التمر فی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الثرید، و التمر الممروس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838" w:name="__RefHeading___Toc488879_2281741623"/>
      <w:bookmarkStart w:id="839" w:name="_Toc333"/>
      <w:bookmarkEnd w:id="838"/>
      <w:r>
        <w:rPr>
          <w:rtl w:val="true"/>
        </w:rPr>
        <w:t xml:space="preserve">منها </w:t>
      </w:r>
      <w:r>
        <w:rPr>
          <w:rtl w:val="true"/>
        </w:rPr>
        <w:t xml:space="preserve">: </w:t>
      </w:r>
      <w:r>
        <w:rPr>
          <w:rtl w:val="true"/>
        </w:rPr>
        <w:t>موثّقتا عمّار الواردتان فی النضوح</w:t>
      </w:r>
      <w:bookmarkEnd w:id="839"/>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موثّقتا عمّار الواردتان فی النضوح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المرویّ فی التهذیب عن عمّار بن موسی الساباطی عن أبی عبداللّه علیه‌السلام انّه سئل عن النضوح المعتق کیف یصنع به حتّی یحلّ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 ماء التمر فاغله حتّی یذهب ثلثا ماء التمر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الموثّق المرویّ فیه أیضاً عن عمّار الساباطی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علیه‌السلام عن النضوح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یطبخ التمر حتّی یذهب ثلثاه و یبقی ثلثة ثمّ یمتشطن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وجه الإستدلال بهما ظاهر من الجواب بل و ضمّ الجواب إلی السؤال أیضاً ، و لا سیّما الخبر المشتمل سؤاله علی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حتّی یحلّ </w:t>
      </w:r>
      <w:r>
        <w:rPr>
          <w:rFonts w:eastAsia="IRNazanin" w:cs="IRNazanin"/>
          <w:color w:val="111111"/>
          <w:sz w:val="28"/>
          <w:szCs w:val="28"/>
          <w:rtl w:val="true"/>
          <w:lang w:bidi="fa-IR"/>
        </w:rPr>
        <w:t>» .</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النضوح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فیه ماء التمر، و تسمیته بالنضوح انّه ینضح و یرش به فانّ النضوح إسم لما ینضح به، و النضح البلّ بالماء و الریق و الرش به </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قد ذکر فی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النضوح ضرب من الطیب تفوح رائحته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 النضوح الرش فشبه کثرة ما یفوح من طیبه بالرش </w:t>
      </w:r>
      <w:r>
        <w:rPr>
          <w:rStyle w:val="FootnoteAnchor"/>
          <w:rtl w:val="true"/>
        </w:rPr>
        <w:footnoteReference w:id="1458"/>
      </w:r>
      <w:r>
        <w:rPr>
          <w:rFonts w:ascii="IRNazanin" w:hAnsi="IRNazanin" w:eastAsia="IRNazanin"/>
          <w:color w:val="111111"/>
          <w:sz w:val="28"/>
          <w:sz w:val="28"/>
          <w:szCs w:val="28"/>
          <w:rtl w:val="true"/>
          <w:lang w:bidi="fa-IR"/>
        </w:rPr>
        <w:t xml:space="preserve">إنتهی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یرش به علی الرأس و نحوه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و یدلّ علیه أیضاً ما رواه فیه عن عثیمة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عبداللّه علیه‌السلام وعنده نساؤه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رایحة النضوح،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نضوح،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هذا؟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نضوح یجعل فیها الضیاح،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فأمر به فأهریق فی البالوعة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والضیاح کما عن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اللبن الخاثر یصب فیه الماء ثمّ یخلط </w:t>
      </w:r>
      <w:r>
        <w:rPr>
          <w:rStyle w:val="FootnoteAnchor"/>
          <w:rtl w:val="true"/>
        </w:rPr>
        <w:footnoteReference w:id="14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فلیس الضیاح ممّا یوجب الحرمة فیکون الأمر بالاهراق لأجل النضوح المعمول فی ماء التمر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 کلام بعض الأفاضل النضوح، طیب مایع ینقعون التمر، والسکر، و القرنفل، و التفاح، و الزعفران، و أشباه ذلک فی قارورة فیها قدر مخصوص من الماء و یشدّ رأسها و یصبرون أیّاما حتّی ینشر و یتخمّر، و هو شائع بین نساء الحرمین الشریفین، و کیفیّة تطیب المرأة به، أن تحط الأزهار بین شعر رأسها، ثمّ ترشرش به الأزهار لتشتد رایحتها </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بالجملة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هذه الأخبار الثلاثة حرمة ماء التمر بعد الغلیان قبل ذهاب الثلثین بل ونجاسته، فإنّ النضوح إنّما یتطیب به لا یؤکل ولایشرب به غالباً </w:t>
      </w:r>
      <w:r>
        <w:rPr>
          <w:rFonts w:eastAsia="IRNazanin" w:cs="IRNazanin"/>
          <w:color w:val="111111"/>
          <w:sz w:val="28"/>
          <w:szCs w:val="28"/>
          <w:rtl w:val="true"/>
          <w:lang w:bidi="fa-IR"/>
        </w:rPr>
        <w:t xml:space="preserve">. </w:t>
      </w:r>
      <w:bookmarkStart w:id="840" w:name="pg3696_43845"/>
    </w:p>
    <w:p>
      <w:pPr>
        <w:pStyle w:val="Heading5"/>
        <w:numPr>
          <w:ilvl w:val="4"/>
          <w:numId w:val="1"/>
        </w:numPr>
        <w:rPr/>
      </w:pPr>
      <w:bookmarkStart w:id="841" w:name="__RefHeading___Toc488881_2281741623"/>
      <w:bookmarkStart w:id="842" w:name="_Toc334"/>
      <w:bookmarkEnd w:id="840"/>
      <w:bookmarkEnd w:id="841"/>
      <w:r>
        <w:rPr>
          <w:rtl w:val="true"/>
        </w:rPr>
        <w:t>مختار المؤلّف فی المقام</w:t>
      </w:r>
      <w:bookmarkEnd w:id="842"/>
    </w:p>
    <w:p>
      <w:pPr>
        <w:pStyle w:val="BookText"/>
        <w:rPr/>
      </w:pPr>
      <w:r>
        <w:rPr>
          <w:rFonts w:ascii="IRNazanin" w:hAnsi="IRNazanin" w:eastAsia="IRNazanin"/>
          <w:color w:val="111111"/>
          <w:sz w:val="28"/>
          <w:sz w:val="28"/>
          <w:szCs w:val="28"/>
          <w:rtl w:val="true"/>
          <w:lang w:bidi="fa-IR"/>
        </w:rPr>
        <w:t xml:space="preserve">والظاهر من الشیخ رحمه‌الله فی التهذیب العمل بهذه الروایات الثلاثة حرمةً ونجاسةً، و قد یؤیّد حرمته انّ النشیش أوّل مرتبة تحریک مادّة السکر فی العصیرات الثلاثة و أنّ کلّها مما یجعل خمراً غالباً و انّ الکلّ علی حدّ واحد من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کلّه فی المنقوع منها، و أمّا التمر بنفسه، فلا مانع من طبخه بنفسه، و أمره أسهل من الزبیب، لأنّ الزبیب إنّما یعرض له ماء عند الطبخ، بخلاف التمر فهو حلال إذا طبخ من دون ماء، کما إذا وضع جوف الارز المطبوخ أو فی مواضع خالیة من الماء، وأمّا إذا طبخ مع الماء فإن صار الماء حلواً بالطبخ ثمّ عرض له الغلیان، فقد یستشکل الأمر فیه، و إن کان یمکن أن یقال بالحلیّة أیضاً خصوصاً إذا ذهب منه الثلثان بالطبخ، بل و أمره ظاهر حتّی إذا یطبخ مع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إذا لم یذهب منه الثلثان، ففیه وجهان من الحرمة لما مرّ، والحلیّة للأصل، و عدم شمول أدلّة الحرمة للمطبوخ الّذی یخرج منه مائه عند الطبخ، والأحوط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الإجتناب عنه، واللّه العالم بحقائق الأحکام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تسوید هذه الأوراق فی سابع شهر رجب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43" w:name="pg3696_43848"/>
      <w:bookmarkStart w:id="844" w:name="pg3696_43848"/>
      <w:bookmarkEnd w:id="844"/>
    </w:p>
    <w:p>
      <w:pPr>
        <w:pStyle w:val="Heading4"/>
        <w:numPr>
          <w:ilvl w:val="3"/>
          <w:numId w:val="1"/>
        </w:numPr>
        <w:rPr/>
      </w:pPr>
      <w:bookmarkStart w:id="845" w:name="pg3696_43848"/>
      <w:bookmarkStart w:id="846" w:name="__RefHeading___Toc488883_2281741623"/>
      <w:bookmarkStart w:id="847" w:name="_Toc335"/>
      <w:bookmarkEnd w:id="845"/>
      <w:bookmarkEnd w:id="846"/>
      <w:r>
        <w:rPr>
          <w:rtl w:val="true"/>
        </w:rPr>
        <w:t>خاتمة</w:t>
      </w:r>
      <w:r>
        <w:rPr>
          <w:rtl w:val="true"/>
        </w:rPr>
        <w:t xml:space="preserve">: </w:t>
      </w:r>
      <w:r>
        <w:rPr>
          <w:rtl w:val="true"/>
        </w:rPr>
        <w:t>فی حدّ شارب العصیر</w:t>
      </w:r>
      <w:bookmarkEnd w:id="847"/>
    </w:p>
    <w:p>
      <w:pPr>
        <w:pStyle w:val="Heading5"/>
        <w:numPr>
          <w:ilvl w:val="4"/>
          <w:numId w:val="1"/>
        </w:numPr>
        <w:rPr/>
      </w:pPr>
      <w:bookmarkStart w:id="848" w:name="__RefHeading___Toc488885_2281741623"/>
      <w:bookmarkStart w:id="849" w:name="_Toc336"/>
      <w:bookmarkEnd w:id="848"/>
      <w:r>
        <w:rPr>
          <w:rtl w:val="true"/>
        </w:rPr>
        <w:t>کلمات الفقهاء فی ذلک</w:t>
      </w:r>
      <w:bookmarkEnd w:id="849"/>
    </w:p>
    <w:p>
      <w:pPr>
        <w:pStyle w:val="BookText"/>
        <w:rPr/>
      </w:pPr>
      <w:r>
        <w:rPr>
          <w:rFonts w:ascii="IRNazanin" w:hAnsi="IRNazanin" w:eastAsia="IRNazanin"/>
          <w:color w:val="111111"/>
          <w:sz w:val="28"/>
          <w:sz w:val="28"/>
          <w:szCs w:val="28"/>
          <w:rtl w:val="true"/>
          <w:lang w:bidi="fa-IR"/>
        </w:rPr>
        <w:t xml:space="preserve">و ینبغی ختم المقال فی العصیر العنبی بذکر خاتمة، و هی انّه یحدّ شارب العصیر إذا غلی ثمانین جلدة کما یحدّ شارب الخمر، و قد صرحّ به الأصحاب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فی المبسوط فیما تقدّم منه من کتاب الأشربة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مجمع علی تحریمها و هو عصیر العنب الذی إشتدّ و أسکر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حرام، نجس، یحدّ شاربها، سکر أو لم یسکر، بلا خلاف </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 کتاب الشهادات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الخمر عصیر العنب الذی لم تمسه النار و لا خالطه ماء، و هو إذا اشتدّ و أسکر، فإذا کان کذلک فمتی شرب منه و لو قطرة واحدة مع العلم بالتحریم حدّدناه و فسّقناه و رددنا شهادته بلا خلاف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غیر ذلک من کلماته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لا یخفی علیک أنّ من المحتمل قویا أنّ مراده من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أسکر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مراده إسکاره، بل لعلّ مراده السکون بعد الغلیان کما ستعرف إن شاء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الخلاف فی الخمر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علی تحریمها، هی عصیر العنب الذی إشتدّ و أسکر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حرام یجب حدّ شاربها سکر أو لم یسکر بلا خلاف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هذا هو الظاهر من الصدوق رحمه‌الله فی الفقیه و المقنع فی عبارته السابقة فیهما حیث ذکرها فی باب الحدّ و الذی سکت عن التصریح بالعصیر فالظاهر أنّه أدرجه فی الخمر کما لا یخفی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الرابع فی حدّ المسکر و الفقّاع، و مباحثه ثلاثة، الأوّل فی الموجب و هو تناول المسکرات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یتعلّق الحکم بالعصیر إذا غلی و اشتدّ و إن لم یقذف بالزبد إلاّ أن یذهب بالغلیان ثلثاه، أو ینقلب خلاًّ </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النافع فی بحث موجب الحدّ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یتعلّق الحکم و لو بالقطرة و کذا العصیر إذا غلی ما لم یذهب ثلثاه </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القواعد فی موجب الحدّ هو تناول ما أسکر جنسه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إلی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العصیر إذا غلی و إن لم یقذف بالزبد سواء غلی من نفسه أو بالنار إلاّ أن یذهب ثلثاه أو ینقلب خلاًّ ، و کذا غیر العصیر إذا حصلت فیه الشدّة المسکرة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التحریر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 من العنب إذا غلی حرم و کان حکمه حکم الخمر فی تعلّق الحدّ بتناوله، سواء غلی من نفسه أو بالنار، و حدّ الغلیان أن ینقلب أسفله أعلاه و إن لم یقذف بالزبد و یستمر تحریمه إلی أن یذهب ثلثاه أو ینقلب خلاًّ، و لا یحرم بمرور ثلاثة أیّام علیه إذا لم یغل، و أمّا غیر عصیر العنب فإنّما یحرم إذا حصلت فیه الشدّة المسکرة </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کلماته فی کتبه من الإرشاد و التبصرة و التلخیص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اللمعة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الشرب، فما أسکر جنسه یحرم القطرة منه، و کذا الفقّاع و العصیر إذا غلی واشتدّ و لم یذهب ثلثاه، و لا انقلب خلاًّ، و یجب الحدّ ثمانون جلدة بتناوله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المسالک فی شرح العبارة السابقة من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الأصحاب أنّ العصیر العنبی إذا غلی بأن صار أسفله أعلاه محرّم و یصیر بمنزلة الخمر فی الأحکام </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 قال فی التنقیح ما تقدّم منه، و نفی عنه الخلاف فی الجواهر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إلی غیر ذلک من کلماتهم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 — –</w:t>
      </w:r>
    </w:p>
    <w:p>
      <w:pPr>
        <w:pStyle w:val="BookText"/>
        <w:rPr/>
      </w:pPr>
      <w:r>
        <w:rPr>
          <w:rFonts w:ascii="IRNazanin" w:hAnsi="IRNazanin" w:eastAsia="IRNazanin"/>
          <w:color w:val="111111"/>
          <w:sz w:val="28"/>
          <w:sz w:val="28"/>
          <w:szCs w:val="28"/>
          <w:rtl w:val="true"/>
          <w:lang w:bidi="fa-IR"/>
        </w:rPr>
        <w:t>و قد فرغت من إستنساخ هذه النسخة الثمینة المسمّاة بالعصیریّة</w:t>
      </w:r>
    </w:p>
    <w:p>
      <w:pPr>
        <w:pStyle w:val="BookText"/>
        <w:rPr/>
      </w:pPr>
      <w:r>
        <w:rPr>
          <w:rFonts w:ascii="IRNazanin" w:hAnsi="IRNazanin" w:eastAsia="IRNazanin"/>
          <w:color w:val="111111"/>
          <w:sz w:val="28"/>
          <w:sz w:val="28"/>
          <w:szCs w:val="28"/>
          <w:rtl w:val="true"/>
          <w:lang w:bidi="fa-IR"/>
        </w:rPr>
        <w:t>تصنیف جدّی العلاّمة المرحوم الحاج السیّد أسد اللّه الشفتیّ قدس‌سره</w:t>
      </w:r>
    </w:p>
    <w:p>
      <w:pPr>
        <w:pStyle w:val="BookText"/>
        <w:rPr/>
      </w:pPr>
      <w:r>
        <w:rPr>
          <w:rFonts w:ascii="IRNazanin" w:hAnsi="IRNazanin" w:eastAsia="IRNazanin"/>
          <w:color w:val="111111"/>
          <w:sz w:val="28"/>
          <w:sz w:val="28"/>
          <w:szCs w:val="28"/>
          <w:rtl w:val="true"/>
          <w:lang w:bidi="fa-IR"/>
        </w:rPr>
        <w:t xml:space="preserve">فی منتصف الجمادی الأولی سنة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p>
    <w:p>
      <w:pPr>
        <w:pStyle w:val="BookText"/>
        <w:rPr/>
      </w:pPr>
      <w:r>
        <w:rPr>
          <w:rFonts w:ascii="IRNazanin" w:hAnsi="IRNazanin" w:eastAsia="IRNazanin"/>
          <w:color w:val="111111"/>
          <w:sz w:val="28"/>
          <w:sz w:val="28"/>
          <w:szCs w:val="28"/>
          <w:rtl w:val="true"/>
          <w:lang w:bidi="fa-IR"/>
        </w:rPr>
        <w:t>العبد الراجی رحمة الباری حفـید المؤلّف السیّد مهـدی الشفتی إبن المرحوم السیّد محمّد رضا، بن السیّد محمّد باقر الثانی، بن السیّد أسـد اللّه، بن السیّد</w:t>
      </w:r>
    </w:p>
    <w:p>
      <w:pPr>
        <w:pStyle w:val="BookText"/>
        <w:rPr/>
      </w:pPr>
      <w:r>
        <w:rPr>
          <w:rFonts w:ascii="IRNazanin" w:hAnsi="IRNazanin" w:eastAsia="IRNazanin"/>
          <w:color w:val="111111"/>
          <w:sz w:val="28"/>
          <w:sz w:val="28"/>
          <w:szCs w:val="28"/>
          <w:rtl w:val="true"/>
          <w:lang w:bidi="fa-IR"/>
        </w:rPr>
        <w:t>محـمّد بـاقر الموسویّ الشفتیّ الجیـلانی الإصفـهانی المعروف بحجّة الإسلام</w:t>
      </w:r>
    </w:p>
    <w:p>
      <w:pPr>
        <w:pStyle w:val="BookText"/>
        <w:rPr/>
      </w:pPr>
      <w:r>
        <w:rPr>
          <w:rFonts w:ascii="IRNazanin" w:hAnsi="IRNazanin" w:eastAsia="IRNazanin"/>
          <w:color w:val="111111"/>
          <w:sz w:val="28"/>
          <w:sz w:val="28"/>
          <w:szCs w:val="28"/>
          <w:rtl w:val="true"/>
          <w:lang w:bidi="fa-IR"/>
        </w:rPr>
        <w:t>و أسأل اللّه التوفیق لإنتشارها و نشر سائر مؤلّفاته و لما یحبّ و یرضی</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صلّی اللّه علی محمّد و آله الطاهرین والحمد للّه ربّ العالمین </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الآیات الکریمة</w:t>
      </w:r>
    </w:p>
    <w:p>
      <w:pPr>
        <w:pStyle w:val="BookText"/>
        <w:rPr/>
      </w:pPr>
      <w:r>
        <w:rPr>
          <w:rFonts w:ascii="IRNazanin" w:hAnsi="IRNazanin" w:eastAsia="IRNazanin"/>
          <w:color w:val="111111"/>
          <w:sz w:val="28"/>
          <w:sz w:val="28"/>
          <w:szCs w:val="28"/>
          <w:rtl w:val="true"/>
          <w:lang w:bidi="fa-IR"/>
        </w:rPr>
        <w:t>رقم الآیةالصفحة</w:t>
      </w:r>
    </w:p>
    <w:p>
      <w:p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لکم ما فی الأرض جمیعا</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یسألونک عن الخمر والمیسر</w:t>
      </w:r>
      <w:r>
        <w:rPr>
          <w:rFonts w:eastAsia="IRNazanin" w:cs="IRNazanin"/>
          <w:color w:val="111111"/>
          <w:sz w:val="28"/>
          <w:szCs w:val="28"/>
          <w:lang w:bidi="fa-IR"/>
        </w:rPr>
        <w:t>201</w:t>
      </w:r>
    </w:p>
    <w:p>
      <w:pPr>
        <w:pStyle w:val="BookText"/>
        <w:rPr/>
      </w:pPr>
      <w:r>
        <w:rPr>
          <w:rFonts w:ascii="Amiri" w:hAnsi="Amiri" w:eastAsia="Amiri" w:cs="Amiri"/>
          <w:color w:val="111111"/>
          <w:sz w:val="28"/>
          <w:sz w:val="28"/>
          <w:szCs w:val="28"/>
          <w:rtl w:val="true"/>
          <w:lang w:bidi="ar-SA"/>
        </w:rPr>
        <w:t xml:space="preserve">سورة 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تؤتوا السفهاء أموالکم الّتی جعل اللّه لکم قیاماً</w:t>
      </w:r>
      <w:r>
        <w:rPr>
          <w:rFonts w:eastAsia="IRNazanin" w:cs="IRNazanin"/>
          <w:color w:val="111111"/>
          <w:sz w:val="28"/>
          <w:szCs w:val="28"/>
          <w:lang w:bidi="fa-IR"/>
        </w:rPr>
        <w:t>43</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نزَّل علیکم فی الکتاب أَنْ إذا سمعتم آیات اللّه</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سورة 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وطعام الذین أوتوا الکتاب حلّ لکم وطعامکم حلّ لهم</w:t>
      </w:r>
      <w:r>
        <w:rPr>
          <w:rFonts w:eastAsia="IRNazanin" w:cs="IRNazanin"/>
          <w:color w:val="111111"/>
          <w:sz w:val="28"/>
          <w:szCs w:val="28"/>
          <w:lang w:bidi="fa-IR"/>
        </w:rPr>
        <w:t>164</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أیّها الّذین آمنوا إنّما الخمر والمیسر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lang w:bidi="fa-IR"/>
        </w:rPr>
        <w:t>،</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سورة 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یجعل اللّه الرجس علی الّذین لا یؤمنون</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سورة 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یؤمن باللّه و یؤمن للمؤمنین</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فزادتهم رجساً إلی رجسهم</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سورة یونس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یجعل الرجس علی الّذین لا یعقلون</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سورة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السقایة فی رحل أخیه</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سورة إبراهیم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سرابیلهم من قطران</w:t>
      </w:r>
      <w:r>
        <w:rPr>
          <w:rFonts w:eastAsia="IRNazanin" w:cs="IRNazanin"/>
          <w:color w:val="111111"/>
          <w:sz w:val="28"/>
          <w:szCs w:val="28"/>
          <w:lang w:bidi="fa-IR"/>
        </w:rPr>
        <w:t>353</w:t>
      </w:r>
    </w:p>
    <w:p>
      <w:pPr>
        <w:pStyle w:val="BookText"/>
        <w:rPr/>
      </w:pPr>
      <w:r>
        <w:rPr>
          <w:rFonts w:ascii="Amiri" w:hAnsi="Amiri" w:eastAsia="Amiri" w:cs="Amiri"/>
          <w:color w:val="111111"/>
          <w:sz w:val="28"/>
          <w:sz w:val="28"/>
          <w:szCs w:val="28"/>
          <w:rtl w:val="true"/>
          <w:lang w:bidi="ar-SA"/>
        </w:rPr>
        <w:t xml:space="preserve">سورة الاحزاب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لیذهب عنکم الرجس</w:t>
      </w:r>
      <w:r>
        <w:rPr>
          <w:rFonts w:eastAsia="IRNazanin" w:cs="IRNazanin"/>
          <w:color w:val="111111"/>
          <w:sz w:val="28"/>
          <w:szCs w:val="28"/>
          <w:lang w:bidi="fa-IR"/>
        </w:rPr>
        <w:t>61</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الأحادیث الشریفة</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الألف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أتیت المدینة و زیاد بن عبید الحارثی علیها</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أتینا باب أبی عبداللّه علیه‌السلام ونحن نرید الإذن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إذا أصاب ثوبک خمر أو نبیذ مسکر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إذا جاء حدیث عن أوّلکم وحدیث عن آخرکم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إذا زاد الطِلآء علی الثلث أُوقیّة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إذا زاد الطِلآء علی الثلث فهو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إذا سقط فی البئر شیء صغیر فمات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إذا شرب الرجل النبیذ المخمور</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إذا کان یخضب الإناء فاشربه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إذا نشّ العصیر أو غلی حرم</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أرأیتک لو حدثتک بحدیث العام ثمّ جئتنی</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أسأله عن السکنجبین والجلاب و ربّ التوت</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أسأله عن أشربة تکون قبلنا السکنجبین</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أسأله عن شارب المسکر</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أسأله عن الفقّاع،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تقربه</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أسأله عن الفقّاع، فکتب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أستأذنت لبعض أصحابنا علی أبیعبداللّه علیه‌السلام فسأله عن‌النبیذ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أعرض علیک دینی الّذی أدین اللّه عزّوجلّ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إعرفوا منازل الرجال بقدر روایاتهم عنّا</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إعرفوا منازل الرجال منّا علی قدر</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إعرفوا منازل شیعتنا بقدر ما یحسنون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إعرفوا منازل الناس علی قدر</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إقرأ منّی علی والدک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أکلت مع أبی عبداللّه علیه‌السلام یوماً فأتی بدجاجة</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أما واللّه لقد أنزله اللّه بین رسول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أمیرالمؤمنین علیه‌السلام قد عرف قاتله واللیلة الّتی</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إنّ إبلیس ـ لعنه اللّه ـ نازع نوحا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إن أصاب ثوبی شیء من الخمر أصلّی فیه</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إنّ اللّه تعالی لمّا أهبط آدم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إنّ اللّه عزّوجلّ حرّم الخمر بعینها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إنّ اللّه لم یحرّم الخمر لإسمها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IRNazanin" w:hAnsi="IRNazanin" w:eastAsia="IRNazanin"/>
          <w:color w:val="111111"/>
          <w:sz w:val="28"/>
          <w:sz w:val="28"/>
          <w:szCs w:val="28"/>
          <w:rtl w:val="true"/>
          <w:lang w:bidi="fa-IR"/>
        </w:rPr>
        <w:t>إنّا نخالط الیهود والنصاری والمجوس</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إنّا نشتری ثیاباً یصیبها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إنّا نعیّر بالکوفة فیقال 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جعفریّة</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إنّ بی جعلت فداک اریاح البواسیر</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أنت میزان لیس فیه عین</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أنت واللّه منّا أهل 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إنّ رجلاً مات و أوصی إلی رجلین</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إن رأیت أن تفسّر لی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إن سقط فی البئر دابّة صغیرة أو نزل فیها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إنّ العصیر إذا طبخ حتّی یذهب ثلثاه</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إنّ علیّ بن حسکة یدّعی أنّه من أولیائک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 xml:space="preserve">إنّ الکبائر سبع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إنّ ما یبل المیل ینجس حبّا من ماء</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 xml:space="preserve">أنّ من سرّه أن ینظر إلی رجل من أصحاب القائم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أنّ النبیّ صلی‌الله‌علیه‌و‌آله أتی بنبیذ السقایة فشمّه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انّه سئل عن الخمر یعالج بالملح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أنّه کان یروق الطِلآء، و هو ما طبخ</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إنّهم نجباء أمناء اللّه علی حلاله و حرامه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إنّی أتطیّب لزوجی فنجعل فی المشطة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إنّی أصنع الأشربة من العسل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إنّی أعیر الذمّی ثوبی و أنا أعلم</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إنّی رجل من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أوصی رجل إلیّ بترکته </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Amiri" w:hAnsi="Amiri" w:eastAsia="Amiri" w:cs="Amiri"/>
          <w:color w:val="111111"/>
          <w:sz w:val="28"/>
          <w:sz w:val="28"/>
          <w:szCs w:val="28"/>
          <w:rtl w:val="true"/>
          <w:lang w:bidi="ar-SA"/>
        </w:rPr>
        <w:t>أیّها الناس إنّ من العنب خمراً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الباء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بئر قطر فیها قطرة دم أو خمر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بلغنی أنّک برئت من عمّی یعنی زرارة</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الجیم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جعلت فداک عندنا شراب یسمّی المیبة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جعلت فداک العصیر یصیر خمراً فیصب </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الحاء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حججت أوّل حجّة فصرت إلی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الخاء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خذ عن یونس بن عبدالرّحمن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خذوا بالأحدث</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خلّ الخمر یشدّ اللثة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ascii="IRNazanin" w:hAnsi="IRNazanin" w:eastAsia="IRNazanin"/>
          <w:color w:val="111111"/>
          <w:sz w:val="28"/>
          <w:sz w:val="28"/>
          <w:szCs w:val="28"/>
          <w:rtl w:val="true"/>
          <w:lang w:bidi="fa-IR"/>
        </w:rPr>
        <w:t>الخمر من خمسة أشیاء، من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الخمر من خمسة، العصیر من الکرم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الخمر من ستّة أشیاء، من التمر</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خمسة أشیاء ذکیّة بما فیها منافع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الدال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أمّ خالد العبدیّة علی أبی عبداللّه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دخلت علی أبیعبداللّه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فشم رائحة النضوح</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rtl w:val="true"/>
          <w:lang w:bidi="fa-IR"/>
        </w:rPr>
        <w:t>دخلت علی أبیعبداللّه علیه‌السلام یوم صلب فیه المعلّی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الدن یکون فیه الخمر ثمّ یجفّفه یجعل فیه الخلّ</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رجل أوصی إلی رجلین، أیجوز لأحدهما</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رجل یشرب الخمر فبصق علی ثوبی</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الرجل یهدی إلی البختج من غیر أصحابنا</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رحم اللّه بکیرا، و قد فعل فنظرت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 أباعبداللّه علیه‌السلام عن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سأل أبوعبداللّه علیه‌السلام عن الزبیب یدقّ</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سأل أبی أباعبداللّه علیه‌السلام إنّی أعیر الذمّی ثوبی</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أبی أباعبداللّه علیه‌السلام عن الّذی یعیر ثوبه</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 أبا جعفر علیه‌السلام عن آنیة أهل الذمّة</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سألت أباالحسن علیه‌السلام عن قطرة خمر أو نبیذ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سألت أباعبداللّه علیه‌السلام عن أصل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سألت أباعبداللّه علیه‌السلام عن البختج</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سألت أباعبداللّه علیه‌السلام عن التیمّم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سألت أباعبداللّه علیه‌السلام عن ثمن العصیر قبل أن یغلی</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سألت أباعبداللّه علیه‌السلام عن الثیاب السابریّة</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سألت أباعبداللّه علیه‌السلام عن الخمر تجعل خلاًّ</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سألت أباعبداللّه علیه‌السلام عن الخمر والنبیذ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سألت أباعبداللّه علیه‌السلام عن الخمر یصنع فیها الشیء حتّی تخمض</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سألت أباعبداللّه علیه‌السلام عن الرجل یأتی بالشراب</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سألت أباعبداللّه علیه‌السلام عن‌الرجل یأتینی بالبختج</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سألت أباعبداللّه علیه‌السلام عن الرجل یأخذ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سألت أباعبداللّه علیه‌السلام عن الرجل یشرب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سألت أباعبداللّه علیه‌السلام عن طعام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سألت أباعبداللّه علیه‌السلام عن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سألت أباعبداللّه علیه‌السلام عن مؤاکلة الیهودی والنصرانی</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سألت أباعبداللّه علیه‌السلام عن النضوح</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سألت أباعبداللّه علیه‌السلام عن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سألت الرضا علیه‌السلام عن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سألت الصادق علیه‌السلام عن دواء یعجن بالخمر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سألته عن أکل المری والکامخ</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سألته عن التمر والزبیب یطبخان للنبیذ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سألته عن الجنب یجعل الرکوة</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سألته عن الخمر العتیقة تجعل خلاًّ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سألته عن الدن یکون فیه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سألته عن رجل مرّ بمکان قد رشّ فیه خمر</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سألته عن رجل معه إناءان فیهما ماء</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سألته عن رجل یصلّی للقبلة لا یوثّق به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سألته عن الزبیب هل یصلح أن یطبخ</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سألته عن السکنجبین، والجُلاّب</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سألته عن شرب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سألته عن شرب الفقّاع الّذی یعمل فیالسوق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سألته عن الظروف</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سألته عن العصیر یطبخ بالنار حتّی یغلی</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سألته عن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سألته عن نبیذ قد سکن غلیانه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سأل رجل أباعبداللّه علیه‌السلام عن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سأل عن الخمر یجعل فیها الخلّ</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سأل عن الزبیب کیف طبخه</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سأل عن النضوح المعتق کیف یصنع به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سألنا أباالحسن علیه‌السلام عن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سأله عن ثوب المجوسی ألبسه</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سأله عن الزبیب یؤخذ مائه</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الشین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شکوت إلی أبی عبداللّه علیه‌السلام قراقر یصیبنی</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شکوت إلی جعفر بن محمّد الصادق علیهماالسلام بعض الوجع</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الصاد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صرت یوماً إلی باب محمّد الباقر علیه‌السلام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العین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العصیر إذا طبخ حتّی یذهب منه ثلاثة دوانیق</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علیک بخل الخمر فاغمس فیه</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عن الرجل یمرّ فی ماء المطر</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عن الدن یکون فیه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الفاء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الإناء یشرب منه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البئر یبول فیها الصبیّ أو یصب فیها خمر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فی الخمر یصیب ثوب الرجل</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فی رجل أخذ عشرة أرطال من عصیر العنب</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فی الرجل إذا باع عصیراً فحبسه السلطان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فی رجل إشتکی عینیه فنعت له کحل</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فی قدح یشرب فیه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 xml:space="preserve">فی قول اللّه عزّوجلّ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طعام الّذین أوتوا الکتاب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 xml:space="preserve">فی 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إنّما الخمر والمیسر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القاف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قدم علی رسول اللّه صلی‌الله‌علیه‌و‌آله قوم من الیمن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قد وجّهت إلیک ثمانیة دراهم</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الکاف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أبو عبداللّه علیه‌السلام یعجبه الزبیبیّة</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کان واللّه أصحاب أبی خیرا منکم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کان یعمل لأبی الحسن علیه‌السلام الفقّاع فی منزله</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کتبت إلی الرجل أسأله عن الثوب یصیب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کلّ شیء فیه حلال 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کلّ شیء نظیف حتّی تعلم أنّه قذر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عصیر أصابته النار فهو حرام</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 ما أسکر کثیره فقلیله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کلّ مسکر خمر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کلوا خلّ الخمر فإنّه یقتل الدیدان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کنّا مع أبی عبداللّه علیه‌السلام بالحیرة حین</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کنت عند الرضا علیه‌السلام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فأمسیت عنده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کنت مبتلی بالنبیذ معجباً به</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بشرب العصیر ستّة أیّام</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لا تجالسوا شراب الخمر فإنّ اللعنة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IRNazanin" w:hAnsi="IRNazanin" w:eastAsia="IRNazanin"/>
          <w:color w:val="111111"/>
          <w:sz w:val="28"/>
          <w:sz w:val="28"/>
          <w:szCs w:val="28"/>
          <w:rtl w:val="true"/>
          <w:lang w:bidi="fa-IR"/>
        </w:rPr>
        <w:t>لا تصلّ فی بیت فیه خمر و لا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لا تصلّ فیه فإنّه رجس حتّی تغسله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لا یحرم العصیر حتّی یغلی</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لا ینال شفاعتنا من استخفّ بالصلاة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لا ینال شفاعتی من استخفّ بصلاته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لعن رسول اللّه صلی‌الله‌علیه‌و‌آله الخمر و عاصرها و معتصرها</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لقد حدّثنی قبل الحیرة بعشر سنین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لمّا هبط نوح من السفینة غرس غرسا</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لولا أنّا نزداد لأنفدنا</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المیم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تری فی قدح من مسکر یصب علیه الماء</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ما تقول فی شرب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ما تقول فی طعام أهل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ما تقول فی النبیذ فإنّ أبا مریم یشربه</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462</w:t>
      </w:r>
    </w:p>
    <w:p>
      <w:pPr>
        <w:pStyle w:val="BookText"/>
        <w:rPr/>
      </w:pPr>
      <w:r>
        <w:rPr>
          <w:rFonts w:ascii="IRNazanin" w:hAnsi="IRNazanin" w:eastAsia="IRNazanin"/>
          <w:color w:val="111111"/>
          <w:sz w:val="28"/>
          <w:sz w:val="28"/>
          <w:szCs w:val="28"/>
          <w:rtl w:val="true"/>
          <w:lang w:bidi="fa-IR"/>
        </w:rPr>
        <w:t>ما من عبد یشرب المسکر فتقبل صلاته أربعین صباحاً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مسح الرأس علی 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مَن شرب الخمر بعد إذ حرّمها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مَن شرب مسکرا انحبست صلاته أربعین یوماً</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مَن شرب مسکرا کان حقّا علی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مَن شرب مسکرا لم یقبل منه صلاته أربعین صباحاً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 شرب مسکرا لم یقبل منه صلاته أربعین لیلة</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مَن شرب المسکر فمات و فی جوفه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مَن شرب النبیذ علی أنّه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مَن شکّ فیالمغرب فلم یدر إثنین صلّی أم ثلاثاً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IRNazanin" w:hAnsi="IRNazanin" w:eastAsia="IRNazanin"/>
          <w:color w:val="111111"/>
          <w:sz w:val="28"/>
          <w:sz w:val="28"/>
          <w:szCs w:val="28"/>
          <w:rtl w:val="true"/>
          <w:lang w:bidi="fa-IR"/>
        </w:rPr>
        <w:t>مَن کان یؤمن باللّه والیوم الآخر فلا یأکل</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النون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نزّلوا داود الرقّی منّی بمنزلة المقداد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نهی رسول اللّه صلی‌الله‌علیه‌و‌آله عن الدّباء والمزفت</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رسول اللّه صلی‌الله‌علیه‌و‌آله عن کلّ مسکر</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الواو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صبّ فی الخلّ لم یحلّ أکله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و سألته عن الخمر یکون أوّله خمراً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وصف لی أبوعبداللّه علیه‌السلام المطبوخ کیف یطبخ</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و قد سئل عن الطِلآء</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و لایصلّی فی ثوب أصابه خمر أو مسکر حتّی یغسل</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و یونس فی زمانه کسلمان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الیاء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یأتی شارب الخمر یوم القیامة مُسودّا وجهه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یا داود إذا حدثت عنّا بالحدیث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یا محمّد بن عاصم بلغنی أنّک تجالس الواقفة</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یرید بالخمر جمیع الأشربة الّتی تسکر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یسأل أباعبداللّه علیه‌السلام عن صوم یوم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یسأل أباعبداللّه علیه‌السلام عن النبیذ</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یسأله عن رُبّ الجوز یتّخذ لوجع الحلق والبحبحة</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یکون لی علی الرجل الدراهم فیعطینی بها خمراً</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مصادر التحقیق</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القرآن الکریم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زبدة البیان فی أحکام القرآن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أجوبة المسائل المهنّائیّة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مطبعة الخیّام،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الإحتجاج علی أهل اللجاج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أحمد بن علیّ بن أبی طالب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السادس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محمّد باقر الخراسان، دار النعمان للطباعة والنشر،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الرازی الجصاص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عبدالسلام محمّد علی شاهین، دار الکتب العلمیة،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إختیار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آل البیت علیهم‌السلام ،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المطبوع مع تعلیقة المعلّم الثالث میرداماد الأسترآبادی </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إرشاد الأذهان إلی أحکام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فارس الحسّون، مؤسسة النشر الإسلامی التابعة لجماعة المدرسین،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الإستبصار فیما اختلف من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حسن الخرسان، دارالکتب الإسلامیّة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لعدّة من المحدّثین، دار الشبستری للمطبوعات،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الحسن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قسم الدراسات الإسلامیّة، دار الثقافة،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الإنتصار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الموسوی المعروف بالشریف المرتضی و 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النشر الإسلامی التابعة لجماعة المدرّسین، قم ،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الأنساب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سعد عبدالکریم بن محمّد بن منصور التمیمی السمعانی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مصر، سنة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أنوار التنزیل و أسرار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البیضاوی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لناصر الدّین أبی الخیر عبداللّه بن عمر البیضاوی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شعبان للنشر والتوزیع، بیروت،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أوائل المقالات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البغدادی المعروف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إبراهیم الأنصاری الزنجانی ، دار المفید ،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إیضاح الفوائد فی شرح إشکالات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طالب محمّد بن الحسن بن یوسف المطهّر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الکرمانی والإشتهاردی والبروجردی، المطبعة العلمیة،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بحار الأنوار الجامعة لدرر أخبار الأئمّة الأطهار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تقی المجلسی </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مؤسسة الوفاء،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بحر الجواهر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یوسف الطبیب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دار الخلافة، طهران،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مجمع الذخائر الإسلامیة ، قم ،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تاریخ بغداد أو مدینة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بکر أحمد بن علیّ الخطیب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مصطفی عبدالقادر عطا،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تاریخ الفاطمیین فی مصر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زاهد علی، من مطبوعات الجامعة العثمانیة، رقم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حیدر آباد،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تبصرة المتعلّمین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و الشیخ هادی الیوسفی ، نشر الفقیه، تهران،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تحریر الأحکام الشرعیّة علی مذهب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إبراهیم‌البهادری،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تحفة المؤمن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حکیم مؤمن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محمّد مؤمن بن محمّد زمان الحسینی التنکابنی، نشر مکتبة المحمودی، إیران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التحفة السنیة فی شرح نخبة المحسنیّة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عبداللّه بن نعمة اللّه الجزائری </w:t>
      </w:r>
      <w:r>
        <w:rPr>
          <w:rFonts w:eastAsia="IRNazanin" w:cs="IRNazanin"/>
          <w:color w:val="111111"/>
          <w:sz w:val="28"/>
          <w:szCs w:val="28"/>
          <w:rtl w:val="true"/>
          <w:lang w:bidi="fa-IR"/>
        </w:rPr>
        <w:t>(</w:t>
      </w:r>
      <w:r>
        <w:rPr>
          <w:rFonts w:eastAsia="IRNazanin" w:cs="IRNazanin"/>
          <w:color w:val="111111"/>
          <w:sz w:val="28"/>
          <w:szCs w:val="28"/>
          <w:lang w:bidi="fa-IR"/>
        </w:rPr>
        <w:t>1091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مخطوطات مکتبة آستان القدس الرضویّة، رقم </w:t>
      </w:r>
      <w:r>
        <w:rPr>
          <w:rFonts w:eastAsia="IRNazanin" w:cs="IRNazanin"/>
          <w:color w:val="111111"/>
          <w:sz w:val="28"/>
          <w:szCs w:val="28"/>
          <w:lang w:bidi="fa-IR"/>
        </w:rPr>
        <w:t>2269</w:t>
      </w:r>
      <w:r>
        <w:rPr>
          <w:rFonts w:eastAsia="IRNazanin" w:cs="IRNazanin"/>
          <w:color w:val="111111"/>
          <w:sz w:val="28"/>
          <w:szCs w:val="28"/>
          <w:rtl w:val="true"/>
          <w:lang w:bidi="fa-IR"/>
        </w:rPr>
        <w:t xml:space="preserve"> .</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تذکرة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ترجمان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القاموس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لمحمّد یحیی بن محمّد شفیع القزوینی، الطبعة الحجریّة،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علی أجوبة المسائل المهنّائیّة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تقی الموسوی الدشتستانی، نشر مجمع الذخائر الإسلامیّة، قم،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علی منهج المقال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المجدّد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إیران،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تفسیر البیضاوی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أنوار التنزیل و أسرار التأویل</w:t>
      </w:r>
    </w:p>
    <w:p>
      <w:pPr>
        <w:pStyle w:val="BookText"/>
        <w:rPr/>
      </w:pPr>
      <w:r>
        <w:rPr>
          <w:rFonts w:ascii="IRNazanin" w:hAnsi="IRNazanin" w:eastAsia="IRNazanin"/>
          <w:color w:val="111111"/>
          <w:sz w:val="28"/>
          <w:sz w:val="28"/>
          <w:szCs w:val="28"/>
          <w:rtl w:val="true"/>
          <w:lang w:bidi="fa-IR"/>
        </w:rPr>
        <w:t xml:space="preserve">تفسیر القرطبی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الجامع لأحکام القرآن</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علیّ بن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القمّی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الحسن علیّ بن إبراهیم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طیب الموسوی الجزائری، مؤسسة دار الکتاب،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تفسیر العیّاشی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النضر محمّد بن مسعود بن عیاش السلمی السمرقندی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هاشم الرسولی المحلاّتی، المکتبة العلمیة الإسلامیة،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الکشّاف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الکشّاف</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تلخیص المرام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الأبحاث والدراسات الإسلامیّة، قم، مطبعة مکتب الإعلام الإسلامی،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التنقیح الرائع لمختصر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مقداد بن عبداللّه السیوری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عبد اللطیف الحسینی الکوه کمری، نشر مکتبة آیة اللّه المرعشی رحمه‌الله ، الطبعة الأولی،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تنقیح المقال فی علم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عبداللّه المامقانی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محیی الدّین المامقانی، نشر مؤسّسة آل البیت علیهم‌السلام لإحیاء التراث، قم، الطبعة الأولی،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حسن الموسوی الخرسان، دار الکتب الإسلامیة، تهران،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تهذیب اللغة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منصور محمّد بن أحمد الأزهری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المصریّة للتألیف و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الأصول فی أحادیث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للمبارک بن محمّد بن الأثیر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عبدالقادر الأرناؤوط،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الرواة و إزاحة الإشتباهات عن الطرق والأسناد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منشورات مکتبة آیة اللّه المرعشی،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القرطبی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عبداللّه محمّد بن أحمد الأنصاری القرطبی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مؤسسة التاریخ العربی ، دار إحیاء التراث العربی،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الجامع للشرائع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لنجیب الدّین یحیی بن أحمد بن سعید الحلّی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بإشراف الشیخ السبحانی، المطبعة العلمیة،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المقاصد فی شرح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الثانی علیّ بن الحسین بن عبدالعالی الکرکی </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نشر وتحقیق مؤسّسة آل البیت علیهم‌السلام لإحیاء التراث، قم،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جوابات أهل الموصل فی العدد والرؤیة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بن نعمان العکبری البغدادی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مهدی نجف، المطبعة مهر، قم </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جواهر الکلام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حسن بن باقر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الشیخ عبّاس القوچانی، دار الکتب الإسلامیة،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بهاء الدّین علی النیلی، مخطوطة مکتبة آیة اللّه المرعشی، المرقّمة </w:t>
      </w:r>
      <w:r>
        <w:rPr>
          <w:rFonts w:eastAsia="IRNazanin" w:cs="IRNazanin"/>
          <w:color w:val="111111"/>
          <w:sz w:val="28"/>
          <w:szCs w:val="28"/>
          <w:lang w:bidi="fa-IR"/>
        </w:rPr>
        <w:t>2474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غایة المراد فی شرح نکت الإرشاد</w:t>
      </w:r>
    </w:p>
    <w:p>
      <w:pPr>
        <w:pStyle w:val="BookText"/>
        <w:rPr/>
      </w:pPr>
      <w:r>
        <w:rPr>
          <w:rFonts w:ascii="IRNazanin" w:hAnsi="IRNazanin" w:eastAsia="IRNazanin"/>
          <w:color w:val="111111"/>
          <w:sz w:val="28"/>
          <w:sz w:val="28"/>
          <w:szCs w:val="28"/>
          <w:rtl w:val="true"/>
          <w:lang w:bidi="fa-IR"/>
        </w:rPr>
        <w:t xml:space="preserve">حاشیة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ascii="IRNazanin" w:hAnsi="IRNazanin" w:eastAsia="IRNazanin"/>
          <w:color w:val="111111"/>
          <w:sz w:val="28"/>
          <w:sz w:val="28"/>
          <w:szCs w:val="28"/>
          <w:rtl w:val="true"/>
          <w:lang w:bidi="fa-IR"/>
        </w:rPr>
        <w:t xml:space="preserve">حاشیة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ascii="IRNazanin" w:hAnsi="IRNazanin" w:eastAsia="IRNazanin"/>
          <w:color w:val="111111"/>
          <w:sz w:val="28"/>
          <w:sz w:val="28"/>
          <w:szCs w:val="28"/>
          <w:rtl w:val="true"/>
          <w:lang w:bidi="fa-IR"/>
        </w:rPr>
        <w:t xml:space="preserve">حاشیة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الإعداد والتحقیق مرکز الأبحاث والدراسات الإسلامیّة، مرکز النشر التابع لمکتب الإعلام الإسلامی،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الحاشیة علی الروضة البهیّة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محمّد مهدیالنراقی </w:t>
      </w:r>
      <w:r>
        <w:rPr>
          <w:rFonts w:eastAsia="IRNazanin" w:cs="IRNazanin"/>
          <w:color w:val="111111"/>
          <w:sz w:val="28"/>
          <w:szCs w:val="28"/>
          <w:rtl w:val="true"/>
          <w:lang w:bidi="fa-IR"/>
        </w:rPr>
        <w:t>(</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الشیخ رضا الأستادی والشیخ محسن الأحمدی ، مؤسسة النشر الإسلامی،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مجمع الفائدة والبرهان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العلاّمة الوحید البهبهانی،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حاشیة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الحبل المتین فی أحکام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بهاء الدّین محمّد بن الحسین بن عبدالصمد الحارثی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الطبعة الحجریة ، مکتبة بصیرتی ، قم،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الحدائق الناضرة فی أحکام العترة الطاهرة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یوسف البحرانی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تقی الإیروانی، مؤسسة النشر الإسلامی التابعة لجماعة المدرسین، قم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حیاة المحقّق الکرکی وآثاره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الحسّون، منشورات الإحتجاج، تهران،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خلاصة الأقوال فی معرفة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جواد القیومی، مؤسسة النشر الإسلامی، النجف الأشرف،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الخلاف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علی الخراسانی والسیّد جواد الشهرستانی و الشیخ مهدی نجف، مؤسسة النشر الإسلامی،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الدروس الشرعیّة فی الفقه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الدرّة النجفیّة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المهدی بحرالعلوم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الزهراء،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دعائم الإسلام و ذکر الحلال و الحرام و القضایا والأحکام عن أهل بیت رسول اللّه ـ علیه و علیهم أفضل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نعمان بن محمّد بن منصور بن أحمد بن حیون التمیمی المغربی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آصف بن علی اصغر فیضی، دار المعارف، مصر ، </w:t>
      </w:r>
      <w:r>
        <w:rPr>
          <w:rFonts w:eastAsia="IRNazanin" w:cs="IRNazanin"/>
          <w:color w:val="111111"/>
          <w:sz w:val="28"/>
          <w:szCs w:val="28"/>
          <w:lang w:bidi="fa-IR"/>
        </w:rPr>
        <w:t>1383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المعاد فی شرح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نشر مؤسسة آل البیت علیهم‌السلام لإحیاء التراث،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ذکری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إبن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لتقی الدّین الحسن بن علی بن داود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بعد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المطبعة الحیدریة، النجف الأشرف،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إبن الغضائری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حسین بن عبیداللّه غضائری المشهور بإبن الغضائری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المطبوع ضمن مجمع الرجال للقهپائی ، مؤسسة إسماعیلیان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السیّد بحرالعلوم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الرجالیّة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للسیّد محمّد مهدی بحرالعلوم </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صادق بحرالعلوم، مکتبة الصدوق،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جواد القیّومی الإصفهانی، مؤسسة النشر الإسلامی التابعة لجماعة المدرسین،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رجال الکشّی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إختیار معرفة الرجال</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رجال النجاشی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 أسماء مصنّفی الشیعة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العبّاس أحمد بن علی بن أحمد بن العبّاس النجاشی الکوفی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موسی الشبیری الزنجانی، نشر مؤسّسة النشر الإسلامی التابعة لجماعة المدرّسین بقم المشرّفة، </w:t>
      </w:r>
      <w:r>
        <w:rPr>
          <w:rFonts w:eastAsia="IRNazanin" w:cs="IRNazanin"/>
          <w:color w:val="111111"/>
          <w:sz w:val="28"/>
          <w:szCs w:val="28"/>
          <w:lang w:bidi="fa-IR"/>
        </w:rPr>
        <w:t>1416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باقر بن محمّد نقی الشفتی المشهور بحجّة الإسلام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مکتبة مسجد السیّد بإصفهان،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الشریف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دار القرآن الکریم مدرسة آیة اللّه الگلپایگانی،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الشهید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شمس الدّین محمّد بن مکّی العاملی المشهور بالشهید الأوّل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مرکز الأبحاث والدراسات الإسلامیّة ، قم ، مکتب الإعلام الإسلامی،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العبّاس أحمد بن محمّد بن فهد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نشر مکتبة آیة اللّه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الرسائل الفقهیّة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ونشر مؤسّسة العلاّمة الوحید البهبهانی رحمه‌الله ،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رسائل المحقّق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الثانی علی بن الحسین بن عبدالعالی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محمّد الحسّون، المجلّد الأوّل والثانی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مکتبة السیّد المرعشی،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والمجلّد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 الجنان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مؤسسة آل البیت علیهم‌السلام لإحیاء التراث،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الروضة البهیّة فی شرح 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جامعة النجف الدینیّة،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روضة المتّقین فی شرح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تقی بن مقصود علی المجلسی الإصفهانی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السیّد حسین الموسوی الکرمانی والشیخ علی پناه الإشتهاردی والسیّد فضل اللّه الطباطبائی، نشر المؤسسة الثقافیّة الإسلامیّة للکوشانبور،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ریاض المسائل فی تحقیق الأحکام بالدلائل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بن محمّد علی الطباطبائی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زبدة البیان فی أحکام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لعالم الربّانی أحمد بن محمّد الأردبیلی المشهور بالمقدّس الأردبیلی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الباقر البهبودی، نشر مکتبة المرتضویّة لإحیاء الآثار الجعفریّة، تهران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السرائر الحاوی لتحریر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منصور بن أحمد بن إدریس العجلی الحلّی </w:t>
      </w:r>
      <w:r>
        <w:rPr>
          <w:rFonts w:eastAsia="IRNazanin" w:cs="IRNazanin"/>
          <w:color w:val="111111"/>
          <w:sz w:val="28"/>
          <w:szCs w:val="28"/>
          <w:rtl w:val="true"/>
          <w:lang w:bidi="fa-IR"/>
        </w:rPr>
        <w:t xml:space="preserve">(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إبن ماجة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یزید بن ماجة القزوینی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أبی داود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داود سلیمان بن الأشعث السجستانی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سعید محمّد اللحام، دار الفکر، بیروت،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الترمذی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عیسی محمّد بن عیسی بن سورة الترمذی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عبدالوهاب عبداللطیف، دار الفکر،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الدارقطنی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عمر بن أحمد الدارقطنی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مجدی بن منصور بن سیّد الشوری، دار الکتب العلمیّة، بیروت،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بهرام الدارمی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نشر مطبعة الإعتدال ، دمشق،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السنن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سنن البیهقی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لأبی بکر أحمد بن الحسین بن علی البیهقی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سنن النسائی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شعیب النسائی </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بشرح الحافظ جلال الدّین السیوطی وحاشیة السندی، دار الفکر، بیروت،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شرائع الإسلام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الشیخ أبی القاسم جعفر بن حسن بن یحیی بن سعید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تعلیق السیّد صادق الشیرازی، نشر إنتشارات الإستقلال، طهران،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حیاة المحقّق الکرکی وآثاره</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للمصنّف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 مخطوطات مکتبة مسجد السیّد حجّة الإسلام، إصفهان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الصحاح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اللغة وصحاح العربیّة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لإسماعیل بن حمّاد الجوهری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أحمد بن عبدالغفور عطار، دار العلم للملایین،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بن إسماعیل البخاری </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الفکر،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لأبیالحسین مسلم بن الحجاج القشیری النیسابوری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فؤاد عبدالباقی، دار الفکر، بیروت،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طبّ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عتاب عبداللّه بن سابور الزیات والحسین ابنی بسطام النیسابوریین </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الرضی، قم،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طرائف المقال فی معرفة طبقات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أصغر بن محمّد شفیع الجابلقی البروجردی </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مکتبة آیة اللّه المرعشی،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الطبقات الکبری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سعد کاتب الواقدی </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دار صادر،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عدّة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رضا الأنصاری،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علل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المکتبة الحیدریّة، النجف الأشرف،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عیون أخبار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حسین الأعلمی، مؤسسة الأعلمی للمطبوعات،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غایة المراد فی شرح نکت الإرشاد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المطبوعة مع حاشیتا الإرشاد للشهید الثانی، تحقیق مرکز الأبحاث والدراسات الإسلامیة،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غایة المرام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مفلح بن الحسن الصیمری البحرانی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الهادی، بیروت،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غنیة النزوع إلی علمی الأصول والفروع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المکارم السیّد حمزة بن علیّ بن زهرة الحسینی، المعروف بإبن زهرة </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إبراهیم البهادری، مؤسسة الإمام الصادق علیه‌السلام بإشراف الشیخ جعفر السبحانی،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الفائق فی غریب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أبوالفضل إبراهیم وعلی محمّد البجاوی، دارالفکر،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الباری شرح صحیح البخاری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لشهاب الدّین ابن حجر العسقلانی </w:t>
      </w:r>
      <w:r>
        <w:rPr>
          <w:rFonts w:eastAsia="IRNazanin" w:cs="IRNazanin"/>
          <w:color w:val="111111"/>
          <w:sz w:val="28"/>
          <w:szCs w:val="28"/>
          <w:rtl w:val="true"/>
          <w:lang w:bidi="fa-IR"/>
        </w:rPr>
        <w:t xml:space="preserve">(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المعرفة،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فتح العزیز فی شرح الوجیز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عبدالکریم بن محمّد الرافعی </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دار الفکر،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إبن أبی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مرکز المعجم الفقهی،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الفقه المنسوب إلی الإمام الرضا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بابویه القمی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آل البیت علیهم‌السلام ، نشر المؤتمر العالمی للإمام الرضا علیه‌السلام ، مشهد،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الفقه علی المذاهب الأربعة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الرّحمن الجزیری، دار إحیاء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الفهرست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جواد القیومی، مؤسسة نشر الفقاهة،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الفوائد الرجالیّة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مکتبة العلمین الطوسی وبحرالعلوم، نجف الأشرف،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فوائد القواعد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أبوالحسن المطلبی، مرکز النشر التابع لمکتب الإعلام الإسلامی،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القاموس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طاهر مجد الدّین محمّد بن یعقوب الفیروزآبادی </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دار العلم، بیروت،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القانون والطب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عبداللّه البلخی البخاری المشهور بأبی علی سینا و شیخ الرئیس </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قرب الإسناد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عبداللّه بن جعفر الحمیری القمّی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قواعد الأحکام فی معرفة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ثقة الإسلام محمّد بن یعقوب بن إسحاق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علی أکبر الغفاری، دار الکتب الإسلامیّة، طهران،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الکافی فی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الصلاح الحلبی تقی الدّین بن نجم </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رضا الأستادی، مکتبة أمیر المؤمنین علیه‌السلام ، إصفهان،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الطهارة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الأنصاری </w:t>
      </w:r>
      <w:r>
        <w:rPr>
          <w:rFonts w:eastAsia="IRNazanin" w:cs="IRNazanin"/>
          <w:color w:val="111111"/>
          <w:sz w:val="28"/>
          <w:szCs w:val="28"/>
          <w:rtl w:val="true"/>
          <w:lang w:bidi="fa-IR"/>
        </w:rPr>
        <w:t xml:space="preserve">(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تحقیق تراث الشیخ الأعظم،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الغریبین غریبی القرآن والحدیث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عبید أحمد بن محمّد بن محمّد الهروی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محمود محمّد الطناحی، نشر المجلس الأعلی للشئون الإسلامیّة، قاهرة،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إدریس الشافعی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مطبعة بولاق الامیریة، دار الکتب العلمیة،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من لایحضره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علی أکبر الغفاری، نشر جامعة المدرّسین،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الموطأ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لمالک بن أنس بن أبی عامر بن عمرو بن الحارث الأصبحی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فؤاد عبدالباقی، دار إحیاء التراث العربی، بیروت،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الکشّاف عن حقائق غوامض التنزیل و عیون الأقاویل فی وجوه التأویل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القاسم جار اللّه محمود بن عمر الزمخشری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دار الکتب العربی ، بیروت،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الإلتباس عن موجز أبیالعبّاس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لمفلح بن الحسن‌الصیمری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الباقری و محمّد الحسّون، نشر مؤسسة صاحب‌الأمر علیه‌السلام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الغطاء عن مبهمات شریعة الغراء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الکبیر الشیخ جعفر کاشف الغطاء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إنتشارات مهدوی، إصفهان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الغمّة فی معرفة الأئمّة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علی بن عیسی بن أبی الفتح الإربلی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الأضواء،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کشف اللّثام عن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بهاء الدّین محمّد بن الحسن الإصفهانی المعروف بـ الفاضل الهندی </w:t>
      </w:r>
      <w:r>
        <w:rPr>
          <w:rFonts w:eastAsia="IRNazanin" w:cs="IRNazanin"/>
          <w:color w:val="111111"/>
          <w:sz w:val="28"/>
          <w:szCs w:val="28"/>
          <w:rtl w:val="true"/>
          <w:lang w:bidi="fa-IR"/>
        </w:rPr>
        <w:t xml:space="preserve">(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النشر الإسلامی التابعة لجماعة المدرّسین بقم المشرّفة،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کفایة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باقر بن محمّد مؤمن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الطبعة الحجریة، نشر مدرسة صدر المهدوی، إصفهان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کنز العرفان فی فقه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المقداد بن عبداللّه السیوری، المعروف بالفاضل المقداد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محمّد القاضی، نشر المجمع العالمی للتقریب بین المذاهب الإسلامیة،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لسان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محمّد بن مکرم بن منظور المصری </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نشر أدب الحوزة،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اللمعة الدمشقیّة فی فقه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الأوّل شمس الدّین محمّد بن مکّی العاملی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علی الکورانی، دار الفکر،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المبسوط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لشیخ الطائفة محمّد بن الحسن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محمّد تقی الکشفی، نشر المکتبة المرتضویة، طهران،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البحرین و مطلع النیّرین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فخر الدّین محمّد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أحمد الحسینی، مکتبة نشر الثقافة الإسلامیة،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علی أمین الإسلام الفضل بن الحسن الطبرسی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لجنة من العلماء والمحقّقین الأخصائیین، نشر مؤسسة الأعلمی، 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الزوائد و منبع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للحافظ نور الدّین علیّ بن أبی بکر الهیثمی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العلمیة، بیروت،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مجمع الفائدة والبرهان فی شرح إرشاد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الأردبیلی أحمد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إشتهاردی وعراقی ویزدی، نشر جامعة المدرّسین،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القمی، نشر مؤسسة البعثة، طهران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دار التقریب، قاهرة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مختلف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مؤسسة النشر الإسلامی التابعة لجماعة المدرسین،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مدارک الأحکام فی شرح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علی الموسوی العاملی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علیهم‌السلام لإحیاء التراث،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المراسم النبویّة والأحکام العلویّة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لسلاّر بن عبدالعزیزالدیلمی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السیّد محسن الحسینیالأمینی، نشرالمعاونیة الثقافیة للمجمع العالمی، قم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مسالک الأفهام إلی تنقیح شرائع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المعارف الإسلامیة،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مسائل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الحسن العریضی علیّ بن أبی عبداللّه الإمام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مؤسسة آل البیت علیهم‌السلام لإحیاء التراث، نشر المؤتمر العالمی للإمام الرضا علیه‌السلام ،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مستدرک الوسائل و مستنبط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المیرزا حسین المحدّث النوری الطبرسی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آل البیت علیهم‌السلام لإحیاء التراث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مستطرفات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الفقیه أبی عبداللّه محمّد بن أحمد بن إدریس الحلّی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مؤسسة النشر الإسلامی،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مستند الشیعة فی أحکام الشریعة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بن محمّد مهدی النراقی </w:t>
      </w:r>
      <w:r>
        <w:rPr>
          <w:rFonts w:eastAsia="IRNazanin" w:cs="IRNazanin"/>
          <w:color w:val="111111"/>
          <w:sz w:val="28"/>
          <w:szCs w:val="28"/>
          <w:rtl w:val="true"/>
          <w:lang w:bidi="fa-IR"/>
        </w:rPr>
        <w:t>(</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ونشر مؤسسة آل البیت علیهم‌السلام لإحیاء التراث،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أبو یعلی الموصلی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علی بن المثنی التمیمی </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حسین سلیم أسد، دار المأمون للتراث،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مسند أحمد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حنبل أبی عبداللّه الشیبانی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دارصادر، بیروت، و بهامشه منتخب کنز العمال فی سنن الأقوال والأفعال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مشارق الشموس فی شرح الدروس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حسین بن جمال الدّین محمّد الخوانساری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الطبعة الحجریة، نشر مؤسسة آل البیت علیهم‌السلام لإحیاء التراث،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مشرق الشمسین و إکسیر السعادتین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بهاء الدّین محمّد بن الحسین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 تعلیقات العلاّمة محمّد إسماعیل الخواجوئی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تحقیق السیّد مهدی الرجائی، نشر مجمع البحوث الإسلامیّة، مشهد،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مصابیح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مسعود بن محمّد الفراء البغوی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الدکتور یوسف عبدالرحمن المرعشی و محمّد سلیم إبراهیم و جمال حمدی الذهبی، دار المعرفة، بیروت،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مصابیح الظّلام فی شرح مفاتیح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المجدّد محمّد باقر الوحید البهبهانی </w:t>
      </w:r>
      <w:r>
        <w:rPr>
          <w:rFonts w:eastAsia="IRNazanin" w:cs="IRNazanin"/>
          <w:color w:val="111111"/>
          <w:sz w:val="28"/>
          <w:szCs w:val="28"/>
          <w:rtl w:val="true"/>
          <w:lang w:bidi="fa-IR"/>
        </w:rPr>
        <w:t xml:space="preserve">(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1205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و نشر مؤسّسة العلاّمة الوحید البهبهانی رحمه‌الله ، قم،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المصباح المنیر فی غریب الشرح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محمّد بن علی المقری الفیّومی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منشورات دار الهجرة،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الدین و ملاذ المجتهدین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الفقه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حسن بن زین الدّین العاملی نجل الشهید الثانی </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منذر الحکیم،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معالم‌العلماء فی فهرست کتب‌الشیعة وأسماء المصنّفین منهم قدیماً وحدیثاً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شهر آشوب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المطبعة الحیدریة، النجف الأشرف،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المعتبر فی شرح المختصر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بن یحیی بن سعید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لجنة التحقیق بإشراف الشیخ ناصر مکارم ، مؤسسة سیّد الشهداء علیه‌السلام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معجم رجال الحدیث و تفصیل طبقات الرواة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ابن السیّد علی أکبر الموسوی الخوئی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مرکز نشر الثقافة الإسلامیة،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مفاتیح الشرائع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الشاه مرتضی المشهور بالفیض الکاشانی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مجمع الذخائر الإسلامیة، قم،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مفتاح الکرامة فی شرح قواعد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جواد الحسینی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حوالی </w:t>
      </w:r>
      <w:r>
        <w:rPr>
          <w:rFonts w:eastAsia="IRNazanin" w:cs="IRNazanin"/>
          <w:color w:val="111111"/>
          <w:sz w:val="28"/>
          <w:szCs w:val="28"/>
          <w:lang w:bidi="fa-IR"/>
        </w:rPr>
        <w:t>1227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تحقیق الشیخ محمّد باقرالخالصی ، مؤسسة النشر الإسلامی ،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المقاصد العلیّة فی شرح الرسالة الألفیّة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للشهید الثانی زین الدّین بن علیّ بن أحمد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المطبوعة مع حاشیتا الألفیّة، تحقیق مرکز الأبحاث والدراسات الإسلامیّة، قم،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محمّد بن علیّ بن الحسین بن بابویه القمّی، المعروف بالشیخ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لجنة التحقیق التابعة لمؤسسة الإمام الهادی علیه‌السلام ، قم،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المقنعة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عبداللّه محمّد بن محمّد بن النعمان البغدادی، المعروف بالشیخ المفید </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الفتح محمّد بن عبدالکریم الشهرستانی </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انتشارات الشریف الرضی،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المناهل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السیّد علی الطباطبائی، المعروف بالمجاهد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الطبعة الحجریّة، مؤسسة آل البیت علیهم‌السلام لإحیاء التراث،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المطلب فی تحقیق المذهب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جمال الدّین حسن بن یوسف بن المطهّر </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قسم الفقه فی مجمع البحوث الإسلامیة، مشهد،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المقال فی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بن إسماعیل أبی علی الحائری المازندرانی </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منظومة بحرالعلوم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الدرّة النجفیّة</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Times New Roman" w:cs="Times New Roman" w:ascii="Times New Roman" w:hAnsi="Times New Roman"/>
          <w:color w:val="111111"/>
          <w:sz w:val="28"/>
          <w:szCs w:val="28"/>
          <w:lang w:val="en-US" w:bidi="en-US"/>
        </w:rPr>
        <w:t>ÿ</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من لایحضره الفقیه</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منهج المقال فی تحقیق أحوال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الرجال الکبیر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میرزا محمّد بن علی الأسترآبادی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البارع فی شرح المختصر النافع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العبّاس أحمد بن محمّد بن فهد الحلّی الأسدی </w:t>
      </w:r>
      <w:r>
        <w:rPr>
          <w:rFonts w:eastAsia="IRNazanin" w:cs="IRNazanin"/>
          <w:color w:val="111111"/>
          <w:sz w:val="28"/>
          <w:szCs w:val="28"/>
          <w:rtl w:val="true"/>
          <w:lang w:bidi="fa-IR"/>
        </w:rPr>
        <w:t xml:space="preserve">(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مجتبی العراقی، نشر جامعة المدرسین،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المهذّب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إبن البرّاج أبی القاسم عبدالعزیز بن نحریر 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حوالی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بإشراف الشیخ جعفرالسبحانی، نشر جامعة‌المدرّسین،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الناصریات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المرتضی أبی القاسم علیّ بن الحسین الموسوی المعروف بعلم الهدی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مرکز البحوث الدراسات العلمیة، نشر رابطة الثقافة والعلاقات الإسلامیة، تهران،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نزهة الناظر و تنبیه الخاطر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الحسین بن محمّد بن الحسن بن نصر الحلوانی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مدرسة الإمام المهدی علیه‌السلام ،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النجوم الزاهرة فی ملوک مصر والقاهرة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أبی المحاسن یوسف بن تغری الأتابکی </w:t>
      </w:r>
      <w:r>
        <w:rPr>
          <w:rFonts w:eastAsia="IRNazanin" w:cs="IRNazanin"/>
          <w:color w:val="111111"/>
          <w:sz w:val="28"/>
          <w:szCs w:val="28"/>
          <w:rtl w:val="true"/>
          <w:lang w:bidi="fa-IR"/>
        </w:rPr>
        <w:t xml:space="preserve">(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دار الکتب، المؤسسة المصریة العامة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نقد الرجال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مصطفی بن الحسین الحسینی التفرشی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نصب الرایة لأحادیث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لجمال الدین الزیعلی </w:t>
      </w:r>
      <w:r>
        <w:rPr>
          <w:rFonts w:eastAsia="IRNazanin" w:cs="IRNazanin"/>
          <w:color w:val="111111"/>
          <w:sz w:val="28"/>
          <w:szCs w:val="28"/>
          <w:rtl w:val="true"/>
          <w:lang w:bidi="fa-IR"/>
        </w:rPr>
        <w:t xml:space="preserve">(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ایمن صالح شعبانی، دار الحدیث، قاهرة،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نکت النهایة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نجم الدّین جعفر بن حسن الهذلی </w:t>
      </w:r>
      <w:r>
        <w:rPr>
          <w:rFonts w:eastAsia="IRNazanin" w:cs="IRNazanin"/>
          <w:color w:val="111111"/>
          <w:sz w:val="28"/>
          <w:szCs w:val="28"/>
          <w:rtl w:val="true"/>
          <w:lang w:bidi="fa-IR"/>
        </w:rPr>
        <w:t xml:space="preserve">(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النشر الإسلامی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نور البراهین فی أخبار السادة الطاهرین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نعمة اللّه الموسوی الجزائری </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السیّد الرجائی ، مؤسسة النشر الإسلامی التابعة لجماعة المدرّسین ،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نهایة الأحکام فی معرفة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الحسن بن یوسف بن المطهّر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السیّد مهدی الرجائی، مؤسسة إسماعیلیان، قم،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غریب الحدیث والأثر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السعادات مجد الدّین المبارک بن محمّد بن محمّد المعروف بإبن أثیر الجزری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طاهر أحمد الزاوی ومحمود محمّد الطناحی، مؤسسة إسماعیلیان،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النهایة فی مجرّد الفقه و الفتاوی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جعفر شیخ الطائفة محمّد بن الحسن المعروف بالشیخ الطوسی </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طبعة دار الأندلس، بیروت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محسن بن الشاه مرتضی المشهور بالفیض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ضیاء الدین الحسینی الإصفهانی، اصفهان،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وسائل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وسائل الشیعة إلی تحصیل مسائل الشریعة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للشیخ محمّد بن الحسن الحرّ العاملی </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و نشر مؤسسة آل البیت علیهم‌السلام لإحیاء التراث،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الوسیلة إلی نیل الفضیلة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لعماد الدّین أبی جعفر محمّد بن علی الطوسی، المعروف بإبن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تحقیق الشیخ محمّد الحسّون، نشر مکتبة السیّد المرعشی،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فهرس المحتوی</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مقدّمة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حول هذا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منهجیّة التحقیق</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لمحة من حیاة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إسمه ونسبه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مولده و نشأته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أقوال العلماء فی حقّه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نشأته العلمیّة والإجتماعیّة</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أساتذته و مشایخه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تلامذته و الراوون عنه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مجمع درسه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آثاره الخیریّة</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تآلیفه القیّمة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وفاته و مدفنه</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الترجمة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العصیریّة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حرمة الخمر و غیرها من المسکرات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حرمة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ما دلّ علی حرمة سائر المسکرات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الأخبار الدالّة علی حرمة القلیل منها إذا لم‌یسکر</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نجاسة الخمر و غیرها من المسکرات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p>
    <w:p>
      <w:pPr>
        <w:pStyle w:val="BookText"/>
        <w:rPr/>
      </w:pPr>
      <w:r>
        <w:rPr>
          <w:rFonts w:ascii="IRNazanin" w:hAnsi="IRNazanin" w:eastAsia="IRNazanin"/>
          <w:color w:val="111111"/>
          <w:sz w:val="28"/>
          <w:sz w:val="28"/>
          <w:szCs w:val="28"/>
          <w:rtl w:val="true"/>
          <w:lang w:bidi="fa-IR"/>
        </w:rPr>
        <w:t>فی نجاسة الخمر</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نجاسة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ما یدلّ علی النجاسة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الإجماعات المنقولة و دعوی عدم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تعالی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أیّها الّذین آمنوا إنّما الخمر </w:t>
      </w:r>
      <w:r>
        <w:rPr>
          <w:rFonts w:eastAsia="IRNazanin" w:cs="IRNazanin"/>
          <w:color w:val="111111"/>
          <w:sz w:val="28"/>
          <w:szCs w:val="28"/>
          <w:rtl w:val="true"/>
          <w:lang w:bidi="fa-IR"/>
        </w:rPr>
        <w:t xml:space="preserve">... »···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IRNazanin" w:hAnsi="IRNazanin" w:eastAsia="IRNazanin"/>
          <w:color w:val="111111"/>
          <w:sz w:val="28"/>
          <w:sz w:val="28"/>
          <w:szCs w:val="28"/>
          <w:rtl w:val="true"/>
          <w:lang w:bidi="fa-IR"/>
        </w:rPr>
        <w:t xml:space="preserve">تقسیم الأخبار إلی أصناف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باقی 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أنّها بمنزلة المیتة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منع جمیع الإستعمالات المناسبة لکونها نجسة</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وجوب نزح البئر إذا وقع فیها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الأخبار المقرّرة لنجاستها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سادسها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المصرّحة لها بالنجاسة أو الظاهرة منها ذلک</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المرویّ عن علیّ بن مهزیار</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الکلام فی سند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الکلام فی دلالة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خیران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الکلام فی سند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تحقیق الحال فی سهل بن زیاد الآدمیّ</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تحقیق المؤلّف حول الوجوه القادحة منه و ردّها</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ذکر الروایات الواردة عنه</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الإستدلال لتوثیقه بأمور والمناقشة فی بعضها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IRNazanin" w:hAnsi="IRNazanin" w:eastAsia="IRNazanin"/>
          <w:color w:val="111111"/>
          <w:sz w:val="28"/>
          <w:sz w:val="28"/>
          <w:szCs w:val="28"/>
          <w:rtl w:val="true"/>
          <w:lang w:bidi="fa-IR"/>
        </w:rPr>
        <w:t>رأی المؤلّف فیه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تحقیق الحال فی خیران الخادم</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الکلام فی دلالة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عمّار بن موسی</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الکلام فی سند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الکلام فی دلالة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الإستبصار</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الکلام فی سند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الوارد فی الفقّاع</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وجه الإستدلال به</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زکریّا بن آدم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الکلام فی دلالة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الإستدلال فی المقام بروایات أخر</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ما یجاب عن هذه الأدلّة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عن الإجماعات المنقولة و دعوی عدم الخلاف</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الجواب عن الآیة</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الجواب عن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إیراد المؤلّف علی ما یجاب عن هذه الأدلّة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طهارة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المستند لهذا القول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من وجوه</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طاهر حتّی تعلم أنّه نجس</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IRNazanin" w:hAnsi="IRNazanin" w:eastAsia="IRNazanin"/>
          <w:color w:val="111111"/>
          <w:sz w:val="28"/>
          <w:sz w:val="28"/>
          <w:szCs w:val="28"/>
          <w:rtl w:val="true"/>
          <w:lang w:bidi="fa-IR"/>
        </w:rPr>
        <w:t>الجواب عن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المقام الثانی</w:t>
      </w:r>
    </w:p>
    <w:p>
      <w:pPr>
        <w:pStyle w:val="BookText"/>
        <w:rPr/>
      </w:pPr>
      <w:r>
        <w:rPr>
          <w:rFonts w:ascii="IRNazanin" w:hAnsi="IRNazanin" w:eastAsia="IRNazanin"/>
          <w:color w:val="111111"/>
          <w:sz w:val="28"/>
          <w:sz w:val="28"/>
          <w:szCs w:val="28"/>
          <w:rtl w:val="true"/>
          <w:lang w:bidi="fa-IR"/>
        </w:rPr>
        <w:t>فی نجاسة غیر الخمر من سائر المسکرات</w:t>
      </w:r>
    </w:p>
    <w:p>
      <w:pPr>
        <w:pStyle w:val="BookText"/>
        <w:rPr/>
      </w:pPr>
      <w:r>
        <w:rPr>
          <w:rFonts w:ascii="IRNazanin" w:hAnsi="IRNazanin" w:eastAsia="IRNazanin"/>
          <w:color w:val="111111"/>
          <w:sz w:val="28"/>
          <w:sz w:val="28"/>
          <w:szCs w:val="28"/>
          <w:rtl w:val="true"/>
          <w:lang w:bidi="fa-IR"/>
        </w:rPr>
        <w:t>حکم سائر المسکرات حکم الخمر فی الطهارة والنجاسة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الإستدلال علی ذلک بأمور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الإجماعات المنقولة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دلّ علی نجاسة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الأخبار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التعرّض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نجاسة المسکرات هل یختصّ بالمائع منها أو یعمّ الجامد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الحکم دائر مدار المیعان أو دائر مدار المائع بالإصالة أو مختصّ بالمائع بالإصالة مع بقاء المیعان فیه ؟</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زال وصف الإسکار عن الخمر والنبیذ و نحوهما، فهل یبقی حکمه من النجاسة والحرمة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الأمرالرابع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تکون حکم‌المسکرات ثابتاً علی کلّ حال أویدور مدار الإسکار</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المدار فی تشخیص السکر و تمییزه عن غیره، بالعرف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الفقّاع حکمه حکم الخمر فیکون حراماً و نجساً</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الإستدلال علیه بأمور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ما تقدّم فی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أنّه خمر</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المرویّ عن أبی جمیلة البصری</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الأمر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مهیّات هذه الأشیاء من الفقّاع وغیره من المسکرات</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الفقّاع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الخَمْر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النَبِیذ</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النَقِیع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البِتَْع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المِزْر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الجِعَة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الفَضِیخ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بیان ماهیّة السُکُرْکة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بیان ماهیّة نبیذ الفواکه</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Amiri" w:hAnsi="Amiri" w:eastAsia="Amiri" w:cs="Amiri"/>
          <w:color w:val="111111"/>
          <w:sz w:val="28"/>
          <w:sz w:val="28"/>
          <w:szCs w:val="28"/>
          <w:rtl w:val="true"/>
          <w:lang w:bidi="ar-SA"/>
        </w:rPr>
        <w:t>رأی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IRNazanin" w:hAnsi="IRNazanin" w:eastAsia="IRNazanin"/>
          <w:color w:val="111111"/>
          <w:sz w:val="28"/>
          <w:sz w:val="28"/>
          <w:szCs w:val="28"/>
          <w:rtl w:val="true"/>
          <w:lang w:bidi="fa-IR"/>
        </w:rPr>
        <w:t>حکم العصیر إذا غلی واشتدّ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فی الحلّیة والحرمة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الموضع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حلّیته وطهارته من غیر ثمرة‌الکرم والنخل</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المستند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الموضع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الخلّ حکمه حکم غیره من المعصرات</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المستند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الموضع‌الثالث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عصیرالعنب حرام قبل ذهاب‌الثلثین منه ویحلّ بعدذلک</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الإستدلال بإطباق الأصحاب ومستفیض الأخبار</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الإستدلال بالأخبار الواردة فی البختج</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الإستدلال بالأخبار المشتملة علی الطِلآء</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 فی الطهارة والنجاسة </w:t>
      </w:r>
      <w:r>
        <w:rPr>
          <w:rFonts w:eastAsia="IRNazanin" w:cs="IRNazanin"/>
          <w:color w:val="111111"/>
          <w:sz w:val="28"/>
          <w:szCs w:val="28"/>
          <w:rtl w:val="true"/>
          <w:lang w:bidi="fa-IR"/>
        </w:rPr>
        <w:t xml:space="preserve">: ]···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مختار المؤلّف فی ذلک و هو القول بالنجاسة</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المستند له فی ذلک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المنقول</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العصیر هو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العصیر المغلی مسکر مطلقاً أو الکثیر منه</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التهذیب عن معاویة بن عمّار</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مسألة العصیر و تحقیق الحال فیها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العصیر العنبی</w:t>
      </w:r>
    </w:p>
    <w:p>
      <w:pPr>
        <w:pStyle w:val="BookText"/>
        <w:rPr/>
      </w:pPr>
      <w:r>
        <w:rPr>
          <w:rFonts w:ascii="IRNazanin" w:hAnsi="IRNazanin" w:eastAsia="IRNazanin"/>
          <w:color w:val="111111"/>
          <w:sz w:val="28"/>
          <w:sz w:val="28"/>
          <w:szCs w:val="28"/>
          <w:rtl w:val="true"/>
          <w:lang w:bidi="fa-IR"/>
        </w:rPr>
        <w:t xml:space="preserve">الفصل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الأخبار الواردة فی هذا الباب</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الفصل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عبارات الأصحاب</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حرمته بعد الغلیان والنشیش قبل ذهاب الثلثین منه</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رأی المؤلّف و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الفصل‌الرابع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نجاسته وطهارته بعدالغلیان قبل ذهاب الثلثین منه</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و فیه أقوال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النجاسة مطلقاً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الطهارة مطلقاً و إن کان حراماً</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لو اشتدّ و ما لم یشتدّ</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غلی بنفسه أو بالشمس أو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المستند للقول الأوّل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أنّ العصیر بعد الغلیان خمر حقیقة أو حکما</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الإجماعات المنقولة فی أنّ العصیر بعد الغلیان فی حکم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ما دلّ علی نجاسة المائع المسکر قلیله و کثیره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الجواب عنها</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أصل تحریم الخمر و بدؤه</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المستند للقول الثانی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بسط الکلام فی معنی الإشتداد</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الأقوال فی معنی الإشتداد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الإشتداد هو الثخانة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ascii="IRNazanin" w:hAnsi="IRNazanin" w:eastAsia="IRNazanin"/>
          <w:color w:val="111111"/>
          <w:sz w:val="28"/>
          <w:sz w:val="28"/>
          <w:szCs w:val="28"/>
          <w:rtl w:val="true"/>
          <w:lang w:bidi="fa-IR"/>
        </w:rPr>
        <w:t xml:space="preserve">الوجوه التی یقال فی تفسیر الثخانة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الثخانة مقارنة للغلیان و مسبّبة عنه</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الثخانة أمر عرفیّ یحصل متدرّجاً بعد الغلیان</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الغلیان بالنار و بغیرها</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الأقوی فی هذه الوجوه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الإشتداد هو صیرورة أعلاه أسفله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الاشتداد هو الشدّة المطریة</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القول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الإشتداد هو القذف بالزبد</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القول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الإشتداد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النشیش الحاصل من قبل نفسه</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 xml:space="preserve">القول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بالإشتداد الإشتداد فی الغلیان</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تحقیق المؤلّف فی معنی الإشتداد</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المستند للقول الثالث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المحکیّ فی کنز العرفان و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یظهر من جماعة أنّه بعد الإشتداد أو مطلقاً خمر أو مسکر</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انّ العصیر قبل ذهاب الثلثین منه خمر</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الأخبار التی دلّت علی أنّه لاخیر فیه قبل ذهاب الثلثین منه</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صدق الخمر علی عصیر العنب یتوقّف علی الشدّة الحاصلة بالغلیان</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الشدّة هل هی عین الغلیان أو وصف مترتّب علی الغلیان لازم له؟</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من الغلیان فی الأخبار و کلمات الأصحاب الغلیان بالنفس</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 xml:space="preserve">مسئلتان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الأولی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 إذا غلی العصیر بنفسه هل هو نجس أم لا ؟ بل یتوقّف علی أمر آخر کالإشتداد</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تحقیق المؤلّف فی المسألة و أدلّته</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التعرّض 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العصیر العنبی إذا غلی بنفسه وکذاالخمر انّما یحلّ بانقلابه خلاًّ</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الحکم ثابت مطلقاً أو یختصّ بما إذا کان ذلک الإنقلاب بنفسه ؟</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الأقوال فی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الحلیة و الطهارة ثابتتان مطلقاً و لو کان الإنقلاب بالعلاج</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الحلّیة والطهارة مختصّتان بما إذا کان الإنقلاب بنفسه</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ما إذا کانت العین قائمة بعینها بعد الإنقلاب و بین ما إذا کانت مستهلکة</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تنبیهات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جعل خلّ فی خمر کثیر فإن استحالت إلیه وانقلبت حلّت</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وقع خمر فی خلّ بحیث صارت مستحیلة بعد الوقوع فهل ینجس الخلّ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 xml:space="preserve">فیه قولان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طاهر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باق علی نجاسته</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Amiri" w:hAnsi="Amiri" w:eastAsia="Amiri" w:cs="Amiri"/>
          <w:color w:val="111111"/>
          <w:sz w:val="28"/>
          <w:sz w:val="28"/>
          <w:szCs w:val="28"/>
          <w:rtl w:val="true"/>
          <w:lang w:bidi="ar-SA"/>
        </w:rPr>
        <w:t>مختار المؤلّف و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IRNazanin" w:hAnsi="IRNazanin" w:eastAsia="IRNazanin"/>
          <w:color w:val="111111"/>
          <w:sz w:val="28"/>
          <w:sz w:val="28"/>
          <w:szCs w:val="28"/>
          <w:rtl w:val="true"/>
          <w:lang w:bidi="fa-IR"/>
        </w:rPr>
        <w:t xml:space="preserve">التعرّض لأمرین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الإستحالة فی هذا الممزوج مطهِّرة محلِّلة، 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إستحالة البقیّة هل تکشف عن إستحالة الممزوج أو الخمر الممتزج حینئذ،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کشف المقال فی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مختار المؤلّف</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التنبیه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لو عولج العصیر بعد الغلیان أو الخمر بنجس أو باشره نجس ثمّ انقلب واستحال إلی الحلّیة، لم یطهر</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المراد من الغلیان الموجب للتحریم فی العصیر ما هو ؟</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المسألة الثانیة </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انّه إذا غلی العصیر بالنار فلا ریب فی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المطلب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حرمته ما لم یذهب ثلثاه بالنار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المطلب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ذهاب الثلثین انّما یعرف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هذا الإختبار هل یکون بحسب الکیل أو بحسب الوزن ؟</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الأمر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صاحب العصر المطبوخ</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و هو علی ضربین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البیّنة</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ثانیهما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ذی الید</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الأخبار الواردة فیه</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أقوال الأصحاب 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یقبل قول المخبر قبل ذهاب الثلثین</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المستند فی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الإعتماد علی قول المخبر مطلقاً</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المستند فی هذا القول</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الوصف</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یظهر من دعائم الإسلام إعتبار وصف ثالث</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المطلب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إذا انقلب العصیر بعد غلیانه إلی حدّ یتغیّر به الإسم کأن صار دبساً أو نحوه، فهل یحلّ بذلک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بیان الأقوال فیه</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رأی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المطلب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غلی العصیر بالشمس و ذهب منه الثلثان بالشمس أو الهواء، فهل یحلّ بذلک أم لا ؟</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کلام الشهید الثانی والصیمری رحمهماالله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رأی المؤلّف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المطلب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غلی ماء العنب فی حبّه، فإن صار خمراً فهو حرام و نجس، وإلاّ ففیه إشکال</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کلمات الفقهاء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 xml:space="preserve">المطلب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آلات الطبخ فی العصر، وأیدی مزاولیه، و ثیابهم تطهر بذهاب الثلثین فی بعضها، والاستحالة فی بعض آخر</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جملة من کلمات الفقهاء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العصیر الزبیبی</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حلّیته و حرمته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و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حلال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کلمات العلماء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ذکر کلام طویل من السیّد بحرالعلوم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المناقشات فی کلامه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المستند لهذا القول أمور </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من الإستصحاب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فی الدروس و غیره</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استدلّ به الشهید الثانی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کلام الأصحاب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المستند لهذا القول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الإستصحاب</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الجواب عنه بوجوه</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الحاصل من الکلام فیه</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المطلقة الواردة فی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الجواب عنه بأمور</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الأخبار الواردة فی صفة الشراب الحلال</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کتاب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الجواب عنه سنداً و دلالة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فی الکافی فی باب الطلاء</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العصیر</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الجواب عنه</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أصل تحریم الخمر</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الأولی فی الجواب عنها کلاًّ</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کلمات السیّد بحرالعلوم رحمه‌الله فی المسألة</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المناقشات فی کلامه رحمه‌الله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Amiri" w:hAnsi="Amiri" w:eastAsia="Amiri" w:cs="Amiri"/>
          <w:color w:val="111111"/>
          <w:sz w:val="28"/>
          <w:sz w:val="28"/>
          <w:szCs w:val="28"/>
          <w:rtl w:val="true"/>
          <w:lang w:bidi="ar-SA"/>
        </w:rPr>
        <w:t>رأی المؤلّف و أدلّته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IRNazanin" w:hAnsi="IRNazanin" w:eastAsia="IRNazanin"/>
          <w:color w:val="111111"/>
          <w:sz w:val="28"/>
          <w:sz w:val="28"/>
          <w:szCs w:val="28"/>
          <w:rtl w:val="true"/>
          <w:lang w:bidi="fa-IR"/>
        </w:rPr>
        <w:t xml:space="preserve">مقامان فی إعتبار أصل زید النَرسی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إعتبار الأصل المعروف منه و عدم إعتباره</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إعتبار زید النرسی</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تذنیبان</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رأی المؤلّف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ascii="IRNazanin" w:hAnsi="IRNazanin" w:eastAsia="IRNazanin"/>
          <w:color w:val="111111"/>
          <w:sz w:val="28"/>
          <w:sz w:val="28"/>
          <w:szCs w:val="28"/>
          <w:rtl w:val="true"/>
          <w:lang w:bidi="fa-IR"/>
        </w:rPr>
        <w:t xml:space="preserve">المقام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طهارة العصیر الزبیبی و نجاسته</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تحقیق المؤلّف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المقام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المطبوخ من الزبیب مع غیره</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رأی المؤلّف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العصیر التمری</w:t>
      </w:r>
    </w:p>
    <w:p>
      <w:pPr>
        <w:pStyle w:val="BookText"/>
        <w:rPr/>
      </w:pPr>
      <w:r>
        <w:rPr>
          <w:rFonts w:ascii="IRNazanin" w:hAnsi="IRNazanin" w:eastAsia="IRNazanin"/>
          <w:color w:val="111111"/>
          <w:sz w:val="28"/>
          <w:sz w:val="28"/>
          <w:szCs w:val="28"/>
          <w:rtl w:val="true"/>
          <w:lang w:bidi="fa-IR"/>
        </w:rPr>
        <w:t xml:space="preserve">المقام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حلّیته و حرمته بالغلیان و النشیش</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 xml:space="preserve">و فیه قولان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حلال طاهر</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کلام الأصحاب فیه</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 xml:space="preserve">القول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حرام</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کلمات الفقهاء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المستند للقول الأوّل 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ثانیها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إستمرار العمل من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ثالثها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 و العمومات الکثیرة الواردة فی إباحة الأشیاء و إطلاقها</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رابعها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الأخبار الواردة فی النبیذ وتعلیق حرمته علی الإسکار</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 xml:space="preserve">المستند للقول الثانی فأنواع من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مساواة الکرم والنخل فی مص إبلیس إیّاهما</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الواردة فی البختج و الطلاء</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علی الأصحّ المرویّ فی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موثّقتا عمّار الواردتان فی النضوح</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مختار المؤلّف فی المقام</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حدّ شارب العصیر</w:t>
      </w:r>
    </w:p>
    <w:p>
      <w:pPr>
        <w:pStyle w:val="BookText"/>
        <w:rPr/>
      </w:pPr>
      <w:r>
        <w:rPr>
          <w:rFonts w:ascii="IRNazanin" w:hAnsi="IRNazanin" w:eastAsia="IRNazanin"/>
          <w:color w:val="111111"/>
          <w:sz w:val="28"/>
          <w:sz w:val="28"/>
          <w:szCs w:val="28"/>
          <w:rtl w:val="true"/>
          <w:lang w:bidi="fa-IR"/>
        </w:rPr>
        <w:t>کلمات الفقهاء فی ذلک</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 — –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الذی وفقنا لإحیاء تصنیفات العلماء الأبرار الملتفط من آثار الأئمة الأطهار علیهم السلام</w:t>
      </w:r>
    </w:p>
    <w:p>
      <w:pPr>
        <w:pStyle w:val="BookText"/>
        <w:rPr/>
      </w:pPr>
      <w:r>
        <w:rPr>
          <w:rFonts w:ascii="IRNazanin" w:hAnsi="IRNazanin" w:eastAsia="IRNazanin"/>
          <w:color w:val="111111"/>
          <w:sz w:val="28"/>
          <w:sz w:val="28"/>
          <w:szCs w:val="28"/>
          <w:rtl w:val="true"/>
          <w:lang w:bidi="fa-IR"/>
        </w:rPr>
        <w:t>فهرس منشورات مکتبة مسجد السید حجة الإسلام قدس سره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فی شرح شرائع الإسلام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الأبرار فی أحکام الصلاة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المفاخر فی ترجمة السید حجة الإسلام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فی إثبات إمامة أهل البیت علیهم السلام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الرسائل الرجالیة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الحدود فی زمن الغیبة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العصیریة فی أحکام الخمر و العصیر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نخبة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أراد الوقوف علی أحواله و آثاره ، فعلیه بمراجعة کتاب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للمحقّق المرحوم السیّد مصلح الدّین المهدویّ قدس‌سره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الرضویّة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للمصنّف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إجازة الحدیث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ـ رسالة إجازة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قول المحقّق الحلّی رحمه‌الله فی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قدس‌سره فی شرح هذا الکلام من شرحه علی شرائع‌الإسلام ما هذا 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أحببت هذا الکلام من مثل المصنّف، بل الحقّ النجاسة من دون خلاف معتبر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شرائع الإسلام، 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أحکام النجاسات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المفید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کانت الأمّة مجمعة علی إکفار مستحلّ الخمر و إن شهد الشهادتین و أقام الصلاة و آتی الزکاة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قال فی المسالک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الخمر موضع وفاق بین المسلمین حتّی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یقتل مستحلّه لثبوت تحریمه فی دین الإسلام ضرورة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الجصاص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اتّفاق المسلمین علی تکفیر مستحلّ الخمر</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من فمه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طینة خبال أو قال من بئر خبال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الفساد، الهلاک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القیح والدم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أن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اللّه عزّوجلّ أن یأجره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الکافی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بلغنی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التهذیب </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الکافی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فی الکافی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والتهذیب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خلّد فی النار </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جنون أو شبهه فی القلب، و هو مخبل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فؤاد له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جانب الفم ممّا تحت الخدّ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أوّله فی الکافی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شرب المسکر لم تقبل منه صلاته أربعین یوماً </w:t>
      </w:r>
      <w:r>
        <w:rPr>
          <w:rFonts w:eastAsia="IRNazanin" w:cs="IRNazanin"/>
          <w:b w:val="false"/>
          <w:bCs w:val="false"/>
          <w:i w:val="false"/>
          <w:iCs w:val="false"/>
          <w:color w:val="333333"/>
          <w:sz w:val="20"/>
          <w:szCs w:val="20"/>
          <w:rtl w:val="true"/>
        </w:rPr>
        <w:t>...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أربعین یوماً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فی خطبته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أقوالهم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الفقه علی المذاهب الأربعة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فمنها عن ابن عمر عن النبیّ صلی‌الله‌علیه‌و‌آله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مسکر خمر، و کلّ مسکر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أبی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نقله عنه فی 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حنبل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أبی یعلی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رواه البخاری عن ابن عمر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حرمت الخمر وما بالمدینة منها شیء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ما رواه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سمع أنس بن مالک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لقد أنزل اللّه الآیة الّتی حرّم اللّه فیها الخمر، وما بالمدینة شراب یشرب إلاّ من تمر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إبن أبی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 والد الصدوق فی 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وحکاه عن الجعفی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الأردبیلی فی 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صاحب المدارک فی 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صاحب الذخیرة فی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صاحب المشارق فی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والصدوق، و إبن أبی عقیل، والجعفی، تمسّکوا بأحادیث لا تعارض القطعی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الّذین شذّوا من الإمامیّة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بابویه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ابن عقیل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إبن أبی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المحقّق فی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نسبه إلیه الشهید فی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 أمّا الّذین شذّوا من أهل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ربیعة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الشافعی، فی أحد قولیه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العزیز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تفسیر القرطبی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للسیّد بحرالعلوم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نظفر علیه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لایوجد لدینا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الحبل المتین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إبن أبی عمیر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رجال‌الطوسی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w:t>
      </w:r>
      <w:r>
        <w:rPr>
          <w:rFonts w:ascii="IRNazanin" w:hAnsi="IRNazanin" w:eastAsia="IRNazanin"/>
          <w:b w:val="false"/>
          <w:b w:val="false"/>
          <w:bCs w:val="false"/>
          <w:i w:val="false"/>
          <w:i w:val="false"/>
          <w:iCs w:val="false"/>
          <w:color w:val="333333"/>
          <w:sz w:val="20"/>
          <w:sz w:val="20"/>
          <w:szCs w:val="20"/>
          <w:rtl w:val="true"/>
        </w:rPr>
        <w:t>، خلاصة الأقوال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لم نعثر علیه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 xml:space="preserve"> .</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الأخبار المصرّحة للخمر بالنجاسة أو الظاهرة منها ذلک </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الإستبصار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و لا علی محکیه </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کتاب العقل و الجهل ؛ 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ثواب العالم والمتعلّم ؛ و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الجبر والقدر والأمر بین الأمرین </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منتهی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2083</w:t>
      </w:r>
      <w:r>
        <w:rPr>
          <w:rFonts w:eastAsia="IRNazanin" w:cs="IRNazanin"/>
          <w:b w:val="false"/>
          <w:bCs w:val="false"/>
          <w:i w:val="false"/>
          <w:iCs w:val="false"/>
          <w:color w:val="333333"/>
          <w:sz w:val="20"/>
          <w:szCs w:val="20"/>
          <w:rtl w:val="true"/>
        </w:rPr>
        <w:t xml:space="preserve"> .</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 xml:space="preserve"> .</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فی تعلیقته علی رجال المیرزا محمّد الأسترآبادیّ منهج المقال، عند ترجمة سهل بن زیاد 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سهل بن زیاد إشتهر الآن ضعفه، و لا یخلو من نظر لتوثیق الشیخ و کونه کثیر الروایة جدّاً وکان روایاته سدیدة مقبولة مفتیً بها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 آخر ما ذکره فی التعلیقة من أسباب التوثیق، فراجع 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من الّذین یظهر من کلماتهم أنّ سهل بن زیاد ثقة فی نفسه </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تنیس کسکین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جزیرة من جزائر بحر الروم، قرب دمیاط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ذیل ترجمة سهل بن زیاد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هو ظاهر من مواضع من رجاله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محمّد بن محمّد بن النعمان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جعفر بن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لمحمّد بن علی نوادر کبیرة أخبرنا محمّد بن محمّد بن نعمان عن جعفر بن محمّد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لاحظ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فی سهل بن زیاد الآدمیّ </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من الّذین یظهر من کلماتهم أنّ سهل بن زیاد ضعیف فی حدیثه </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من الّذین یظهر من کلماتهم التوقّف فی سهل بن زیاد </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5556</w:t>
      </w:r>
      <w:r>
        <w:rPr>
          <w:rFonts w:eastAsia="IRNazanin" w:cs="IRNazanin"/>
          <w:b w:val="false"/>
          <w:bCs w:val="false"/>
          <w:i w:val="false"/>
          <w:iCs w:val="false"/>
          <w:color w:val="333333"/>
          <w:sz w:val="20"/>
          <w:szCs w:val="20"/>
          <w:rtl w:val="true"/>
        </w:rPr>
        <w:t xml:space="preserve"> .</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5851</w:t>
      </w:r>
      <w:r>
        <w:rPr>
          <w:rFonts w:eastAsia="IRNazanin" w:cs="IRNazanin"/>
          <w:b w:val="false"/>
          <w:bCs w:val="false"/>
          <w:i w:val="false"/>
          <w:iCs w:val="false"/>
          <w:color w:val="333333"/>
          <w:sz w:val="20"/>
          <w:szCs w:val="20"/>
          <w:rtl w:val="true"/>
        </w:rPr>
        <w:t xml:space="preserve"> .</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الطیّارة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الفوائد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 xml:space="preserve"> .</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 xml:space="preserve"> .</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891</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المصدر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إبن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5899</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أضیق الطریق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997</w:t>
      </w:r>
      <w:r>
        <w:rPr>
          <w:rFonts w:eastAsia="IRNazanin" w:cs="IRNazanin"/>
          <w:b w:val="false"/>
          <w:bCs w:val="false"/>
          <w:i w:val="false"/>
          <w:iCs w:val="false"/>
          <w:color w:val="333333"/>
          <w:sz w:val="20"/>
          <w:szCs w:val="20"/>
          <w:rtl w:val="true"/>
        </w:rPr>
        <w:t xml:space="preserve"> .</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نور البراهین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طرائف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البط </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یجز تعرضه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یحسن </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حیر </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الفوائد الرجالیّة للوحید البهبهانی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فهو نقله عن جدّه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العلاّمة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فی موضع 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سهل ثقة و من مشایخ الإجازة، و تضعیفه لیس بمکانه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نعثر علیه </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لاینافی دعوی إشتهار ضعفه، فإنّ إشتهار ذلک لایستلزم ذهاب المشهور إلیه ؛ منه قدس‌سره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الرجالیّة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5686</w:t>
      </w:r>
      <w:r>
        <w:rPr>
          <w:rFonts w:eastAsia="IRNazanin" w:cs="IRNazanin"/>
          <w:b w:val="false"/>
          <w:bCs w:val="false"/>
          <w:i w:val="false"/>
          <w:iCs w:val="false"/>
          <w:color w:val="333333"/>
          <w:sz w:val="20"/>
          <w:szCs w:val="20"/>
          <w:rtl w:val="true"/>
        </w:rPr>
        <w:t xml:space="preserve">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الأخبار المصرّحة للخمر بالنجاسة أو الظاهرة منها ذلک </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الکامخ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ادام یؤتدم به، و خصّه بعضهم بالمخللات الّتی تستعمل تشهی الطعام </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6274</w:t>
      </w:r>
      <w:r>
        <w:rPr>
          <w:rFonts w:eastAsia="IRNazanin" w:cs="IRNazanin"/>
          <w:b w:val="false"/>
          <w:bCs w:val="false"/>
          <w:i w:val="false"/>
          <w:iCs w:val="false"/>
          <w:color w:val="333333"/>
          <w:sz w:val="20"/>
          <w:szCs w:val="20"/>
          <w:rtl w:val="true"/>
        </w:rPr>
        <w:t xml:space="preserve"> .</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1067</w:t>
      </w:r>
      <w:r>
        <w:rPr>
          <w:rFonts w:ascii="IRNazanin" w:hAnsi="IRNazanin" w:eastAsia="IRNazanin"/>
          <w:b w:val="false"/>
          <w:b w:val="false"/>
          <w:bCs w:val="false"/>
          <w:i w:val="false"/>
          <w:i w:val="false"/>
          <w:iCs w:val="false"/>
          <w:color w:val="333333"/>
          <w:sz w:val="20"/>
          <w:sz w:val="20"/>
          <w:szCs w:val="20"/>
          <w:rtl w:val="true"/>
        </w:rPr>
        <w:t xml:space="preserve">، ومنهج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جوابات أهل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الأخبار المصرّحة للخمر بالنجاسة أو الظاهرة منها ذلک </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 xml:space="preserve"> .</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 xml:space="preserve"> .</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قویّا کونه من کلام الإمام علیه‌السلام ، کما یحتمل کونه من کلام الراوی، کما یحتمل کونه من کلام محمّد بن یعقوب، و هو ضعیف ؛ منه قدس‌سره </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الدُّبَّآء بضمّ الدال المهملة والمدّ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القَرْعُ، کما فی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والزِّفْتُ بالزاء المعجمة والفاء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الإناء المطلی بالزفت والقیر، کما ظهر من الخبر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والحنْتَم بالحاء المهملة والنون الساکنة والتاء المثناة من فوق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الأوانی المتّخذة من الطین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الجَرُّ الأخضر و هو الغَضَار بفتح الغین المعجمة والضاد کذلک ؛ منه قدس‌سره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الکافی </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المؤلّف قدس‌سره </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أجناب </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السابریّة بالسین المهملة والباء الموحّدة والراء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ثیاب رقاق جیّدة، و لعلّ ذکر نسائهم فی أثناء السؤال، لانّ الغزل کان من عملهنّ والحیاکة من أزواجهنّ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وانظر 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عنهم السیّد بحرالعلوم رحمه‌الله فی مصابیح الأحکام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اللغة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فی 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المیاه و طهرها و نجاستها </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معالم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مشرق الشمسین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تعلیقات العلاّمة الخواجوئی رحمه‌الله </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الذخیرة </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العادمی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إبن أبیعقیل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وحکاه عنه فیالمختلف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وفی مدارک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معالم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سند الإستبصار </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والکسائی والفَرّاء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 xml:space="preserve"> .</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یمجّه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الرجل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به </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 xml:space="preserve"> .</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 xml:space="preserve"> .</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 </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 xml:space="preserve"> .</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5095</w:t>
      </w:r>
      <w:r>
        <w:rPr>
          <w:rFonts w:eastAsia="IRNazanin" w:cs="IRNazanin"/>
          <w:b w:val="false"/>
          <w:bCs w:val="false"/>
          <w:i w:val="false"/>
          <w:iCs w:val="false"/>
          <w:color w:val="333333"/>
          <w:sz w:val="20"/>
          <w:szCs w:val="20"/>
          <w:rtl w:val="true"/>
        </w:rPr>
        <w:t xml:space="preserve"> .</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إبن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 xml:space="preserve"> .</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5293</w:t>
      </w:r>
      <w:r>
        <w:rPr>
          <w:rFonts w:eastAsia="IRNazanin" w:cs="IRNazanin"/>
          <w:b w:val="false"/>
          <w:bCs w:val="false"/>
          <w:i w:val="false"/>
          <w:iCs w:val="false"/>
          <w:color w:val="333333"/>
          <w:sz w:val="20"/>
          <w:szCs w:val="20"/>
          <w:rtl w:val="true"/>
        </w:rPr>
        <w:t xml:space="preserve"> .</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5692</w:t>
      </w:r>
      <w:r>
        <w:rPr>
          <w:rFonts w:eastAsia="IRNazanin" w:cs="IRNazanin"/>
          <w:b w:val="false"/>
          <w:bCs w:val="false"/>
          <w:i w:val="false"/>
          <w:iCs w:val="false"/>
          <w:color w:val="333333"/>
          <w:sz w:val="20"/>
          <w:szCs w:val="20"/>
          <w:rtl w:val="true"/>
        </w:rPr>
        <w:t xml:space="preserve"> .</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 xml:space="preserve"> .</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5765</w:t>
      </w:r>
      <w:r>
        <w:rPr>
          <w:rFonts w:eastAsia="IRNazanin" w:cs="IRNazanin"/>
          <w:b w:val="false"/>
          <w:bCs w:val="false"/>
          <w:i w:val="false"/>
          <w:iCs w:val="false"/>
          <w:color w:val="333333"/>
          <w:sz w:val="20"/>
          <w:szCs w:val="20"/>
          <w:rtl w:val="true"/>
        </w:rPr>
        <w:t xml:space="preserve"> .</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5972</w:t>
      </w:r>
      <w:r>
        <w:rPr>
          <w:rFonts w:eastAsia="IRNazanin" w:cs="IRNazanin"/>
          <w:b w:val="false"/>
          <w:bCs w:val="false"/>
          <w:i w:val="false"/>
          <w:iCs w:val="false"/>
          <w:color w:val="333333"/>
          <w:sz w:val="20"/>
          <w:szCs w:val="20"/>
          <w:rtl w:val="true"/>
        </w:rPr>
        <w:t xml:space="preserve"> .</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حُمَید </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 xml:space="preserve"> .</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2324</w:t>
      </w:r>
      <w:r>
        <w:rPr>
          <w:rFonts w:eastAsia="IRNazanin" w:cs="IRNazanin"/>
          <w:b w:val="false"/>
          <w:bCs w:val="false"/>
          <w:i w:val="false"/>
          <w:iCs w:val="false"/>
          <w:color w:val="333333"/>
          <w:sz w:val="20"/>
          <w:szCs w:val="20"/>
          <w:rtl w:val="true"/>
        </w:rPr>
        <w:t xml:space="preserve"> .</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أطیب </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1014</w:t>
      </w:r>
      <w:r>
        <w:rPr>
          <w:rFonts w:eastAsia="IRNazanin" w:cs="IRNazanin"/>
          <w:b w:val="false"/>
          <w:bCs w:val="false"/>
          <w:i w:val="false"/>
          <w:iCs w:val="false"/>
          <w:color w:val="333333"/>
          <w:sz w:val="20"/>
          <w:szCs w:val="20"/>
          <w:rtl w:val="true"/>
        </w:rPr>
        <w:t xml:space="preserve"> .</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کانا من أصحاب الأسرار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المتّقین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و من الأخبار الّتی استدلّ بها علی طهارة الخمر </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 لم یصب فلیصلّ فیه، فلا بأس </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حیاکتها </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رأس ثدیها </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یطعن علیهم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جوابات أهل الموصل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1100</w:t>
      </w:r>
      <w:r>
        <w:rPr>
          <w:rFonts w:eastAsia="IRNazanin" w:cs="IRNazanin"/>
          <w:b w:val="false"/>
          <w:bCs w:val="false"/>
          <w:i w:val="false"/>
          <w:iCs w:val="false"/>
          <w:color w:val="333333"/>
          <w:sz w:val="20"/>
          <w:szCs w:val="20"/>
          <w:rtl w:val="true"/>
        </w:rPr>
        <w:t xml:space="preserve"> .</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العبارة لیست فی إختیار معرفة الرجال، بل أهل الرجال نقلوها عن علیّ بن الحسن بن فضال وعن إبن الغضائریّ فیما حکی عنه العلاّمة رحمه‌الله ، انظر معجم رجال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إبن داود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یوجد لدینا </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الدروس الشرعیة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الفقه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مظانّه </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والکافی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له، و فی التهذیبین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له </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5471</w:t>
      </w:r>
      <w:r>
        <w:rPr>
          <w:rFonts w:eastAsia="IRNazanin" w:cs="IRNazanin"/>
          <w:b w:val="false"/>
          <w:bCs w:val="false"/>
          <w:i w:val="false"/>
          <w:iCs w:val="false"/>
          <w:color w:val="333333"/>
          <w:sz w:val="20"/>
          <w:szCs w:val="20"/>
          <w:rtl w:val="true"/>
        </w:rPr>
        <w:t xml:space="preserve"> .</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الناصریّات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نعثر علیه </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الغریبین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سمرة، و فی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صمرة </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فی 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یدعه </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السابقة </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أبی الربیع الشامیّ </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نقله عن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الناظرة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ولکن حکاه عنه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غنیة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نهایة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کشف الإلتباس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إرشاد الجعفریّة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لکن حکاه عنه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مفتاح الکرامة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سلیمان بن حفص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إبن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فانّه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المفضل بن صالح أبو جمیلة السکونی، و 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الأسدی ، مولاهم النخاس ، بالخاء المعجمة والسین المهملة ، کان یضع الحدیث </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ـ لغة فقّاع </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ـ لغة فقّاع </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 لکن حکاه عنه فی مفتاح الکرامة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القانون والطب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الفصل السابع عشر، فی الکلام فی حرف الفاء </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ـ لغة فقّاع </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یصنع،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یوضع </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تحصل له النشیش والغلیان </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الشهید الأوّل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أجوبة مسائل الفاضل المقداد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التاسعة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انظر رسائل المرتضی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الرازیة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المجموعة الأولی ؛ و حکاه عنه السیّد العاملی فی مفتاح الکرامة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الشیخ الأنصاری فی کتاب الطهارة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فیه حلال، و فی التهذیب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یکون منه حلال </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فی 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ومشارق الشموس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مرازم بن حکیم الأزدی المدائنی، مولیً، ثقة، إلی آخره ؛ وفی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الخاء المعجمة، لغة الخمر </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شصت قسم </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بقیر یا موم عود و کشته بخور کنند </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مستطار ؛ و لعلّ الصحیح ما فی المتن </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ولا </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31909</w:t>
      </w:r>
      <w:r>
        <w:rPr>
          <w:rFonts w:eastAsia="IRNazanin" w:cs="IRNazanin"/>
          <w:b w:val="false"/>
          <w:bCs w:val="false"/>
          <w:i w:val="false"/>
          <w:iCs w:val="false"/>
          <w:color w:val="333333"/>
          <w:sz w:val="20"/>
          <w:szCs w:val="20"/>
          <w:rtl w:val="true"/>
        </w:rPr>
        <w:t xml:space="preserve"> .</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النون، لغة النبیذ </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 xml:space="preserve"> .</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النون، لغة نقیع </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الباء الموحدة، لغة البتع </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سیّم گرم و خشک </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المیم، لغة مِزر </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مکسور ؛ منه قدس‌سره </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بدت فیه </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الجواهر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الفاء، لغة فضیخ </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یزید بن أسلم </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حکیم مؤمن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 xml:space="preserve"> .</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بفتح الراء و سکونها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إناء یسع ستة عشر رطلا </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رسول اللّه صلی‌الله‌علیه‌و‌آله أخرجه أبو داود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والترمذی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والبیهقی فی سننه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والبغوی فی مصابیح السنّة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والخطیب البغدادی فی تاریخه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و إبن الأثیر فی جامع الأصول کما فی التیسیر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مادّة سَکَرَ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سنن الترمذی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والجواب 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کان کثیره یسکر أو یغیّر، فقلیله وکثیره حرام، و إن کان لایسکر فهو حلال </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قال النجاشی فی رجاله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بن محمّد بن یزید أبوالأسود بیاع‌السابری مولی ثقیف، کوفی، ثقة، جلیل، روی عن أبیعبداللّه وأبیالحسن علیهماالسلام و روی الکشی عن محمّد بن عذافر، عنه،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لی أبو عبداللّه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ابن یزید، أنت واللّه منّا أهل البیت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قوام کما وصفنا </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حیاة المحقّق الکرکی وآثاره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الألفیّة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حاشیة شرائع الإسلام للشهید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صحیح البخاری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فوائد القواعد للشهید الثانی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المفید فی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والشیخ الطوسی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والمرتضی فی المسائل الناصریات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جوامع الفقهیّة</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وأبی الصلاح فی الکافی فی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 سلاّر فی المراسم العلویّة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وابن إدریس فی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إبن أبی عقیل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المؤلّف قدس‌سره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أیضاً عن ظاهر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فی باب الأطعمة، بل هو فی باب الحدود حیث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علماؤنا أیضاً علی انّ عصیر العنب إذا غلی حکمه حکم المسکر إلاّ أن یذهب ثلثاه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المصابیح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نظفر علیه ؛ و نقله عنه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الکبری للبیهقی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المصدر </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المحقّق البحرانیّ قدس‌سره فی ذیل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فی سند الروایة یونس بن یعقوب و حدیثه عندهم معدود فی الموثّق ، لتصریح جملة منهم بکونه فطحیّاً ، و إن وثقه آخرون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المجلسی الأوّل فی روضة المتّقین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المجلسی الثانی فی ملاذ الأخیار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بن یعقوب بن قیس أبو علی الجلاّب الدهنی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اختصّ بأبی عبداللّه و أبی الحسن علیهماالسلام و کان یتوکّل لأبی الحسن علیه‌السلام ، و مات بالمدینة فی أیّام الرضا علیه‌السلام ، فتولّی أمره و کان حظیاً عندهم، موثّقاً، و کان قد قال بعبد اللّه و رجع </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الفرق فی النجاسة بین غلیان العصیر بنفسه و بین غلیانه بالنار ؛ منه قدس‌سره </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لإبن حمزة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الدلالة علی أمرین،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ذهاب الثلثین مطهّر و لو کان الغلیان بالشمس أو من قبل نفسه، و کذلک ذهاب الثلثین بکلّ ما یذهب بهما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ثانیهما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الأجسام الواقعة فیه تطهر بطهارته بذهاب الثلثین أو بصیرورته خلاًّ ؛ منه قدس‌سره </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بالخلّیة ؛ منه قدس‌سره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نسخ الذکری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النجاسة </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أغرب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بشیء غریب ـ منه قدس‌سره </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العشر لإبن فهد الحلّی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الثانی ـ المحرّر فی الفتوی</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أن یقول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الذکری ؛ منه قدس‌سره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المطلب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الجعفریّة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نعثر علیه أیضاً </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صاحب الجواهر ؛ منه قدس‌سره </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شرائع الاسلام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انّ بعد ذهاب الثلثین یطهر ما یزاوله ؛ منه قدس‌سره </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المصنّف قدس‌سره </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الملاّ أحمد النراقی رحمه‌الله فی حاشیته علی 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المصنّف قدس‌سره </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الفاضل قدس‌سره عن شرح الإرشاد لفخر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 حاشیة الإرشاد للنیلیّ تلمیذ الفخر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فی الصفحة السابقة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مذهب أبی حنیفة ؛ انظر فتح الباری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لولا بعض العبارات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فی حدیث إبن عباس سبق محمد الباذق هو بفتح الذال ، الخمر تعریب باده ، و هو إسم الخمر بالفارسیّة ، أی لم یکن فی زمانه أو سبق قوله فیها و فی غیره من جنسها ؛ منه قدس‌سره </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المقاصد العلیة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مدارک‌الأحکام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الألفیّة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المصنّف قدس‌سره </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فلاحظ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فی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الألفیّة والنفلیّة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حکاه عنه فی 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فیشربه </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 بل فی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واختمارها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إدراکها و غلیانها </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البیضاوی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کنز العرفان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إرشاد الأذهان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شرائع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حاشیة المختصر النافع </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أبیداود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الاغتلام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مجاوزة الحد </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الدارقطنی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النسائی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الکبری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یوجد لدینا </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أن یجعل معناه یصیر خمرا ؛ منه قدس‌سره </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تخامر العقل أی تخالطه ؛ منه قدس‌سره </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السابقة </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مستطرفات 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 xml:space="preserve"> .</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المطهّر للخمر هو الإنقلاب </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الکافی </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لانّها مخالف للأدلّة </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الإنتصار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مسألة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انّ الخلّ طاهر بالإستحالة </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فراجع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الإذهان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یظنّ أنّه خلّ و لیس کذلک، منه رحمه‌الله </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کان قد نجس </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خثر اللبن خثورة من باب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ثخن واشتدّ، ورجل خاثر النفس أی ثقیل کسلان، منه قدس‌سره </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 xml:space="preserve"> .</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و یحتمل من کلام المؤلّف رحمه‌الله </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قائله نجم الدّین بن سعید، فلاحظ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والحدیث طویل ذکر قدس‌سره منه موضع الحاجة </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الأئمّة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لیس فی الأصل المخطوط </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حاشیة شرائع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الألفیّة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الملین کمنبر مصفاته ق </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تذکرة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الغطاء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شرایع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الرّشا کما فی 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الحبل الّذی یتوصل به إلی الماء </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حیاة المحقّق الکرکی وآثاره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شرائع الاسلام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کالأوّل بدل کعصیر العنب </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الزبیبة </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فیه دعوی الإجماع علی عدم نجاسة عصیر التمر و نحوه بالغلیان ؛ منه قدس‌سره </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الحلال، و یکسر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ضدّ الحرام، کالحِلّ بالکسر ؛ منه قدس‌سره </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المؤلّف قدس‌سره </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ذکر عبارة المناهل هنا نظر، والأولی ذکرها فی المقام الآتی، لأنّ مقامنا مقام التحریم و عدم التحریم، لا النجاسة والطهارة ؛ منه قدس‌سره </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 </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عطف علی قوله رحمه‌الله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تحصیلاً ؛ أی هذا القول هو المشهور بین الاصحاب نقلاً کما فی </w:t>
      </w:r>
      <w:r>
        <w:rPr>
          <w:rFonts w:eastAsia="IRNazanin" w:cs="IRNazanin"/>
          <w:b w:val="false"/>
          <w:bCs w:val="false"/>
          <w:i w:val="false"/>
          <w:iCs w:val="false"/>
          <w:color w:val="333333"/>
          <w:sz w:val="20"/>
          <w:szCs w:val="20"/>
          <w:rtl w:val="true"/>
        </w:rPr>
        <w:t>... .</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نقل عباراتهم آنفاً فراجع </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العلاّمة السیّد محمّد مهدی الطباطبائیّ، المشتهر فی العوالم ببحرالعلوم رحمه‌الله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المحقّق والعلاّمة رحمهماالله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نعثر علیه </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تعلیقات علی الأجوبة المهنّائیة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مسألة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التحفة السنیّة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الأحکام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لم نعثر علیه ؛ لکن نقله عنه فی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الزبیبة </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ذلک منه فی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الباب الخامس </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الاحکام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مسجور </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 xml:space="preserve"> .</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 xml:space="preserve"> .</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عمدت إلی الشیء، أعمد عمدا من باب ضرب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قصدته ؛ منه قدس‌سره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أصل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یصبّ علیه الماء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فصار حلواً </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الأصل المنقول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فغلی </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مستدرک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حکی هذا الحدیث بهذا النصّ ، عن الزیدین زید الزرّاد و زید النرسیّ، فی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فی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المحقّق السبزواری فی 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السیّد الطباطبائی فی 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والاردبیلی فی مجمع الفائدة و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والشهید الثانی فی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والملاّ أحمد النراقی فی مستند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الافهام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الخبر الصحیح المرویّ فی الکافی والتهذیب، عن عبداللّه بن سنان، عن أبیعبداللّه علیه‌السلام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 عصیر أصابته النار فهو حرام، حتّی یذهب ثلثاه و یبقی ثلثه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بهذا اللفظ ؛ انظر 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 xml:space="preserve"> .</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التخمیر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التغطیة ، 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خمّر وجهه ، و یحتمل أن یکون المراد من الإختمار صیرورته خمراً ، منه قدس‌سره </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المقنع والفقیه </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یذهب ثلثاه علی النار </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إنّی صنّفت کتابی هذا و سمّیته کتاب المقنع، لقنوع من یقرأه بما فیه، وحذفت الأسانید منه لئلاّ یثقل حمله ولایصعب حفظه ولا یمل قارئه، إذا کان ما أبینه فیه فی الکتب الأصولیّة موجوداً مبیّناً علی المشایخ العلماء الفقهاء الثقات رحمهم اللّه </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النضوح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 من الطیب تفوح رائحته، والضیاح اللبن الخائر یصبّ فیه الماء ثمّ یخلط ؛ منه قدس‌سره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أبواب الأشربة المحرمة </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حنیفة النعمان بن أبی عبداللّه محمّد بن منصور بن أحمد بن حیّون التمیمی المغربی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تاریخ الفاطمیین فی مصر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والنجوم الزاهرة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الصفحة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 الفصول الأربعة من السنة ؛ منه قدس‌سره </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الأشربة المحرمة </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 xml:space="preserve"> .</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النَرْسی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المفتوحة والراء المهملة الساکنة، کما صرّح به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إلی نَرْس قریة من قری الکوفة ، تنسب إلیه الثیاب النَرْسیّة ، أو نهر من أنهارها ، علیه عدّة من القری ، کما قاله السمعانی فی کتاب الأنساب،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 إلیها جماعة من مشاهیر المحدّثین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للسمعانی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منه قدس‌سره </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 المصدر </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فیالمصدر زیادة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أبیالعبّاس أحمد بن محمّد بن سعید الهمدانیّ، بسم اللّه الرّحمن الرّحیم </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 زید النرسی</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الأصول الستّة عشر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رجال السیّد بحرالعلوم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5482</w:t>
      </w:r>
      <w:r>
        <w:rPr>
          <w:rFonts w:eastAsia="IRNazanin" w:cs="IRNazanin"/>
          <w:b w:val="false"/>
          <w:bCs w:val="false"/>
          <w:i w:val="false"/>
          <w:iCs w:val="false"/>
          <w:color w:val="333333"/>
          <w:sz w:val="20"/>
          <w:szCs w:val="20"/>
          <w:rtl w:val="true"/>
        </w:rPr>
        <w:t xml:space="preserve"> .</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 xml:space="preserve"> .</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من یوثق به </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 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 بدل الرجال </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ذلک ما رواه الکشی عن محمّد بن حماد المروزی المحمودی، یرفعه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الصادق علیه‌السلام إعرفوا منازل شیعتنا بقدر ما یحسنون من روایاتهم عنّا، فانّا لا نعد الفقیه منهم فقیهاً حتّی یکون محدّثاً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إختیار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السیّد بحرالعلوم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من المصدر </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الفهرست للطوسی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عدّة الأصول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علی منهج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مع إختلاف یسیر ؛ و لاحظ تنقیح المقال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جامع الرواة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ذخیرة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ذکری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نقف علیه </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مصابیح الظلام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الدرّة النجفیّة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تعلیقات علی الأجوبة المهنّائیة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وحکاه عنه فی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الزبیبة </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الطبخة یقال بالفارسیّة پاتیله، منه رحمه‌الله ؛ و فی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الطنجیر بدل الطبخة </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القاموس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زیادة من المصدر </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الوسیلة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 الجنان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المعقوفین من کلام المؤلّف قدس‌سره </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غایة المرام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العلیة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الرسائل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الدروس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ریاض المسائل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فی الأصل بیاض </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المناهل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وفد من الیمن </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الوفد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الرکبان من الإبل ؛ منه قدس‌سره </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عنه فی وسائل الشیعة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2344</w:t>
      </w:r>
      <w:r>
        <w:rPr>
          <w:rFonts w:eastAsia="IRNazanin" w:cs="IRNazanin"/>
          <w:b w:val="false"/>
          <w:bCs w:val="false"/>
          <w:i w:val="false"/>
          <w:iCs w:val="false"/>
          <w:color w:val="333333"/>
          <w:sz w:val="20"/>
          <w:szCs w:val="20"/>
          <w:rtl w:val="true"/>
        </w:rPr>
        <w:t xml:space="preserve"> .</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الطوسی رحمه‌الله فی رجاله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إسحاق، ثقة ، من أصحاب الهادی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إسحاق الأحمری النهاوندی له کتب و هو ضعیف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قال فیه أیضاً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إبراهیم بن إسحاق الحارثی، من أصحاب الصادق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وانظر نقد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رجال النجاشی ، ففیه هکذا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عبداللّه بن حماد الأنصاری من شیوخ أصحابنا ، له کتابان أحدهما أصغر من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 بل فی الرجال لإبن الغضائریّ حیث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یکنی أبا محمّد، نزل قم، لم یرو عن أحد من الأئمّة علیهم‌السلام و حدیثه یعرف تارة و ینکر أخری و یخرج شاهداً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لإبن الغضائری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المنیر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بالتخفیف ؛ منه قدس‌سره </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السین ؛ منه قدس‌سره </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الوافی نقلاً عن 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الثلاثین </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القاموس المحیط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فی غریب الحدیث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 xml:space="preserve"> .</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image" Target="media/image2.jpeg"/><Relationship Id="rId535" Type="http://schemas.openxmlformats.org/officeDocument/2006/relationships/image" Target="media/image2.jpeg"/><Relationship Id="rId536" Type="http://schemas.openxmlformats.org/officeDocument/2006/relationships/footer" Target="footer529.xml"/><Relationship Id="rId537" Type="http://schemas.openxmlformats.org/officeDocument/2006/relationships/footnotes" Target="footnotes.xml"/><Relationship Id="rId538" Type="http://schemas.openxmlformats.org/officeDocument/2006/relationships/numbering" Target="numbering.xml"/><Relationship Id="rId539" Type="http://schemas.openxmlformats.org/officeDocument/2006/relationships/fontTable" Target="fontTable.xml"/><Relationship Id="rId540" Type="http://schemas.openxmlformats.org/officeDocument/2006/relationships/settings" Target="settings.xml"/><Relationship Id="rId54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49261</Words>
  <Characters>190874</Characters>
  <CharactersWithSpaces>238445</CharactersWithSpaces>
  <Paragraphs>1968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2026-08-18T03:21:53Z</dcterms:created>
  <dc:creator>ghaemiyeh.com</dc:creator>
  <dc:description/>
  <dc:language>en-US</dc:language>
  <cp:lastModifiedBy/>
  <dcterms:modified xsi:type="dcterms:W3CDTF">2026-08-18T06:52:08Z</dcterms:modified>
  <cp:revision>1</cp:revision>
  <dc:subject/>
  <dc:title>العصیریه فی احکام الخمر و سائر المسکرات و العصر العنبی و النمری و الزبیبی</dc:title>
</cp:coreProperties>
</file>

<file path=docProps/custom.xml><?xml version="1.0" encoding="utf-8"?>
<Properties xmlns="http://schemas.openxmlformats.org/officeDocument/2006/custom-properties" xmlns:vt="http://schemas.openxmlformats.org/officeDocument/2006/docPropsVTypes"/>
</file>